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4.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theme/themeOverride6.xml" ContentType="application/vnd.openxmlformats-officedocument.themeOverride+xml"/>
  <Override PartName="/word/drawings/drawing2.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Override7.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charts/chart17.xml" ContentType="application/vnd.openxmlformats-officedocument.drawingml.chart+xml"/>
  <Override PartName="/word/theme/themeOverride8.xml" ContentType="application/vnd.openxmlformats-officedocument.themeOverride+xml"/>
  <Override PartName="/word/charts/chart18.xml" ContentType="application/vnd.openxmlformats-officedocument.drawingml.chart+xml"/>
  <Override PartName="/word/theme/themeOverride9.xml" ContentType="application/vnd.openxmlformats-officedocument.themeOverride+xml"/>
  <Override PartName="/word/charts/chart19.xml" ContentType="application/vnd.openxmlformats-officedocument.drawingml.chart+xml"/>
  <Override PartName="/word/theme/themeOverride10.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0F6F65" w14:textId="39899DB0" w:rsidR="006A4B91" w:rsidRDefault="00F37C85" w:rsidP="006A4B91">
      <w:pPr>
        <w:rPr>
          <w:b/>
          <w:sz w:val="44"/>
        </w:rPr>
      </w:pPr>
      <w:r>
        <w:rPr>
          <w:b/>
          <w:noProof/>
          <w:sz w:val="32"/>
          <w:lang w:val="en-US"/>
        </w:rPr>
        <w:drawing>
          <wp:anchor distT="0" distB="0" distL="114300" distR="114300" simplePos="0" relativeHeight="252121088" behindDoc="0" locked="0" layoutInCell="1" allowOverlap="1" wp14:anchorId="2E923630" wp14:editId="153E5FB1">
            <wp:simplePos x="0" y="0"/>
            <wp:positionH relativeFrom="column">
              <wp:posOffset>571500</wp:posOffset>
            </wp:positionH>
            <wp:positionV relativeFrom="paragraph">
              <wp:posOffset>114300</wp:posOffset>
            </wp:positionV>
            <wp:extent cx="4469765" cy="2363470"/>
            <wp:effectExtent l="0" t="0" r="63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_Logo_CMYK.png"/>
                    <pic:cNvPicPr/>
                  </pic:nvPicPr>
                  <pic:blipFill rotWithShape="1">
                    <a:blip r:embed="rId9">
                      <a:extLst>
                        <a:ext uri="{28A0092B-C50C-407E-A947-70E740481C1C}">
                          <a14:useLocalDpi xmlns:a14="http://schemas.microsoft.com/office/drawing/2010/main" val="0"/>
                        </a:ext>
                      </a:extLst>
                    </a:blip>
                    <a:srcRect r="24391"/>
                    <a:stretch/>
                  </pic:blipFill>
                  <pic:spPr bwMode="auto">
                    <a:xfrm>
                      <a:off x="0" y="0"/>
                      <a:ext cx="4469765" cy="236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12BCB" w14:textId="77777777" w:rsidR="006A4B91" w:rsidRDefault="006A4B91" w:rsidP="006A4B91">
      <w:pPr>
        <w:jc w:val="center"/>
        <w:rPr>
          <w:b/>
          <w:sz w:val="44"/>
        </w:rPr>
      </w:pPr>
    </w:p>
    <w:p w14:paraId="426322EC" w14:textId="77777777" w:rsidR="006A4B91" w:rsidRPr="00F37C85" w:rsidRDefault="006A4B91" w:rsidP="006A4B91">
      <w:pPr>
        <w:jc w:val="center"/>
        <w:rPr>
          <w:b/>
          <w:sz w:val="72"/>
        </w:rPr>
      </w:pPr>
      <w:r w:rsidRPr="00F37C85">
        <w:rPr>
          <w:b/>
          <w:sz w:val="72"/>
        </w:rPr>
        <w:t>The Regulation of Potential Driver Genes in Colorectal Cancer</w:t>
      </w:r>
    </w:p>
    <w:p w14:paraId="4DEEE200" w14:textId="77777777" w:rsidR="006A4B91" w:rsidRDefault="006A4B91" w:rsidP="00F37C85">
      <w:pPr>
        <w:rPr>
          <w:b/>
          <w:sz w:val="32"/>
        </w:rPr>
      </w:pPr>
    </w:p>
    <w:p w14:paraId="723A2FBE" w14:textId="77777777" w:rsidR="006A4B91" w:rsidRDefault="006A4B91" w:rsidP="006A4B91">
      <w:pPr>
        <w:rPr>
          <w:b/>
          <w:sz w:val="32"/>
        </w:rPr>
      </w:pPr>
    </w:p>
    <w:p w14:paraId="3D467F90" w14:textId="77777777" w:rsidR="006A4B91" w:rsidRDefault="006A4B91" w:rsidP="006A4B91">
      <w:pPr>
        <w:jc w:val="center"/>
        <w:rPr>
          <w:b/>
          <w:sz w:val="32"/>
        </w:rPr>
      </w:pPr>
    </w:p>
    <w:p w14:paraId="35D7A1BF" w14:textId="36C891F2" w:rsidR="006A4B91" w:rsidRPr="00F37C85" w:rsidRDefault="006A4B91" w:rsidP="006A4B91">
      <w:pPr>
        <w:jc w:val="center"/>
        <w:rPr>
          <w:b/>
          <w:sz w:val="36"/>
        </w:rPr>
      </w:pPr>
      <w:r w:rsidRPr="00F37C85">
        <w:rPr>
          <w:b/>
          <w:sz w:val="36"/>
        </w:rPr>
        <w:t>Clair Fellows</w:t>
      </w:r>
    </w:p>
    <w:p w14:paraId="50143958" w14:textId="2C64EC43" w:rsidR="006A4B91" w:rsidRPr="00F37C85" w:rsidRDefault="006A4B91" w:rsidP="006A4B91">
      <w:pPr>
        <w:jc w:val="center"/>
        <w:rPr>
          <w:b/>
          <w:sz w:val="56"/>
        </w:rPr>
      </w:pPr>
      <w:r w:rsidRPr="00F37C85">
        <w:rPr>
          <w:sz w:val="36"/>
        </w:rPr>
        <w:t>Academic Unit of Molecular Oncology, Department of Oncology and Metabolism, University of Sheffield</w:t>
      </w:r>
    </w:p>
    <w:p w14:paraId="32E8BEA9" w14:textId="77777777" w:rsidR="006A4B91" w:rsidRPr="00F37C85" w:rsidRDefault="006A4B91" w:rsidP="006A4B91">
      <w:pPr>
        <w:rPr>
          <w:sz w:val="36"/>
        </w:rPr>
      </w:pPr>
    </w:p>
    <w:p w14:paraId="25E71D22" w14:textId="77777777" w:rsidR="006A4B91" w:rsidRPr="00F37C85" w:rsidRDefault="006A4B91" w:rsidP="006A4B91">
      <w:pPr>
        <w:jc w:val="center"/>
        <w:rPr>
          <w:sz w:val="36"/>
        </w:rPr>
      </w:pPr>
      <w:r w:rsidRPr="00F37C85">
        <w:rPr>
          <w:sz w:val="36"/>
        </w:rPr>
        <w:t>Thesis submitted to the University of Sheffield for the degree of Doctor of Philosophy</w:t>
      </w:r>
    </w:p>
    <w:p w14:paraId="549894BF" w14:textId="77777777" w:rsidR="006A4B91" w:rsidRPr="00F37C85" w:rsidRDefault="006A4B91" w:rsidP="006A4B91">
      <w:pPr>
        <w:jc w:val="center"/>
        <w:rPr>
          <w:sz w:val="36"/>
        </w:rPr>
      </w:pPr>
    </w:p>
    <w:p w14:paraId="7C8F50A1" w14:textId="354498E7" w:rsidR="006A4B91" w:rsidRPr="00F37C85" w:rsidRDefault="006678A6" w:rsidP="006A4B91">
      <w:pPr>
        <w:jc w:val="center"/>
        <w:rPr>
          <w:sz w:val="36"/>
        </w:rPr>
      </w:pPr>
      <w:r>
        <w:rPr>
          <w:sz w:val="36"/>
        </w:rPr>
        <w:t>June</w:t>
      </w:r>
      <w:r w:rsidR="006A4B91" w:rsidRPr="00F37C85">
        <w:rPr>
          <w:sz w:val="36"/>
        </w:rPr>
        <w:t xml:space="preserve"> 2018</w:t>
      </w:r>
    </w:p>
    <w:p w14:paraId="2E555C9F" w14:textId="77777777" w:rsidR="006A4B91" w:rsidRPr="00F37C85" w:rsidRDefault="006A4B91" w:rsidP="006A4B91">
      <w:pPr>
        <w:jc w:val="center"/>
        <w:rPr>
          <w:sz w:val="36"/>
        </w:rPr>
      </w:pPr>
    </w:p>
    <w:p w14:paraId="1BCF0D3D" w14:textId="77777777" w:rsidR="006A4B91" w:rsidRPr="006A4B91" w:rsidRDefault="006A4B91" w:rsidP="006A4B91">
      <w:pPr>
        <w:jc w:val="center"/>
        <w:rPr>
          <w:sz w:val="32"/>
        </w:rPr>
      </w:pPr>
    </w:p>
    <w:p w14:paraId="19DA18D5" w14:textId="519E02A0" w:rsidR="006A4B91" w:rsidRPr="006A4B91" w:rsidRDefault="006A4B91" w:rsidP="006A4B91">
      <w:pPr>
        <w:rPr>
          <w:sz w:val="32"/>
        </w:rPr>
      </w:pPr>
      <w:r w:rsidRPr="006A4B91">
        <w:rPr>
          <w:sz w:val="32"/>
        </w:rPr>
        <w:br w:type="page"/>
      </w:r>
    </w:p>
    <w:p w14:paraId="2D055318" w14:textId="77777777" w:rsidR="00F37C85" w:rsidRDefault="00F37C85" w:rsidP="00F37C85">
      <w:pPr>
        <w:jc w:val="center"/>
        <w:rPr>
          <w:b/>
          <w:u w:val="single"/>
        </w:rPr>
      </w:pPr>
    </w:p>
    <w:p w14:paraId="405197C3" w14:textId="77777777" w:rsidR="00F37C85" w:rsidRDefault="00F37C85" w:rsidP="00F37C85">
      <w:pPr>
        <w:jc w:val="center"/>
        <w:rPr>
          <w:b/>
          <w:u w:val="single"/>
        </w:rPr>
      </w:pPr>
    </w:p>
    <w:p w14:paraId="1537D7BA" w14:textId="77777777" w:rsidR="00F37C85" w:rsidRDefault="00F37C85" w:rsidP="00F37C85">
      <w:pPr>
        <w:jc w:val="center"/>
        <w:rPr>
          <w:b/>
          <w:u w:val="single"/>
        </w:rPr>
      </w:pPr>
    </w:p>
    <w:p w14:paraId="1A5BC3C7" w14:textId="77777777" w:rsidR="00F37C85" w:rsidRDefault="00F37C85" w:rsidP="00F37C85">
      <w:pPr>
        <w:jc w:val="center"/>
        <w:rPr>
          <w:b/>
          <w:u w:val="single"/>
        </w:rPr>
      </w:pPr>
    </w:p>
    <w:p w14:paraId="4D726E87" w14:textId="77777777" w:rsidR="00F37C85" w:rsidRDefault="00F37C85" w:rsidP="00F37C85">
      <w:pPr>
        <w:jc w:val="center"/>
        <w:rPr>
          <w:b/>
          <w:u w:val="single"/>
        </w:rPr>
      </w:pPr>
    </w:p>
    <w:p w14:paraId="3A070497" w14:textId="77777777" w:rsidR="00F37C85" w:rsidRDefault="00F37C85" w:rsidP="00F37C85">
      <w:pPr>
        <w:jc w:val="center"/>
        <w:rPr>
          <w:b/>
          <w:u w:val="single"/>
        </w:rPr>
      </w:pPr>
    </w:p>
    <w:p w14:paraId="3A47DCA3" w14:textId="77777777" w:rsidR="00F37C85" w:rsidRDefault="00F37C85" w:rsidP="00F37C85">
      <w:pPr>
        <w:jc w:val="center"/>
        <w:rPr>
          <w:b/>
          <w:u w:val="single"/>
        </w:rPr>
      </w:pPr>
    </w:p>
    <w:p w14:paraId="71E83380" w14:textId="77777777" w:rsidR="00F37C85" w:rsidRDefault="00F37C85" w:rsidP="00F37C85">
      <w:pPr>
        <w:jc w:val="center"/>
        <w:rPr>
          <w:b/>
          <w:u w:val="single"/>
        </w:rPr>
      </w:pPr>
    </w:p>
    <w:p w14:paraId="740CB0FB" w14:textId="77777777" w:rsidR="00F37C85" w:rsidRDefault="00F37C85" w:rsidP="00F37C85">
      <w:pPr>
        <w:jc w:val="center"/>
        <w:rPr>
          <w:b/>
          <w:u w:val="single"/>
        </w:rPr>
      </w:pPr>
    </w:p>
    <w:p w14:paraId="25EE7436" w14:textId="77777777" w:rsidR="00F37C85" w:rsidRDefault="00F37C85" w:rsidP="00F37C85">
      <w:pPr>
        <w:jc w:val="center"/>
        <w:rPr>
          <w:b/>
          <w:u w:val="single"/>
        </w:rPr>
      </w:pPr>
    </w:p>
    <w:p w14:paraId="47ED0C2A" w14:textId="77777777" w:rsidR="00F37C85" w:rsidRDefault="00F37C85" w:rsidP="00F37C85">
      <w:pPr>
        <w:jc w:val="center"/>
        <w:rPr>
          <w:b/>
          <w:u w:val="single"/>
        </w:rPr>
      </w:pPr>
    </w:p>
    <w:p w14:paraId="6BF88B36" w14:textId="77777777" w:rsidR="00F37C85" w:rsidRDefault="00F37C85" w:rsidP="00F37C85">
      <w:pPr>
        <w:jc w:val="center"/>
        <w:rPr>
          <w:b/>
          <w:u w:val="single"/>
        </w:rPr>
      </w:pPr>
    </w:p>
    <w:p w14:paraId="090A35D2" w14:textId="77777777" w:rsidR="00F37C85" w:rsidRDefault="00F37C85" w:rsidP="00F37C85">
      <w:pPr>
        <w:rPr>
          <w:b/>
          <w:u w:val="single"/>
        </w:rPr>
      </w:pPr>
    </w:p>
    <w:p w14:paraId="67BF7455" w14:textId="77777777" w:rsidR="00F37C85" w:rsidRDefault="00F37C85" w:rsidP="00F37C85">
      <w:pPr>
        <w:jc w:val="center"/>
        <w:rPr>
          <w:b/>
          <w:u w:val="single"/>
        </w:rPr>
      </w:pPr>
    </w:p>
    <w:p w14:paraId="36DEBFD0" w14:textId="77777777" w:rsidR="00F37C85" w:rsidRDefault="00F37C85" w:rsidP="00F37C85">
      <w:pPr>
        <w:jc w:val="center"/>
        <w:rPr>
          <w:b/>
          <w:u w:val="single"/>
        </w:rPr>
      </w:pPr>
    </w:p>
    <w:p w14:paraId="1A716DB9" w14:textId="77777777" w:rsidR="00F37C85" w:rsidRDefault="00F37C85" w:rsidP="00F37C85">
      <w:pPr>
        <w:jc w:val="center"/>
        <w:rPr>
          <w:b/>
          <w:u w:val="single"/>
        </w:rPr>
      </w:pPr>
    </w:p>
    <w:p w14:paraId="0C8B1FE9" w14:textId="77777777" w:rsidR="00F37C85" w:rsidRDefault="00F37C85" w:rsidP="00F37C85">
      <w:pPr>
        <w:jc w:val="center"/>
        <w:rPr>
          <w:b/>
          <w:u w:val="single"/>
        </w:rPr>
      </w:pPr>
    </w:p>
    <w:p w14:paraId="5EF75A26" w14:textId="77777777" w:rsidR="006A4B91" w:rsidRPr="00F37C85" w:rsidRDefault="006A4B91" w:rsidP="00F37C85">
      <w:pPr>
        <w:rPr>
          <w:rFonts w:asciiTheme="majorHAnsi" w:hAnsiTheme="majorHAnsi"/>
          <w:b/>
          <w:sz w:val="28"/>
          <w:u w:val="single"/>
        </w:rPr>
      </w:pPr>
      <w:r w:rsidRPr="00F37C85">
        <w:rPr>
          <w:rFonts w:asciiTheme="majorHAnsi" w:hAnsiTheme="majorHAnsi"/>
          <w:b/>
          <w:sz w:val="28"/>
          <w:u w:val="single"/>
        </w:rPr>
        <w:t>Declaration</w:t>
      </w:r>
    </w:p>
    <w:p w14:paraId="524A5B8A" w14:textId="77777777" w:rsidR="006A4B91" w:rsidRPr="00F37C85" w:rsidRDefault="006A4B91" w:rsidP="00F37C85">
      <w:pPr>
        <w:jc w:val="center"/>
        <w:rPr>
          <w:rFonts w:asciiTheme="majorHAnsi" w:hAnsiTheme="majorHAnsi"/>
          <w:b/>
          <w:sz w:val="28"/>
          <w:u w:val="single"/>
        </w:rPr>
      </w:pPr>
    </w:p>
    <w:p w14:paraId="587BCECC" w14:textId="0587278F" w:rsidR="006A4B91" w:rsidRPr="00F37C85" w:rsidRDefault="00F37C85" w:rsidP="00F37C85">
      <w:pPr>
        <w:jc w:val="both"/>
        <w:rPr>
          <w:rFonts w:asciiTheme="majorHAnsi" w:hAnsiTheme="majorHAnsi"/>
          <w:sz w:val="28"/>
        </w:rPr>
      </w:pPr>
      <w:r w:rsidRPr="00F37C85">
        <w:rPr>
          <w:rFonts w:asciiTheme="majorHAnsi" w:hAnsiTheme="majorHAnsi"/>
          <w:sz w:val="28"/>
        </w:rPr>
        <w:t xml:space="preserve">I hereby declare that no part of this thesis has previously been submitted to this, or any other academic institution and that all the work submitted is my own work unless otherwise stated. </w:t>
      </w:r>
      <w:r w:rsidR="006A4B91" w:rsidRPr="00F37C85">
        <w:rPr>
          <w:rFonts w:asciiTheme="majorHAnsi" w:hAnsiTheme="majorHAnsi"/>
          <w:sz w:val="28"/>
        </w:rPr>
        <w:t>Permission for adaption of figures has been requested where appropriate</w:t>
      </w:r>
      <w:r w:rsidRPr="00F37C85">
        <w:rPr>
          <w:rFonts w:asciiTheme="majorHAnsi" w:hAnsiTheme="majorHAnsi"/>
          <w:sz w:val="28"/>
        </w:rPr>
        <w:t>.</w:t>
      </w:r>
    </w:p>
    <w:p w14:paraId="20B958BB" w14:textId="77777777" w:rsidR="006A4B91" w:rsidRPr="00F37C85" w:rsidRDefault="006A4B91" w:rsidP="00F37C85">
      <w:pPr>
        <w:jc w:val="both"/>
        <w:rPr>
          <w:rFonts w:asciiTheme="majorHAnsi" w:hAnsiTheme="majorHAnsi"/>
          <w:sz w:val="28"/>
        </w:rPr>
      </w:pPr>
    </w:p>
    <w:p w14:paraId="018DB1A3" w14:textId="77777777" w:rsidR="006A4B91" w:rsidRPr="00F37C85" w:rsidRDefault="006A4B91" w:rsidP="00F37C85">
      <w:pPr>
        <w:jc w:val="both"/>
        <w:rPr>
          <w:rFonts w:asciiTheme="majorHAnsi" w:hAnsiTheme="majorHAnsi"/>
          <w:sz w:val="28"/>
        </w:rPr>
      </w:pPr>
    </w:p>
    <w:p w14:paraId="33E47A6E" w14:textId="77777777" w:rsidR="006A4B91" w:rsidRDefault="006A4B91" w:rsidP="00F37C85">
      <w:pPr>
        <w:jc w:val="center"/>
      </w:pPr>
    </w:p>
    <w:p w14:paraId="5F399AFD" w14:textId="77777777" w:rsidR="006A4B91" w:rsidRDefault="006A4B91" w:rsidP="006A4B91"/>
    <w:p w14:paraId="573A952D" w14:textId="77777777" w:rsidR="00F37C85" w:rsidRDefault="00F37C85">
      <w:pPr>
        <w:rPr>
          <w:rFonts w:asciiTheme="majorHAnsi" w:eastAsiaTheme="majorEastAsia" w:hAnsiTheme="majorHAnsi" w:cstheme="majorBidi"/>
          <w:spacing w:val="5"/>
          <w:kern w:val="28"/>
          <w:sz w:val="52"/>
          <w:szCs w:val="52"/>
        </w:rPr>
      </w:pPr>
      <w:r>
        <w:br w:type="page"/>
      </w:r>
    </w:p>
    <w:p w14:paraId="72E976FF" w14:textId="5A5A59F9" w:rsidR="006A4B91" w:rsidRDefault="006A4B91" w:rsidP="006A4B91">
      <w:pPr>
        <w:pStyle w:val="Title"/>
        <w:rPr>
          <w:color w:val="auto"/>
        </w:rPr>
      </w:pPr>
      <w:r w:rsidRPr="006A4B91">
        <w:rPr>
          <w:color w:val="auto"/>
        </w:rPr>
        <w:t>Acknowledgements</w:t>
      </w:r>
    </w:p>
    <w:p w14:paraId="7417B472" w14:textId="77777777" w:rsidR="00385FEA" w:rsidRDefault="00385FEA" w:rsidP="00343E76">
      <w:pPr>
        <w:spacing w:line="360" w:lineRule="auto"/>
        <w:jc w:val="both"/>
        <w:rPr>
          <w:rFonts w:asciiTheme="majorHAnsi" w:hAnsiTheme="majorHAnsi"/>
        </w:rPr>
      </w:pPr>
    </w:p>
    <w:p w14:paraId="2A73CBB7" w14:textId="75B6C469" w:rsidR="00343E76" w:rsidRDefault="00343E76" w:rsidP="00343E76">
      <w:pPr>
        <w:spacing w:line="360" w:lineRule="auto"/>
        <w:jc w:val="both"/>
        <w:rPr>
          <w:rFonts w:asciiTheme="majorHAnsi" w:hAnsiTheme="majorHAnsi"/>
        </w:rPr>
      </w:pPr>
      <w:r w:rsidRPr="00343E76">
        <w:rPr>
          <w:rFonts w:asciiTheme="majorHAnsi" w:hAnsiTheme="majorHAnsi"/>
        </w:rPr>
        <w:t xml:space="preserve">Firstly </w:t>
      </w:r>
      <w:r w:rsidR="00AB28EF">
        <w:rPr>
          <w:rFonts w:asciiTheme="majorHAnsi" w:hAnsiTheme="majorHAnsi"/>
        </w:rPr>
        <w:t xml:space="preserve">I would like to take this opportunity to say </w:t>
      </w:r>
      <w:r>
        <w:rPr>
          <w:rFonts w:asciiTheme="majorHAnsi" w:hAnsiTheme="majorHAnsi"/>
        </w:rPr>
        <w:t xml:space="preserve">thank you to my supervisors </w:t>
      </w:r>
      <w:r w:rsidR="00AB28EF">
        <w:rPr>
          <w:rFonts w:asciiTheme="majorHAnsi" w:hAnsiTheme="majorHAnsi"/>
        </w:rPr>
        <w:t xml:space="preserve">Dr </w:t>
      </w:r>
      <w:r>
        <w:rPr>
          <w:rFonts w:asciiTheme="majorHAnsi" w:hAnsiTheme="majorHAnsi"/>
        </w:rPr>
        <w:t xml:space="preserve">Angela Cox and </w:t>
      </w:r>
      <w:r w:rsidR="00AB28EF">
        <w:rPr>
          <w:rFonts w:asciiTheme="majorHAnsi" w:hAnsiTheme="majorHAnsi"/>
        </w:rPr>
        <w:t xml:space="preserve">Dr </w:t>
      </w:r>
      <w:r>
        <w:rPr>
          <w:rFonts w:asciiTheme="majorHAnsi" w:hAnsiTheme="majorHAnsi"/>
        </w:rPr>
        <w:t>Spencer Collis, who have helped and supported me throughout</w:t>
      </w:r>
      <w:r w:rsidR="00793399">
        <w:rPr>
          <w:rFonts w:asciiTheme="majorHAnsi" w:hAnsiTheme="majorHAnsi"/>
        </w:rPr>
        <w:t xml:space="preserve"> the project</w:t>
      </w:r>
      <w:r>
        <w:rPr>
          <w:rFonts w:asciiTheme="majorHAnsi" w:hAnsiTheme="majorHAnsi"/>
        </w:rPr>
        <w:t xml:space="preserve">. </w:t>
      </w:r>
      <w:r w:rsidR="00793399">
        <w:rPr>
          <w:rFonts w:asciiTheme="majorHAnsi" w:hAnsiTheme="majorHAnsi"/>
        </w:rPr>
        <w:t xml:space="preserve">I </w:t>
      </w:r>
      <w:r w:rsidR="00AB28EF">
        <w:rPr>
          <w:rFonts w:asciiTheme="majorHAnsi" w:hAnsiTheme="majorHAnsi"/>
        </w:rPr>
        <w:t xml:space="preserve">have learnt a huge variety of skills and </w:t>
      </w:r>
      <w:r w:rsidR="00793399">
        <w:rPr>
          <w:rFonts w:asciiTheme="majorHAnsi" w:hAnsiTheme="majorHAnsi"/>
        </w:rPr>
        <w:t xml:space="preserve">couldn’t have asked for two more encouraging </w:t>
      </w:r>
      <w:r w:rsidR="00AB28EF">
        <w:rPr>
          <w:rFonts w:asciiTheme="majorHAnsi" w:hAnsiTheme="majorHAnsi"/>
        </w:rPr>
        <w:t>supervisors,</w:t>
      </w:r>
      <w:r w:rsidR="00793399">
        <w:rPr>
          <w:rFonts w:asciiTheme="majorHAnsi" w:hAnsiTheme="majorHAnsi"/>
        </w:rPr>
        <w:t xml:space="preserve"> who were always there </w:t>
      </w:r>
      <w:r w:rsidR="00AB28EF">
        <w:rPr>
          <w:rFonts w:asciiTheme="majorHAnsi" w:hAnsiTheme="majorHAnsi"/>
        </w:rPr>
        <w:t xml:space="preserve">when I needed guidance, I will forever be grateful for the opportunities they provided. </w:t>
      </w:r>
      <w:r>
        <w:rPr>
          <w:rFonts w:asciiTheme="majorHAnsi" w:hAnsiTheme="majorHAnsi"/>
        </w:rPr>
        <w:t>Thank you to everyone past and prese</w:t>
      </w:r>
      <w:r w:rsidR="00AB28EF">
        <w:rPr>
          <w:rFonts w:asciiTheme="majorHAnsi" w:hAnsiTheme="majorHAnsi"/>
        </w:rPr>
        <w:t>nt in the Collis and Bryant laboratories</w:t>
      </w:r>
      <w:r>
        <w:rPr>
          <w:rFonts w:asciiTheme="majorHAnsi" w:hAnsiTheme="majorHAnsi"/>
        </w:rPr>
        <w:t xml:space="preserve"> for your help, teaching and friendship, especially Katie, without whom I would still have a million questions</w:t>
      </w:r>
      <w:r w:rsidR="00AB28EF">
        <w:rPr>
          <w:rFonts w:asciiTheme="majorHAnsi" w:hAnsiTheme="majorHAnsi"/>
        </w:rPr>
        <w:t xml:space="preserve"> and many outstanding Taqman PO numbers</w:t>
      </w:r>
      <w:r w:rsidR="00770EBD">
        <w:rPr>
          <w:rFonts w:asciiTheme="majorHAnsi" w:hAnsiTheme="majorHAnsi"/>
        </w:rPr>
        <w:t>,</w:t>
      </w:r>
      <w:r w:rsidR="00385FEA">
        <w:rPr>
          <w:rFonts w:asciiTheme="majorHAnsi" w:hAnsiTheme="majorHAnsi"/>
        </w:rPr>
        <w:t xml:space="preserve"> and </w:t>
      </w:r>
      <w:r>
        <w:rPr>
          <w:rFonts w:asciiTheme="majorHAnsi" w:hAnsiTheme="majorHAnsi"/>
        </w:rPr>
        <w:t>Charlotte, Natasha and Caroline whose friendship and constant cake supply made the last three years fun and fattening!</w:t>
      </w:r>
      <w:r w:rsidR="00AB28EF">
        <w:rPr>
          <w:rFonts w:asciiTheme="majorHAnsi" w:hAnsiTheme="majorHAnsi"/>
        </w:rPr>
        <w:t xml:space="preserve"> The Academic Unit of Molecular Oncology and the wider University of Sheffield Medical School was a fantastic place to conduct my studies</w:t>
      </w:r>
      <w:r w:rsidR="00385FEA">
        <w:rPr>
          <w:rFonts w:asciiTheme="majorHAnsi" w:hAnsiTheme="majorHAnsi"/>
        </w:rPr>
        <w:t xml:space="preserve">, and a big thanks to all the technical staff that made it possible. </w:t>
      </w:r>
    </w:p>
    <w:p w14:paraId="37CF6573" w14:textId="77777777" w:rsidR="00343E76" w:rsidRDefault="00343E76" w:rsidP="00343E76">
      <w:pPr>
        <w:spacing w:line="360" w:lineRule="auto"/>
        <w:jc w:val="both"/>
        <w:rPr>
          <w:rFonts w:asciiTheme="majorHAnsi" w:hAnsiTheme="majorHAnsi"/>
        </w:rPr>
      </w:pPr>
    </w:p>
    <w:p w14:paraId="541CC8B3" w14:textId="5FE0C8A3" w:rsidR="00343E76" w:rsidRDefault="00343E76" w:rsidP="00343E76">
      <w:pPr>
        <w:spacing w:line="360" w:lineRule="auto"/>
        <w:jc w:val="both"/>
        <w:rPr>
          <w:rFonts w:asciiTheme="majorHAnsi" w:hAnsiTheme="majorHAnsi"/>
        </w:rPr>
      </w:pPr>
      <w:r>
        <w:rPr>
          <w:rFonts w:asciiTheme="majorHAnsi" w:hAnsiTheme="majorHAnsi"/>
        </w:rPr>
        <w:t>This whole process has been made possible by the love and s</w:t>
      </w:r>
      <w:r w:rsidR="00385FEA">
        <w:rPr>
          <w:rFonts w:asciiTheme="majorHAnsi" w:hAnsiTheme="majorHAnsi"/>
        </w:rPr>
        <w:t xml:space="preserve">upport of my family and friends. Especially my parents, thank you for the emotional and financial support you have provided, and thank you for always believing in me, without you I wouldn’t have got this far. </w:t>
      </w:r>
    </w:p>
    <w:p w14:paraId="751B6035" w14:textId="77777777" w:rsidR="00343E76" w:rsidRDefault="00343E76" w:rsidP="00343E76">
      <w:pPr>
        <w:spacing w:line="360" w:lineRule="auto"/>
        <w:jc w:val="both"/>
        <w:rPr>
          <w:rFonts w:asciiTheme="majorHAnsi" w:hAnsiTheme="majorHAnsi"/>
        </w:rPr>
      </w:pPr>
    </w:p>
    <w:p w14:paraId="3646BB81" w14:textId="5933D7AD" w:rsidR="00343E76" w:rsidRDefault="00343E76" w:rsidP="00343E76">
      <w:pPr>
        <w:spacing w:line="360" w:lineRule="auto"/>
        <w:jc w:val="both"/>
        <w:rPr>
          <w:rFonts w:asciiTheme="majorHAnsi" w:hAnsiTheme="majorHAnsi"/>
        </w:rPr>
      </w:pPr>
      <w:r>
        <w:rPr>
          <w:rFonts w:asciiTheme="majorHAnsi" w:hAnsiTheme="majorHAnsi"/>
        </w:rPr>
        <w:t xml:space="preserve">And finally I’d like to acknowledge Yorkshire Cancer Research and </w:t>
      </w:r>
      <w:r w:rsidR="00793399">
        <w:rPr>
          <w:rFonts w:asciiTheme="majorHAnsi" w:hAnsiTheme="majorHAnsi"/>
        </w:rPr>
        <w:t>The University of Sheffield for the funding of this PhD, and the opportunities they have provided to present my work.</w:t>
      </w:r>
    </w:p>
    <w:p w14:paraId="4DD0AAC3" w14:textId="77777777" w:rsidR="00793399" w:rsidRDefault="00793399" w:rsidP="00343E76">
      <w:pPr>
        <w:spacing w:line="360" w:lineRule="auto"/>
        <w:jc w:val="both"/>
        <w:rPr>
          <w:rFonts w:asciiTheme="majorHAnsi" w:hAnsiTheme="majorHAnsi"/>
        </w:rPr>
      </w:pPr>
    </w:p>
    <w:p w14:paraId="34E5E3B6" w14:textId="77777777" w:rsidR="00793399" w:rsidRDefault="00793399" w:rsidP="00343E76">
      <w:pPr>
        <w:spacing w:line="360" w:lineRule="auto"/>
        <w:jc w:val="both"/>
        <w:rPr>
          <w:rFonts w:asciiTheme="majorHAnsi" w:hAnsiTheme="majorHAnsi"/>
        </w:rPr>
      </w:pPr>
    </w:p>
    <w:p w14:paraId="347F81B7" w14:textId="7BC6E3E3" w:rsidR="006A4B91" w:rsidRPr="00343E76" w:rsidRDefault="006A4B91" w:rsidP="00343E76">
      <w:pPr>
        <w:spacing w:line="360" w:lineRule="auto"/>
        <w:jc w:val="both"/>
        <w:rPr>
          <w:rFonts w:asciiTheme="majorHAnsi" w:eastAsiaTheme="majorEastAsia" w:hAnsiTheme="majorHAnsi" w:cstheme="majorBidi"/>
          <w:spacing w:val="5"/>
          <w:kern w:val="28"/>
          <w:sz w:val="52"/>
          <w:szCs w:val="52"/>
        </w:rPr>
      </w:pPr>
      <w:r w:rsidRPr="00343E76">
        <w:rPr>
          <w:rFonts w:asciiTheme="majorHAnsi" w:eastAsiaTheme="majorEastAsia" w:hAnsiTheme="majorHAnsi" w:cstheme="majorBidi"/>
          <w:spacing w:val="5"/>
          <w:kern w:val="28"/>
          <w:sz w:val="52"/>
          <w:szCs w:val="52"/>
        </w:rPr>
        <w:br w:type="page"/>
      </w:r>
    </w:p>
    <w:p w14:paraId="15892E69" w14:textId="01870961" w:rsidR="006A4B91" w:rsidRPr="006A4B91" w:rsidRDefault="006A4B91" w:rsidP="006A4B91">
      <w:pPr>
        <w:pStyle w:val="Title"/>
        <w:rPr>
          <w:color w:val="auto"/>
        </w:rPr>
      </w:pPr>
      <w:r w:rsidRPr="006A4B91">
        <w:rPr>
          <w:color w:val="auto"/>
        </w:rPr>
        <w:t>Abstract</w:t>
      </w:r>
    </w:p>
    <w:p w14:paraId="4D7DF473" w14:textId="77777777" w:rsidR="00385FEA" w:rsidRDefault="00385FEA" w:rsidP="00104FB4">
      <w:pPr>
        <w:spacing w:line="360" w:lineRule="auto"/>
        <w:jc w:val="both"/>
        <w:rPr>
          <w:rFonts w:ascii="Calibri" w:eastAsia="ＭＳ Ｐゴシック" w:hAnsi="Calibri" w:cs="Times New Roman"/>
          <w:lang w:val="en-US"/>
        </w:rPr>
      </w:pPr>
    </w:p>
    <w:p w14:paraId="3A7F5B96" w14:textId="41077BF0" w:rsidR="000A6EA8" w:rsidRDefault="00104FB4" w:rsidP="00104FB4">
      <w:pPr>
        <w:spacing w:line="360" w:lineRule="auto"/>
        <w:jc w:val="both"/>
        <w:rPr>
          <w:rFonts w:ascii="Calibri" w:eastAsia="ＭＳ Ｐゴシック" w:hAnsi="Calibri" w:cs="Times New Roman"/>
        </w:rPr>
      </w:pPr>
      <w:r w:rsidRPr="00104FB4">
        <w:rPr>
          <w:rFonts w:ascii="Calibri" w:eastAsia="ＭＳ Ｐゴシック" w:hAnsi="Calibri" w:cs="Times New Roman"/>
          <w:lang w:val="en-US"/>
        </w:rPr>
        <w:t xml:space="preserve">Around 13,000 people die from colorectal cancer (CRC) in England every year. The response rate of combination therapy in patients with advanced disease is around 50%, indicating a need for further </w:t>
      </w:r>
      <w:r w:rsidR="00A00C8E" w:rsidRPr="00104FB4">
        <w:rPr>
          <w:rFonts w:ascii="Calibri" w:eastAsia="ＭＳ Ｐゴシック" w:hAnsi="Calibri" w:cs="Times New Roman"/>
          <w:lang w:val="en-US"/>
        </w:rPr>
        <w:t>therapeutics that are tailored</w:t>
      </w:r>
      <w:r w:rsidRPr="00104FB4">
        <w:rPr>
          <w:rFonts w:ascii="Calibri" w:eastAsia="ＭＳ Ｐゴシック" w:hAnsi="Calibri" w:cs="Times New Roman"/>
          <w:lang w:val="en-US"/>
        </w:rPr>
        <w:t xml:space="preserve"> </w:t>
      </w:r>
      <w:r>
        <w:rPr>
          <w:rFonts w:ascii="Calibri" w:eastAsia="ＭＳ Ｐゴシック" w:hAnsi="Calibri" w:cs="Times New Roman"/>
          <w:lang w:val="en-US"/>
        </w:rPr>
        <w:t xml:space="preserve">to </w:t>
      </w:r>
      <w:r w:rsidR="009D2E01">
        <w:rPr>
          <w:rFonts w:ascii="Calibri" w:eastAsia="ＭＳ Ｐゴシック" w:hAnsi="Calibri" w:cs="Times New Roman"/>
          <w:lang w:val="en-US"/>
        </w:rPr>
        <w:t xml:space="preserve">a </w:t>
      </w:r>
      <w:r>
        <w:rPr>
          <w:rFonts w:ascii="Calibri" w:eastAsia="ＭＳ Ｐゴシック" w:hAnsi="Calibri" w:cs="Times New Roman"/>
          <w:lang w:val="en-US"/>
        </w:rPr>
        <w:t>patient</w:t>
      </w:r>
      <w:r w:rsidR="009D2E01">
        <w:rPr>
          <w:rFonts w:ascii="Calibri" w:eastAsia="ＭＳ Ｐゴシック" w:hAnsi="Calibri" w:cs="Times New Roman"/>
          <w:lang w:val="en-US"/>
        </w:rPr>
        <w:t>’</w:t>
      </w:r>
      <w:r>
        <w:rPr>
          <w:rFonts w:ascii="Calibri" w:eastAsia="ＭＳ Ｐゴシック" w:hAnsi="Calibri" w:cs="Times New Roman"/>
          <w:lang w:val="en-US"/>
        </w:rPr>
        <w:t xml:space="preserve">s genomic background, with epigenetic </w:t>
      </w:r>
      <w:r w:rsidR="00A00C8E">
        <w:rPr>
          <w:rFonts w:ascii="Calibri" w:eastAsia="ＭＳ Ｐゴシック" w:hAnsi="Calibri" w:cs="Times New Roman"/>
          <w:lang w:val="en-US"/>
        </w:rPr>
        <w:t>treatments</w:t>
      </w:r>
      <w:r>
        <w:rPr>
          <w:rFonts w:ascii="Calibri" w:eastAsia="ＭＳ Ｐゴシック" w:hAnsi="Calibri" w:cs="Times New Roman"/>
          <w:lang w:val="en-US"/>
        </w:rPr>
        <w:t xml:space="preserve"> fast becoming an emerging field. </w:t>
      </w:r>
      <w:r w:rsidRPr="00104FB4">
        <w:rPr>
          <w:rFonts w:ascii="Calibri" w:eastAsia="ＭＳ Ｐゴシック" w:hAnsi="Calibri" w:cs="Times New Roman"/>
          <w:lang w:val="en-US"/>
        </w:rPr>
        <w:t>Two in-house scre</w:t>
      </w:r>
      <w:r w:rsidR="007B1C45">
        <w:rPr>
          <w:rFonts w:ascii="Calibri" w:eastAsia="ＭＳ Ｐゴシック" w:hAnsi="Calibri" w:cs="Times New Roman"/>
          <w:lang w:val="en-US"/>
        </w:rPr>
        <w:t>ens combined with bioinformatic analysis</w:t>
      </w:r>
      <w:r w:rsidRPr="00104FB4">
        <w:rPr>
          <w:rFonts w:ascii="Calibri" w:eastAsia="ＭＳ Ｐゴシック" w:hAnsi="Calibri" w:cs="Times New Roman"/>
          <w:lang w:val="en-US"/>
        </w:rPr>
        <w:t xml:space="preserve"> of publically available data identified SNF2-related CREBBP Activator Protein (</w:t>
      </w:r>
      <w:r w:rsidRPr="00F63441">
        <w:rPr>
          <w:rFonts w:ascii="Calibri" w:eastAsia="ＭＳ Ｐゴシック" w:hAnsi="Calibri" w:cs="Times New Roman"/>
          <w:i/>
          <w:lang w:val="en-US"/>
        </w:rPr>
        <w:t>SRCAP</w:t>
      </w:r>
      <w:r w:rsidRPr="00104FB4">
        <w:rPr>
          <w:rFonts w:ascii="Calibri" w:eastAsia="ＭＳ Ｐゴシック" w:hAnsi="Calibri" w:cs="Times New Roman"/>
          <w:lang w:val="en-US"/>
        </w:rPr>
        <w:t xml:space="preserve">) as a potential driver </w:t>
      </w:r>
      <w:r w:rsidR="007A6E6D">
        <w:rPr>
          <w:rFonts w:ascii="Calibri" w:eastAsia="ＭＳ Ｐゴシック" w:hAnsi="Calibri" w:cs="Times New Roman"/>
          <w:lang w:val="en-US"/>
        </w:rPr>
        <w:t xml:space="preserve">gene </w:t>
      </w:r>
      <w:r w:rsidRPr="00104FB4">
        <w:rPr>
          <w:rFonts w:ascii="Calibri" w:eastAsia="ＭＳ Ｐゴシック" w:hAnsi="Calibri" w:cs="Times New Roman"/>
          <w:lang w:val="en-US"/>
        </w:rPr>
        <w:t>of CRC. SRCAP is the core catalytic component of a multi-subunit chromatin-remodeling factor, responsible for the replacement of the H2A histone with its variant H2A</w:t>
      </w:r>
      <w:r w:rsidR="000A6EA8">
        <w:rPr>
          <w:rFonts w:ascii="Calibri" w:eastAsia="ＭＳ Ｐゴシック" w:hAnsi="Calibri" w:cs="Times New Roman"/>
          <w:lang w:val="en-US"/>
        </w:rPr>
        <w:t>.</w:t>
      </w:r>
      <w:r w:rsidRPr="00104FB4">
        <w:rPr>
          <w:rFonts w:ascii="Calibri" w:eastAsia="ＭＳ Ｐゴシック" w:hAnsi="Calibri" w:cs="Times New Roman"/>
          <w:lang w:val="en-US"/>
        </w:rPr>
        <w:t xml:space="preserve">Z within the nucleosome, in order to promote open chromatin and </w:t>
      </w:r>
      <w:r w:rsidR="009D2E01">
        <w:rPr>
          <w:rFonts w:ascii="Calibri" w:eastAsia="ＭＳ Ｐゴシック" w:hAnsi="Calibri" w:cs="Times New Roman"/>
          <w:lang w:val="en-US"/>
        </w:rPr>
        <w:t>subsequent</w:t>
      </w:r>
      <w:r w:rsidRPr="00104FB4">
        <w:rPr>
          <w:rFonts w:ascii="Calibri" w:eastAsia="ＭＳ Ｐゴシック" w:hAnsi="Calibri" w:cs="Times New Roman"/>
          <w:lang w:val="en-US"/>
        </w:rPr>
        <w:t xml:space="preserve"> transcription initiation. </w:t>
      </w:r>
      <w:r w:rsidRPr="00104FB4">
        <w:rPr>
          <w:rFonts w:ascii="Calibri" w:eastAsia="ＭＳ Ｐゴシック" w:hAnsi="Calibri" w:cs="Times New Roman"/>
        </w:rPr>
        <w:t>We therefore hypothesise</w:t>
      </w:r>
      <w:r>
        <w:rPr>
          <w:rFonts w:ascii="Calibri" w:eastAsia="ＭＳ Ｐゴシック" w:hAnsi="Calibri" w:cs="Times New Roman"/>
        </w:rPr>
        <w:t xml:space="preserve">d </w:t>
      </w:r>
      <w:r w:rsidRPr="00104FB4">
        <w:rPr>
          <w:rFonts w:ascii="Calibri" w:eastAsia="ＭＳ Ｐゴシック" w:hAnsi="Calibri" w:cs="Times New Roman"/>
        </w:rPr>
        <w:t>that SRCAP is a driver gene of CRC and could provide a novel druggable target.</w:t>
      </w:r>
      <w:r w:rsidR="00F63441">
        <w:rPr>
          <w:rFonts w:ascii="Calibri" w:eastAsia="ＭＳ Ｐゴシック" w:hAnsi="Calibri" w:cs="Times New Roman"/>
        </w:rPr>
        <w:t xml:space="preserve"> </w:t>
      </w:r>
      <w:r w:rsidR="009D2E01">
        <w:rPr>
          <w:rFonts w:ascii="Calibri" w:eastAsia="ＭＳ Ｐゴシック" w:hAnsi="Calibri" w:cs="Times New Roman"/>
        </w:rPr>
        <w:t>To address this hypothesis, SRCAP levels were either reduced or increased within CRC cells, and several consequential phenotypic hallmarks of cancer determined.</w:t>
      </w:r>
    </w:p>
    <w:p w14:paraId="0B8C6879" w14:textId="77777777" w:rsidR="000A6EA8" w:rsidRDefault="000A6EA8" w:rsidP="00104FB4">
      <w:pPr>
        <w:spacing w:line="360" w:lineRule="auto"/>
        <w:jc w:val="both"/>
        <w:rPr>
          <w:rFonts w:ascii="Calibri" w:eastAsia="ＭＳ Ｐゴシック" w:hAnsi="Calibri" w:cs="Times New Roman"/>
        </w:rPr>
      </w:pPr>
    </w:p>
    <w:p w14:paraId="5408CE51" w14:textId="679FA996" w:rsidR="00104FB4" w:rsidRPr="000A6EA8" w:rsidRDefault="009D2E01" w:rsidP="00104FB4">
      <w:pPr>
        <w:spacing w:line="360" w:lineRule="auto"/>
        <w:jc w:val="both"/>
        <w:rPr>
          <w:rFonts w:ascii="Calibri" w:eastAsia="ＭＳ Ｐゴシック" w:hAnsi="Calibri" w:cs="Times New Roman"/>
        </w:rPr>
      </w:pPr>
      <w:r>
        <w:rPr>
          <w:rFonts w:ascii="Calibri" w:eastAsia="ＭＳ Ｐゴシック" w:hAnsi="Calibri" w:cs="Times New Roman"/>
        </w:rPr>
        <w:t>O</w:t>
      </w:r>
      <w:r w:rsidR="00327AA2">
        <w:rPr>
          <w:rFonts w:ascii="Calibri" w:eastAsia="ＭＳ Ｐゴシック" w:hAnsi="Calibri" w:cs="Times New Roman"/>
        </w:rPr>
        <w:t>ver-</w:t>
      </w:r>
      <w:r w:rsidR="000A6EA8">
        <w:rPr>
          <w:rFonts w:ascii="Calibri" w:eastAsia="ＭＳ Ｐゴシック" w:hAnsi="Calibri" w:cs="Times New Roman"/>
        </w:rPr>
        <w:t xml:space="preserve">expression of </w:t>
      </w:r>
      <w:r w:rsidR="000A6EA8" w:rsidRPr="009700DC">
        <w:rPr>
          <w:rFonts w:ascii="Calibri" w:eastAsia="ＭＳ Ｐゴシック" w:hAnsi="Calibri" w:cs="Times New Roman"/>
          <w:i/>
        </w:rPr>
        <w:t>SRCAP</w:t>
      </w:r>
      <w:r w:rsidR="000A6EA8">
        <w:rPr>
          <w:rFonts w:ascii="Calibri" w:eastAsia="ＭＳ Ｐゴシック" w:hAnsi="Calibri" w:cs="Times New Roman"/>
        </w:rPr>
        <w:t xml:space="preserve"> </w:t>
      </w:r>
      <w:r w:rsidR="001F5852">
        <w:rPr>
          <w:rFonts w:ascii="Calibri" w:eastAsia="ＭＳ Ｐゴシック" w:hAnsi="Calibri" w:cs="Times New Roman"/>
        </w:rPr>
        <w:t xml:space="preserve">in cell lines </w:t>
      </w:r>
      <w:r w:rsidR="000A6EA8">
        <w:rPr>
          <w:rFonts w:ascii="Calibri" w:eastAsia="ＭＳ Ｐゴシック" w:hAnsi="Calibri" w:cs="Times New Roman"/>
        </w:rPr>
        <w:t>using cDNA proved challenging to accomplish</w:t>
      </w:r>
      <w:r w:rsidR="001F5852">
        <w:rPr>
          <w:rFonts w:ascii="Calibri" w:eastAsia="ＭＳ Ｐゴシック" w:hAnsi="Calibri" w:cs="Times New Roman"/>
        </w:rPr>
        <w:t>,</w:t>
      </w:r>
      <w:r w:rsidR="000A6EA8">
        <w:rPr>
          <w:rFonts w:ascii="Calibri" w:eastAsia="ＭＳ Ｐゴシック" w:hAnsi="Calibri" w:cs="Times New Roman"/>
        </w:rPr>
        <w:t xml:space="preserve"> due to transfection efficiencies, the size of the construct and a</w:t>
      </w:r>
      <w:r>
        <w:rPr>
          <w:rFonts w:ascii="Calibri" w:eastAsia="ＭＳ Ｐゴシック" w:hAnsi="Calibri" w:cs="Times New Roman"/>
        </w:rPr>
        <w:t xml:space="preserve"> lack of validated antibodies. However, u</w:t>
      </w:r>
      <w:r w:rsidR="000A6EA8">
        <w:rPr>
          <w:rFonts w:ascii="Calibri" w:eastAsia="ＭＳ Ｐゴシック" w:hAnsi="Calibri" w:cs="Times New Roman"/>
        </w:rPr>
        <w:t>sing a CRISP</w:t>
      </w:r>
      <w:r w:rsidR="00327AA2">
        <w:rPr>
          <w:rFonts w:ascii="Calibri" w:eastAsia="ＭＳ Ｐゴシック" w:hAnsi="Calibri" w:cs="Times New Roman"/>
        </w:rPr>
        <w:t>R/dCas9 activation system, over-</w:t>
      </w:r>
      <w:r w:rsidR="000A6EA8">
        <w:rPr>
          <w:rFonts w:ascii="Calibri" w:eastAsia="ＭＳ Ｐゴシック" w:hAnsi="Calibri" w:cs="Times New Roman"/>
        </w:rPr>
        <w:t xml:space="preserve">expression of </w:t>
      </w:r>
      <w:r w:rsidR="007A6E6D">
        <w:rPr>
          <w:rFonts w:ascii="Calibri" w:eastAsia="ＭＳ Ｐゴシック" w:hAnsi="Calibri" w:cs="Times New Roman"/>
        </w:rPr>
        <w:t xml:space="preserve">endogenous </w:t>
      </w:r>
      <w:r w:rsidR="000A6EA8" w:rsidRPr="009700DC">
        <w:rPr>
          <w:rFonts w:ascii="Calibri" w:eastAsia="ＭＳ Ｐゴシック" w:hAnsi="Calibri" w:cs="Times New Roman"/>
          <w:i/>
        </w:rPr>
        <w:t>SRCAP</w:t>
      </w:r>
      <w:r w:rsidR="000A6EA8">
        <w:rPr>
          <w:rFonts w:ascii="Calibri" w:eastAsia="ＭＳ Ｐゴシック" w:hAnsi="Calibri" w:cs="Times New Roman"/>
        </w:rPr>
        <w:t xml:space="preserve"> could be established</w:t>
      </w:r>
      <w:r>
        <w:rPr>
          <w:rFonts w:ascii="Calibri" w:eastAsia="ＭＳ Ｐゴシック" w:hAnsi="Calibri" w:cs="Times New Roman"/>
        </w:rPr>
        <w:t>,</w:t>
      </w:r>
      <w:r w:rsidR="000A6EA8">
        <w:rPr>
          <w:rFonts w:ascii="Calibri" w:eastAsia="ＭＳ Ｐゴシック" w:hAnsi="Calibri" w:cs="Times New Roman"/>
        </w:rPr>
        <w:t xml:space="preserve"> </w:t>
      </w:r>
      <w:r>
        <w:rPr>
          <w:rFonts w:ascii="Calibri" w:eastAsia="ＭＳ Ｐゴシック" w:hAnsi="Calibri" w:cs="Times New Roman"/>
        </w:rPr>
        <w:t xml:space="preserve">which was associated with </w:t>
      </w:r>
      <w:r w:rsidR="000A6EA8">
        <w:rPr>
          <w:rFonts w:ascii="Calibri" w:eastAsia="ＭＳ Ｐゴシック" w:hAnsi="Calibri" w:cs="Times New Roman"/>
        </w:rPr>
        <w:t>i</w:t>
      </w:r>
      <w:r w:rsidR="007B1C45">
        <w:rPr>
          <w:rFonts w:ascii="Calibri" w:eastAsia="ＭＳ Ｐゴシック" w:hAnsi="Calibri" w:cs="Times New Roman"/>
        </w:rPr>
        <w:t>ncreased levels of DNA damage. H</w:t>
      </w:r>
      <w:r w:rsidR="000A6EA8">
        <w:rPr>
          <w:rFonts w:ascii="Calibri" w:eastAsia="ＭＳ Ｐゴシック" w:hAnsi="Calibri" w:cs="Times New Roman"/>
        </w:rPr>
        <w:t>owever</w:t>
      </w:r>
      <w:r w:rsidR="007B1C45">
        <w:rPr>
          <w:rFonts w:ascii="Calibri" w:eastAsia="ＭＳ Ｐゴシック" w:hAnsi="Calibri" w:cs="Times New Roman"/>
        </w:rPr>
        <w:t>,</w:t>
      </w:r>
      <w:r w:rsidR="000A6EA8">
        <w:rPr>
          <w:rFonts w:ascii="Calibri" w:eastAsia="ＭＳ Ｐゴシック" w:hAnsi="Calibri" w:cs="Times New Roman"/>
        </w:rPr>
        <w:t xml:space="preserve"> due to unstable expression throughout the experimental process, </w:t>
      </w:r>
      <w:r w:rsidR="007B1C45">
        <w:rPr>
          <w:rFonts w:ascii="Calibri" w:eastAsia="ＭＳ Ｐゴシック" w:hAnsi="Calibri" w:cs="Times New Roman"/>
        </w:rPr>
        <w:t xml:space="preserve">the results were not reproducible and we were not able to draw </w:t>
      </w:r>
      <w:r w:rsidR="000A6EA8">
        <w:rPr>
          <w:rFonts w:ascii="Calibri" w:eastAsia="ＭＳ Ｐゴシック" w:hAnsi="Calibri" w:cs="Times New Roman"/>
        </w:rPr>
        <w:t>confident conclusions.</w:t>
      </w:r>
      <w:r>
        <w:rPr>
          <w:rFonts w:ascii="Calibri" w:eastAsia="ＭＳ Ｐゴシック" w:hAnsi="Calibri" w:cs="Times New Roman"/>
        </w:rPr>
        <w:t xml:space="preserve"> K</w:t>
      </w:r>
      <w:r w:rsidR="00A40F61">
        <w:rPr>
          <w:rFonts w:ascii="Calibri" w:eastAsia="ＭＳ Ｐゴシック" w:hAnsi="Calibri" w:cs="Times New Roman"/>
        </w:rPr>
        <w:t>nock</w:t>
      </w:r>
      <w:r w:rsidR="00104FB4">
        <w:rPr>
          <w:rFonts w:ascii="Calibri" w:eastAsia="ＭＳ Ｐゴシック" w:hAnsi="Calibri" w:cs="Times New Roman"/>
        </w:rPr>
        <w:t xml:space="preserve">down of </w:t>
      </w:r>
      <w:r w:rsidR="00104FB4" w:rsidRPr="00F63441">
        <w:rPr>
          <w:rFonts w:ascii="Calibri" w:eastAsia="ＭＳ Ｐゴシック" w:hAnsi="Calibri" w:cs="Times New Roman"/>
          <w:i/>
        </w:rPr>
        <w:t>SRCAP</w:t>
      </w:r>
      <w:r w:rsidR="00104FB4">
        <w:rPr>
          <w:rFonts w:ascii="Calibri" w:eastAsia="ＭＳ Ｐゴシック" w:hAnsi="Calibri" w:cs="Times New Roman"/>
        </w:rPr>
        <w:t xml:space="preserve"> </w:t>
      </w:r>
      <w:r w:rsidR="007B1C45">
        <w:rPr>
          <w:rFonts w:ascii="Calibri" w:eastAsia="ＭＳ Ｐゴシック" w:hAnsi="Calibri" w:cs="Times New Roman"/>
        </w:rPr>
        <w:t xml:space="preserve">was successful </w:t>
      </w:r>
      <w:r w:rsidR="00A00C8E">
        <w:rPr>
          <w:rFonts w:ascii="Calibri" w:eastAsia="ＭＳ Ｐゴシック" w:hAnsi="Calibri" w:cs="Times New Roman"/>
        </w:rPr>
        <w:t>in two CRC cell lines</w:t>
      </w:r>
      <w:r w:rsidR="007B1C45">
        <w:rPr>
          <w:rFonts w:ascii="Calibri" w:eastAsia="ＭＳ Ｐゴシック" w:hAnsi="Calibri" w:cs="Times New Roman"/>
        </w:rPr>
        <w:t>, and</w:t>
      </w:r>
      <w:r w:rsidR="00A00C8E">
        <w:rPr>
          <w:rFonts w:ascii="Calibri" w:eastAsia="ＭＳ Ｐゴシック" w:hAnsi="Calibri" w:cs="Times New Roman"/>
        </w:rPr>
        <w:t xml:space="preserve"> </w:t>
      </w:r>
      <w:r w:rsidR="00104FB4">
        <w:rPr>
          <w:rFonts w:ascii="Calibri" w:eastAsia="ＭＳ Ｐゴシック" w:hAnsi="Calibri" w:cs="Times New Roman"/>
        </w:rPr>
        <w:t>caused an increa</w:t>
      </w:r>
      <w:r w:rsidR="00A00C8E">
        <w:rPr>
          <w:rFonts w:ascii="Calibri" w:eastAsia="ＭＳ Ｐゴシック" w:hAnsi="Calibri" w:cs="Times New Roman"/>
        </w:rPr>
        <w:t xml:space="preserve">se in genomic instability, alterations to cellular cycling </w:t>
      </w:r>
      <w:r w:rsidR="007B1C45">
        <w:rPr>
          <w:rFonts w:ascii="Calibri" w:eastAsia="ＭＳ Ｐゴシック" w:hAnsi="Calibri" w:cs="Times New Roman"/>
        </w:rPr>
        <w:t>and</w:t>
      </w:r>
      <w:r w:rsidR="00A00C8E">
        <w:rPr>
          <w:rFonts w:ascii="Calibri" w:eastAsia="ＭＳ Ｐゴシック" w:hAnsi="Calibri" w:cs="Times New Roman"/>
        </w:rPr>
        <w:t xml:space="preserve"> decrease</w:t>
      </w:r>
      <w:r w:rsidR="007B1C45">
        <w:rPr>
          <w:rFonts w:ascii="Calibri" w:eastAsia="ＭＳ Ｐゴシック" w:hAnsi="Calibri" w:cs="Times New Roman"/>
        </w:rPr>
        <w:t>d</w:t>
      </w:r>
      <w:r w:rsidR="00A00C8E">
        <w:rPr>
          <w:rFonts w:ascii="Calibri" w:eastAsia="ＭＳ Ｐゴシック" w:hAnsi="Calibri" w:cs="Times New Roman"/>
        </w:rPr>
        <w:t xml:space="preserve"> growth over time</w:t>
      </w:r>
      <w:r>
        <w:rPr>
          <w:rFonts w:ascii="Calibri" w:eastAsia="ＭＳ Ｐゴシック" w:hAnsi="Calibri" w:cs="Times New Roman"/>
        </w:rPr>
        <w:t xml:space="preserve">, and an increased sensitivity to clinically used chemotherapeutics in a TP53-dependent manner. </w:t>
      </w:r>
      <w:r w:rsidRPr="00F63441">
        <w:rPr>
          <w:rFonts w:ascii="Calibri" w:eastAsia="ＭＳ Ｐゴシック" w:hAnsi="Calibri" w:cs="Times New Roman"/>
          <w:i/>
        </w:rPr>
        <w:t>SRCAP</w:t>
      </w:r>
      <w:r>
        <w:rPr>
          <w:rFonts w:ascii="Calibri" w:eastAsia="ＭＳ Ｐゴシック" w:hAnsi="Calibri" w:cs="Times New Roman"/>
        </w:rPr>
        <w:t xml:space="preserve"> depletion in an oncogene activated cell background again showed increased DNA damage and cell cycle profile changes but with differing outcomes </w:t>
      </w:r>
      <w:r w:rsidR="007B1C45">
        <w:rPr>
          <w:rFonts w:ascii="Calibri" w:eastAsia="ＭＳ Ｐゴシック" w:hAnsi="Calibri" w:cs="Times New Roman"/>
        </w:rPr>
        <w:t>in</w:t>
      </w:r>
      <w:r>
        <w:rPr>
          <w:rFonts w:ascii="Calibri" w:eastAsia="ＭＳ Ｐゴシック" w:hAnsi="Calibri" w:cs="Times New Roman"/>
        </w:rPr>
        <w:t xml:space="preserve"> different cell lines. Preliminary evidence suggests </w:t>
      </w:r>
      <w:r w:rsidR="00F63441">
        <w:rPr>
          <w:rFonts w:ascii="Calibri" w:eastAsia="ＭＳ Ｐゴシック" w:hAnsi="Calibri" w:cs="Times New Roman"/>
        </w:rPr>
        <w:t xml:space="preserve">that </w:t>
      </w:r>
      <w:r w:rsidR="00F63441" w:rsidRPr="00F63441">
        <w:rPr>
          <w:rFonts w:ascii="Calibri" w:eastAsia="ＭＳ Ｐゴシック" w:hAnsi="Calibri" w:cs="Times New Roman"/>
          <w:i/>
        </w:rPr>
        <w:t>SRCAP</w:t>
      </w:r>
      <w:r w:rsidR="00F63441">
        <w:rPr>
          <w:rFonts w:ascii="Calibri" w:eastAsia="ＭＳ Ｐゴシック" w:hAnsi="Calibri" w:cs="Times New Roman"/>
        </w:rPr>
        <w:t xml:space="preserve"> depletion alone was the </w:t>
      </w:r>
      <w:r>
        <w:rPr>
          <w:rFonts w:ascii="Calibri" w:eastAsia="ＭＳ Ｐゴシック" w:hAnsi="Calibri" w:cs="Times New Roman"/>
        </w:rPr>
        <w:t xml:space="preserve">main </w:t>
      </w:r>
      <w:r w:rsidR="00F63441">
        <w:rPr>
          <w:rFonts w:ascii="Calibri" w:eastAsia="ＭＳ Ｐゴシック" w:hAnsi="Calibri" w:cs="Times New Roman"/>
        </w:rPr>
        <w:t xml:space="preserve">driving force behind </w:t>
      </w:r>
      <w:r>
        <w:rPr>
          <w:rFonts w:ascii="Calibri" w:eastAsia="ＭＳ Ｐゴシック" w:hAnsi="Calibri" w:cs="Times New Roman"/>
        </w:rPr>
        <w:t xml:space="preserve">these phenotypes. Finally genes </w:t>
      </w:r>
      <w:r w:rsidR="000A6EA8">
        <w:rPr>
          <w:rFonts w:ascii="Calibri" w:eastAsia="ＭＳ Ｐゴシック" w:hAnsi="Calibri" w:cs="Times New Roman"/>
        </w:rPr>
        <w:t xml:space="preserve">associated with the progression of </w:t>
      </w:r>
      <w:r>
        <w:rPr>
          <w:rFonts w:ascii="Calibri" w:eastAsia="ＭＳ Ｐゴシック" w:hAnsi="Calibri" w:cs="Times New Roman"/>
        </w:rPr>
        <w:t>cancer were also identified in whole-genome</w:t>
      </w:r>
      <w:r w:rsidR="000A6EA8">
        <w:rPr>
          <w:rFonts w:ascii="Calibri" w:eastAsia="ＭＳ Ｐゴシック" w:hAnsi="Calibri" w:cs="Times New Roman"/>
        </w:rPr>
        <w:t xml:space="preserve"> RNA microarray </w:t>
      </w:r>
      <w:r>
        <w:rPr>
          <w:rFonts w:ascii="Calibri" w:eastAsia="ＭＳ Ｐゴシック" w:hAnsi="Calibri" w:cs="Times New Roman"/>
        </w:rPr>
        <w:t xml:space="preserve">analyses of </w:t>
      </w:r>
      <w:r w:rsidR="000A6EA8" w:rsidRPr="000A6EA8">
        <w:rPr>
          <w:rFonts w:ascii="Calibri" w:eastAsia="ＭＳ Ｐゴシック" w:hAnsi="Calibri" w:cs="Times New Roman"/>
          <w:i/>
        </w:rPr>
        <w:t>SRCAP</w:t>
      </w:r>
      <w:r w:rsidR="000A6EA8">
        <w:rPr>
          <w:rFonts w:ascii="Calibri" w:eastAsia="ＭＳ Ｐゴシック" w:hAnsi="Calibri" w:cs="Times New Roman"/>
          <w:i/>
        </w:rPr>
        <w:t xml:space="preserve"> </w:t>
      </w:r>
      <w:r w:rsidR="00A40F61">
        <w:rPr>
          <w:rFonts w:ascii="Calibri" w:eastAsia="ＭＳ Ｐゴシック" w:hAnsi="Calibri" w:cs="Times New Roman"/>
        </w:rPr>
        <w:t>knock</w:t>
      </w:r>
      <w:r w:rsidR="00EF6B9C">
        <w:rPr>
          <w:rFonts w:ascii="Calibri" w:eastAsia="ＭＳ Ｐゴシック" w:hAnsi="Calibri" w:cs="Times New Roman"/>
        </w:rPr>
        <w:t xml:space="preserve">down </w:t>
      </w:r>
      <w:r>
        <w:rPr>
          <w:rFonts w:ascii="Calibri" w:eastAsia="ＭＳ Ｐゴシック" w:hAnsi="Calibri" w:cs="Times New Roman"/>
        </w:rPr>
        <w:t xml:space="preserve">and knock up </w:t>
      </w:r>
      <w:r w:rsidR="000A6EA8">
        <w:rPr>
          <w:rFonts w:ascii="Calibri" w:eastAsia="ＭＳ Ｐゴシック" w:hAnsi="Calibri" w:cs="Times New Roman"/>
        </w:rPr>
        <w:t xml:space="preserve">samples. </w:t>
      </w:r>
    </w:p>
    <w:p w14:paraId="2E6BAA99" w14:textId="01C9E16E" w:rsidR="00E844C1" w:rsidRPr="00E83E56" w:rsidRDefault="00E844C1" w:rsidP="00E83E56">
      <w:pPr>
        <w:rPr>
          <w:rFonts w:ascii="Calibri" w:eastAsia="ＭＳ Ｐゴシック" w:hAnsi="Calibri" w:cs="Times New Roman"/>
          <w:sz w:val="44"/>
          <w:szCs w:val="44"/>
        </w:rPr>
        <w:sectPr w:rsidR="00E844C1" w:rsidRPr="00E83E56" w:rsidSect="006A4B91">
          <w:headerReference w:type="even" r:id="rId10"/>
          <w:headerReference w:type="default" r:id="rId11"/>
          <w:footerReference w:type="even" r:id="rId12"/>
          <w:footerReference w:type="default" r:id="rId13"/>
          <w:pgSz w:w="11900" w:h="16840"/>
          <w:pgMar w:top="1440" w:right="1134" w:bottom="1276" w:left="2268" w:header="709" w:footer="709" w:gutter="0"/>
          <w:cols w:space="708"/>
          <w:titlePg/>
          <w:docGrid w:linePitch="360"/>
        </w:sectPr>
      </w:pPr>
    </w:p>
    <w:p w14:paraId="76481D9C" w14:textId="47A4E9E0" w:rsidR="00E844C1" w:rsidRDefault="00E844C1" w:rsidP="008E7B3A">
      <w:pPr>
        <w:pBdr>
          <w:bottom w:val="single" w:sz="8" w:space="4" w:color="4F81BD"/>
        </w:pBdr>
        <w:spacing w:after="300"/>
        <w:contextualSpacing/>
        <w:rPr>
          <w:rFonts w:ascii="Calibri" w:eastAsia="ＭＳ Ｐゴシック" w:hAnsi="Calibri" w:cs="Times New Roman"/>
          <w:spacing w:val="5"/>
          <w:kern w:val="28"/>
          <w:sz w:val="52"/>
          <w:szCs w:val="44"/>
        </w:rPr>
      </w:pPr>
      <w:r w:rsidRPr="00E844C1">
        <w:rPr>
          <w:rFonts w:ascii="Calibri" w:eastAsia="ＭＳ Ｐゴシック" w:hAnsi="Calibri" w:cs="Times New Roman"/>
          <w:spacing w:val="5"/>
          <w:kern w:val="28"/>
          <w:sz w:val="52"/>
          <w:szCs w:val="44"/>
        </w:rPr>
        <w:t>Abbreviations</w:t>
      </w:r>
    </w:p>
    <w:tbl>
      <w:tblPr>
        <w:tblW w:w="8880" w:type="dxa"/>
        <w:tblInd w:w="93" w:type="dxa"/>
        <w:tblLook w:val="04A0" w:firstRow="1" w:lastRow="0" w:firstColumn="1" w:lastColumn="0" w:noHBand="0" w:noVBand="1"/>
      </w:tblPr>
      <w:tblGrid>
        <w:gridCol w:w="1503"/>
        <w:gridCol w:w="7440"/>
      </w:tblGrid>
      <w:tr w:rsidR="00E844C1" w:rsidRPr="00E844C1" w14:paraId="30D39CFB" w14:textId="77777777" w:rsidTr="00E844C1">
        <w:trPr>
          <w:trHeight w:val="300"/>
        </w:trPr>
        <w:tc>
          <w:tcPr>
            <w:tcW w:w="1440" w:type="dxa"/>
            <w:tcBorders>
              <w:top w:val="nil"/>
              <w:left w:val="nil"/>
              <w:bottom w:val="nil"/>
              <w:right w:val="nil"/>
            </w:tcBorders>
            <w:shd w:val="clear" w:color="auto" w:fill="auto"/>
            <w:noWrap/>
            <w:vAlign w:val="bottom"/>
            <w:hideMark/>
          </w:tcPr>
          <w:p w14:paraId="1CAD0820" w14:textId="77777777" w:rsidR="00E844C1" w:rsidRDefault="00E844C1" w:rsidP="00E844C1">
            <w:pPr>
              <w:rPr>
                <w:rFonts w:ascii="Calibri" w:eastAsia="Times New Roman" w:hAnsi="Calibri" w:cs="Times New Roman"/>
                <w:color w:val="000000"/>
              </w:rPr>
            </w:pPr>
          </w:p>
          <w:p w14:paraId="351D6D9F" w14:textId="77777777" w:rsidR="00E844C1" w:rsidRDefault="00E844C1" w:rsidP="00E844C1">
            <w:pPr>
              <w:rPr>
                <w:rFonts w:ascii="Calibri" w:eastAsia="Times New Roman" w:hAnsi="Calibri" w:cs="Times New Roman"/>
                <w:color w:val="000000"/>
              </w:rPr>
            </w:pPr>
          </w:p>
          <w:p w14:paraId="3988D77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5-FU</w:t>
            </w:r>
          </w:p>
        </w:tc>
        <w:tc>
          <w:tcPr>
            <w:tcW w:w="7440" w:type="dxa"/>
            <w:tcBorders>
              <w:top w:val="nil"/>
              <w:left w:val="nil"/>
              <w:bottom w:val="nil"/>
              <w:right w:val="nil"/>
            </w:tcBorders>
            <w:shd w:val="clear" w:color="auto" w:fill="auto"/>
            <w:noWrap/>
            <w:vAlign w:val="bottom"/>
            <w:hideMark/>
          </w:tcPr>
          <w:p w14:paraId="51BF3EA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5-Flurouracil</w:t>
            </w:r>
          </w:p>
        </w:tc>
      </w:tr>
      <w:tr w:rsidR="00E844C1" w:rsidRPr="00E844C1" w14:paraId="65418F8C" w14:textId="77777777" w:rsidTr="00E844C1">
        <w:trPr>
          <w:trHeight w:val="300"/>
        </w:trPr>
        <w:tc>
          <w:tcPr>
            <w:tcW w:w="1440" w:type="dxa"/>
            <w:tcBorders>
              <w:top w:val="nil"/>
              <w:left w:val="nil"/>
              <w:bottom w:val="nil"/>
              <w:right w:val="nil"/>
            </w:tcBorders>
            <w:shd w:val="clear" w:color="auto" w:fill="auto"/>
            <w:noWrap/>
            <w:vAlign w:val="bottom"/>
            <w:hideMark/>
          </w:tcPr>
          <w:p w14:paraId="413A1CE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Ab</w:t>
            </w:r>
          </w:p>
        </w:tc>
        <w:tc>
          <w:tcPr>
            <w:tcW w:w="7440" w:type="dxa"/>
            <w:tcBorders>
              <w:top w:val="nil"/>
              <w:left w:val="nil"/>
              <w:bottom w:val="nil"/>
              <w:right w:val="nil"/>
            </w:tcBorders>
            <w:shd w:val="clear" w:color="auto" w:fill="auto"/>
            <w:noWrap/>
            <w:vAlign w:val="bottom"/>
            <w:hideMark/>
          </w:tcPr>
          <w:p w14:paraId="6D72B97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Antibody</w:t>
            </w:r>
          </w:p>
        </w:tc>
      </w:tr>
      <w:tr w:rsidR="00E844C1" w:rsidRPr="00E844C1" w14:paraId="037FC520" w14:textId="77777777" w:rsidTr="00E844C1">
        <w:trPr>
          <w:trHeight w:val="300"/>
        </w:trPr>
        <w:tc>
          <w:tcPr>
            <w:tcW w:w="1440" w:type="dxa"/>
            <w:tcBorders>
              <w:top w:val="nil"/>
              <w:left w:val="nil"/>
              <w:bottom w:val="nil"/>
              <w:right w:val="nil"/>
            </w:tcBorders>
            <w:shd w:val="clear" w:color="auto" w:fill="auto"/>
            <w:noWrap/>
            <w:vAlign w:val="bottom"/>
            <w:hideMark/>
          </w:tcPr>
          <w:p w14:paraId="1F2CEA2B" w14:textId="77777777" w:rsidR="00E844C1" w:rsidRPr="00E844C1" w:rsidRDefault="00E844C1" w:rsidP="00E844C1">
            <w:pPr>
              <w:rPr>
                <w:rFonts w:ascii="Calibri" w:eastAsia="Times New Roman" w:hAnsi="Calibri" w:cs="Times New Roman"/>
                <w:color w:val="000000"/>
              </w:rPr>
            </w:pPr>
            <w:proofErr w:type="spellStart"/>
            <w:proofErr w:type="gramStart"/>
            <w:r w:rsidRPr="00E844C1">
              <w:rPr>
                <w:rFonts w:ascii="Calibri" w:eastAsia="Times New Roman" w:hAnsi="Calibri" w:cs="Times New Roman"/>
                <w:color w:val="000000"/>
              </w:rPr>
              <w:t>aCGH</w:t>
            </w:r>
            <w:proofErr w:type="spellEnd"/>
            <w:proofErr w:type="gramEnd"/>
          </w:p>
        </w:tc>
        <w:tc>
          <w:tcPr>
            <w:tcW w:w="7440" w:type="dxa"/>
            <w:tcBorders>
              <w:top w:val="nil"/>
              <w:left w:val="nil"/>
              <w:bottom w:val="nil"/>
              <w:right w:val="nil"/>
            </w:tcBorders>
            <w:shd w:val="clear" w:color="auto" w:fill="auto"/>
            <w:noWrap/>
            <w:vAlign w:val="bottom"/>
            <w:hideMark/>
          </w:tcPr>
          <w:p w14:paraId="19203436" w14:textId="2FBC2845" w:rsidR="00E844C1" w:rsidRPr="00E844C1" w:rsidRDefault="007A6E6D" w:rsidP="00E844C1">
            <w:pPr>
              <w:rPr>
                <w:rFonts w:ascii="Calibri" w:eastAsia="Times New Roman" w:hAnsi="Calibri" w:cs="Times New Roman"/>
                <w:color w:val="000000"/>
              </w:rPr>
            </w:pPr>
            <w:r>
              <w:rPr>
                <w:rFonts w:ascii="Calibri" w:eastAsia="Times New Roman" w:hAnsi="Calibri" w:cs="Times New Roman"/>
                <w:color w:val="000000"/>
              </w:rPr>
              <w:t>A</w:t>
            </w:r>
            <w:r w:rsidR="00E844C1" w:rsidRPr="00E844C1">
              <w:rPr>
                <w:rFonts w:ascii="Calibri" w:eastAsia="Times New Roman" w:hAnsi="Calibri" w:cs="Times New Roman"/>
                <w:color w:val="000000"/>
              </w:rPr>
              <w:t>rray base comparative genome hybridisation</w:t>
            </w:r>
          </w:p>
        </w:tc>
      </w:tr>
      <w:tr w:rsidR="00E844C1" w:rsidRPr="00E844C1" w14:paraId="62E282AE" w14:textId="77777777" w:rsidTr="00E844C1">
        <w:trPr>
          <w:trHeight w:val="300"/>
        </w:trPr>
        <w:tc>
          <w:tcPr>
            <w:tcW w:w="1440" w:type="dxa"/>
            <w:tcBorders>
              <w:top w:val="nil"/>
              <w:left w:val="nil"/>
              <w:bottom w:val="nil"/>
              <w:right w:val="nil"/>
            </w:tcBorders>
            <w:shd w:val="clear" w:color="auto" w:fill="auto"/>
            <w:noWrap/>
            <w:vAlign w:val="bottom"/>
            <w:hideMark/>
          </w:tcPr>
          <w:p w14:paraId="57BA175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AFAP</w:t>
            </w:r>
          </w:p>
        </w:tc>
        <w:tc>
          <w:tcPr>
            <w:tcW w:w="7440" w:type="dxa"/>
            <w:tcBorders>
              <w:top w:val="nil"/>
              <w:left w:val="nil"/>
              <w:bottom w:val="nil"/>
              <w:right w:val="nil"/>
            </w:tcBorders>
            <w:shd w:val="clear" w:color="auto" w:fill="auto"/>
            <w:noWrap/>
            <w:vAlign w:val="bottom"/>
            <w:hideMark/>
          </w:tcPr>
          <w:p w14:paraId="191F5A9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Attenuated Familial Adenomatous Polyposis </w:t>
            </w:r>
          </w:p>
        </w:tc>
      </w:tr>
      <w:tr w:rsidR="00E844C1" w:rsidRPr="00E844C1" w14:paraId="32DB4F00" w14:textId="77777777" w:rsidTr="00E844C1">
        <w:trPr>
          <w:trHeight w:val="300"/>
        </w:trPr>
        <w:tc>
          <w:tcPr>
            <w:tcW w:w="1440" w:type="dxa"/>
            <w:tcBorders>
              <w:top w:val="nil"/>
              <w:left w:val="nil"/>
              <w:bottom w:val="nil"/>
              <w:right w:val="nil"/>
            </w:tcBorders>
            <w:shd w:val="clear" w:color="auto" w:fill="auto"/>
            <w:noWrap/>
            <w:vAlign w:val="bottom"/>
            <w:hideMark/>
          </w:tcPr>
          <w:p w14:paraId="26BC3FC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ANOVA</w:t>
            </w:r>
          </w:p>
        </w:tc>
        <w:tc>
          <w:tcPr>
            <w:tcW w:w="7440" w:type="dxa"/>
            <w:tcBorders>
              <w:top w:val="nil"/>
              <w:left w:val="nil"/>
              <w:bottom w:val="nil"/>
              <w:right w:val="nil"/>
            </w:tcBorders>
            <w:shd w:val="clear" w:color="auto" w:fill="auto"/>
            <w:noWrap/>
            <w:vAlign w:val="bottom"/>
            <w:hideMark/>
          </w:tcPr>
          <w:p w14:paraId="1EE784B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Analysis of variance</w:t>
            </w:r>
          </w:p>
        </w:tc>
      </w:tr>
      <w:tr w:rsidR="00E844C1" w:rsidRPr="00E844C1" w14:paraId="11E1E72B" w14:textId="77777777" w:rsidTr="00E844C1">
        <w:trPr>
          <w:trHeight w:val="300"/>
        </w:trPr>
        <w:tc>
          <w:tcPr>
            <w:tcW w:w="1440" w:type="dxa"/>
            <w:tcBorders>
              <w:top w:val="nil"/>
              <w:left w:val="nil"/>
              <w:bottom w:val="nil"/>
              <w:right w:val="nil"/>
            </w:tcBorders>
            <w:shd w:val="clear" w:color="auto" w:fill="auto"/>
            <w:noWrap/>
            <w:vAlign w:val="bottom"/>
            <w:hideMark/>
          </w:tcPr>
          <w:p w14:paraId="227289C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APC</w:t>
            </w:r>
          </w:p>
        </w:tc>
        <w:tc>
          <w:tcPr>
            <w:tcW w:w="7440" w:type="dxa"/>
            <w:tcBorders>
              <w:top w:val="nil"/>
              <w:left w:val="nil"/>
              <w:bottom w:val="nil"/>
              <w:right w:val="nil"/>
            </w:tcBorders>
            <w:shd w:val="clear" w:color="auto" w:fill="auto"/>
            <w:noWrap/>
            <w:vAlign w:val="bottom"/>
            <w:hideMark/>
          </w:tcPr>
          <w:p w14:paraId="1F1C0B1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Adenomatous Polyposis Coli</w:t>
            </w:r>
          </w:p>
        </w:tc>
      </w:tr>
      <w:tr w:rsidR="00E844C1" w:rsidRPr="00E844C1" w14:paraId="199784E3" w14:textId="77777777" w:rsidTr="00E844C1">
        <w:trPr>
          <w:trHeight w:val="300"/>
        </w:trPr>
        <w:tc>
          <w:tcPr>
            <w:tcW w:w="1440" w:type="dxa"/>
            <w:tcBorders>
              <w:top w:val="nil"/>
              <w:left w:val="nil"/>
              <w:bottom w:val="nil"/>
              <w:right w:val="nil"/>
            </w:tcBorders>
            <w:shd w:val="clear" w:color="auto" w:fill="auto"/>
            <w:noWrap/>
            <w:vAlign w:val="bottom"/>
            <w:hideMark/>
          </w:tcPr>
          <w:p w14:paraId="226E1B7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APE1</w:t>
            </w:r>
          </w:p>
        </w:tc>
        <w:tc>
          <w:tcPr>
            <w:tcW w:w="7440" w:type="dxa"/>
            <w:tcBorders>
              <w:top w:val="nil"/>
              <w:left w:val="nil"/>
              <w:bottom w:val="nil"/>
              <w:right w:val="nil"/>
            </w:tcBorders>
            <w:shd w:val="clear" w:color="auto" w:fill="auto"/>
            <w:noWrap/>
            <w:vAlign w:val="bottom"/>
            <w:hideMark/>
          </w:tcPr>
          <w:p w14:paraId="75214D1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Apurinic/apyrimidinic endonuclease 1 </w:t>
            </w:r>
          </w:p>
        </w:tc>
      </w:tr>
      <w:tr w:rsidR="00E844C1" w:rsidRPr="00E844C1" w14:paraId="460F5BD2" w14:textId="77777777" w:rsidTr="00E844C1">
        <w:trPr>
          <w:trHeight w:val="300"/>
        </w:trPr>
        <w:tc>
          <w:tcPr>
            <w:tcW w:w="1440" w:type="dxa"/>
            <w:tcBorders>
              <w:top w:val="nil"/>
              <w:left w:val="nil"/>
              <w:bottom w:val="nil"/>
              <w:right w:val="nil"/>
            </w:tcBorders>
            <w:shd w:val="clear" w:color="auto" w:fill="auto"/>
            <w:noWrap/>
            <w:vAlign w:val="bottom"/>
            <w:hideMark/>
          </w:tcPr>
          <w:p w14:paraId="64D1B2F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ATCC</w:t>
            </w:r>
          </w:p>
        </w:tc>
        <w:tc>
          <w:tcPr>
            <w:tcW w:w="7440" w:type="dxa"/>
            <w:tcBorders>
              <w:top w:val="nil"/>
              <w:left w:val="nil"/>
              <w:bottom w:val="nil"/>
              <w:right w:val="nil"/>
            </w:tcBorders>
            <w:shd w:val="clear" w:color="auto" w:fill="auto"/>
            <w:noWrap/>
            <w:vAlign w:val="bottom"/>
            <w:hideMark/>
          </w:tcPr>
          <w:p w14:paraId="5BCC421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American Type Culture Collection</w:t>
            </w:r>
          </w:p>
        </w:tc>
      </w:tr>
      <w:tr w:rsidR="00E844C1" w:rsidRPr="00E844C1" w14:paraId="5217B053" w14:textId="77777777" w:rsidTr="00E844C1">
        <w:trPr>
          <w:trHeight w:val="300"/>
        </w:trPr>
        <w:tc>
          <w:tcPr>
            <w:tcW w:w="1440" w:type="dxa"/>
            <w:tcBorders>
              <w:top w:val="nil"/>
              <w:left w:val="nil"/>
              <w:bottom w:val="nil"/>
              <w:right w:val="nil"/>
            </w:tcBorders>
            <w:shd w:val="clear" w:color="auto" w:fill="auto"/>
            <w:noWrap/>
            <w:vAlign w:val="bottom"/>
            <w:hideMark/>
          </w:tcPr>
          <w:p w14:paraId="5642525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ATM</w:t>
            </w:r>
          </w:p>
        </w:tc>
        <w:tc>
          <w:tcPr>
            <w:tcW w:w="7440" w:type="dxa"/>
            <w:tcBorders>
              <w:top w:val="nil"/>
              <w:left w:val="nil"/>
              <w:bottom w:val="nil"/>
              <w:right w:val="nil"/>
            </w:tcBorders>
            <w:shd w:val="clear" w:color="auto" w:fill="auto"/>
            <w:noWrap/>
            <w:vAlign w:val="bottom"/>
            <w:hideMark/>
          </w:tcPr>
          <w:p w14:paraId="495EBA2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Ataxia-Telangiectasia Mutated</w:t>
            </w:r>
          </w:p>
        </w:tc>
      </w:tr>
      <w:tr w:rsidR="00E844C1" w:rsidRPr="00E844C1" w14:paraId="26E0A023" w14:textId="77777777" w:rsidTr="00E844C1">
        <w:trPr>
          <w:trHeight w:val="300"/>
        </w:trPr>
        <w:tc>
          <w:tcPr>
            <w:tcW w:w="1440" w:type="dxa"/>
            <w:tcBorders>
              <w:top w:val="nil"/>
              <w:left w:val="nil"/>
              <w:bottom w:val="nil"/>
              <w:right w:val="nil"/>
            </w:tcBorders>
            <w:shd w:val="clear" w:color="auto" w:fill="auto"/>
            <w:noWrap/>
            <w:vAlign w:val="bottom"/>
            <w:hideMark/>
          </w:tcPr>
          <w:p w14:paraId="71D4314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ATP</w:t>
            </w:r>
          </w:p>
        </w:tc>
        <w:tc>
          <w:tcPr>
            <w:tcW w:w="7440" w:type="dxa"/>
            <w:tcBorders>
              <w:top w:val="nil"/>
              <w:left w:val="nil"/>
              <w:bottom w:val="nil"/>
              <w:right w:val="nil"/>
            </w:tcBorders>
            <w:shd w:val="clear" w:color="auto" w:fill="auto"/>
            <w:noWrap/>
            <w:vAlign w:val="bottom"/>
            <w:hideMark/>
          </w:tcPr>
          <w:p w14:paraId="747425F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Adenosine triphosphate</w:t>
            </w:r>
          </w:p>
        </w:tc>
      </w:tr>
      <w:tr w:rsidR="00E844C1" w:rsidRPr="00E844C1" w14:paraId="2898E64E" w14:textId="77777777" w:rsidTr="00E844C1">
        <w:trPr>
          <w:trHeight w:val="300"/>
        </w:trPr>
        <w:tc>
          <w:tcPr>
            <w:tcW w:w="1440" w:type="dxa"/>
            <w:tcBorders>
              <w:top w:val="nil"/>
              <w:left w:val="nil"/>
              <w:bottom w:val="nil"/>
              <w:right w:val="nil"/>
            </w:tcBorders>
            <w:shd w:val="clear" w:color="auto" w:fill="auto"/>
            <w:noWrap/>
            <w:vAlign w:val="bottom"/>
            <w:hideMark/>
          </w:tcPr>
          <w:p w14:paraId="126C35D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ATR</w:t>
            </w:r>
          </w:p>
        </w:tc>
        <w:tc>
          <w:tcPr>
            <w:tcW w:w="7440" w:type="dxa"/>
            <w:tcBorders>
              <w:top w:val="nil"/>
              <w:left w:val="nil"/>
              <w:bottom w:val="nil"/>
              <w:right w:val="nil"/>
            </w:tcBorders>
            <w:shd w:val="clear" w:color="auto" w:fill="auto"/>
            <w:noWrap/>
            <w:vAlign w:val="bottom"/>
            <w:hideMark/>
          </w:tcPr>
          <w:p w14:paraId="5C5AF5E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Ataxia-Telangiectasia and Rad3 related</w:t>
            </w:r>
          </w:p>
        </w:tc>
      </w:tr>
      <w:tr w:rsidR="00E844C1" w:rsidRPr="00E844C1" w14:paraId="35372FD6" w14:textId="77777777" w:rsidTr="00E844C1">
        <w:trPr>
          <w:trHeight w:val="300"/>
        </w:trPr>
        <w:tc>
          <w:tcPr>
            <w:tcW w:w="1440" w:type="dxa"/>
            <w:tcBorders>
              <w:top w:val="nil"/>
              <w:left w:val="nil"/>
              <w:bottom w:val="nil"/>
              <w:right w:val="nil"/>
            </w:tcBorders>
            <w:shd w:val="clear" w:color="auto" w:fill="auto"/>
            <w:noWrap/>
            <w:vAlign w:val="bottom"/>
            <w:hideMark/>
          </w:tcPr>
          <w:p w14:paraId="0CC7FF1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ATRIX</w:t>
            </w:r>
          </w:p>
        </w:tc>
        <w:tc>
          <w:tcPr>
            <w:tcW w:w="7440" w:type="dxa"/>
            <w:tcBorders>
              <w:top w:val="nil"/>
              <w:left w:val="nil"/>
              <w:bottom w:val="nil"/>
              <w:right w:val="nil"/>
            </w:tcBorders>
            <w:shd w:val="clear" w:color="auto" w:fill="auto"/>
            <w:noWrap/>
            <w:vAlign w:val="bottom"/>
            <w:hideMark/>
          </w:tcPr>
          <w:p w14:paraId="6F91535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X-linked alpha thalassemia/mental retardation </w:t>
            </w:r>
          </w:p>
        </w:tc>
      </w:tr>
      <w:tr w:rsidR="00E844C1" w:rsidRPr="00E844C1" w14:paraId="1EACA8CA" w14:textId="77777777" w:rsidTr="00E844C1">
        <w:trPr>
          <w:trHeight w:val="300"/>
        </w:trPr>
        <w:tc>
          <w:tcPr>
            <w:tcW w:w="1440" w:type="dxa"/>
            <w:tcBorders>
              <w:top w:val="nil"/>
              <w:left w:val="nil"/>
              <w:bottom w:val="nil"/>
              <w:right w:val="nil"/>
            </w:tcBorders>
            <w:shd w:val="clear" w:color="auto" w:fill="auto"/>
            <w:noWrap/>
            <w:vAlign w:val="bottom"/>
            <w:hideMark/>
          </w:tcPr>
          <w:p w14:paraId="2132E8B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AURKA</w:t>
            </w:r>
          </w:p>
        </w:tc>
        <w:tc>
          <w:tcPr>
            <w:tcW w:w="7440" w:type="dxa"/>
            <w:tcBorders>
              <w:top w:val="nil"/>
              <w:left w:val="nil"/>
              <w:bottom w:val="nil"/>
              <w:right w:val="nil"/>
            </w:tcBorders>
            <w:shd w:val="clear" w:color="auto" w:fill="auto"/>
            <w:noWrap/>
            <w:vAlign w:val="bottom"/>
            <w:hideMark/>
          </w:tcPr>
          <w:p w14:paraId="3916119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Aurora Kinase-A </w:t>
            </w:r>
          </w:p>
        </w:tc>
      </w:tr>
      <w:tr w:rsidR="00E844C1" w:rsidRPr="00E844C1" w14:paraId="5628C044" w14:textId="77777777" w:rsidTr="00E844C1">
        <w:trPr>
          <w:trHeight w:val="300"/>
        </w:trPr>
        <w:tc>
          <w:tcPr>
            <w:tcW w:w="1440" w:type="dxa"/>
            <w:tcBorders>
              <w:top w:val="nil"/>
              <w:left w:val="nil"/>
              <w:bottom w:val="nil"/>
              <w:right w:val="nil"/>
            </w:tcBorders>
            <w:shd w:val="clear" w:color="auto" w:fill="auto"/>
            <w:noWrap/>
            <w:vAlign w:val="bottom"/>
            <w:hideMark/>
          </w:tcPr>
          <w:p w14:paraId="60D4214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BLAST</w:t>
            </w:r>
          </w:p>
        </w:tc>
        <w:tc>
          <w:tcPr>
            <w:tcW w:w="7440" w:type="dxa"/>
            <w:tcBorders>
              <w:top w:val="nil"/>
              <w:left w:val="nil"/>
              <w:bottom w:val="nil"/>
              <w:right w:val="nil"/>
            </w:tcBorders>
            <w:shd w:val="clear" w:color="auto" w:fill="auto"/>
            <w:noWrap/>
            <w:vAlign w:val="bottom"/>
            <w:hideMark/>
          </w:tcPr>
          <w:p w14:paraId="450E719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Basic Local Alignment Search Tool</w:t>
            </w:r>
          </w:p>
        </w:tc>
      </w:tr>
      <w:tr w:rsidR="00E844C1" w:rsidRPr="00E844C1" w14:paraId="18C17B2B" w14:textId="77777777" w:rsidTr="00E844C1">
        <w:trPr>
          <w:trHeight w:val="300"/>
        </w:trPr>
        <w:tc>
          <w:tcPr>
            <w:tcW w:w="1440" w:type="dxa"/>
            <w:tcBorders>
              <w:top w:val="nil"/>
              <w:left w:val="nil"/>
              <w:bottom w:val="nil"/>
              <w:right w:val="nil"/>
            </w:tcBorders>
            <w:shd w:val="clear" w:color="auto" w:fill="auto"/>
            <w:noWrap/>
            <w:vAlign w:val="bottom"/>
            <w:hideMark/>
          </w:tcPr>
          <w:p w14:paraId="7464C7B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BRCA1</w:t>
            </w:r>
          </w:p>
        </w:tc>
        <w:tc>
          <w:tcPr>
            <w:tcW w:w="7440" w:type="dxa"/>
            <w:tcBorders>
              <w:top w:val="nil"/>
              <w:left w:val="nil"/>
              <w:bottom w:val="nil"/>
              <w:right w:val="nil"/>
            </w:tcBorders>
            <w:shd w:val="clear" w:color="auto" w:fill="auto"/>
            <w:noWrap/>
            <w:vAlign w:val="bottom"/>
            <w:hideMark/>
          </w:tcPr>
          <w:p w14:paraId="594DCD1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Breast cancer type 1 susceptibility protein</w:t>
            </w:r>
          </w:p>
        </w:tc>
      </w:tr>
      <w:tr w:rsidR="00E844C1" w:rsidRPr="00E844C1" w14:paraId="59B59D3E" w14:textId="77777777" w:rsidTr="00E844C1">
        <w:trPr>
          <w:trHeight w:val="300"/>
        </w:trPr>
        <w:tc>
          <w:tcPr>
            <w:tcW w:w="1440" w:type="dxa"/>
            <w:tcBorders>
              <w:top w:val="nil"/>
              <w:left w:val="nil"/>
              <w:bottom w:val="nil"/>
              <w:right w:val="nil"/>
            </w:tcBorders>
            <w:shd w:val="clear" w:color="auto" w:fill="auto"/>
            <w:noWrap/>
            <w:vAlign w:val="bottom"/>
            <w:hideMark/>
          </w:tcPr>
          <w:p w14:paraId="519EE09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BRCC3</w:t>
            </w:r>
          </w:p>
        </w:tc>
        <w:tc>
          <w:tcPr>
            <w:tcW w:w="7440" w:type="dxa"/>
            <w:tcBorders>
              <w:top w:val="nil"/>
              <w:left w:val="nil"/>
              <w:bottom w:val="nil"/>
              <w:right w:val="nil"/>
            </w:tcBorders>
            <w:shd w:val="clear" w:color="auto" w:fill="auto"/>
            <w:noWrap/>
            <w:vAlign w:val="bottom"/>
            <w:hideMark/>
          </w:tcPr>
          <w:p w14:paraId="571B9F2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BRCA1/BRCA2-Containing Complex Subunit 3</w:t>
            </w:r>
          </w:p>
        </w:tc>
      </w:tr>
      <w:tr w:rsidR="00E844C1" w:rsidRPr="00E844C1" w14:paraId="4DDC5186" w14:textId="77777777" w:rsidTr="00E844C1">
        <w:trPr>
          <w:trHeight w:val="300"/>
        </w:trPr>
        <w:tc>
          <w:tcPr>
            <w:tcW w:w="1440" w:type="dxa"/>
            <w:tcBorders>
              <w:top w:val="nil"/>
              <w:left w:val="nil"/>
              <w:bottom w:val="nil"/>
              <w:right w:val="nil"/>
            </w:tcBorders>
            <w:shd w:val="clear" w:color="auto" w:fill="auto"/>
            <w:noWrap/>
            <w:vAlign w:val="bottom"/>
            <w:hideMark/>
          </w:tcPr>
          <w:p w14:paraId="275E39F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BUBR1</w:t>
            </w:r>
          </w:p>
        </w:tc>
        <w:tc>
          <w:tcPr>
            <w:tcW w:w="7440" w:type="dxa"/>
            <w:tcBorders>
              <w:top w:val="nil"/>
              <w:left w:val="nil"/>
              <w:bottom w:val="nil"/>
              <w:right w:val="nil"/>
            </w:tcBorders>
            <w:shd w:val="clear" w:color="auto" w:fill="auto"/>
            <w:noWrap/>
            <w:vAlign w:val="bottom"/>
            <w:hideMark/>
          </w:tcPr>
          <w:p w14:paraId="64E204B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Budding uninhibited by benzimidazole-related 1</w:t>
            </w:r>
          </w:p>
        </w:tc>
      </w:tr>
      <w:tr w:rsidR="00E844C1" w:rsidRPr="00E844C1" w14:paraId="6E2E2862" w14:textId="77777777" w:rsidTr="00E844C1">
        <w:trPr>
          <w:trHeight w:val="300"/>
        </w:trPr>
        <w:tc>
          <w:tcPr>
            <w:tcW w:w="1440" w:type="dxa"/>
            <w:tcBorders>
              <w:top w:val="nil"/>
              <w:left w:val="nil"/>
              <w:bottom w:val="nil"/>
              <w:right w:val="nil"/>
            </w:tcBorders>
            <w:shd w:val="clear" w:color="auto" w:fill="auto"/>
            <w:noWrap/>
            <w:vAlign w:val="bottom"/>
            <w:hideMark/>
          </w:tcPr>
          <w:p w14:paraId="1830687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CALB2</w:t>
            </w:r>
          </w:p>
        </w:tc>
        <w:tc>
          <w:tcPr>
            <w:tcW w:w="7440" w:type="dxa"/>
            <w:tcBorders>
              <w:top w:val="nil"/>
              <w:left w:val="nil"/>
              <w:bottom w:val="nil"/>
              <w:right w:val="nil"/>
            </w:tcBorders>
            <w:shd w:val="clear" w:color="auto" w:fill="auto"/>
            <w:noWrap/>
            <w:vAlign w:val="bottom"/>
            <w:hideMark/>
          </w:tcPr>
          <w:p w14:paraId="1425189E"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Calretinin</w:t>
            </w:r>
            <w:proofErr w:type="spellEnd"/>
          </w:p>
        </w:tc>
      </w:tr>
      <w:tr w:rsidR="00E844C1" w:rsidRPr="00E844C1" w14:paraId="2BDA71E5" w14:textId="77777777" w:rsidTr="00E844C1">
        <w:trPr>
          <w:trHeight w:val="300"/>
        </w:trPr>
        <w:tc>
          <w:tcPr>
            <w:tcW w:w="1440" w:type="dxa"/>
            <w:tcBorders>
              <w:top w:val="nil"/>
              <w:left w:val="nil"/>
              <w:bottom w:val="nil"/>
              <w:right w:val="nil"/>
            </w:tcBorders>
            <w:shd w:val="clear" w:color="auto" w:fill="auto"/>
            <w:noWrap/>
            <w:vAlign w:val="bottom"/>
            <w:hideMark/>
          </w:tcPr>
          <w:p w14:paraId="7BD0204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CARM-1</w:t>
            </w:r>
          </w:p>
        </w:tc>
        <w:tc>
          <w:tcPr>
            <w:tcW w:w="7440" w:type="dxa"/>
            <w:tcBorders>
              <w:top w:val="nil"/>
              <w:left w:val="nil"/>
              <w:bottom w:val="nil"/>
              <w:right w:val="nil"/>
            </w:tcBorders>
            <w:shd w:val="clear" w:color="auto" w:fill="auto"/>
            <w:noWrap/>
            <w:vAlign w:val="bottom"/>
            <w:hideMark/>
          </w:tcPr>
          <w:p w14:paraId="7A731430"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Coactivator</w:t>
            </w:r>
            <w:proofErr w:type="spellEnd"/>
            <w:r w:rsidRPr="00E844C1">
              <w:rPr>
                <w:rFonts w:ascii="Calibri" w:eastAsia="Times New Roman" w:hAnsi="Calibri" w:cs="Times New Roman"/>
                <w:color w:val="000000"/>
              </w:rPr>
              <w:t xml:space="preserve">-associated arginine </w:t>
            </w:r>
            <w:proofErr w:type="spellStart"/>
            <w:r w:rsidRPr="00E844C1">
              <w:rPr>
                <w:rFonts w:ascii="Calibri" w:eastAsia="Times New Roman" w:hAnsi="Calibri" w:cs="Times New Roman"/>
                <w:color w:val="000000"/>
              </w:rPr>
              <w:t>methyltransferase</w:t>
            </w:r>
            <w:proofErr w:type="spellEnd"/>
            <w:r w:rsidRPr="00E844C1">
              <w:rPr>
                <w:rFonts w:ascii="Calibri" w:eastAsia="Times New Roman" w:hAnsi="Calibri" w:cs="Times New Roman"/>
                <w:color w:val="000000"/>
              </w:rPr>
              <w:t xml:space="preserve"> 1</w:t>
            </w:r>
          </w:p>
        </w:tc>
      </w:tr>
      <w:tr w:rsidR="00E844C1" w:rsidRPr="00E844C1" w14:paraId="4CE4678E" w14:textId="77777777" w:rsidTr="00E844C1">
        <w:trPr>
          <w:trHeight w:val="300"/>
        </w:trPr>
        <w:tc>
          <w:tcPr>
            <w:tcW w:w="1440" w:type="dxa"/>
            <w:tcBorders>
              <w:top w:val="nil"/>
              <w:left w:val="nil"/>
              <w:bottom w:val="nil"/>
              <w:right w:val="nil"/>
            </w:tcBorders>
            <w:shd w:val="clear" w:color="auto" w:fill="auto"/>
            <w:noWrap/>
            <w:vAlign w:val="bottom"/>
            <w:hideMark/>
          </w:tcPr>
          <w:p w14:paraId="76502CC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Cas9</w:t>
            </w:r>
          </w:p>
        </w:tc>
        <w:tc>
          <w:tcPr>
            <w:tcW w:w="7440" w:type="dxa"/>
            <w:tcBorders>
              <w:top w:val="nil"/>
              <w:left w:val="nil"/>
              <w:bottom w:val="nil"/>
              <w:right w:val="nil"/>
            </w:tcBorders>
            <w:shd w:val="clear" w:color="auto" w:fill="auto"/>
            <w:noWrap/>
            <w:vAlign w:val="bottom"/>
            <w:hideMark/>
          </w:tcPr>
          <w:p w14:paraId="7CD32FF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CRISPR associated protein 9</w:t>
            </w:r>
          </w:p>
        </w:tc>
      </w:tr>
      <w:tr w:rsidR="00E844C1" w:rsidRPr="00E844C1" w14:paraId="6E90EA7C" w14:textId="77777777" w:rsidTr="00E844C1">
        <w:trPr>
          <w:trHeight w:val="300"/>
        </w:trPr>
        <w:tc>
          <w:tcPr>
            <w:tcW w:w="1440" w:type="dxa"/>
            <w:tcBorders>
              <w:top w:val="nil"/>
              <w:left w:val="nil"/>
              <w:bottom w:val="nil"/>
              <w:right w:val="nil"/>
            </w:tcBorders>
            <w:shd w:val="clear" w:color="auto" w:fill="auto"/>
            <w:noWrap/>
            <w:vAlign w:val="bottom"/>
            <w:hideMark/>
          </w:tcPr>
          <w:p w14:paraId="7165956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CBP</w:t>
            </w:r>
          </w:p>
        </w:tc>
        <w:tc>
          <w:tcPr>
            <w:tcW w:w="7440" w:type="dxa"/>
            <w:tcBorders>
              <w:top w:val="nil"/>
              <w:left w:val="nil"/>
              <w:bottom w:val="nil"/>
              <w:right w:val="nil"/>
            </w:tcBorders>
            <w:shd w:val="clear" w:color="auto" w:fill="auto"/>
            <w:noWrap/>
            <w:vAlign w:val="bottom"/>
            <w:hideMark/>
          </w:tcPr>
          <w:p w14:paraId="6121F3C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CREB Binding protein</w:t>
            </w:r>
          </w:p>
        </w:tc>
      </w:tr>
      <w:tr w:rsidR="00E844C1" w:rsidRPr="00E844C1" w14:paraId="0122BED7" w14:textId="77777777" w:rsidTr="00E844C1">
        <w:trPr>
          <w:trHeight w:val="300"/>
        </w:trPr>
        <w:tc>
          <w:tcPr>
            <w:tcW w:w="1440" w:type="dxa"/>
            <w:tcBorders>
              <w:top w:val="nil"/>
              <w:left w:val="nil"/>
              <w:bottom w:val="nil"/>
              <w:right w:val="nil"/>
            </w:tcBorders>
            <w:shd w:val="clear" w:color="auto" w:fill="auto"/>
            <w:noWrap/>
            <w:vAlign w:val="bottom"/>
            <w:hideMark/>
          </w:tcPr>
          <w:p w14:paraId="488079C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CCDC34</w:t>
            </w:r>
          </w:p>
        </w:tc>
        <w:tc>
          <w:tcPr>
            <w:tcW w:w="7440" w:type="dxa"/>
            <w:tcBorders>
              <w:top w:val="nil"/>
              <w:left w:val="nil"/>
              <w:bottom w:val="nil"/>
              <w:right w:val="nil"/>
            </w:tcBorders>
            <w:shd w:val="clear" w:color="auto" w:fill="auto"/>
            <w:noWrap/>
            <w:vAlign w:val="bottom"/>
            <w:hideMark/>
          </w:tcPr>
          <w:p w14:paraId="03CD96E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Coil </w:t>
            </w:r>
            <w:proofErr w:type="spellStart"/>
            <w:r w:rsidRPr="00E844C1">
              <w:rPr>
                <w:rFonts w:ascii="Calibri" w:eastAsia="Times New Roman" w:hAnsi="Calibri" w:cs="Times New Roman"/>
                <w:color w:val="000000"/>
              </w:rPr>
              <w:t>coil</w:t>
            </w:r>
            <w:proofErr w:type="spellEnd"/>
            <w:r w:rsidRPr="00E844C1">
              <w:rPr>
                <w:rFonts w:ascii="Calibri" w:eastAsia="Times New Roman" w:hAnsi="Calibri" w:cs="Times New Roman"/>
                <w:color w:val="000000"/>
              </w:rPr>
              <w:t xml:space="preserve"> domain protein 34</w:t>
            </w:r>
          </w:p>
        </w:tc>
      </w:tr>
      <w:tr w:rsidR="00E844C1" w:rsidRPr="00E844C1" w14:paraId="613FFF43" w14:textId="77777777" w:rsidTr="00E844C1">
        <w:trPr>
          <w:trHeight w:val="300"/>
        </w:trPr>
        <w:tc>
          <w:tcPr>
            <w:tcW w:w="1440" w:type="dxa"/>
            <w:tcBorders>
              <w:top w:val="nil"/>
              <w:left w:val="nil"/>
              <w:bottom w:val="nil"/>
              <w:right w:val="nil"/>
            </w:tcBorders>
            <w:shd w:val="clear" w:color="auto" w:fill="auto"/>
            <w:noWrap/>
            <w:vAlign w:val="bottom"/>
            <w:hideMark/>
          </w:tcPr>
          <w:p w14:paraId="2CFFE3F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CDKN1A</w:t>
            </w:r>
          </w:p>
        </w:tc>
        <w:tc>
          <w:tcPr>
            <w:tcW w:w="7440" w:type="dxa"/>
            <w:tcBorders>
              <w:top w:val="nil"/>
              <w:left w:val="nil"/>
              <w:bottom w:val="nil"/>
              <w:right w:val="nil"/>
            </w:tcBorders>
            <w:shd w:val="clear" w:color="auto" w:fill="auto"/>
            <w:noWrap/>
            <w:vAlign w:val="bottom"/>
            <w:hideMark/>
          </w:tcPr>
          <w:p w14:paraId="6FD88A5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Cyclin Dependent Kinase Inhibitor 1A</w:t>
            </w:r>
          </w:p>
        </w:tc>
      </w:tr>
      <w:tr w:rsidR="00E844C1" w:rsidRPr="00E844C1" w14:paraId="6AF62D15" w14:textId="77777777" w:rsidTr="00E844C1">
        <w:trPr>
          <w:trHeight w:val="300"/>
        </w:trPr>
        <w:tc>
          <w:tcPr>
            <w:tcW w:w="1440" w:type="dxa"/>
            <w:tcBorders>
              <w:top w:val="nil"/>
              <w:left w:val="nil"/>
              <w:bottom w:val="nil"/>
              <w:right w:val="nil"/>
            </w:tcBorders>
            <w:shd w:val="clear" w:color="auto" w:fill="auto"/>
            <w:noWrap/>
            <w:vAlign w:val="bottom"/>
            <w:hideMark/>
          </w:tcPr>
          <w:p w14:paraId="6F3092DD"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cDNA</w:t>
            </w:r>
            <w:proofErr w:type="gramEnd"/>
          </w:p>
        </w:tc>
        <w:tc>
          <w:tcPr>
            <w:tcW w:w="7440" w:type="dxa"/>
            <w:tcBorders>
              <w:top w:val="nil"/>
              <w:left w:val="nil"/>
              <w:bottom w:val="nil"/>
              <w:right w:val="nil"/>
            </w:tcBorders>
            <w:shd w:val="clear" w:color="auto" w:fill="auto"/>
            <w:noWrap/>
            <w:vAlign w:val="bottom"/>
            <w:hideMark/>
          </w:tcPr>
          <w:p w14:paraId="357F2D3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Complimentary Deoxyribonucleic acid</w:t>
            </w:r>
          </w:p>
        </w:tc>
      </w:tr>
      <w:tr w:rsidR="00E844C1" w:rsidRPr="00E844C1" w14:paraId="24C20825" w14:textId="77777777" w:rsidTr="00E844C1">
        <w:trPr>
          <w:trHeight w:val="300"/>
        </w:trPr>
        <w:tc>
          <w:tcPr>
            <w:tcW w:w="1440" w:type="dxa"/>
            <w:tcBorders>
              <w:top w:val="nil"/>
              <w:left w:val="nil"/>
              <w:bottom w:val="nil"/>
              <w:right w:val="nil"/>
            </w:tcBorders>
            <w:shd w:val="clear" w:color="auto" w:fill="auto"/>
            <w:noWrap/>
            <w:vAlign w:val="bottom"/>
            <w:hideMark/>
          </w:tcPr>
          <w:p w14:paraId="012C6EE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CGH</w:t>
            </w:r>
          </w:p>
        </w:tc>
        <w:tc>
          <w:tcPr>
            <w:tcW w:w="7440" w:type="dxa"/>
            <w:tcBorders>
              <w:top w:val="nil"/>
              <w:left w:val="nil"/>
              <w:bottom w:val="nil"/>
              <w:right w:val="nil"/>
            </w:tcBorders>
            <w:shd w:val="clear" w:color="auto" w:fill="auto"/>
            <w:noWrap/>
            <w:vAlign w:val="bottom"/>
            <w:hideMark/>
          </w:tcPr>
          <w:p w14:paraId="20A63EC0" w14:textId="2E79E6A4" w:rsidR="00E844C1" w:rsidRPr="00E844C1" w:rsidRDefault="007A6E6D" w:rsidP="00E844C1">
            <w:pPr>
              <w:rPr>
                <w:rFonts w:ascii="Calibri" w:eastAsia="Times New Roman" w:hAnsi="Calibri" w:cs="Times New Roman"/>
                <w:color w:val="000000"/>
              </w:rPr>
            </w:pPr>
            <w:r>
              <w:rPr>
                <w:rFonts w:ascii="Calibri" w:eastAsia="Times New Roman" w:hAnsi="Calibri" w:cs="Times New Roman"/>
                <w:color w:val="000000"/>
              </w:rPr>
              <w:t>C</w:t>
            </w:r>
            <w:r w:rsidR="00E844C1" w:rsidRPr="00E844C1">
              <w:rPr>
                <w:rFonts w:ascii="Calibri" w:eastAsia="Times New Roman" w:hAnsi="Calibri" w:cs="Times New Roman"/>
                <w:color w:val="000000"/>
              </w:rPr>
              <w:t>omparative genome hybridisation</w:t>
            </w:r>
          </w:p>
        </w:tc>
      </w:tr>
      <w:tr w:rsidR="00E844C1" w:rsidRPr="00E844C1" w14:paraId="59DC4E0A" w14:textId="77777777" w:rsidTr="00E844C1">
        <w:trPr>
          <w:trHeight w:val="300"/>
        </w:trPr>
        <w:tc>
          <w:tcPr>
            <w:tcW w:w="1440" w:type="dxa"/>
            <w:tcBorders>
              <w:top w:val="nil"/>
              <w:left w:val="nil"/>
              <w:bottom w:val="nil"/>
              <w:right w:val="nil"/>
            </w:tcBorders>
            <w:shd w:val="clear" w:color="auto" w:fill="auto"/>
            <w:noWrap/>
            <w:vAlign w:val="bottom"/>
            <w:hideMark/>
          </w:tcPr>
          <w:p w14:paraId="42BF41D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CIMP</w:t>
            </w:r>
          </w:p>
        </w:tc>
        <w:tc>
          <w:tcPr>
            <w:tcW w:w="7440" w:type="dxa"/>
            <w:tcBorders>
              <w:top w:val="nil"/>
              <w:left w:val="nil"/>
              <w:bottom w:val="nil"/>
              <w:right w:val="nil"/>
            </w:tcBorders>
            <w:shd w:val="clear" w:color="auto" w:fill="auto"/>
            <w:noWrap/>
            <w:vAlign w:val="bottom"/>
            <w:hideMark/>
          </w:tcPr>
          <w:p w14:paraId="3E4E388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CpG island methylator phenotype</w:t>
            </w:r>
          </w:p>
        </w:tc>
      </w:tr>
      <w:tr w:rsidR="00E844C1" w:rsidRPr="00E844C1" w14:paraId="11965D7B" w14:textId="77777777" w:rsidTr="00E844C1">
        <w:trPr>
          <w:trHeight w:val="300"/>
        </w:trPr>
        <w:tc>
          <w:tcPr>
            <w:tcW w:w="1440" w:type="dxa"/>
            <w:tcBorders>
              <w:top w:val="nil"/>
              <w:left w:val="nil"/>
              <w:bottom w:val="nil"/>
              <w:right w:val="nil"/>
            </w:tcBorders>
            <w:shd w:val="clear" w:color="auto" w:fill="auto"/>
            <w:noWrap/>
            <w:vAlign w:val="bottom"/>
            <w:hideMark/>
          </w:tcPr>
          <w:p w14:paraId="73AAC72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CIN</w:t>
            </w:r>
          </w:p>
        </w:tc>
        <w:tc>
          <w:tcPr>
            <w:tcW w:w="7440" w:type="dxa"/>
            <w:tcBorders>
              <w:top w:val="nil"/>
              <w:left w:val="nil"/>
              <w:bottom w:val="nil"/>
              <w:right w:val="nil"/>
            </w:tcBorders>
            <w:shd w:val="clear" w:color="auto" w:fill="auto"/>
            <w:noWrap/>
            <w:vAlign w:val="bottom"/>
            <w:hideMark/>
          </w:tcPr>
          <w:p w14:paraId="79A6DDC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Chromosomal instability</w:t>
            </w:r>
          </w:p>
        </w:tc>
      </w:tr>
      <w:tr w:rsidR="00E844C1" w:rsidRPr="00E844C1" w14:paraId="1B94E4C2" w14:textId="77777777" w:rsidTr="00E844C1">
        <w:trPr>
          <w:trHeight w:val="300"/>
        </w:trPr>
        <w:tc>
          <w:tcPr>
            <w:tcW w:w="1440" w:type="dxa"/>
            <w:tcBorders>
              <w:top w:val="nil"/>
              <w:left w:val="nil"/>
              <w:bottom w:val="nil"/>
              <w:right w:val="nil"/>
            </w:tcBorders>
            <w:shd w:val="clear" w:color="auto" w:fill="auto"/>
            <w:noWrap/>
            <w:vAlign w:val="bottom"/>
            <w:hideMark/>
          </w:tcPr>
          <w:p w14:paraId="508CF0D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CK1a</w:t>
            </w:r>
          </w:p>
        </w:tc>
        <w:tc>
          <w:tcPr>
            <w:tcW w:w="7440" w:type="dxa"/>
            <w:tcBorders>
              <w:top w:val="nil"/>
              <w:left w:val="nil"/>
              <w:bottom w:val="nil"/>
              <w:right w:val="nil"/>
            </w:tcBorders>
            <w:shd w:val="clear" w:color="auto" w:fill="auto"/>
            <w:noWrap/>
            <w:vAlign w:val="bottom"/>
            <w:hideMark/>
          </w:tcPr>
          <w:p w14:paraId="4A00CBBD" w14:textId="1C5EF7BA" w:rsidR="00E844C1" w:rsidRPr="00E844C1" w:rsidRDefault="007A6E6D" w:rsidP="00E844C1">
            <w:pPr>
              <w:rPr>
                <w:rFonts w:ascii="Calibri" w:eastAsia="Times New Roman" w:hAnsi="Calibri" w:cs="Times New Roman"/>
                <w:color w:val="000000"/>
              </w:rPr>
            </w:pPr>
            <w:r>
              <w:rPr>
                <w:rFonts w:ascii="Calibri" w:eastAsia="Times New Roman" w:hAnsi="Calibri" w:cs="Times New Roman"/>
                <w:color w:val="000000"/>
              </w:rPr>
              <w:t>C</w:t>
            </w:r>
            <w:r w:rsidR="00E844C1" w:rsidRPr="00E844C1">
              <w:rPr>
                <w:rFonts w:ascii="Calibri" w:eastAsia="Times New Roman" w:hAnsi="Calibri" w:cs="Times New Roman"/>
                <w:color w:val="000000"/>
              </w:rPr>
              <w:t>asein kinase 1a</w:t>
            </w:r>
          </w:p>
        </w:tc>
      </w:tr>
      <w:tr w:rsidR="00E844C1" w:rsidRPr="00E844C1" w14:paraId="29BDA2DA" w14:textId="77777777" w:rsidTr="00E844C1">
        <w:trPr>
          <w:trHeight w:val="300"/>
        </w:trPr>
        <w:tc>
          <w:tcPr>
            <w:tcW w:w="1440" w:type="dxa"/>
            <w:tcBorders>
              <w:top w:val="nil"/>
              <w:left w:val="nil"/>
              <w:bottom w:val="nil"/>
              <w:right w:val="nil"/>
            </w:tcBorders>
            <w:shd w:val="clear" w:color="auto" w:fill="auto"/>
            <w:noWrap/>
            <w:vAlign w:val="bottom"/>
            <w:hideMark/>
          </w:tcPr>
          <w:p w14:paraId="3A18AAD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CMV</w:t>
            </w:r>
          </w:p>
        </w:tc>
        <w:tc>
          <w:tcPr>
            <w:tcW w:w="7440" w:type="dxa"/>
            <w:tcBorders>
              <w:top w:val="nil"/>
              <w:left w:val="nil"/>
              <w:bottom w:val="nil"/>
              <w:right w:val="nil"/>
            </w:tcBorders>
            <w:shd w:val="clear" w:color="auto" w:fill="auto"/>
            <w:noWrap/>
            <w:vAlign w:val="bottom"/>
            <w:hideMark/>
          </w:tcPr>
          <w:p w14:paraId="5F5DBA3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Cytomegalovirus</w:t>
            </w:r>
          </w:p>
        </w:tc>
      </w:tr>
      <w:tr w:rsidR="00E844C1" w:rsidRPr="00E844C1" w14:paraId="70EA79D7" w14:textId="77777777" w:rsidTr="00E844C1">
        <w:trPr>
          <w:trHeight w:val="300"/>
        </w:trPr>
        <w:tc>
          <w:tcPr>
            <w:tcW w:w="1440" w:type="dxa"/>
            <w:tcBorders>
              <w:top w:val="nil"/>
              <w:left w:val="nil"/>
              <w:bottom w:val="nil"/>
              <w:right w:val="nil"/>
            </w:tcBorders>
            <w:shd w:val="clear" w:color="auto" w:fill="auto"/>
            <w:noWrap/>
            <w:vAlign w:val="bottom"/>
            <w:hideMark/>
          </w:tcPr>
          <w:p w14:paraId="6B1D5AF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CNV</w:t>
            </w:r>
          </w:p>
        </w:tc>
        <w:tc>
          <w:tcPr>
            <w:tcW w:w="7440" w:type="dxa"/>
            <w:tcBorders>
              <w:top w:val="nil"/>
              <w:left w:val="nil"/>
              <w:bottom w:val="nil"/>
              <w:right w:val="nil"/>
            </w:tcBorders>
            <w:shd w:val="clear" w:color="auto" w:fill="auto"/>
            <w:noWrap/>
            <w:vAlign w:val="bottom"/>
            <w:hideMark/>
          </w:tcPr>
          <w:p w14:paraId="603874E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Copy number variations</w:t>
            </w:r>
          </w:p>
        </w:tc>
      </w:tr>
      <w:tr w:rsidR="00E844C1" w:rsidRPr="00E844C1" w14:paraId="34E92F35" w14:textId="77777777" w:rsidTr="00E844C1">
        <w:trPr>
          <w:trHeight w:val="300"/>
        </w:trPr>
        <w:tc>
          <w:tcPr>
            <w:tcW w:w="1440" w:type="dxa"/>
            <w:tcBorders>
              <w:top w:val="nil"/>
              <w:left w:val="nil"/>
              <w:bottom w:val="nil"/>
              <w:right w:val="nil"/>
            </w:tcBorders>
            <w:shd w:val="clear" w:color="auto" w:fill="auto"/>
            <w:noWrap/>
            <w:vAlign w:val="bottom"/>
            <w:hideMark/>
          </w:tcPr>
          <w:p w14:paraId="6E5133D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COG</w:t>
            </w:r>
          </w:p>
        </w:tc>
        <w:tc>
          <w:tcPr>
            <w:tcW w:w="7440" w:type="dxa"/>
            <w:tcBorders>
              <w:top w:val="nil"/>
              <w:left w:val="nil"/>
              <w:bottom w:val="nil"/>
              <w:right w:val="nil"/>
            </w:tcBorders>
            <w:shd w:val="clear" w:color="auto" w:fill="auto"/>
            <w:noWrap/>
            <w:vAlign w:val="bottom"/>
            <w:hideMark/>
          </w:tcPr>
          <w:p w14:paraId="3C3E1645"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Children''s</w:t>
            </w:r>
            <w:proofErr w:type="spellEnd"/>
            <w:r w:rsidRPr="00E844C1">
              <w:rPr>
                <w:rFonts w:ascii="Calibri" w:eastAsia="Times New Roman" w:hAnsi="Calibri" w:cs="Times New Roman"/>
                <w:color w:val="000000"/>
              </w:rPr>
              <w:t xml:space="preserve"> Oncology Group</w:t>
            </w:r>
          </w:p>
        </w:tc>
      </w:tr>
      <w:tr w:rsidR="00E844C1" w:rsidRPr="00E844C1" w14:paraId="21C9A705" w14:textId="77777777" w:rsidTr="00E844C1">
        <w:trPr>
          <w:trHeight w:val="300"/>
        </w:trPr>
        <w:tc>
          <w:tcPr>
            <w:tcW w:w="1440" w:type="dxa"/>
            <w:tcBorders>
              <w:top w:val="nil"/>
              <w:left w:val="nil"/>
              <w:bottom w:val="nil"/>
              <w:right w:val="nil"/>
            </w:tcBorders>
            <w:shd w:val="clear" w:color="auto" w:fill="auto"/>
            <w:noWrap/>
            <w:vAlign w:val="bottom"/>
            <w:hideMark/>
          </w:tcPr>
          <w:p w14:paraId="70C4CB6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CPA4</w:t>
            </w:r>
          </w:p>
        </w:tc>
        <w:tc>
          <w:tcPr>
            <w:tcW w:w="7440" w:type="dxa"/>
            <w:tcBorders>
              <w:top w:val="nil"/>
              <w:left w:val="nil"/>
              <w:bottom w:val="nil"/>
              <w:right w:val="nil"/>
            </w:tcBorders>
            <w:shd w:val="clear" w:color="auto" w:fill="auto"/>
            <w:noWrap/>
            <w:vAlign w:val="bottom"/>
            <w:hideMark/>
          </w:tcPr>
          <w:p w14:paraId="48BD5098"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Carboxypeptidase</w:t>
            </w:r>
            <w:proofErr w:type="spellEnd"/>
            <w:r w:rsidRPr="00E844C1">
              <w:rPr>
                <w:rFonts w:ascii="Calibri" w:eastAsia="Times New Roman" w:hAnsi="Calibri" w:cs="Times New Roman"/>
                <w:color w:val="000000"/>
              </w:rPr>
              <w:t xml:space="preserve"> A4</w:t>
            </w:r>
          </w:p>
        </w:tc>
      </w:tr>
      <w:tr w:rsidR="00E844C1" w:rsidRPr="00E844C1" w14:paraId="7ADC6DB8" w14:textId="77777777" w:rsidTr="00E844C1">
        <w:trPr>
          <w:trHeight w:val="300"/>
        </w:trPr>
        <w:tc>
          <w:tcPr>
            <w:tcW w:w="1440" w:type="dxa"/>
            <w:tcBorders>
              <w:top w:val="nil"/>
              <w:left w:val="nil"/>
              <w:bottom w:val="nil"/>
              <w:right w:val="nil"/>
            </w:tcBorders>
            <w:shd w:val="clear" w:color="auto" w:fill="auto"/>
            <w:noWrap/>
            <w:vAlign w:val="bottom"/>
            <w:hideMark/>
          </w:tcPr>
          <w:p w14:paraId="50192F7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CpG</w:t>
            </w:r>
          </w:p>
        </w:tc>
        <w:tc>
          <w:tcPr>
            <w:tcW w:w="7440" w:type="dxa"/>
            <w:tcBorders>
              <w:top w:val="nil"/>
              <w:left w:val="nil"/>
              <w:bottom w:val="nil"/>
              <w:right w:val="nil"/>
            </w:tcBorders>
            <w:shd w:val="clear" w:color="auto" w:fill="auto"/>
            <w:noWrap/>
            <w:vAlign w:val="bottom"/>
            <w:hideMark/>
          </w:tcPr>
          <w:p w14:paraId="713E374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5'—Cytosine—phosphate—Guanine—3'</w:t>
            </w:r>
          </w:p>
        </w:tc>
      </w:tr>
      <w:tr w:rsidR="00E844C1" w:rsidRPr="00E844C1" w14:paraId="38DFA1BE" w14:textId="77777777" w:rsidTr="00E844C1">
        <w:trPr>
          <w:trHeight w:val="300"/>
        </w:trPr>
        <w:tc>
          <w:tcPr>
            <w:tcW w:w="1440" w:type="dxa"/>
            <w:tcBorders>
              <w:top w:val="nil"/>
              <w:left w:val="nil"/>
              <w:bottom w:val="nil"/>
              <w:right w:val="nil"/>
            </w:tcBorders>
            <w:shd w:val="clear" w:color="auto" w:fill="auto"/>
            <w:noWrap/>
            <w:vAlign w:val="bottom"/>
            <w:hideMark/>
          </w:tcPr>
          <w:p w14:paraId="756A29A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CRC</w:t>
            </w:r>
          </w:p>
        </w:tc>
        <w:tc>
          <w:tcPr>
            <w:tcW w:w="7440" w:type="dxa"/>
            <w:tcBorders>
              <w:top w:val="nil"/>
              <w:left w:val="nil"/>
              <w:bottom w:val="nil"/>
              <w:right w:val="nil"/>
            </w:tcBorders>
            <w:shd w:val="clear" w:color="auto" w:fill="auto"/>
            <w:noWrap/>
            <w:vAlign w:val="bottom"/>
            <w:hideMark/>
          </w:tcPr>
          <w:p w14:paraId="04CC9E4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Colorectal cancer</w:t>
            </w:r>
          </w:p>
        </w:tc>
      </w:tr>
      <w:tr w:rsidR="00E844C1" w:rsidRPr="00E844C1" w14:paraId="024C56C2" w14:textId="77777777" w:rsidTr="00E844C1">
        <w:trPr>
          <w:trHeight w:val="300"/>
        </w:trPr>
        <w:tc>
          <w:tcPr>
            <w:tcW w:w="1440" w:type="dxa"/>
            <w:tcBorders>
              <w:top w:val="nil"/>
              <w:left w:val="nil"/>
              <w:bottom w:val="nil"/>
              <w:right w:val="nil"/>
            </w:tcBorders>
            <w:shd w:val="clear" w:color="auto" w:fill="auto"/>
            <w:noWrap/>
            <w:vAlign w:val="bottom"/>
            <w:hideMark/>
          </w:tcPr>
          <w:p w14:paraId="764CBB1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CREB</w:t>
            </w:r>
          </w:p>
        </w:tc>
        <w:tc>
          <w:tcPr>
            <w:tcW w:w="7440" w:type="dxa"/>
            <w:tcBorders>
              <w:top w:val="nil"/>
              <w:left w:val="nil"/>
              <w:bottom w:val="nil"/>
              <w:right w:val="nil"/>
            </w:tcBorders>
            <w:shd w:val="clear" w:color="auto" w:fill="auto"/>
            <w:noWrap/>
            <w:vAlign w:val="bottom"/>
            <w:hideMark/>
          </w:tcPr>
          <w:p w14:paraId="78B2E6C7" w14:textId="77777777" w:rsidR="00E844C1" w:rsidRPr="00E844C1" w:rsidRDefault="00E844C1" w:rsidP="00E844C1">
            <w:pPr>
              <w:rPr>
                <w:rFonts w:ascii="Calibri" w:eastAsia="Times New Roman" w:hAnsi="Calibri" w:cs="Times New Roman"/>
                <w:color w:val="000000"/>
              </w:rPr>
            </w:pPr>
            <w:proofErr w:type="spellStart"/>
            <w:proofErr w:type="gramStart"/>
            <w:r w:rsidRPr="00E844C1">
              <w:rPr>
                <w:rFonts w:ascii="Calibri" w:eastAsia="Times New Roman" w:hAnsi="Calibri" w:cs="Times New Roman"/>
                <w:color w:val="000000"/>
              </w:rPr>
              <w:t>cAMP</w:t>
            </w:r>
            <w:proofErr w:type="spellEnd"/>
            <w:proofErr w:type="gramEnd"/>
            <w:r w:rsidRPr="00E844C1">
              <w:rPr>
                <w:rFonts w:ascii="Calibri" w:eastAsia="Times New Roman" w:hAnsi="Calibri" w:cs="Times New Roman"/>
                <w:color w:val="000000"/>
              </w:rPr>
              <w:t xml:space="preserve"> response element binding protein</w:t>
            </w:r>
          </w:p>
        </w:tc>
      </w:tr>
      <w:tr w:rsidR="00E844C1" w:rsidRPr="00E844C1" w14:paraId="4B411C9D" w14:textId="77777777" w:rsidTr="00E844C1">
        <w:trPr>
          <w:trHeight w:val="300"/>
        </w:trPr>
        <w:tc>
          <w:tcPr>
            <w:tcW w:w="1440" w:type="dxa"/>
            <w:tcBorders>
              <w:top w:val="nil"/>
              <w:left w:val="nil"/>
              <w:bottom w:val="nil"/>
              <w:right w:val="nil"/>
            </w:tcBorders>
            <w:shd w:val="clear" w:color="auto" w:fill="auto"/>
            <w:noWrap/>
            <w:vAlign w:val="bottom"/>
            <w:hideMark/>
          </w:tcPr>
          <w:p w14:paraId="45A90AB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CRISPR</w:t>
            </w:r>
          </w:p>
        </w:tc>
        <w:tc>
          <w:tcPr>
            <w:tcW w:w="7440" w:type="dxa"/>
            <w:tcBorders>
              <w:top w:val="nil"/>
              <w:left w:val="nil"/>
              <w:bottom w:val="nil"/>
              <w:right w:val="nil"/>
            </w:tcBorders>
            <w:shd w:val="clear" w:color="auto" w:fill="auto"/>
            <w:noWrap/>
            <w:vAlign w:val="bottom"/>
            <w:hideMark/>
          </w:tcPr>
          <w:p w14:paraId="010C2DA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Clustered Regularly Interspaced Short Palindromic Repeats</w:t>
            </w:r>
          </w:p>
        </w:tc>
      </w:tr>
      <w:tr w:rsidR="00E844C1" w:rsidRPr="00E844C1" w14:paraId="07C34DF1" w14:textId="77777777" w:rsidTr="00E844C1">
        <w:trPr>
          <w:trHeight w:val="300"/>
        </w:trPr>
        <w:tc>
          <w:tcPr>
            <w:tcW w:w="1440" w:type="dxa"/>
            <w:tcBorders>
              <w:top w:val="nil"/>
              <w:left w:val="nil"/>
              <w:bottom w:val="nil"/>
              <w:right w:val="nil"/>
            </w:tcBorders>
            <w:shd w:val="clear" w:color="auto" w:fill="auto"/>
            <w:noWrap/>
            <w:vAlign w:val="bottom"/>
            <w:hideMark/>
          </w:tcPr>
          <w:p w14:paraId="1BF399EA"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cRNA</w:t>
            </w:r>
            <w:proofErr w:type="gramEnd"/>
          </w:p>
        </w:tc>
        <w:tc>
          <w:tcPr>
            <w:tcW w:w="7440" w:type="dxa"/>
            <w:tcBorders>
              <w:top w:val="nil"/>
              <w:left w:val="nil"/>
              <w:bottom w:val="nil"/>
              <w:right w:val="nil"/>
            </w:tcBorders>
            <w:shd w:val="clear" w:color="auto" w:fill="auto"/>
            <w:noWrap/>
            <w:vAlign w:val="bottom"/>
            <w:hideMark/>
          </w:tcPr>
          <w:p w14:paraId="6B647401"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Comlimentary</w:t>
            </w:r>
            <w:proofErr w:type="spellEnd"/>
            <w:r w:rsidRPr="00E844C1">
              <w:rPr>
                <w:rFonts w:ascii="Calibri" w:eastAsia="Times New Roman" w:hAnsi="Calibri" w:cs="Times New Roman"/>
                <w:color w:val="000000"/>
              </w:rPr>
              <w:t xml:space="preserve"> Ribonucleic acid</w:t>
            </w:r>
          </w:p>
        </w:tc>
      </w:tr>
      <w:tr w:rsidR="00E844C1" w:rsidRPr="00E844C1" w14:paraId="652C118E" w14:textId="77777777" w:rsidTr="00E844C1">
        <w:trPr>
          <w:trHeight w:val="300"/>
        </w:trPr>
        <w:tc>
          <w:tcPr>
            <w:tcW w:w="1440" w:type="dxa"/>
            <w:tcBorders>
              <w:top w:val="nil"/>
              <w:left w:val="nil"/>
              <w:bottom w:val="nil"/>
              <w:right w:val="nil"/>
            </w:tcBorders>
            <w:shd w:val="clear" w:color="auto" w:fill="auto"/>
            <w:noWrap/>
            <w:vAlign w:val="bottom"/>
            <w:hideMark/>
          </w:tcPr>
          <w:p w14:paraId="6A91C88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CRUK</w:t>
            </w:r>
          </w:p>
        </w:tc>
        <w:tc>
          <w:tcPr>
            <w:tcW w:w="7440" w:type="dxa"/>
            <w:tcBorders>
              <w:top w:val="nil"/>
              <w:left w:val="nil"/>
              <w:bottom w:val="nil"/>
              <w:right w:val="nil"/>
            </w:tcBorders>
            <w:shd w:val="clear" w:color="auto" w:fill="auto"/>
            <w:noWrap/>
            <w:vAlign w:val="bottom"/>
            <w:hideMark/>
          </w:tcPr>
          <w:p w14:paraId="75C6C2C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Cancer Research UK</w:t>
            </w:r>
          </w:p>
        </w:tc>
      </w:tr>
      <w:tr w:rsidR="00E844C1" w:rsidRPr="00E844C1" w14:paraId="74BC513E" w14:textId="77777777" w:rsidTr="00E844C1">
        <w:trPr>
          <w:trHeight w:val="300"/>
        </w:trPr>
        <w:tc>
          <w:tcPr>
            <w:tcW w:w="1440" w:type="dxa"/>
            <w:tcBorders>
              <w:top w:val="nil"/>
              <w:left w:val="nil"/>
              <w:bottom w:val="nil"/>
              <w:right w:val="nil"/>
            </w:tcBorders>
            <w:shd w:val="clear" w:color="auto" w:fill="auto"/>
            <w:noWrap/>
            <w:vAlign w:val="bottom"/>
            <w:hideMark/>
          </w:tcPr>
          <w:p w14:paraId="66AA61C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CtIP</w:t>
            </w:r>
          </w:p>
        </w:tc>
        <w:tc>
          <w:tcPr>
            <w:tcW w:w="7440" w:type="dxa"/>
            <w:tcBorders>
              <w:top w:val="nil"/>
              <w:left w:val="nil"/>
              <w:bottom w:val="nil"/>
              <w:right w:val="nil"/>
            </w:tcBorders>
            <w:shd w:val="clear" w:color="auto" w:fill="auto"/>
            <w:noWrap/>
            <w:vAlign w:val="bottom"/>
            <w:hideMark/>
          </w:tcPr>
          <w:p w14:paraId="31751BE8"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CtBP</w:t>
            </w:r>
            <w:proofErr w:type="spellEnd"/>
            <w:r w:rsidRPr="00E844C1">
              <w:rPr>
                <w:rFonts w:ascii="Calibri" w:eastAsia="Times New Roman" w:hAnsi="Calibri" w:cs="Times New Roman"/>
                <w:color w:val="000000"/>
              </w:rPr>
              <w:t xml:space="preserve"> interacting protein</w:t>
            </w:r>
          </w:p>
        </w:tc>
      </w:tr>
      <w:tr w:rsidR="00E844C1" w:rsidRPr="00E844C1" w14:paraId="6CC9C997" w14:textId="77777777" w:rsidTr="00E844C1">
        <w:trPr>
          <w:trHeight w:val="300"/>
        </w:trPr>
        <w:tc>
          <w:tcPr>
            <w:tcW w:w="1440" w:type="dxa"/>
            <w:tcBorders>
              <w:top w:val="nil"/>
              <w:left w:val="nil"/>
              <w:bottom w:val="nil"/>
              <w:right w:val="nil"/>
            </w:tcBorders>
            <w:shd w:val="clear" w:color="auto" w:fill="auto"/>
            <w:noWrap/>
            <w:vAlign w:val="bottom"/>
            <w:hideMark/>
          </w:tcPr>
          <w:p w14:paraId="7785C00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DAPI</w:t>
            </w:r>
          </w:p>
        </w:tc>
        <w:tc>
          <w:tcPr>
            <w:tcW w:w="7440" w:type="dxa"/>
            <w:tcBorders>
              <w:top w:val="nil"/>
              <w:left w:val="nil"/>
              <w:bottom w:val="nil"/>
              <w:right w:val="nil"/>
            </w:tcBorders>
            <w:shd w:val="clear" w:color="auto" w:fill="auto"/>
            <w:noWrap/>
            <w:vAlign w:val="bottom"/>
            <w:hideMark/>
          </w:tcPr>
          <w:p w14:paraId="61253E0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4'</w:t>
            </w:r>
            <w:proofErr w:type="gramStart"/>
            <w:r w:rsidRPr="00E844C1">
              <w:rPr>
                <w:rFonts w:ascii="Calibri" w:eastAsia="Times New Roman" w:hAnsi="Calibri" w:cs="Times New Roman"/>
                <w:color w:val="000000"/>
              </w:rPr>
              <w:t>,6</w:t>
            </w:r>
            <w:proofErr w:type="gramEnd"/>
            <w:r w:rsidRPr="00E844C1">
              <w:rPr>
                <w:rFonts w:ascii="Calibri" w:eastAsia="Times New Roman" w:hAnsi="Calibri" w:cs="Times New Roman"/>
                <w:color w:val="000000"/>
              </w:rPr>
              <w:t>-diamidino-2-phenylindole</w:t>
            </w:r>
          </w:p>
        </w:tc>
      </w:tr>
      <w:tr w:rsidR="00E844C1" w:rsidRPr="00E844C1" w14:paraId="466A657F" w14:textId="77777777" w:rsidTr="00E844C1">
        <w:trPr>
          <w:trHeight w:val="300"/>
        </w:trPr>
        <w:tc>
          <w:tcPr>
            <w:tcW w:w="1440" w:type="dxa"/>
            <w:tcBorders>
              <w:top w:val="nil"/>
              <w:left w:val="nil"/>
              <w:bottom w:val="nil"/>
              <w:right w:val="nil"/>
            </w:tcBorders>
            <w:shd w:val="clear" w:color="auto" w:fill="auto"/>
            <w:noWrap/>
            <w:vAlign w:val="bottom"/>
            <w:hideMark/>
          </w:tcPr>
          <w:p w14:paraId="14479C65"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dCas9</w:t>
            </w:r>
            <w:proofErr w:type="gramEnd"/>
          </w:p>
        </w:tc>
        <w:tc>
          <w:tcPr>
            <w:tcW w:w="7440" w:type="dxa"/>
            <w:tcBorders>
              <w:top w:val="nil"/>
              <w:left w:val="nil"/>
              <w:bottom w:val="nil"/>
              <w:right w:val="nil"/>
            </w:tcBorders>
            <w:shd w:val="clear" w:color="auto" w:fill="auto"/>
            <w:noWrap/>
            <w:vAlign w:val="bottom"/>
            <w:hideMark/>
          </w:tcPr>
          <w:p w14:paraId="1A478FF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Deactivated CRISPR associated protein 9</w:t>
            </w:r>
          </w:p>
        </w:tc>
      </w:tr>
      <w:tr w:rsidR="00E844C1" w:rsidRPr="00E844C1" w14:paraId="008FACB4" w14:textId="77777777" w:rsidTr="00E844C1">
        <w:trPr>
          <w:trHeight w:val="300"/>
        </w:trPr>
        <w:tc>
          <w:tcPr>
            <w:tcW w:w="1440" w:type="dxa"/>
            <w:tcBorders>
              <w:top w:val="nil"/>
              <w:left w:val="nil"/>
              <w:bottom w:val="nil"/>
              <w:right w:val="nil"/>
            </w:tcBorders>
            <w:shd w:val="clear" w:color="auto" w:fill="auto"/>
            <w:noWrap/>
            <w:vAlign w:val="bottom"/>
            <w:hideMark/>
          </w:tcPr>
          <w:p w14:paraId="7AC49B84"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ddH2O</w:t>
            </w:r>
            <w:proofErr w:type="gramEnd"/>
          </w:p>
        </w:tc>
        <w:tc>
          <w:tcPr>
            <w:tcW w:w="7440" w:type="dxa"/>
            <w:tcBorders>
              <w:top w:val="nil"/>
              <w:left w:val="nil"/>
              <w:bottom w:val="nil"/>
              <w:right w:val="nil"/>
            </w:tcBorders>
            <w:shd w:val="clear" w:color="auto" w:fill="auto"/>
            <w:noWrap/>
            <w:vAlign w:val="bottom"/>
            <w:hideMark/>
          </w:tcPr>
          <w:p w14:paraId="638F03B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Double distilled water</w:t>
            </w:r>
          </w:p>
        </w:tc>
      </w:tr>
      <w:tr w:rsidR="00E844C1" w:rsidRPr="00E844C1" w14:paraId="7EBD7548" w14:textId="77777777" w:rsidTr="00E844C1">
        <w:trPr>
          <w:trHeight w:val="300"/>
        </w:trPr>
        <w:tc>
          <w:tcPr>
            <w:tcW w:w="1440" w:type="dxa"/>
            <w:tcBorders>
              <w:top w:val="nil"/>
              <w:left w:val="nil"/>
              <w:bottom w:val="nil"/>
              <w:right w:val="nil"/>
            </w:tcBorders>
            <w:shd w:val="clear" w:color="auto" w:fill="auto"/>
            <w:noWrap/>
            <w:vAlign w:val="bottom"/>
            <w:hideMark/>
          </w:tcPr>
          <w:p w14:paraId="22E1219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DDR</w:t>
            </w:r>
          </w:p>
        </w:tc>
        <w:tc>
          <w:tcPr>
            <w:tcW w:w="7440" w:type="dxa"/>
            <w:tcBorders>
              <w:top w:val="nil"/>
              <w:left w:val="nil"/>
              <w:bottom w:val="nil"/>
              <w:right w:val="nil"/>
            </w:tcBorders>
            <w:shd w:val="clear" w:color="auto" w:fill="auto"/>
            <w:noWrap/>
            <w:vAlign w:val="bottom"/>
            <w:hideMark/>
          </w:tcPr>
          <w:p w14:paraId="31D2CAD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DNA damage response</w:t>
            </w:r>
          </w:p>
        </w:tc>
      </w:tr>
      <w:tr w:rsidR="00E844C1" w:rsidRPr="00E844C1" w14:paraId="723CDF88" w14:textId="77777777" w:rsidTr="00E844C1">
        <w:trPr>
          <w:trHeight w:val="300"/>
        </w:trPr>
        <w:tc>
          <w:tcPr>
            <w:tcW w:w="1440" w:type="dxa"/>
            <w:tcBorders>
              <w:top w:val="nil"/>
              <w:left w:val="nil"/>
              <w:bottom w:val="nil"/>
              <w:right w:val="nil"/>
            </w:tcBorders>
            <w:shd w:val="clear" w:color="auto" w:fill="auto"/>
            <w:noWrap/>
            <w:vAlign w:val="bottom"/>
            <w:hideMark/>
          </w:tcPr>
          <w:p w14:paraId="4549506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DMEM</w:t>
            </w:r>
          </w:p>
        </w:tc>
        <w:tc>
          <w:tcPr>
            <w:tcW w:w="7440" w:type="dxa"/>
            <w:tcBorders>
              <w:top w:val="nil"/>
              <w:left w:val="nil"/>
              <w:bottom w:val="nil"/>
              <w:right w:val="nil"/>
            </w:tcBorders>
            <w:shd w:val="clear" w:color="auto" w:fill="auto"/>
            <w:noWrap/>
            <w:vAlign w:val="bottom"/>
            <w:hideMark/>
          </w:tcPr>
          <w:p w14:paraId="289EE17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Dulbecco's Modified Eagle's Medium</w:t>
            </w:r>
          </w:p>
        </w:tc>
      </w:tr>
      <w:tr w:rsidR="00E844C1" w:rsidRPr="00E844C1" w14:paraId="0B01104A" w14:textId="77777777" w:rsidTr="00E844C1">
        <w:trPr>
          <w:trHeight w:val="300"/>
        </w:trPr>
        <w:tc>
          <w:tcPr>
            <w:tcW w:w="1440" w:type="dxa"/>
            <w:tcBorders>
              <w:top w:val="nil"/>
              <w:left w:val="nil"/>
              <w:bottom w:val="nil"/>
              <w:right w:val="nil"/>
            </w:tcBorders>
            <w:shd w:val="clear" w:color="auto" w:fill="auto"/>
            <w:noWrap/>
            <w:vAlign w:val="bottom"/>
            <w:hideMark/>
          </w:tcPr>
          <w:p w14:paraId="245858E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DNA</w:t>
            </w:r>
          </w:p>
        </w:tc>
        <w:tc>
          <w:tcPr>
            <w:tcW w:w="7440" w:type="dxa"/>
            <w:tcBorders>
              <w:top w:val="nil"/>
              <w:left w:val="nil"/>
              <w:bottom w:val="nil"/>
              <w:right w:val="nil"/>
            </w:tcBorders>
            <w:shd w:val="clear" w:color="auto" w:fill="auto"/>
            <w:noWrap/>
            <w:vAlign w:val="bottom"/>
            <w:hideMark/>
          </w:tcPr>
          <w:p w14:paraId="6C581A9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Deoxyribonucleic acid</w:t>
            </w:r>
          </w:p>
        </w:tc>
      </w:tr>
      <w:tr w:rsidR="00E844C1" w:rsidRPr="00E844C1" w14:paraId="2FF88F2C" w14:textId="77777777" w:rsidTr="00E844C1">
        <w:trPr>
          <w:trHeight w:val="300"/>
        </w:trPr>
        <w:tc>
          <w:tcPr>
            <w:tcW w:w="1440" w:type="dxa"/>
            <w:tcBorders>
              <w:top w:val="nil"/>
              <w:left w:val="nil"/>
              <w:bottom w:val="nil"/>
              <w:right w:val="nil"/>
            </w:tcBorders>
            <w:shd w:val="clear" w:color="auto" w:fill="auto"/>
            <w:noWrap/>
            <w:vAlign w:val="bottom"/>
            <w:hideMark/>
          </w:tcPr>
          <w:p w14:paraId="42DA9D0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DNA-PK</w:t>
            </w:r>
          </w:p>
        </w:tc>
        <w:tc>
          <w:tcPr>
            <w:tcW w:w="7440" w:type="dxa"/>
            <w:tcBorders>
              <w:top w:val="nil"/>
              <w:left w:val="nil"/>
              <w:bottom w:val="nil"/>
              <w:right w:val="nil"/>
            </w:tcBorders>
            <w:shd w:val="clear" w:color="auto" w:fill="auto"/>
            <w:noWrap/>
            <w:vAlign w:val="bottom"/>
            <w:hideMark/>
          </w:tcPr>
          <w:p w14:paraId="57C8087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DNA dependent protein kinase</w:t>
            </w:r>
          </w:p>
        </w:tc>
      </w:tr>
      <w:tr w:rsidR="00E844C1" w:rsidRPr="00E844C1" w14:paraId="4001D4E2" w14:textId="77777777" w:rsidTr="00E844C1">
        <w:trPr>
          <w:trHeight w:val="300"/>
        </w:trPr>
        <w:tc>
          <w:tcPr>
            <w:tcW w:w="1440" w:type="dxa"/>
            <w:tcBorders>
              <w:top w:val="nil"/>
              <w:left w:val="nil"/>
              <w:bottom w:val="nil"/>
              <w:right w:val="nil"/>
            </w:tcBorders>
            <w:shd w:val="clear" w:color="auto" w:fill="auto"/>
            <w:noWrap/>
            <w:vAlign w:val="bottom"/>
            <w:hideMark/>
          </w:tcPr>
          <w:p w14:paraId="6D9966B2" w14:textId="77777777" w:rsidR="00E844C1" w:rsidRPr="00E844C1" w:rsidRDefault="00E844C1" w:rsidP="00E844C1">
            <w:pPr>
              <w:rPr>
                <w:rFonts w:ascii="Calibri" w:eastAsia="Times New Roman" w:hAnsi="Calibri" w:cs="Times New Roman"/>
                <w:color w:val="000000"/>
              </w:rPr>
            </w:pPr>
            <w:proofErr w:type="spellStart"/>
            <w:proofErr w:type="gramStart"/>
            <w:r w:rsidRPr="00E844C1">
              <w:rPr>
                <w:rFonts w:ascii="Calibri" w:eastAsia="Times New Roman" w:hAnsi="Calibri" w:cs="Times New Roman"/>
                <w:color w:val="000000"/>
              </w:rPr>
              <w:t>dNTPs</w:t>
            </w:r>
            <w:proofErr w:type="spellEnd"/>
            <w:proofErr w:type="gramEnd"/>
          </w:p>
        </w:tc>
        <w:tc>
          <w:tcPr>
            <w:tcW w:w="7440" w:type="dxa"/>
            <w:tcBorders>
              <w:top w:val="nil"/>
              <w:left w:val="nil"/>
              <w:bottom w:val="nil"/>
              <w:right w:val="nil"/>
            </w:tcBorders>
            <w:shd w:val="clear" w:color="auto" w:fill="auto"/>
            <w:noWrap/>
            <w:vAlign w:val="bottom"/>
            <w:hideMark/>
          </w:tcPr>
          <w:p w14:paraId="3105A118"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Deoxynucleotides</w:t>
            </w:r>
            <w:proofErr w:type="spellEnd"/>
          </w:p>
        </w:tc>
      </w:tr>
      <w:tr w:rsidR="00E844C1" w:rsidRPr="00E844C1" w14:paraId="2A1C1936" w14:textId="77777777" w:rsidTr="00E844C1">
        <w:trPr>
          <w:trHeight w:val="300"/>
        </w:trPr>
        <w:tc>
          <w:tcPr>
            <w:tcW w:w="1440" w:type="dxa"/>
            <w:tcBorders>
              <w:top w:val="nil"/>
              <w:left w:val="nil"/>
              <w:bottom w:val="nil"/>
              <w:right w:val="nil"/>
            </w:tcBorders>
            <w:shd w:val="clear" w:color="auto" w:fill="auto"/>
            <w:noWrap/>
            <w:vAlign w:val="bottom"/>
            <w:hideMark/>
          </w:tcPr>
          <w:p w14:paraId="2150C0A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DOM</w:t>
            </w:r>
          </w:p>
        </w:tc>
        <w:tc>
          <w:tcPr>
            <w:tcW w:w="7440" w:type="dxa"/>
            <w:tcBorders>
              <w:top w:val="nil"/>
              <w:left w:val="nil"/>
              <w:bottom w:val="nil"/>
              <w:right w:val="nil"/>
            </w:tcBorders>
            <w:shd w:val="clear" w:color="auto" w:fill="auto"/>
            <w:noWrap/>
            <w:vAlign w:val="bottom"/>
            <w:hideMark/>
          </w:tcPr>
          <w:p w14:paraId="31FBF61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Domino</w:t>
            </w:r>
          </w:p>
        </w:tc>
      </w:tr>
      <w:tr w:rsidR="00E844C1" w:rsidRPr="00E844C1" w14:paraId="3F176639" w14:textId="77777777" w:rsidTr="00E844C1">
        <w:trPr>
          <w:trHeight w:val="300"/>
        </w:trPr>
        <w:tc>
          <w:tcPr>
            <w:tcW w:w="1440" w:type="dxa"/>
            <w:tcBorders>
              <w:top w:val="nil"/>
              <w:left w:val="nil"/>
              <w:bottom w:val="nil"/>
              <w:right w:val="nil"/>
            </w:tcBorders>
            <w:shd w:val="clear" w:color="auto" w:fill="auto"/>
            <w:noWrap/>
            <w:vAlign w:val="bottom"/>
            <w:hideMark/>
          </w:tcPr>
          <w:p w14:paraId="12FFEC1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DPD</w:t>
            </w:r>
          </w:p>
        </w:tc>
        <w:tc>
          <w:tcPr>
            <w:tcW w:w="7440" w:type="dxa"/>
            <w:tcBorders>
              <w:top w:val="nil"/>
              <w:left w:val="nil"/>
              <w:bottom w:val="nil"/>
              <w:right w:val="nil"/>
            </w:tcBorders>
            <w:shd w:val="clear" w:color="auto" w:fill="auto"/>
            <w:noWrap/>
            <w:vAlign w:val="bottom"/>
            <w:hideMark/>
          </w:tcPr>
          <w:p w14:paraId="7F10B5B2"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Dihydropyrimidine</w:t>
            </w:r>
            <w:proofErr w:type="spellEnd"/>
            <w:r w:rsidRPr="00E844C1">
              <w:rPr>
                <w:rFonts w:ascii="Calibri" w:eastAsia="Times New Roman" w:hAnsi="Calibri" w:cs="Times New Roman"/>
                <w:color w:val="000000"/>
              </w:rPr>
              <w:t xml:space="preserve"> dehydrogenase </w:t>
            </w:r>
          </w:p>
        </w:tc>
      </w:tr>
      <w:tr w:rsidR="00E844C1" w:rsidRPr="00E844C1" w14:paraId="73504624" w14:textId="77777777" w:rsidTr="00E844C1">
        <w:trPr>
          <w:trHeight w:val="300"/>
        </w:trPr>
        <w:tc>
          <w:tcPr>
            <w:tcW w:w="1440" w:type="dxa"/>
            <w:tcBorders>
              <w:top w:val="nil"/>
              <w:left w:val="nil"/>
              <w:bottom w:val="nil"/>
              <w:right w:val="nil"/>
            </w:tcBorders>
            <w:shd w:val="clear" w:color="auto" w:fill="auto"/>
            <w:noWrap/>
            <w:vAlign w:val="bottom"/>
            <w:hideMark/>
          </w:tcPr>
          <w:p w14:paraId="7FB97C9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DSB</w:t>
            </w:r>
          </w:p>
        </w:tc>
        <w:tc>
          <w:tcPr>
            <w:tcW w:w="7440" w:type="dxa"/>
            <w:tcBorders>
              <w:top w:val="nil"/>
              <w:left w:val="nil"/>
              <w:bottom w:val="nil"/>
              <w:right w:val="nil"/>
            </w:tcBorders>
            <w:shd w:val="clear" w:color="auto" w:fill="auto"/>
            <w:noWrap/>
            <w:vAlign w:val="bottom"/>
            <w:hideMark/>
          </w:tcPr>
          <w:p w14:paraId="09ED653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Double strand breaks</w:t>
            </w:r>
          </w:p>
        </w:tc>
      </w:tr>
      <w:tr w:rsidR="00E844C1" w:rsidRPr="00E844C1" w14:paraId="18DE95D2" w14:textId="77777777" w:rsidTr="00E844C1">
        <w:trPr>
          <w:trHeight w:val="300"/>
        </w:trPr>
        <w:tc>
          <w:tcPr>
            <w:tcW w:w="1440" w:type="dxa"/>
            <w:tcBorders>
              <w:top w:val="nil"/>
              <w:left w:val="nil"/>
              <w:bottom w:val="nil"/>
              <w:right w:val="nil"/>
            </w:tcBorders>
            <w:shd w:val="clear" w:color="auto" w:fill="auto"/>
            <w:noWrap/>
            <w:vAlign w:val="bottom"/>
            <w:hideMark/>
          </w:tcPr>
          <w:p w14:paraId="699FD381"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Dsh</w:t>
            </w:r>
            <w:proofErr w:type="spellEnd"/>
          </w:p>
        </w:tc>
        <w:tc>
          <w:tcPr>
            <w:tcW w:w="7440" w:type="dxa"/>
            <w:tcBorders>
              <w:top w:val="nil"/>
              <w:left w:val="nil"/>
              <w:bottom w:val="nil"/>
              <w:right w:val="nil"/>
            </w:tcBorders>
            <w:shd w:val="clear" w:color="auto" w:fill="auto"/>
            <w:noWrap/>
            <w:vAlign w:val="bottom"/>
            <w:hideMark/>
          </w:tcPr>
          <w:p w14:paraId="3381E29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Dishevelled</w:t>
            </w:r>
          </w:p>
        </w:tc>
      </w:tr>
      <w:tr w:rsidR="00E844C1" w:rsidRPr="00E844C1" w14:paraId="4EDFE61E" w14:textId="77777777" w:rsidTr="00E844C1">
        <w:trPr>
          <w:trHeight w:val="300"/>
        </w:trPr>
        <w:tc>
          <w:tcPr>
            <w:tcW w:w="1440" w:type="dxa"/>
            <w:tcBorders>
              <w:top w:val="nil"/>
              <w:left w:val="nil"/>
              <w:bottom w:val="nil"/>
              <w:right w:val="nil"/>
            </w:tcBorders>
            <w:shd w:val="clear" w:color="auto" w:fill="auto"/>
            <w:noWrap/>
            <w:vAlign w:val="bottom"/>
            <w:hideMark/>
          </w:tcPr>
          <w:p w14:paraId="2E26606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EdU</w:t>
            </w:r>
          </w:p>
        </w:tc>
        <w:tc>
          <w:tcPr>
            <w:tcW w:w="7440" w:type="dxa"/>
            <w:tcBorders>
              <w:top w:val="nil"/>
              <w:left w:val="nil"/>
              <w:bottom w:val="nil"/>
              <w:right w:val="nil"/>
            </w:tcBorders>
            <w:shd w:val="clear" w:color="auto" w:fill="auto"/>
            <w:noWrap/>
            <w:vAlign w:val="bottom"/>
            <w:hideMark/>
          </w:tcPr>
          <w:p w14:paraId="114CEAF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5-ethynyl-2’-deoxyuridine</w:t>
            </w:r>
          </w:p>
        </w:tc>
      </w:tr>
      <w:tr w:rsidR="00E844C1" w:rsidRPr="00E844C1" w14:paraId="41117005" w14:textId="77777777" w:rsidTr="00E844C1">
        <w:trPr>
          <w:trHeight w:val="300"/>
        </w:trPr>
        <w:tc>
          <w:tcPr>
            <w:tcW w:w="1440" w:type="dxa"/>
            <w:tcBorders>
              <w:top w:val="nil"/>
              <w:left w:val="nil"/>
              <w:bottom w:val="nil"/>
              <w:right w:val="nil"/>
            </w:tcBorders>
            <w:shd w:val="clear" w:color="auto" w:fill="auto"/>
            <w:noWrap/>
            <w:vAlign w:val="bottom"/>
            <w:hideMark/>
          </w:tcPr>
          <w:p w14:paraId="7E8BF08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EGF</w:t>
            </w:r>
          </w:p>
        </w:tc>
        <w:tc>
          <w:tcPr>
            <w:tcW w:w="7440" w:type="dxa"/>
            <w:tcBorders>
              <w:top w:val="nil"/>
              <w:left w:val="nil"/>
              <w:bottom w:val="nil"/>
              <w:right w:val="nil"/>
            </w:tcBorders>
            <w:shd w:val="clear" w:color="auto" w:fill="auto"/>
            <w:noWrap/>
            <w:vAlign w:val="bottom"/>
            <w:hideMark/>
          </w:tcPr>
          <w:p w14:paraId="5998416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Epidermal growth factor</w:t>
            </w:r>
          </w:p>
        </w:tc>
      </w:tr>
      <w:tr w:rsidR="00E844C1" w:rsidRPr="00E844C1" w14:paraId="2369EAED" w14:textId="77777777" w:rsidTr="00E844C1">
        <w:trPr>
          <w:trHeight w:val="300"/>
        </w:trPr>
        <w:tc>
          <w:tcPr>
            <w:tcW w:w="1440" w:type="dxa"/>
            <w:tcBorders>
              <w:top w:val="nil"/>
              <w:left w:val="nil"/>
              <w:bottom w:val="nil"/>
              <w:right w:val="nil"/>
            </w:tcBorders>
            <w:shd w:val="clear" w:color="auto" w:fill="auto"/>
            <w:noWrap/>
            <w:vAlign w:val="bottom"/>
            <w:hideMark/>
          </w:tcPr>
          <w:p w14:paraId="55034FB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EGFR</w:t>
            </w:r>
          </w:p>
        </w:tc>
        <w:tc>
          <w:tcPr>
            <w:tcW w:w="7440" w:type="dxa"/>
            <w:tcBorders>
              <w:top w:val="nil"/>
              <w:left w:val="nil"/>
              <w:bottom w:val="nil"/>
              <w:right w:val="nil"/>
            </w:tcBorders>
            <w:shd w:val="clear" w:color="auto" w:fill="auto"/>
            <w:noWrap/>
            <w:vAlign w:val="bottom"/>
            <w:hideMark/>
          </w:tcPr>
          <w:p w14:paraId="7B16593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Epidermal growth factor receptor</w:t>
            </w:r>
          </w:p>
        </w:tc>
      </w:tr>
      <w:tr w:rsidR="00E844C1" w:rsidRPr="00E844C1" w14:paraId="789684BC" w14:textId="77777777" w:rsidTr="00E844C1">
        <w:trPr>
          <w:trHeight w:val="300"/>
        </w:trPr>
        <w:tc>
          <w:tcPr>
            <w:tcW w:w="1440" w:type="dxa"/>
            <w:tcBorders>
              <w:top w:val="nil"/>
              <w:left w:val="nil"/>
              <w:bottom w:val="nil"/>
              <w:right w:val="nil"/>
            </w:tcBorders>
            <w:shd w:val="clear" w:color="auto" w:fill="auto"/>
            <w:noWrap/>
            <w:vAlign w:val="bottom"/>
            <w:hideMark/>
          </w:tcPr>
          <w:p w14:paraId="31664C7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ELK3</w:t>
            </w:r>
          </w:p>
        </w:tc>
        <w:tc>
          <w:tcPr>
            <w:tcW w:w="7440" w:type="dxa"/>
            <w:tcBorders>
              <w:top w:val="nil"/>
              <w:left w:val="nil"/>
              <w:bottom w:val="nil"/>
              <w:right w:val="nil"/>
            </w:tcBorders>
            <w:shd w:val="clear" w:color="auto" w:fill="auto"/>
            <w:noWrap/>
            <w:vAlign w:val="bottom"/>
            <w:hideMark/>
          </w:tcPr>
          <w:p w14:paraId="3C8FED7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ETS transcription factor</w:t>
            </w:r>
          </w:p>
        </w:tc>
      </w:tr>
      <w:tr w:rsidR="00E844C1" w:rsidRPr="00E844C1" w14:paraId="64DB1284" w14:textId="77777777" w:rsidTr="00E844C1">
        <w:trPr>
          <w:trHeight w:val="300"/>
        </w:trPr>
        <w:tc>
          <w:tcPr>
            <w:tcW w:w="1440" w:type="dxa"/>
            <w:tcBorders>
              <w:top w:val="nil"/>
              <w:left w:val="nil"/>
              <w:bottom w:val="nil"/>
              <w:right w:val="nil"/>
            </w:tcBorders>
            <w:shd w:val="clear" w:color="auto" w:fill="auto"/>
            <w:noWrap/>
            <w:vAlign w:val="bottom"/>
            <w:hideMark/>
          </w:tcPr>
          <w:p w14:paraId="416F269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ERK</w:t>
            </w:r>
          </w:p>
        </w:tc>
        <w:tc>
          <w:tcPr>
            <w:tcW w:w="7440" w:type="dxa"/>
            <w:tcBorders>
              <w:top w:val="nil"/>
              <w:left w:val="nil"/>
              <w:bottom w:val="nil"/>
              <w:right w:val="nil"/>
            </w:tcBorders>
            <w:shd w:val="clear" w:color="auto" w:fill="auto"/>
            <w:noWrap/>
            <w:vAlign w:val="bottom"/>
            <w:hideMark/>
          </w:tcPr>
          <w:p w14:paraId="602775B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Extracellular signal-regulated kinases</w:t>
            </w:r>
          </w:p>
        </w:tc>
      </w:tr>
      <w:tr w:rsidR="00E844C1" w:rsidRPr="00E844C1" w14:paraId="0C7636EE" w14:textId="77777777" w:rsidTr="00E844C1">
        <w:trPr>
          <w:trHeight w:val="300"/>
        </w:trPr>
        <w:tc>
          <w:tcPr>
            <w:tcW w:w="1440" w:type="dxa"/>
            <w:tcBorders>
              <w:top w:val="nil"/>
              <w:left w:val="nil"/>
              <w:bottom w:val="nil"/>
              <w:right w:val="nil"/>
            </w:tcBorders>
            <w:shd w:val="clear" w:color="auto" w:fill="auto"/>
            <w:noWrap/>
            <w:vAlign w:val="bottom"/>
            <w:hideMark/>
          </w:tcPr>
          <w:p w14:paraId="43623E8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EXO1</w:t>
            </w:r>
          </w:p>
        </w:tc>
        <w:tc>
          <w:tcPr>
            <w:tcW w:w="7440" w:type="dxa"/>
            <w:tcBorders>
              <w:top w:val="nil"/>
              <w:left w:val="nil"/>
              <w:bottom w:val="nil"/>
              <w:right w:val="nil"/>
            </w:tcBorders>
            <w:shd w:val="clear" w:color="auto" w:fill="auto"/>
            <w:noWrap/>
            <w:vAlign w:val="bottom"/>
            <w:hideMark/>
          </w:tcPr>
          <w:p w14:paraId="2B057C1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Exonuclease 1</w:t>
            </w:r>
          </w:p>
        </w:tc>
      </w:tr>
      <w:tr w:rsidR="00E844C1" w:rsidRPr="00E844C1" w14:paraId="5A3EEA8C" w14:textId="77777777" w:rsidTr="00E844C1">
        <w:trPr>
          <w:trHeight w:val="300"/>
        </w:trPr>
        <w:tc>
          <w:tcPr>
            <w:tcW w:w="1440" w:type="dxa"/>
            <w:tcBorders>
              <w:top w:val="nil"/>
              <w:left w:val="nil"/>
              <w:bottom w:val="nil"/>
              <w:right w:val="nil"/>
            </w:tcBorders>
            <w:shd w:val="clear" w:color="auto" w:fill="auto"/>
            <w:noWrap/>
            <w:vAlign w:val="bottom"/>
            <w:hideMark/>
          </w:tcPr>
          <w:p w14:paraId="2E26014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FACS</w:t>
            </w:r>
          </w:p>
        </w:tc>
        <w:tc>
          <w:tcPr>
            <w:tcW w:w="7440" w:type="dxa"/>
            <w:tcBorders>
              <w:top w:val="nil"/>
              <w:left w:val="nil"/>
              <w:bottom w:val="nil"/>
              <w:right w:val="nil"/>
            </w:tcBorders>
            <w:shd w:val="clear" w:color="auto" w:fill="auto"/>
            <w:noWrap/>
            <w:vAlign w:val="bottom"/>
            <w:hideMark/>
          </w:tcPr>
          <w:p w14:paraId="030B0EA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Fluorescent activated cell sorting</w:t>
            </w:r>
          </w:p>
        </w:tc>
      </w:tr>
      <w:tr w:rsidR="00E844C1" w:rsidRPr="00E844C1" w14:paraId="407978D9" w14:textId="77777777" w:rsidTr="00E844C1">
        <w:trPr>
          <w:trHeight w:val="300"/>
        </w:trPr>
        <w:tc>
          <w:tcPr>
            <w:tcW w:w="1440" w:type="dxa"/>
            <w:tcBorders>
              <w:top w:val="nil"/>
              <w:left w:val="nil"/>
              <w:bottom w:val="nil"/>
              <w:right w:val="nil"/>
            </w:tcBorders>
            <w:shd w:val="clear" w:color="auto" w:fill="auto"/>
            <w:noWrap/>
            <w:vAlign w:val="bottom"/>
            <w:hideMark/>
          </w:tcPr>
          <w:p w14:paraId="3AB8E5B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FAM</w:t>
            </w:r>
          </w:p>
        </w:tc>
        <w:tc>
          <w:tcPr>
            <w:tcW w:w="7440" w:type="dxa"/>
            <w:tcBorders>
              <w:top w:val="nil"/>
              <w:left w:val="nil"/>
              <w:bottom w:val="nil"/>
              <w:right w:val="nil"/>
            </w:tcBorders>
            <w:shd w:val="clear" w:color="auto" w:fill="auto"/>
            <w:noWrap/>
            <w:vAlign w:val="bottom"/>
            <w:hideMark/>
          </w:tcPr>
          <w:p w14:paraId="62505FD6"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Carboxyfluorescein</w:t>
            </w:r>
            <w:proofErr w:type="spellEnd"/>
          </w:p>
        </w:tc>
      </w:tr>
      <w:tr w:rsidR="00E844C1" w:rsidRPr="00E844C1" w14:paraId="5B96B84A" w14:textId="77777777" w:rsidTr="00E844C1">
        <w:trPr>
          <w:trHeight w:val="300"/>
        </w:trPr>
        <w:tc>
          <w:tcPr>
            <w:tcW w:w="1440" w:type="dxa"/>
            <w:tcBorders>
              <w:top w:val="nil"/>
              <w:left w:val="nil"/>
              <w:bottom w:val="nil"/>
              <w:right w:val="nil"/>
            </w:tcBorders>
            <w:shd w:val="clear" w:color="auto" w:fill="auto"/>
            <w:noWrap/>
            <w:vAlign w:val="bottom"/>
            <w:hideMark/>
          </w:tcPr>
          <w:p w14:paraId="0F1DEA1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FAP</w:t>
            </w:r>
          </w:p>
        </w:tc>
        <w:tc>
          <w:tcPr>
            <w:tcW w:w="7440" w:type="dxa"/>
            <w:tcBorders>
              <w:top w:val="nil"/>
              <w:left w:val="nil"/>
              <w:bottom w:val="nil"/>
              <w:right w:val="nil"/>
            </w:tcBorders>
            <w:shd w:val="clear" w:color="auto" w:fill="auto"/>
            <w:noWrap/>
            <w:vAlign w:val="bottom"/>
            <w:hideMark/>
          </w:tcPr>
          <w:p w14:paraId="09AA0BE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Familial Adenomatous Polyposis </w:t>
            </w:r>
          </w:p>
        </w:tc>
      </w:tr>
      <w:tr w:rsidR="00E844C1" w:rsidRPr="00E844C1" w14:paraId="2F0BB9F5" w14:textId="77777777" w:rsidTr="00E844C1">
        <w:trPr>
          <w:trHeight w:val="300"/>
        </w:trPr>
        <w:tc>
          <w:tcPr>
            <w:tcW w:w="1440" w:type="dxa"/>
            <w:tcBorders>
              <w:top w:val="nil"/>
              <w:left w:val="nil"/>
              <w:bottom w:val="nil"/>
              <w:right w:val="nil"/>
            </w:tcBorders>
            <w:shd w:val="clear" w:color="auto" w:fill="auto"/>
            <w:noWrap/>
            <w:vAlign w:val="bottom"/>
            <w:hideMark/>
          </w:tcPr>
          <w:p w14:paraId="4028CAE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FCC</w:t>
            </w:r>
          </w:p>
        </w:tc>
        <w:tc>
          <w:tcPr>
            <w:tcW w:w="7440" w:type="dxa"/>
            <w:tcBorders>
              <w:top w:val="nil"/>
              <w:left w:val="nil"/>
              <w:bottom w:val="nil"/>
              <w:right w:val="nil"/>
            </w:tcBorders>
            <w:shd w:val="clear" w:color="auto" w:fill="auto"/>
            <w:noWrap/>
            <w:vAlign w:val="bottom"/>
            <w:hideMark/>
          </w:tcPr>
          <w:p w14:paraId="77FC8F2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Familial Colorectal Cancer</w:t>
            </w:r>
          </w:p>
        </w:tc>
      </w:tr>
      <w:tr w:rsidR="00E844C1" w:rsidRPr="00E844C1" w14:paraId="2D660C7E" w14:textId="77777777" w:rsidTr="00E844C1">
        <w:trPr>
          <w:trHeight w:val="300"/>
        </w:trPr>
        <w:tc>
          <w:tcPr>
            <w:tcW w:w="1440" w:type="dxa"/>
            <w:tcBorders>
              <w:top w:val="nil"/>
              <w:left w:val="nil"/>
              <w:bottom w:val="nil"/>
              <w:right w:val="nil"/>
            </w:tcBorders>
            <w:shd w:val="clear" w:color="auto" w:fill="auto"/>
            <w:noWrap/>
            <w:vAlign w:val="bottom"/>
            <w:hideMark/>
          </w:tcPr>
          <w:p w14:paraId="6FE9C53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FCS</w:t>
            </w:r>
          </w:p>
        </w:tc>
        <w:tc>
          <w:tcPr>
            <w:tcW w:w="7440" w:type="dxa"/>
            <w:tcBorders>
              <w:top w:val="nil"/>
              <w:left w:val="nil"/>
              <w:bottom w:val="nil"/>
              <w:right w:val="nil"/>
            </w:tcBorders>
            <w:shd w:val="clear" w:color="auto" w:fill="auto"/>
            <w:noWrap/>
            <w:vAlign w:val="bottom"/>
            <w:hideMark/>
          </w:tcPr>
          <w:p w14:paraId="7640C22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Foetal Calf Serum</w:t>
            </w:r>
          </w:p>
        </w:tc>
      </w:tr>
      <w:tr w:rsidR="00E844C1" w:rsidRPr="00E844C1" w14:paraId="288FB105" w14:textId="77777777" w:rsidTr="00E844C1">
        <w:trPr>
          <w:trHeight w:val="300"/>
        </w:trPr>
        <w:tc>
          <w:tcPr>
            <w:tcW w:w="1440" w:type="dxa"/>
            <w:tcBorders>
              <w:top w:val="nil"/>
              <w:left w:val="nil"/>
              <w:bottom w:val="nil"/>
              <w:right w:val="nil"/>
            </w:tcBorders>
            <w:shd w:val="clear" w:color="auto" w:fill="auto"/>
            <w:noWrap/>
            <w:vAlign w:val="bottom"/>
            <w:hideMark/>
          </w:tcPr>
          <w:p w14:paraId="3EFA170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FGFBP1</w:t>
            </w:r>
          </w:p>
        </w:tc>
        <w:tc>
          <w:tcPr>
            <w:tcW w:w="7440" w:type="dxa"/>
            <w:tcBorders>
              <w:top w:val="nil"/>
              <w:left w:val="nil"/>
              <w:bottom w:val="nil"/>
              <w:right w:val="nil"/>
            </w:tcBorders>
            <w:shd w:val="clear" w:color="auto" w:fill="auto"/>
            <w:noWrap/>
            <w:vAlign w:val="bottom"/>
            <w:hideMark/>
          </w:tcPr>
          <w:p w14:paraId="1B51B4B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Fibroblast Growth Factor Binding Protein 1</w:t>
            </w:r>
          </w:p>
        </w:tc>
      </w:tr>
      <w:tr w:rsidR="00E844C1" w:rsidRPr="00E844C1" w14:paraId="7ABF0619" w14:textId="77777777" w:rsidTr="00E844C1">
        <w:trPr>
          <w:trHeight w:val="300"/>
        </w:trPr>
        <w:tc>
          <w:tcPr>
            <w:tcW w:w="1440" w:type="dxa"/>
            <w:tcBorders>
              <w:top w:val="nil"/>
              <w:left w:val="nil"/>
              <w:bottom w:val="nil"/>
              <w:right w:val="nil"/>
            </w:tcBorders>
            <w:shd w:val="clear" w:color="auto" w:fill="auto"/>
            <w:noWrap/>
            <w:vAlign w:val="bottom"/>
            <w:hideMark/>
          </w:tcPr>
          <w:p w14:paraId="2B86D80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FHS</w:t>
            </w:r>
          </w:p>
        </w:tc>
        <w:tc>
          <w:tcPr>
            <w:tcW w:w="7440" w:type="dxa"/>
            <w:tcBorders>
              <w:top w:val="nil"/>
              <w:left w:val="nil"/>
              <w:bottom w:val="nil"/>
              <w:right w:val="nil"/>
            </w:tcBorders>
            <w:shd w:val="clear" w:color="auto" w:fill="auto"/>
            <w:noWrap/>
            <w:vAlign w:val="bottom"/>
            <w:hideMark/>
          </w:tcPr>
          <w:p w14:paraId="6F1B05E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Floating-Harbor Syndrome</w:t>
            </w:r>
          </w:p>
        </w:tc>
      </w:tr>
      <w:tr w:rsidR="00E844C1" w:rsidRPr="00E844C1" w14:paraId="5F7D9B6E" w14:textId="77777777" w:rsidTr="00E844C1">
        <w:trPr>
          <w:trHeight w:val="300"/>
        </w:trPr>
        <w:tc>
          <w:tcPr>
            <w:tcW w:w="1440" w:type="dxa"/>
            <w:tcBorders>
              <w:top w:val="nil"/>
              <w:left w:val="nil"/>
              <w:bottom w:val="nil"/>
              <w:right w:val="nil"/>
            </w:tcBorders>
            <w:shd w:val="clear" w:color="auto" w:fill="auto"/>
            <w:noWrap/>
            <w:vAlign w:val="bottom"/>
            <w:hideMark/>
          </w:tcPr>
          <w:p w14:paraId="0D59E57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FITC</w:t>
            </w:r>
          </w:p>
        </w:tc>
        <w:tc>
          <w:tcPr>
            <w:tcW w:w="7440" w:type="dxa"/>
            <w:tcBorders>
              <w:top w:val="nil"/>
              <w:left w:val="nil"/>
              <w:bottom w:val="nil"/>
              <w:right w:val="nil"/>
            </w:tcBorders>
            <w:shd w:val="clear" w:color="auto" w:fill="auto"/>
            <w:noWrap/>
            <w:vAlign w:val="bottom"/>
            <w:hideMark/>
          </w:tcPr>
          <w:p w14:paraId="4CC5E8B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Fluorescein </w:t>
            </w:r>
            <w:proofErr w:type="spellStart"/>
            <w:r w:rsidRPr="00E844C1">
              <w:rPr>
                <w:rFonts w:ascii="Calibri" w:eastAsia="Times New Roman" w:hAnsi="Calibri" w:cs="Times New Roman"/>
                <w:color w:val="000000"/>
              </w:rPr>
              <w:t>isothiocyanate</w:t>
            </w:r>
            <w:proofErr w:type="spellEnd"/>
          </w:p>
        </w:tc>
      </w:tr>
      <w:tr w:rsidR="00E844C1" w:rsidRPr="00E844C1" w14:paraId="3191E6B0" w14:textId="77777777" w:rsidTr="00E844C1">
        <w:trPr>
          <w:trHeight w:val="300"/>
        </w:trPr>
        <w:tc>
          <w:tcPr>
            <w:tcW w:w="1440" w:type="dxa"/>
            <w:tcBorders>
              <w:top w:val="nil"/>
              <w:left w:val="nil"/>
              <w:bottom w:val="nil"/>
              <w:right w:val="nil"/>
            </w:tcBorders>
            <w:shd w:val="clear" w:color="auto" w:fill="auto"/>
            <w:noWrap/>
            <w:vAlign w:val="bottom"/>
            <w:hideMark/>
          </w:tcPr>
          <w:p w14:paraId="70C0BAD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FOLFIRI</w:t>
            </w:r>
          </w:p>
        </w:tc>
        <w:tc>
          <w:tcPr>
            <w:tcW w:w="7440" w:type="dxa"/>
            <w:tcBorders>
              <w:top w:val="nil"/>
              <w:left w:val="nil"/>
              <w:bottom w:val="nil"/>
              <w:right w:val="nil"/>
            </w:tcBorders>
            <w:shd w:val="clear" w:color="auto" w:fill="auto"/>
            <w:noWrap/>
            <w:vAlign w:val="bottom"/>
            <w:hideMark/>
          </w:tcPr>
          <w:p w14:paraId="2CCC3820"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Folinic</w:t>
            </w:r>
            <w:proofErr w:type="spellEnd"/>
            <w:r w:rsidRPr="00E844C1">
              <w:rPr>
                <w:rFonts w:ascii="Calibri" w:eastAsia="Times New Roman" w:hAnsi="Calibri" w:cs="Times New Roman"/>
                <w:color w:val="000000"/>
              </w:rPr>
              <w:t xml:space="preserve"> acid, fluorouracil and irinotecan</w:t>
            </w:r>
          </w:p>
        </w:tc>
      </w:tr>
      <w:tr w:rsidR="00E844C1" w:rsidRPr="00E844C1" w14:paraId="6E81E948" w14:textId="77777777" w:rsidTr="00E844C1">
        <w:trPr>
          <w:trHeight w:val="300"/>
        </w:trPr>
        <w:tc>
          <w:tcPr>
            <w:tcW w:w="1440" w:type="dxa"/>
            <w:tcBorders>
              <w:top w:val="nil"/>
              <w:left w:val="nil"/>
              <w:bottom w:val="nil"/>
              <w:right w:val="nil"/>
            </w:tcBorders>
            <w:shd w:val="clear" w:color="auto" w:fill="auto"/>
            <w:noWrap/>
            <w:vAlign w:val="bottom"/>
            <w:hideMark/>
          </w:tcPr>
          <w:p w14:paraId="454BB73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FOLFOX</w:t>
            </w:r>
          </w:p>
        </w:tc>
        <w:tc>
          <w:tcPr>
            <w:tcW w:w="7440" w:type="dxa"/>
            <w:tcBorders>
              <w:top w:val="nil"/>
              <w:left w:val="nil"/>
              <w:bottom w:val="nil"/>
              <w:right w:val="nil"/>
            </w:tcBorders>
            <w:shd w:val="clear" w:color="auto" w:fill="auto"/>
            <w:noWrap/>
            <w:vAlign w:val="bottom"/>
            <w:hideMark/>
          </w:tcPr>
          <w:p w14:paraId="04C0AB8D"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Folinic</w:t>
            </w:r>
            <w:proofErr w:type="spellEnd"/>
            <w:r w:rsidRPr="00E844C1">
              <w:rPr>
                <w:rFonts w:ascii="Calibri" w:eastAsia="Times New Roman" w:hAnsi="Calibri" w:cs="Times New Roman"/>
                <w:color w:val="000000"/>
              </w:rPr>
              <w:t xml:space="preserve"> acid, fluorouracil and oxaliplatin</w:t>
            </w:r>
          </w:p>
        </w:tc>
      </w:tr>
      <w:tr w:rsidR="00E844C1" w:rsidRPr="00E844C1" w14:paraId="7B3729C7" w14:textId="77777777" w:rsidTr="00E844C1">
        <w:trPr>
          <w:trHeight w:val="300"/>
        </w:trPr>
        <w:tc>
          <w:tcPr>
            <w:tcW w:w="1440" w:type="dxa"/>
            <w:tcBorders>
              <w:top w:val="nil"/>
              <w:left w:val="nil"/>
              <w:bottom w:val="nil"/>
              <w:right w:val="nil"/>
            </w:tcBorders>
            <w:shd w:val="clear" w:color="auto" w:fill="auto"/>
            <w:noWrap/>
            <w:vAlign w:val="bottom"/>
            <w:hideMark/>
          </w:tcPr>
          <w:p w14:paraId="08DF5DA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Fzd</w:t>
            </w:r>
          </w:p>
        </w:tc>
        <w:tc>
          <w:tcPr>
            <w:tcW w:w="7440" w:type="dxa"/>
            <w:tcBorders>
              <w:top w:val="nil"/>
              <w:left w:val="nil"/>
              <w:bottom w:val="nil"/>
              <w:right w:val="nil"/>
            </w:tcBorders>
            <w:shd w:val="clear" w:color="auto" w:fill="auto"/>
            <w:noWrap/>
            <w:vAlign w:val="bottom"/>
            <w:hideMark/>
          </w:tcPr>
          <w:p w14:paraId="7C198CB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Frizzled</w:t>
            </w:r>
          </w:p>
        </w:tc>
      </w:tr>
      <w:tr w:rsidR="00E844C1" w:rsidRPr="00E844C1" w14:paraId="5B707A47" w14:textId="77777777" w:rsidTr="00E844C1">
        <w:trPr>
          <w:trHeight w:val="300"/>
        </w:trPr>
        <w:tc>
          <w:tcPr>
            <w:tcW w:w="1440" w:type="dxa"/>
            <w:tcBorders>
              <w:top w:val="nil"/>
              <w:left w:val="nil"/>
              <w:bottom w:val="nil"/>
              <w:right w:val="nil"/>
            </w:tcBorders>
            <w:shd w:val="clear" w:color="auto" w:fill="auto"/>
            <w:noWrap/>
            <w:vAlign w:val="bottom"/>
            <w:hideMark/>
          </w:tcPr>
          <w:p w14:paraId="0E4AC29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GAP</w:t>
            </w:r>
          </w:p>
        </w:tc>
        <w:tc>
          <w:tcPr>
            <w:tcW w:w="7440" w:type="dxa"/>
            <w:tcBorders>
              <w:top w:val="nil"/>
              <w:left w:val="nil"/>
              <w:bottom w:val="nil"/>
              <w:right w:val="nil"/>
            </w:tcBorders>
            <w:shd w:val="clear" w:color="auto" w:fill="auto"/>
            <w:noWrap/>
            <w:vAlign w:val="bottom"/>
            <w:hideMark/>
          </w:tcPr>
          <w:p w14:paraId="6517C1B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RAS GTPase activating protein</w:t>
            </w:r>
          </w:p>
        </w:tc>
      </w:tr>
      <w:tr w:rsidR="00E844C1" w:rsidRPr="00E844C1" w14:paraId="505A9F1A" w14:textId="77777777" w:rsidTr="00E844C1">
        <w:trPr>
          <w:trHeight w:val="300"/>
        </w:trPr>
        <w:tc>
          <w:tcPr>
            <w:tcW w:w="1440" w:type="dxa"/>
            <w:tcBorders>
              <w:top w:val="nil"/>
              <w:left w:val="nil"/>
              <w:bottom w:val="nil"/>
              <w:right w:val="nil"/>
            </w:tcBorders>
            <w:shd w:val="clear" w:color="auto" w:fill="auto"/>
            <w:noWrap/>
            <w:vAlign w:val="bottom"/>
            <w:hideMark/>
          </w:tcPr>
          <w:p w14:paraId="050FD0F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GDP</w:t>
            </w:r>
          </w:p>
        </w:tc>
        <w:tc>
          <w:tcPr>
            <w:tcW w:w="7440" w:type="dxa"/>
            <w:tcBorders>
              <w:top w:val="nil"/>
              <w:left w:val="nil"/>
              <w:bottom w:val="nil"/>
              <w:right w:val="nil"/>
            </w:tcBorders>
            <w:shd w:val="clear" w:color="auto" w:fill="auto"/>
            <w:noWrap/>
            <w:vAlign w:val="bottom"/>
            <w:hideMark/>
          </w:tcPr>
          <w:p w14:paraId="4AD10932"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Guanosine</w:t>
            </w:r>
            <w:proofErr w:type="spellEnd"/>
            <w:r w:rsidRPr="00E844C1">
              <w:rPr>
                <w:rFonts w:ascii="Calibri" w:eastAsia="Times New Roman" w:hAnsi="Calibri" w:cs="Times New Roman"/>
                <w:color w:val="000000"/>
              </w:rPr>
              <w:t xml:space="preserve"> </w:t>
            </w:r>
            <w:proofErr w:type="spellStart"/>
            <w:r w:rsidRPr="00E844C1">
              <w:rPr>
                <w:rFonts w:ascii="Calibri" w:eastAsia="Times New Roman" w:hAnsi="Calibri" w:cs="Times New Roman"/>
                <w:color w:val="000000"/>
              </w:rPr>
              <w:t>diphosphate</w:t>
            </w:r>
            <w:proofErr w:type="spellEnd"/>
          </w:p>
        </w:tc>
      </w:tr>
      <w:tr w:rsidR="00E844C1" w:rsidRPr="00E844C1" w14:paraId="02C6DA4D" w14:textId="77777777" w:rsidTr="00E844C1">
        <w:trPr>
          <w:trHeight w:val="300"/>
        </w:trPr>
        <w:tc>
          <w:tcPr>
            <w:tcW w:w="1440" w:type="dxa"/>
            <w:tcBorders>
              <w:top w:val="nil"/>
              <w:left w:val="nil"/>
              <w:bottom w:val="nil"/>
              <w:right w:val="nil"/>
            </w:tcBorders>
            <w:shd w:val="clear" w:color="auto" w:fill="auto"/>
            <w:noWrap/>
            <w:vAlign w:val="bottom"/>
            <w:hideMark/>
          </w:tcPr>
          <w:p w14:paraId="3F967D6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GFP</w:t>
            </w:r>
          </w:p>
        </w:tc>
        <w:tc>
          <w:tcPr>
            <w:tcW w:w="7440" w:type="dxa"/>
            <w:tcBorders>
              <w:top w:val="nil"/>
              <w:left w:val="nil"/>
              <w:bottom w:val="nil"/>
              <w:right w:val="nil"/>
            </w:tcBorders>
            <w:shd w:val="clear" w:color="auto" w:fill="auto"/>
            <w:noWrap/>
            <w:vAlign w:val="bottom"/>
            <w:hideMark/>
          </w:tcPr>
          <w:p w14:paraId="0B56249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Green fluorescent protein</w:t>
            </w:r>
          </w:p>
        </w:tc>
      </w:tr>
      <w:tr w:rsidR="00E844C1" w:rsidRPr="00E844C1" w14:paraId="780748AB" w14:textId="77777777" w:rsidTr="00E844C1">
        <w:trPr>
          <w:trHeight w:val="300"/>
        </w:trPr>
        <w:tc>
          <w:tcPr>
            <w:tcW w:w="1440" w:type="dxa"/>
            <w:tcBorders>
              <w:top w:val="nil"/>
              <w:left w:val="nil"/>
              <w:bottom w:val="nil"/>
              <w:right w:val="nil"/>
            </w:tcBorders>
            <w:shd w:val="clear" w:color="auto" w:fill="auto"/>
            <w:noWrap/>
            <w:vAlign w:val="bottom"/>
            <w:hideMark/>
          </w:tcPr>
          <w:p w14:paraId="21B171D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GPR3</w:t>
            </w:r>
          </w:p>
        </w:tc>
        <w:tc>
          <w:tcPr>
            <w:tcW w:w="7440" w:type="dxa"/>
            <w:tcBorders>
              <w:top w:val="nil"/>
              <w:left w:val="nil"/>
              <w:bottom w:val="nil"/>
              <w:right w:val="nil"/>
            </w:tcBorders>
            <w:shd w:val="clear" w:color="auto" w:fill="auto"/>
            <w:noWrap/>
            <w:vAlign w:val="bottom"/>
            <w:hideMark/>
          </w:tcPr>
          <w:p w14:paraId="2F695C5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 protein-coupled receptor 3</w:t>
            </w:r>
          </w:p>
        </w:tc>
      </w:tr>
      <w:tr w:rsidR="00E844C1" w:rsidRPr="00E844C1" w14:paraId="50F20198" w14:textId="77777777" w:rsidTr="00E844C1">
        <w:trPr>
          <w:trHeight w:val="300"/>
        </w:trPr>
        <w:tc>
          <w:tcPr>
            <w:tcW w:w="1440" w:type="dxa"/>
            <w:tcBorders>
              <w:top w:val="nil"/>
              <w:left w:val="nil"/>
              <w:bottom w:val="nil"/>
              <w:right w:val="nil"/>
            </w:tcBorders>
            <w:shd w:val="clear" w:color="auto" w:fill="auto"/>
            <w:noWrap/>
            <w:vAlign w:val="bottom"/>
            <w:hideMark/>
          </w:tcPr>
          <w:p w14:paraId="4A7BBFA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GRIP-1</w:t>
            </w:r>
          </w:p>
        </w:tc>
        <w:tc>
          <w:tcPr>
            <w:tcW w:w="7440" w:type="dxa"/>
            <w:tcBorders>
              <w:top w:val="nil"/>
              <w:left w:val="nil"/>
              <w:bottom w:val="nil"/>
              <w:right w:val="nil"/>
            </w:tcBorders>
            <w:shd w:val="clear" w:color="auto" w:fill="auto"/>
            <w:noWrap/>
            <w:vAlign w:val="bottom"/>
            <w:hideMark/>
          </w:tcPr>
          <w:p w14:paraId="087378E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Glutamate receptor-interacting protein-1</w:t>
            </w:r>
          </w:p>
        </w:tc>
      </w:tr>
      <w:tr w:rsidR="00E844C1" w:rsidRPr="00E844C1" w14:paraId="2CC5E411" w14:textId="77777777" w:rsidTr="00E844C1">
        <w:trPr>
          <w:trHeight w:val="300"/>
        </w:trPr>
        <w:tc>
          <w:tcPr>
            <w:tcW w:w="1440" w:type="dxa"/>
            <w:tcBorders>
              <w:top w:val="nil"/>
              <w:left w:val="nil"/>
              <w:bottom w:val="nil"/>
              <w:right w:val="nil"/>
            </w:tcBorders>
            <w:shd w:val="clear" w:color="auto" w:fill="auto"/>
            <w:noWrap/>
            <w:vAlign w:val="bottom"/>
            <w:hideMark/>
          </w:tcPr>
          <w:p w14:paraId="6F340F97"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gRNA</w:t>
            </w:r>
            <w:proofErr w:type="gramEnd"/>
          </w:p>
        </w:tc>
        <w:tc>
          <w:tcPr>
            <w:tcW w:w="7440" w:type="dxa"/>
            <w:tcBorders>
              <w:top w:val="nil"/>
              <w:left w:val="nil"/>
              <w:bottom w:val="nil"/>
              <w:right w:val="nil"/>
            </w:tcBorders>
            <w:shd w:val="clear" w:color="auto" w:fill="auto"/>
            <w:noWrap/>
            <w:vAlign w:val="bottom"/>
            <w:hideMark/>
          </w:tcPr>
          <w:p w14:paraId="3B46F8D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Guide ribonucleic acid</w:t>
            </w:r>
          </w:p>
        </w:tc>
      </w:tr>
      <w:tr w:rsidR="00E844C1" w:rsidRPr="00E844C1" w14:paraId="29BC5500" w14:textId="77777777" w:rsidTr="00E844C1">
        <w:trPr>
          <w:trHeight w:val="300"/>
        </w:trPr>
        <w:tc>
          <w:tcPr>
            <w:tcW w:w="1440" w:type="dxa"/>
            <w:tcBorders>
              <w:top w:val="nil"/>
              <w:left w:val="nil"/>
              <w:bottom w:val="nil"/>
              <w:right w:val="nil"/>
            </w:tcBorders>
            <w:shd w:val="clear" w:color="auto" w:fill="auto"/>
            <w:noWrap/>
            <w:vAlign w:val="bottom"/>
            <w:hideMark/>
          </w:tcPr>
          <w:p w14:paraId="3ECB395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GSK3</w:t>
            </w:r>
          </w:p>
        </w:tc>
        <w:tc>
          <w:tcPr>
            <w:tcW w:w="7440" w:type="dxa"/>
            <w:tcBorders>
              <w:top w:val="nil"/>
              <w:left w:val="nil"/>
              <w:bottom w:val="nil"/>
              <w:right w:val="nil"/>
            </w:tcBorders>
            <w:shd w:val="clear" w:color="auto" w:fill="auto"/>
            <w:noWrap/>
            <w:vAlign w:val="bottom"/>
            <w:hideMark/>
          </w:tcPr>
          <w:p w14:paraId="15639E4B" w14:textId="18483003" w:rsidR="00E844C1" w:rsidRPr="00E844C1" w:rsidRDefault="007A6E6D" w:rsidP="00E844C1">
            <w:pPr>
              <w:rPr>
                <w:rFonts w:ascii="Calibri" w:eastAsia="Times New Roman" w:hAnsi="Calibri" w:cs="Times New Roman"/>
                <w:color w:val="000000"/>
              </w:rPr>
            </w:pPr>
            <w:r>
              <w:rPr>
                <w:rFonts w:ascii="Calibri" w:eastAsia="Times New Roman" w:hAnsi="Calibri" w:cs="Times New Roman"/>
                <w:color w:val="000000"/>
              </w:rPr>
              <w:t>G</w:t>
            </w:r>
            <w:r w:rsidR="00E844C1" w:rsidRPr="00E844C1">
              <w:rPr>
                <w:rFonts w:ascii="Calibri" w:eastAsia="Times New Roman" w:hAnsi="Calibri" w:cs="Times New Roman"/>
                <w:color w:val="000000"/>
              </w:rPr>
              <w:t xml:space="preserve">lycogen synthase kinase 3 </w:t>
            </w:r>
          </w:p>
        </w:tc>
      </w:tr>
      <w:tr w:rsidR="00E844C1" w:rsidRPr="00E844C1" w14:paraId="253B408D" w14:textId="77777777" w:rsidTr="00E844C1">
        <w:trPr>
          <w:trHeight w:val="300"/>
        </w:trPr>
        <w:tc>
          <w:tcPr>
            <w:tcW w:w="1440" w:type="dxa"/>
            <w:tcBorders>
              <w:top w:val="nil"/>
              <w:left w:val="nil"/>
              <w:bottom w:val="nil"/>
              <w:right w:val="nil"/>
            </w:tcBorders>
            <w:shd w:val="clear" w:color="auto" w:fill="auto"/>
            <w:noWrap/>
            <w:vAlign w:val="bottom"/>
            <w:hideMark/>
          </w:tcPr>
          <w:p w14:paraId="3915ABD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GTP</w:t>
            </w:r>
          </w:p>
        </w:tc>
        <w:tc>
          <w:tcPr>
            <w:tcW w:w="7440" w:type="dxa"/>
            <w:tcBorders>
              <w:top w:val="nil"/>
              <w:left w:val="nil"/>
              <w:bottom w:val="nil"/>
              <w:right w:val="nil"/>
            </w:tcBorders>
            <w:shd w:val="clear" w:color="auto" w:fill="auto"/>
            <w:noWrap/>
            <w:vAlign w:val="bottom"/>
            <w:hideMark/>
          </w:tcPr>
          <w:p w14:paraId="0F6EB5A5" w14:textId="77777777" w:rsidR="00E844C1" w:rsidRPr="00E844C1" w:rsidRDefault="00E844C1" w:rsidP="00E844C1">
            <w:pPr>
              <w:rPr>
                <w:rFonts w:ascii="Calibri" w:eastAsia="Times New Roman" w:hAnsi="Calibri" w:cs="Times New Roman"/>
              </w:rPr>
            </w:pPr>
            <w:r w:rsidRPr="00E844C1">
              <w:rPr>
                <w:rFonts w:ascii="Calibri" w:eastAsia="Times New Roman" w:hAnsi="Calibri" w:cs="Times New Roman"/>
              </w:rPr>
              <w:t>Guanosine-5'-triphosphate</w:t>
            </w:r>
          </w:p>
        </w:tc>
      </w:tr>
      <w:tr w:rsidR="00E844C1" w:rsidRPr="00E844C1" w14:paraId="30ED8CD6" w14:textId="77777777" w:rsidTr="00E844C1">
        <w:trPr>
          <w:trHeight w:val="300"/>
        </w:trPr>
        <w:tc>
          <w:tcPr>
            <w:tcW w:w="1440" w:type="dxa"/>
            <w:tcBorders>
              <w:top w:val="nil"/>
              <w:left w:val="nil"/>
              <w:bottom w:val="nil"/>
              <w:right w:val="nil"/>
            </w:tcBorders>
            <w:shd w:val="clear" w:color="auto" w:fill="auto"/>
            <w:noWrap/>
            <w:vAlign w:val="bottom"/>
            <w:hideMark/>
          </w:tcPr>
          <w:p w14:paraId="6D28313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HATs</w:t>
            </w:r>
          </w:p>
        </w:tc>
        <w:tc>
          <w:tcPr>
            <w:tcW w:w="7440" w:type="dxa"/>
            <w:tcBorders>
              <w:top w:val="nil"/>
              <w:left w:val="nil"/>
              <w:bottom w:val="nil"/>
              <w:right w:val="nil"/>
            </w:tcBorders>
            <w:shd w:val="clear" w:color="auto" w:fill="auto"/>
            <w:noWrap/>
            <w:vAlign w:val="bottom"/>
            <w:hideMark/>
          </w:tcPr>
          <w:p w14:paraId="39F6176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Histone acetyltransferase</w:t>
            </w:r>
          </w:p>
        </w:tc>
      </w:tr>
      <w:tr w:rsidR="00E844C1" w:rsidRPr="00E844C1" w14:paraId="22D27647" w14:textId="77777777" w:rsidTr="00E844C1">
        <w:trPr>
          <w:trHeight w:val="300"/>
        </w:trPr>
        <w:tc>
          <w:tcPr>
            <w:tcW w:w="1440" w:type="dxa"/>
            <w:tcBorders>
              <w:top w:val="nil"/>
              <w:left w:val="nil"/>
              <w:bottom w:val="nil"/>
              <w:right w:val="nil"/>
            </w:tcBorders>
            <w:shd w:val="clear" w:color="auto" w:fill="auto"/>
            <w:noWrap/>
            <w:vAlign w:val="bottom"/>
            <w:hideMark/>
          </w:tcPr>
          <w:p w14:paraId="2440B83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HDACi</w:t>
            </w:r>
          </w:p>
        </w:tc>
        <w:tc>
          <w:tcPr>
            <w:tcW w:w="7440" w:type="dxa"/>
            <w:tcBorders>
              <w:top w:val="nil"/>
              <w:left w:val="nil"/>
              <w:bottom w:val="nil"/>
              <w:right w:val="nil"/>
            </w:tcBorders>
            <w:shd w:val="clear" w:color="auto" w:fill="auto"/>
            <w:noWrap/>
            <w:vAlign w:val="bottom"/>
            <w:hideMark/>
          </w:tcPr>
          <w:p w14:paraId="61E82B5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Histone deacetylase inhibitor</w:t>
            </w:r>
          </w:p>
        </w:tc>
      </w:tr>
      <w:tr w:rsidR="00E844C1" w:rsidRPr="00E844C1" w14:paraId="02489248" w14:textId="77777777" w:rsidTr="00E844C1">
        <w:trPr>
          <w:trHeight w:val="300"/>
        </w:trPr>
        <w:tc>
          <w:tcPr>
            <w:tcW w:w="1440" w:type="dxa"/>
            <w:tcBorders>
              <w:top w:val="nil"/>
              <w:left w:val="nil"/>
              <w:bottom w:val="nil"/>
              <w:right w:val="nil"/>
            </w:tcBorders>
            <w:shd w:val="clear" w:color="auto" w:fill="auto"/>
            <w:noWrap/>
            <w:vAlign w:val="bottom"/>
            <w:hideMark/>
          </w:tcPr>
          <w:p w14:paraId="7F104FF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HDACs</w:t>
            </w:r>
          </w:p>
        </w:tc>
        <w:tc>
          <w:tcPr>
            <w:tcW w:w="7440" w:type="dxa"/>
            <w:tcBorders>
              <w:top w:val="nil"/>
              <w:left w:val="nil"/>
              <w:bottom w:val="nil"/>
              <w:right w:val="nil"/>
            </w:tcBorders>
            <w:shd w:val="clear" w:color="auto" w:fill="auto"/>
            <w:noWrap/>
            <w:vAlign w:val="bottom"/>
            <w:hideMark/>
          </w:tcPr>
          <w:p w14:paraId="2FD7BBB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Histone deacetylases</w:t>
            </w:r>
          </w:p>
        </w:tc>
      </w:tr>
      <w:tr w:rsidR="00E844C1" w:rsidRPr="00E844C1" w14:paraId="552FB3FC" w14:textId="77777777" w:rsidTr="00E844C1">
        <w:trPr>
          <w:trHeight w:val="300"/>
        </w:trPr>
        <w:tc>
          <w:tcPr>
            <w:tcW w:w="1440" w:type="dxa"/>
            <w:tcBorders>
              <w:top w:val="nil"/>
              <w:left w:val="nil"/>
              <w:bottom w:val="nil"/>
              <w:right w:val="nil"/>
            </w:tcBorders>
            <w:shd w:val="clear" w:color="auto" w:fill="auto"/>
            <w:noWrap/>
            <w:vAlign w:val="bottom"/>
            <w:hideMark/>
          </w:tcPr>
          <w:p w14:paraId="352075E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HDMs</w:t>
            </w:r>
          </w:p>
        </w:tc>
        <w:tc>
          <w:tcPr>
            <w:tcW w:w="7440" w:type="dxa"/>
            <w:tcBorders>
              <w:top w:val="nil"/>
              <w:left w:val="nil"/>
              <w:bottom w:val="nil"/>
              <w:right w:val="nil"/>
            </w:tcBorders>
            <w:shd w:val="clear" w:color="auto" w:fill="auto"/>
            <w:noWrap/>
            <w:vAlign w:val="bottom"/>
            <w:hideMark/>
          </w:tcPr>
          <w:p w14:paraId="3956E22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Histone </w:t>
            </w:r>
            <w:proofErr w:type="spellStart"/>
            <w:r w:rsidRPr="00E844C1">
              <w:rPr>
                <w:rFonts w:ascii="Calibri" w:eastAsia="Times New Roman" w:hAnsi="Calibri" w:cs="Times New Roman"/>
                <w:color w:val="000000"/>
              </w:rPr>
              <w:t>demethylases</w:t>
            </w:r>
            <w:proofErr w:type="spellEnd"/>
            <w:r w:rsidRPr="00E844C1">
              <w:rPr>
                <w:rFonts w:ascii="Calibri" w:eastAsia="Times New Roman" w:hAnsi="Calibri" w:cs="Times New Roman"/>
                <w:color w:val="000000"/>
              </w:rPr>
              <w:t xml:space="preserve"> </w:t>
            </w:r>
          </w:p>
        </w:tc>
      </w:tr>
      <w:tr w:rsidR="00E844C1" w:rsidRPr="00E844C1" w14:paraId="3008BB68" w14:textId="77777777" w:rsidTr="00E844C1">
        <w:trPr>
          <w:trHeight w:val="300"/>
        </w:trPr>
        <w:tc>
          <w:tcPr>
            <w:tcW w:w="1440" w:type="dxa"/>
            <w:tcBorders>
              <w:top w:val="nil"/>
              <w:left w:val="nil"/>
              <w:bottom w:val="nil"/>
              <w:right w:val="nil"/>
            </w:tcBorders>
            <w:shd w:val="clear" w:color="auto" w:fill="auto"/>
            <w:noWrap/>
            <w:vAlign w:val="bottom"/>
            <w:hideMark/>
          </w:tcPr>
          <w:p w14:paraId="2218AA0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HDR</w:t>
            </w:r>
          </w:p>
        </w:tc>
        <w:tc>
          <w:tcPr>
            <w:tcW w:w="7440" w:type="dxa"/>
            <w:tcBorders>
              <w:top w:val="nil"/>
              <w:left w:val="nil"/>
              <w:bottom w:val="nil"/>
              <w:right w:val="nil"/>
            </w:tcBorders>
            <w:shd w:val="clear" w:color="auto" w:fill="auto"/>
            <w:noWrap/>
            <w:vAlign w:val="bottom"/>
            <w:hideMark/>
          </w:tcPr>
          <w:p w14:paraId="273ED1F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Homologous directed repair</w:t>
            </w:r>
          </w:p>
        </w:tc>
      </w:tr>
      <w:tr w:rsidR="00E844C1" w:rsidRPr="00E844C1" w14:paraId="1B2472A5" w14:textId="77777777" w:rsidTr="00E844C1">
        <w:trPr>
          <w:trHeight w:val="300"/>
        </w:trPr>
        <w:tc>
          <w:tcPr>
            <w:tcW w:w="1440" w:type="dxa"/>
            <w:tcBorders>
              <w:top w:val="nil"/>
              <w:left w:val="nil"/>
              <w:bottom w:val="nil"/>
              <w:right w:val="nil"/>
            </w:tcBorders>
            <w:shd w:val="clear" w:color="auto" w:fill="auto"/>
            <w:noWrap/>
            <w:vAlign w:val="bottom"/>
            <w:hideMark/>
          </w:tcPr>
          <w:p w14:paraId="5A0A48B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HELLS</w:t>
            </w:r>
          </w:p>
        </w:tc>
        <w:tc>
          <w:tcPr>
            <w:tcW w:w="7440" w:type="dxa"/>
            <w:tcBorders>
              <w:top w:val="nil"/>
              <w:left w:val="nil"/>
              <w:bottom w:val="nil"/>
              <w:right w:val="nil"/>
            </w:tcBorders>
            <w:shd w:val="clear" w:color="auto" w:fill="auto"/>
            <w:noWrap/>
            <w:vAlign w:val="bottom"/>
            <w:hideMark/>
          </w:tcPr>
          <w:p w14:paraId="5795713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Lymphoid Specific Helicase </w:t>
            </w:r>
          </w:p>
        </w:tc>
      </w:tr>
      <w:tr w:rsidR="00E844C1" w:rsidRPr="00E844C1" w14:paraId="70E00185" w14:textId="77777777" w:rsidTr="00E844C1">
        <w:trPr>
          <w:trHeight w:val="300"/>
        </w:trPr>
        <w:tc>
          <w:tcPr>
            <w:tcW w:w="1440" w:type="dxa"/>
            <w:tcBorders>
              <w:top w:val="nil"/>
              <w:left w:val="nil"/>
              <w:bottom w:val="nil"/>
              <w:right w:val="nil"/>
            </w:tcBorders>
            <w:shd w:val="clear" w:color="auto" w:fill="auto"/>
            <w:noWrap/>
            <w:vAlign w:val="bottom"/>
            <w:hideMark/>
          </w:tcPr>
          <w:p w14:paraId="604ED17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HGF</w:t>
            </w:r>
          </w:p>
        </w:tc>
        <w:tc>
          <w:tcPr>
            <w:tcW w:w="7440" w:type="dxa"/>
            <w:tcBorders>
              <w:top w:val="nil"/>
              <w:left w:val="nil"/>
              <w:bottom w:val="nil"/>
              <w:right w:val="nil"/>
            </w:tcBorders>
            <w:shd w:val="clear" w:color="auto" w:fill="auto"/>
            <w:noWrap/>
            <w:vAlign w:val="bottom"/>
            <w:hideMark/>
          </w:tcPr>
          <w:p w14:paraId="4AC7DFC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Hepatocyte growth factor</w:t>
            </w:r>
          </w:p>
        </w:tc>
      </w:tr>
      <w:tr w:rsidR="00E844C1" w:rsidRPr="00E844C1" w14:paraId="2ABA3154" w14:textId="77777777" w:rsidTr="00E844C1">
        <w:trPr>
          <w:trHeight w:val="300"/>
        </w:trPr>
        <w:tc>
          <w:tcPr>
            <w:tcW w:w="1440" w:type="dxa"/>
            <w:tcBorders>
              <w:top w:val="nil"/>
              <w:left w:val="nil"/>
              <w:bottom w:val="nil"/>
              <w:right w:val="nil"/>
            </w:tcBorders>
            <w:shd w:val="clear" w:color="auto" w:fill="auto"/>
            <w:noWrap/>
            <w:vAlign w:val="bottom"/>
            <w:hideMark/>
          </w:tcPr>
          <w:p w14:paraId="5CA748A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HIC1</w:t>
            </w:r>
          </w:p>
        </w:tc>
        <w:tc>
          <w:tcPr>
            <w:tcW w:w="7440" w:type="dxa"/>
            <w:tcBorders>
              <w:top w:val="nil"/>
              <w:left w:val="nil"/>
              <w:bottom w:val="nil"/>
              <w:right w:val="nil"/>
            </w:tcBorders>
            <w:shd w:val="clear" w:color="auto" w:fill="auto"/>
            <w:noWrap/>
            <w:vAlign w:val="bottom"/>
            <w:hideMark/>
          </w:tcPr>
          <w:p w14:paraId="189BC3F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Hypermethylated in cancer 1</w:t>
            </w:r>
          </w:p>
        </w:tc>
      </w:tr>
      <w:tr w:rsidR="00E844C1" w:rsidRPr="00E844C1" w14:paraId="608B740E" w14:textId="77777777" w:rsidTr="00E844C1">
        <w:trPr>
          <w:trHeight w:val="300"/>
        </w:trPr>
        <w:tc>
          <w:tcPr>
            <w:tcW w:w="1440" w:type="dxa"/>
            <w:tcBorders>
              <w:top w:val="nil"/>
              <w:left w:val="nil"/>
              <w:bottom w:val="nil"/>
              <w:right w:val="nil"/>
            </w:tcBorders>
            <w:shd w:val="clear" w:color="auto" w:fill="auto"/>
            <w:noWrap/>
            <w:vAlign w:val="bottom"/>
            <w:hideMark/>
          </w:tcPr>
          <w:p w14:paraId="44031F6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HMTs</w:t>
            </w:r>
          </w:p>
        </w:tc>
        <w:tc>
          <w:tcPr>
            <w:tcW w:w="7440" w:type="dxa"/>
            <w:tcBorders>
              <w:top w:val="nil"/>
              <w:left w:val="nil"/>
              <w:bottom w:val="nil"/>
              <w:right w:val="nil"/>
            </w:tcBorders>
            <w:shd w:val="clear" w:color="auto" w:fill="auto"/>
            <w:noWrap/>
            <w:vAlign w:val="bottom"/>
            <w:hideMark/>
          </w:tcPr>
          <w:p w14:paraId="46D7D17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Histone </w:t>
            </w:r>
            <w:proofErr w:type="spellStart"/>
            <w:r w:rsidRPr="00E844C1">
              <w:rPr>
                <w:rFonts w:ascii="Calibri" w:eastAsia="Times New Roman" w:hAnsi="Calibri" w:cs="Times New Roman"/>
                <w:color w:val="000000"/>
              </w:rPr>
              <w:t>methyltransferase</w:t>
            </w:r>
            <w:proofErr w:type="spellEnd"/>
          </w:p>
        </w:tc>
      </w:tr>
      <w:tr w:rsidR="00E844C1" w:rsidRPr="00E844C1" w14:paraId="647C0BAC" w14:textId="77777777" w:rsidTr="00E844C1">
        <w:trPr>
          <w:trHeight w:val="300"/>
        </w:trPr>
        <w:tc>
          <w:tcPr>
            <w:tcW w:w="1440" w:type="dxa"/>
            <w:tcBorders>
              <w:top w:val="nil"/>
              <w:left w:val="nil"/>
              <w:bottom w:val="nil"/>
              <w:right w:val="nil"/>
            </w:tcBorders>
            <w:shd w:val="clear" w:color="auto" w:fill="auto"/>
            <w:noWrap/>
            <w:vAlign w:val="bottom"/>
            <w:hideMark/>
          </w:tcPr>
          <w:p w14:paraId="60F0354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HNPCC</w:t>
            </w:r>
          </w:p>
        </w:tc>
        <w:tc>
          <w:tcPr>
            <w:tcW w:w="7440" w:type="dxa"/>
            <w:tcBorders>
              <w:top w:val="nil"/>
              <w:left w:val="nil"/>
              <w:bottom w:val="nil"/>
              <w:right w:val="nil"/>
            </w:tcBorders>
            <w:shd w:val="clear" w:color="auto" w:fill="auto"/>
            <w:noWrap/>
            <w:vAlign w:val="bottom"/>
            <w:hideMark/>
          </w:tcPr>
          <w:p w14:paraId="7A387F6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Hereditary Non-Polyposis Colorectal Cancer </w:t>
            </w:r>
          </w:p>
        </w:tc>
      </w:tr>
      <w:tr w:rsidR="00E844C1" w:rsidRPr="00E844C1" w14:paraId="14E1E74F" w14:textId="77777777" w:rsidTr="00E844C1">
        <w:trPr>
          <w:trHeight w:val="300"/>
        </w:trPr>
        <w:tc>
          <w:tcPr>
            <w:tcW w:w="1440" w:type="dxa"/>
            <w:tcBorders>
              <w:top w:val="nil"/>
              <w:left w:val="nil"/>
              <w:bottom w:val="nil"/>
              <w:right w:val="nil"/>
            </w:tcBorders>
            <w:shd w:val="clear" w:color="auto" w:fill="auto"/>
            <w:noWrap/>
            <w:vAlign w:val="bottom"/>
            <w:hideMark/>
          </w:tcPr>
          <w:p w14:paraId="05D8B88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HR</w:t>
            </w:r>
          </w:p>
        </w:tc>
        <w:tc>
          <w:tcPr>
            <w:tcW w:w="7440" w:type="dxa"/>
            <w:tcBorders>
              <w:top w:val="nil"/>
              <w:left w:val="nil"/>
              <w:bottom w:val="nil"/>
              <w:right w:val="nil"/>
            </w:tcBorders>
            <w:shd w:val="clear" w:color="auto" w:fill="auto"/>
            <w:noWrap/>
            <w:vAlign w:val="bottom"/>
            <w:hideMark/>
          </w:tcPr>
          <w:p w14:paraId="662AD95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Homologous recombination</w:t>
            </w:r>
          </w:p>
        </w:tc>
      </w:tr>
      <w:tr w:rsidR="00E844C1" w:rsidRPr="00E844C1" w14:paraId="3F8A3969" w14:textId="77777777" w:rsidTr="00E844C1">
        <w:trPr>
          <w:trHeight w:val="300"/>
        </w:trPr>
        <w:tc>
          <w:tcPr>
            <w:tcW w:w="1440" w:type="dxa"/>
            <w:tcBorders>
              <w:top w:val="nil"/>
              <w:left w:val="nil"/>
              <w:bottom w:val="nil"/>
              <w:right w:val="nil"/>
            </w:tcBorders>
            <w:shd w:val="clear" w:color="auto" w:fill="auto"/>
            <w:noWrap/>
            <w:vAlign w:val="bottom"/>
            <w:hideMark/>
          </w:tcPr>
          <w:p w14:paraId="3973745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HRAS</w:t>
            </w:r>
          </w:p>
        </w:tc>
        <w:tc>
          <w:tcPr>
            <w:tcW w:w="7440" w:type="dxa"/>
            <w:tcBorders>
              <w:top w:val="nil"/>
              <w:left w:val="nil"/>
              <w:bottom w:val="nil"/>
              <w:right w:val="nil"/>
            </w:tcBorders>
            <w:shd w:val="clear" w:color="auto" w:fill="auto"/>
            <w:noWrap/>
            <w:vAlign w:val="bottom"/>
            <w:hideMark/>
          </w:tcPr>
          <w:p w14:paraId="1D437272" w14:textId="77777777" w:rsidR="00E844C1" w:rsidRPr="00E844C1" w:rsidRDefault="00E844C1" w:rsidP="00E844C1">
            <w:pPr>
              <w:rPr>
                <w:rFonts w:ascii="Calibri" w:eastAsia="Times New Roman" w:hAnsi="Calibri" w:cs="Times New Roman"/>
                <w:color w:val="222222"/>
              </w:rPr>
            </w:pPr>
            <w:r w:rsidRPr="00E844C1">
              <w:rPr>
                <w:rFonts w:ascii="Calibri" w:eastAsia="Times New Roman" w:hAnsi="Calibri" w:cs="Times New Roman"/>
                <w:color w:val="222222"/>
              </w:rPr>
              <w:t xml:space="preserve">Harvey Rat Sarcoma </w:t>
            </w:r>
          </w:p>
        </w:tc>
      </w:tr>
      <w:tr w:rsidR="00E844C1" w:rsidRPr="00E844C1" w14:paraId="4C7D9BB2" w14:textId="77777777" w:rsidTr="00E844C1">
        <w:trPr>
          <w:trHeight w:val="300"/>
        </w:trPr>
        <w:tc>
          <w:tcPr>
            <w:tcW w:w="1440" w:type="dxa"/>
            <w:tcBorders>
              <w:top w:val="nil"/>
              <w:left w:val="nil"/>
              <w:bottom w:val="nil"/>
              <w:right w:val="nil"/>
            </w:tcBorders>
            <w:shd w:val="clear" w:color="auto" w:fill="auto"/>
            <w:noWrap/>
            <w:vAlign w:val="bottom"/>
            <w:hideMark/>
          </w:tcPr>
          <w:p w14:paraId="34C93B4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HRP</w:t>
            </w:r>
          </w:p>
        </w:tc>
        <w:tc>
          <w:tcPr>
            <w:tcW w:w="7440" w:type="dxa"/>
            <w:tcBorders>
              <w:top w:val="nil"/>
              <w:left w:val="nil"/>
              <w:bottom w:val="nil"/>
              <w:right w:val="nil"/>
            </w:tcBorders>
            <w:shd w:val="clear" w:color="auto" w:fill="auto"/>
            <w:noWrap/>
            <w:vAlign w:val="bottom"/>
            <w:hideMark/>
          </w:tcPr>
          <w:p w14:paraId="26F2D26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Horseradish Peroxidase</w:t>
            </w:r>
          </w:p>
        </w:tc>
      </w:tr>
      <w:tr w:rsidR="00E844C1" w:rsidRPr="00E844C1" w14:paraId="1E2C8DF4" w14:textId="77777777" w:rsidTr="00E844C1">
        <w:trPr>
          <w:trHeight w:val="300"/>
        </w:trPr>
        <w:tc>
          <w:tcPr>
            <w:tcW w:w="1440" w:type="dxa"/>
            <w:tcBorders>
              <w:top w:val="nil"/>
              <w:left w:val="nil"/>
              <w:bottom w:val="nil"/>
              <w:right w:val="nil"/>
            </w:tcBorders>
            <w:shd w:val="clear" w:color="auto" w:fill="auto"/>
            <w:noWrap/>
            <w:vAlign w:val="bottom"/>
            <w:hideMark/>
          </w:tcPr>
          <w:p w14:paraId="09CAC7F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Hsp</w:t>
            </w:r>
          </w:p>
        </w:tc>
        <w:tc>
          <w:tcPr>
            <w:tcW w:w="7440" w:type="dxa"/>
            <w:tcBorders>
              <w:top w:val="nil"/>
              <w:left w:val="nil"/>
              <w:bottom w:val="nil"/>
              <w:right w:val="nil"/>
            </w:tcBorders>
            <w:shd w:val="clear" w:color="auto" w:fill="auto"/>
            <w:noWrap/>
            <w:vAlign w:val="bottom"/>
            <w:hideMark/>
          </w:tcPr>
          <w:p w14:paraId="43653EF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Heat shock protein</w:t>
            </w:r>
          </w:p>
        </w:tc>
      </w:tr>
      <w:tr w:rsidR="00E844C1" w:rsidRPr="00E844C1" w14:paraId="114F0B5E" w14:textId="77777777" w:rsidTr="00E844C1">
        <w:trPr>
          <w:trHeight w:val="300"/>
        </w:trPr>
        <w:tc>
          <w:tcPr>
            <w:tcW w:w="1440" w:type="dxa"/>
            <w:tcBorders>
              <w:top w:val="nil"/>
              <w:left w:val="nil"/>
              <w:bottom w:val="nil"/>
              <w:right w:val="nil"/>
            </w:tcBorders>
            <w:shd w:val="clear" w:color="auto" w:fill="auto"/>
            <w:noWrap/>
            <w:vAlign w:val="bottom"/>
            <w:hideMark/>
          </w:tcPr>
          <w:p w14:paraId="2E4E7A6C"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hTERT</w:t>
            </w:r>
            <w:proofErr w:type="gramEnd"/>
          </w:p>
        </w:tc>
        <w:tc>
          <w:tcPr>
            <w:tcW w:w="7440" w:type="dxa"/>
            <w:tcBorders>
              <w:top w:val="nil"/>
              <w:left w:val="nil"/>
              <w:bottom w:val="nil"/>
              <w:right w:val="nil"/>
            </w:tcBorders>
            <w:shd w:val="clear" w:color="auto" w:fill="auto"/>
            <w:noWrap/>
            <w:vAlign w:val="bottom"/>
            <w:hideMark/>
          </w:tcPr>
          <w:p w14:paraId="13BB3E3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Human telomerase reverse transcriptase</w:t>
            </w:r>
          </w:p>
        </w:tc>
      </w:tr>
      <w:tr w:rsidR="00E844C1" w:rsidRPr="00E844C1" w14:paraId="59EA6925" w14:textId="77777777" w:rsidTr="00E844C1">
        <w:trPr>
          <w:trHeight w:val="300"/>
        </w:trPr>
        <w:tc>
          <w:tcPr>
            <w:tcW w:w="1440" w:type="dxa"/>
            <w:tcBorders>
              <w:top w:val="nil"/>
              <w:left w:val="nil"/>
              <w:bottom w:val="nil"/>
              <w:right w:val="nil"/>
            </w:tcBorders>
            <w:shd w:val="clear" w:color="auto" w:fill="auto"/>
            <w:noWrap/>
            <w:vAlign w:val="bottom"/>
            <w:hideMark/>
          </w:tcPr>
          <w:p w14:paraId="2073D5E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IF</w:t>
            </w:r>
          </w:p>
        </w:tc>
        <w:tc>
          <w:tcPr>
            <w:tcW w:w="7440" w:type="dxa"/>
            <w:tcBorders>
              <w:top w:val="nil"/>
              <w:left w:val="nil"/>
              <w:bottom w:val="nil"/>
              <w:right w:val="nil"/>
            </w:tcBorders>
            <w:shd w:val="clear" w:color="auto" w:fill="auto"/>
            <w:noWrap/>
            <w:vAlign w:val="bottom"/>
            <w:hideMark/>
          </w:tcPr>
          <w:p w14:paraId="16E13CE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Immunofluorescence</w:t>
            </w:r>
          </w:p>
        </w:tc>
      </w:tr>
      <w:tr w:rsidR="00E844C1" w:rsidRPr="00E844C1" w14:paraId="7B567391" w14:textId="77777777" w:rsidTr="007A6E6D">
        <w:trPr>
          <w:trHeight w:val="300"/>
        </w:trPr>
        <w:tc>
          <w:tcPr>
            <w:tcW w:w="1440" w:type="dxa"/>
            <w:tcBorders>
              <w:top w:val="nil"/>
              <w:left w:val="nil"/>
              <w:bottom w:val="nil"/>
              <w:right w:val="nil"/>
            </w:tcBorders>
            <w:shd w:val="clear" w:color="auto" w:fill="auto"/>
            <w:noWrap/>
            <w:hideMark/>
          </w:tcPr>
          <w:p w14:paraId="10D09A9E" w14:textId="77777777" w:rsidR="00E844C1" w:rsidRPr="00E844C1" w:rsidRDefault="00E844C1" w:rsidP="007A6E6D">
            <w:pPr>
              <w:jc w:val="center"/>
              <w:rPr>
                <w:rFonts w:ascii="Calibri" w:eastAsia="Times New Roman" w:hAnsi="Calibri" w:cs="Times New Roman"/>
                <w:color w:val="000000"/>
              </w:rPr>
            </w:pPr>
            <w:r w:rsidRPr="00E844C1">
              <w:rPr>
                <w:rFonts w:ascii="Calibri" w:eastAsia="Times New Roman" w:hAnsi="Calibri" w:cs="Times New Roman"/>
                <w:color w:val="000000"/>
              </w:rPr>
              <w:t>INO80/SWR1</w:t>
            </w:r>
          </w:p>
        </w:tc>
        <w:tc>
          <w:tcPr>
            <w:tcW w:w="7440" w:type="dxa"/>
            <w:tcBorders>
              <w:top w:val="nil"/>
              <w:left w:val="nil"/>
              <w:bottom w:val="nil"/>
              <w:right w:val="nil"/>
            </w:tcBorders>
            <w:shd w:val="clear" w:color="auto" w:fill="auto"/>
            <w:noWrap/>
            <w:vAlign w:val="bottom"/>
            <w:hideMark/>
          </w:tcPr>
          <w:p w14:paraId="2DC861A3" w14:textId="0FADBEB6"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Inositol/choline-responsive element-d</w:t>
            </w:r>
            <w:r w:rsidR="007A6E6D">
              <w:rPr>
                <w:rFonts w:ascii="Calibri" w:eastAsia="Times New Roman" w:hAnsi="Calibri" w:cs="Times New Roman"/>
                <w:color w:val="000000"/>
              </w:rPr>
              <w:t xml:space="preserve">ependent gene activation mutant </w:t>
            </w:r>
            <w:r w:rsidRPr="00E844C1">
              <w:rPr>
                <w:rFonts w:ascii="Calibri" w:eastAsia="Times New Roman" w:hAnsi="Calibri" w:cs="Times New Roman"/>
                <w:color w:val="000000"/>
              </w:rPr>
              <w:t>80</w:t>
            </w:r>
          </w:p>
        </w:tc>
      </w:tr>
      <w:tr w:rsidR="00E844C1" w:rsidRPr="00E844C1" w14:paraId="00039303" w14:textId="77777777" w:rsidTr="00E844C1">
        <w:trPr>
          <w:trHeight w:val="300"/>
        </w:trPr>
        <w:tc>
          <w:tcPr>
            <w:tcW w:w="1440" w:type="dxa"/>
            <w:tcBorders>
              <w:top w:val="nil"/>
              <w:left w:val="nil"/>
              <w:bottom w:val="nil"/>
              <w:right w:val="nil"/>
            </w:tcBorders>
            <w:shd w:val="clear" w:color="auto" w:fill="auto"/>
            <w:noWrap/>
            <w:vAlign w:val="bottom"/>
            <w:hideMark/>
          </w:tcPr>
          <w:p w14:paraId="3E9C7B3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IQR</w:t>
            </w:r>
          </w:p>
        </w:tc>
        <w:tc>
          <w:tcPr>
            <w:tcW w:w="7440" w:type="dxa"/>
            <w:tcBorders>
              <w:top w:val="nil"/>
              <w:left w:val="nil"/>
              <w:bottom w:val="nil"/>
              <w:right w:val="nil"/>
            </w:tcBorders>
            <w:shd w:val="clear" w:color="auto" w:fill="auto"/>
            <w:noWrap/>
            <w:vAlign w:val="bottom"/>
            <w:hideMark/>
          </w:tcPr>
          <w:p w14:paraId="142F921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Interquartile range</w:t>
            </w:r>
          </w:p>
        </w:tc>
      </w:tr>
      <w:tr w:rsidR="00E844C1" w:rsidRPr="00E844C1" w14:paraId="0D43E833" w14:textId="77777777" w:rsidTr="00E844C1">
        <w:trPr>
          <w:trHeight w:val="300"/>
        </w:trPr>
        <w:tc>
          <w:tcPr>
            <w:tcW w:w="1440" w:type="dxa"/>
            <w:tcBorders>
              <w:top w:val="nil"/>
              <w:left w:val="nil"/>
              <w:bottom w:val="nil"/>
              <w:right w:val="nil"/>
            </w:tcBorders>
            <w:shd w:val="clear" w:color="auto" w:fill="auto"/>
            <w:noWrap/>
            <w:vAlign w:val="bottom"/>
            <w:hideMark/>
          </w:tcPr>
          <w:p w14:paraId="242B7EB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ISWI</w:t>
            </w:r>
          </w:p>
        </w:tc>
        <w:tc>
          <w:tcPr>
            <w:tcW w:w="7440" w:type="dxa"/>
            <w:tcBorders>
              <w:top w:val="nil"/>
              <w:left w:val="nil"/>
              <w:bottom w:val="nil"/>
              <w:right w:val="nil"/>
            </w:tcBorders>
            <w:shd w:val="clear" w:color="auto" w:fill="auto"/>
            <w:noWrap/>
            <w:vAlign w:val="bottom"/>
            <w:hideMark/>
          </w:tcPr>
          <w:p w14:paraId="33A99EF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Imitation SWI</w:t>
            </w:r>
          </w:p>
        </w:tc>
      </w:tr>
      <w:tr w:rsidR="00E844C1" w:rsidRPr="00E844C1" w14:paraId="009A8E2F" w14:textId="77777777" w:rsidTr="00E844C1">
        <w:trPr>
          <w:trHeight w:val="300"/>
        </w:trPr>
        <w:tc>
          <w:tcPr>
            <w:tcW w:w="1440" w:type="dxa"/>
            <w:tcBorders>
              <w:top w:val="nil"/>
              <w:left w:val="nil"/>
              <w:bottom w:val="nil"/>
              <w:right w:val="nil"/>
            </w:tcBorders>
            <w:shd w:val="clear" w:color="auto" w:fill="auto"/>
            <w:noWrap/>
            <w:vAlign w:val="bottom"/>
            <w:hideMark/>
          </w:tcPr>
          <w:p w14:paraId="012F976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IVT</w:t>
            </w:r>
          </w:p>
        </w:tc>
        <w:tc>
          <w:tcPr>
            <w:tcW w:w="7440" w:type="dxa"/>
            <w:tcBorders>
              <w:top w:val="nil"/>
              <w:left w:val="nil"/>
              <w:bottom w:val="nil"/>
              <w:right w:val="nil"/>
            </w:tcBorders>
            <w:shd w:val="clear" w:color="auto" w:fill="auto"/>
            <w:noWrap/>
            <w:vAlign w:val="bottom"/>
            <w:hideMark/>
          </w:tcPr>
          <w:p w14:paraId="19D0F6D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In vitro transcription</w:t>
            </w:r>
          </w:p>
        </w:tc>
      </w:tr>
      <w:tr w:rsidR="00E844C1" w:rsidRPr="00E844C1" w14:paraId="2F1D6ED3" w14:textId="77777777" w:rsidTr="00E844C1">
        <w:trPr>
          <w:trHeight w:val="300"/>
        </w:trPr>
        <w:tc>
          <w:tcPr>
            <w:tcW w:w="1440" w:type="dxa"/>
            <w:tcBorders>
              <w:top w:val="nil"/>
              <w:left w:val="nil"/>
              <w:bottom w:val="nil"/>
              <w:right w:val="nil"/>
            </w:tcBorders>
            <w:shd w:val="clear" w:color="auto" w:fill="auto"/>
            <w:noWrap/>
            <w:vAlign w:val="bottom"/>
            <w:hideMark/>
          </w:tcPr>
          <w:p w14:paraId="444D4FE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KIF11</w:t>
            </w:r>
          </w:p>
        </w:tc>
        <w:tc>
          <w:tcPr>
            <w:tcW w:w="7440" w:type="dxa"/>
            <w:tcBorders>
              <w:top w:val="nil"/>
              <w:left w:val="nil"/>
              <w:bottom w:val="nil"/>
              <w:right w:val="nil"/>
            </w:tcBorders>
            <w:shd w:val="clear" w:color="auto" w:fill="auto"/>
            <w:noWrap/>
            <w:vAlign w:val="bottom"/>
            <w:hideMark/>
          </w:tcPr>
          <w:p w14:paraId="64FF3EE9"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Kinesin</w:t>
            </w:r>
            <w:proofErr w:type="spellEnd"/>
            <w:r w:rsidRPr="00E844C1">
              <w:rPr>
                <w:rFonts w:ascii="Calibri" w:eastAsia="Times New Roman" w:hAnsi="Calibri" w:cs="Times New Roman"/>
                <w:color w:val="000000"/>
              </w:rPr>
              <w:t xml:space="preserve"> Family Member 11</w:t>
            </w:r>
          </w:p>
        </w:tc>
      </w:tr>
      <w:tr w:rsidR="00E844C1" w:rsidRPr="00E844C1" w14:paraId="17B8825E" w14:textId="77777777" w:rsidTr="00E844C1">
        <w:trPr>
          <w:trHeight w:val="300"/>
        </w:trPr>
        <w:tc>
          <w:tcPr>
            <w:tcW w:w="1440" w:type="dxa"/>
            <w:tcBorders>
              <w:top w:val="nil"/>
              <w:left w:val="nil"/>
              <w:bottom w:val="nil"/>
              <w:right w:val="nil"/>
            </w:tcBorders>
            <w:shd w:val="clear" w:color="auto" w:fill="auto"/>
            <w:noWrap/>
            <w:vAlign w:val="bottom"/>
            <w:hideMark/>
          </w:tcPr>
          <w:p w14:paraId="17316A0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KLK5</w:t>
            </w:r>
          </w:p>
        </w:tc>
        <w:tc>
          <w:tcPr>
            <w:tcW w:w="7440" w:type="dxa"/>
            <w:tcBorders>
              <w:top w:val="nil"/>
              <w:left w:val="nil"/>
              <w:bottom w:val="nil"/>
              <w:right w:val="nil"/>
            </w:tcBorders>
            <w:shd w:val="clear" w:color="auto" w:fill="auto"/>
            <w:noWrap/>
            <w:vAlign w:val="bottom"/>
            <w:hideMark/>
          </w:tcPr>
          <w:p w14:paraId="5DBC3134"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Kallikrein</w:t>
            </w:r>
            <w:proofErr w:type="spellEnd"/>
            <w:r w:rsidRPr="00E844C1">
              <w:rPr>
                <w:rFonts w:ascii="Calibri" w:eastAsia="Times New Roman" w:hAnsi="Calibri" w:cs="Times New Roman"/>
                <w:color w:val="000000"/>
              </w:rPr>
              <w:t>-related peptidase 5</w:t>
            </w:r>
          </w:p>
        </w:tc>
      </w:tr>
      <w:tr w:rsidR="00E844C1" w:rsidRPr="00E844C1" w14:paraId="42F01944" w14:textId="77777777" w:rsidTr="00E844C1">
        <w:trPr>
          <w:trHeight w:val="300"/>
        </w:trPr>
        <w:tc>
          <w:tcPr>
            <w:tcW w:w="1440" w:type="dxa"/>
            <w:tcBorders>
              <w:top w:val="nil"/>
              <w:left w:val="nil"/>
              <w:bottom w:val="nil"/>
              <w:right w:val="nil"/>
            </w:tcBorders>
            <w:shd w:val="clear" w:color="auto" w:fill="auto"/>
            <w:noWrap/>
            <w:vAlign w:val="bottom"/>
            <w:hideMark/>
          </w:tcPr>
          <w:p w14:paraId="1C6E07E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KRAS</w:t>
            </w:r>
          </w:p>
        </w:tc>
        <w:tc>
          <w:tcPr>
            <w:tcW w:w="7440" w:type="dxa"/>
            <w:tcBorders>
              <w:top w:val="nil"/>
              <w:left w:val="nil"/>
              <w:bottom w:val="nil"/>
              <w:right w:val="nil"/>
            </w:tcBorders>
            <w:shd w:val="clear" w:color="auto" w:fill="auto"/>
            <w:noWrap/>
            <w:vAlign w:val="bottom"/>
            <w:hideMark/>
          </w:tcPr>
          <w:p w14:paraId="4431BB6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Kirsten rat sarcoma</w:t>
            </w:r>
          </w:p>
        </w:tc>
      </w:tr>
      <w:tr w:rsidR="00E844C1" w:rsidRPr="00E844C1" w14:paraId="2F63B5CC" w14:textId="77777777" w:rsidTr="00E844C1">
        <w:trPr>
          <w:trHeight w:val="300"/>
        </w:trPr>
        <w:tc>
          <w:tcPr>
            <w:tcW w:w="1440" w:type="dxa"/>
            <w:tcBorders>
              <w:top w:val="nil"/>
              <w:left w:val="nil"/>
              <w:bottom w:val="nil"/>
              <w:right w:val="nil"/>
            </w:tcBorders>
            <w:shd w:val="clear" w:color="auto" w:fill="auto"/>
            <w:noWrap/>
            <w:vAlign w:val="bottom"/>
            <w:hideMark/>
          </w:tcPr>
          <w:p w14:paraId="1006294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KRTAP</w:t>
            </w:r>
          </w:p>
        </w:tc>
        <w:tc>
          <w:tcPr>
            <w:tcW w:w="7440" w:type="dxa"/>
            <w:tcBorders>
              <w:top w:val="nil"/>
              <w:left w:val="nil"/>
              <w:bottom w:val="nil"/>
              <w:right w:val="nil"/>
            </w:tcBorders>
            <w:shd w:val="clear" w:color="auto" w:fill="auto"/>
            <w:noWrap/>
            <w:vAlign w:val="bottom"/>
            <w:hideMark/>
          </w:tcPr>
          <w:p w14:paraId="576A985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Keratin associated proteins</w:t>
            </w:r>
          </w:p>
        </w:tc>
      </w:tr>
      <w:tr w:rsidR="00E844C1" w:rsidRPr="00E844C1" w14:paraId="31993687" w14:textId="77777777" w:rsidTr="00E844C1">
        <w:trPr>
          <w:trHeight w:val="300"/>
        </w:trPr>
        <w:tc>
          <w:tcPr>
            <w:tcW w:w="1440" w:type="dxa"/>
            <w:tcBorders>
              <w:top w:val="nil"/>
              <w:left w:val="nil"/>
              <w:bottom w:val="nil"/>
              <w:right w:val="nil"/>
            </w:tcBorders>
            <w:shd w:val="clear" w:color="auto" w:fill="auto"/>
            <w:noWrap/>
            <w:vAlign w:val="bottom"/>
            <w:hideMark/>
          </w:tcPr>
          <w:p w14:paraId="1F422BA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LEF</w:t>
            </w:r>
          </w:p>
        </w:tc>
        <w:tc>
          <w:tcPr>
            <w:tcW w:w="7440" w:type="dxa"/>
            <w:tcBorders>
              <w:top w:val="nil"/>
              <w:left w:val="nil"/>
              <w:bottom w:val="nil"/>
              <w:right w:val="nil"/>
            </w:tcBorders>
            <w:shd w:val="clear" w:color="auto" w:fill="auto"/>
            <w:noWrap/>
            <w:vAlign w:val="bottom"/>
            <w:hideMark/>
          </w:tcPr>
          <w:p w14:paraId="48925A2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Lymphoid enhancer factor</w:t>
            </w:r>
          </w:p>
        </w:tc>
      </w:tr>
      <w:tr w:rsidR="00E844C1" w:rsidRPr="00E844C1" w14:paraId="5801948F" w14:textId="77777777" w:rsidTr="00E844C1">
        <w:trPr>
          <w:trHeight w:val="300"/>
        </w:trPr>
        <w:tc>
          <w:tcPr>
            <w:tcW w:w="1440" w:type="dxa"/>
            <w:tcBorders>
              <w:top w:val="nil"/>
              <w:left w:val="nil"/>
              <w:bottom w:val="nil"/>
              <w:right w:val="nil"/>
            </w:tcBorders>
            <w:shd w:val="clear" w:color="auto" w:fill="auto"/>
            <w:noWrap/>
            <w:vAlign w:val="bottom"/>
            <w:hideMark/>
          </w:tcPr>
          <w:p w14:paraId="5DCDA0E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LRP5/6</w:t>
            </w:r>
          </w:p>
        </w:tc>
        <w:tc>
          <w:tcPr>
            <w:tcW w:w="7440" w:type="dxa"/>
            <w:tcBorders>
              <w:top w:val="nil"/>
              <w:left w:val="nil"/>
              <w:bottom w:val="nil"/>
              <w:right w:val="nil"/>
            </w:tcBorders>
            <w:shd w:val="clear" w:color="auto" w:fill="auto"/>
            <w:noWrap/>
            <w:vAlign w:val="bottom"/>
            <w:hideMark/>
          </w:tcPr>
          <w:p w14:paraId="34A278D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Low density lipoprotein receptor-related protein 5/6 </w:t>
            </w:r>
          </w:p>
        </w:tc>
      </w:tr>
      <w:tr w:rsidR="00E844C1" w:rsidRPr="00E844C1" w14:paraId="5BE5CEAF" w14:textId="77777777" w:rsidTr="00E844C1">
        <w:trPr>
          <w:trHeight w:val="300"/>
        </w:trPr>
        <w:tc>
          <w:tcPr>
            <w:tcW w:w="1440" w:type="dxa"/>
            <w:tcBorders>
              <w:top w:val="nil"/>
              <w:left w:val="nil"/>
              <w:bottom w:val="nil"/>
              <w:right w:val="nil"/>
            </w:tcBorders>
            <w:shd w:val="clear" w:color="auto" w:fill="auto"/>
            <w:noWrap/>
            <w:vAlign w:val="bottom"/>
            <w:hideMark/>
          </w:tcPr>
          <w:p w14:paraId="4FAD195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MAPK</w:t>
            </w:r>
          </w:p>
        </w:tc>
        <w:tc>
          <w:tcPr>
            <w:tcW w:w="7440" w:type="dxa"/>
            <w:tcBorders>
              <w:top w:val="nil"/>
              <w:left w:val="nil"/>
              <w:bottom w:val="nil"/>
              <w:right w:val="nil"/>
            </w:tcBorders>
            <w:shd w:val="clear" w:color="auto" w:fill="auto"/>
            <w:noWrap/>
            <w:vAlign w:val="bottom"/>
            <w:hideMark/>
          </w:tcPr>
          <w:p w14:paraId="3EB25EA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Mitogen activated protein kinase</w:t>
            </w:r>
          </w:p>
        </w:tc>
      </w:tr>
      <w:tr w:rsidR="00E844C1" w:rsidRPr="00E844C1" w14:paraId="32D18514" w14:textId="77777777" w:rsidTr="00E844C1">
        <w:trPr>
          <w:trHeight w:val="300"/>
        </w:trPr>
        <w:tc>
          <w:tcPr>
            <w:tcW w:w="1440" w:type="dxa"/>
            <w:tcBorders>
              <w:top w:val="nil"/>
              <w:left w:val="nil"/>
              <w:bottom w:val="nil"/>
              <w:right w:val="nil"/>
            </w:tcBorders>
            <w:shd w:val="clear" w:color="auto" w:fill="auto"/>
            <w:noWrap/>
            <w:vAlign w:val="bottom"/>
            <w:hideMark/>
          </w:tcPr>
          <w:p w14:paraId="1A36FB4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MGMT</w:t>
            </w:r>
          </w:p>
        </w:tc>
        <w:tc>
          <w:tcPr>
            <w:tcW w:w="7440" w:type="dxa"/>
            <w:tcBorders>
              <w:top w:val="nil"/>
              <w:left w:val="nil"/>
              <w:bottom w:val="nil"/>
              <w:right w:val="nil"/>
            </w:tcBorders>
            <w:shd w:val="clear" w:color="auto" w:fill="auto"/>
            <w:noWrap/>
            <w:vAlign w:val="bottom"/>
            <w:hideMark/>
          </w:tcPr>
          <w:p w14:paraId="4A517A6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O-6-Methylguanine-DNA </w:t>
            </w:r>
            <w:proofErr w:type="spellStart"/>
            <w:r w:rsidRPr="00E844C1">
              <w:rPr>
                <w:rFonts w:ascii="Calibri" w:eastAsia="Times New Roman" w:hAnsi="Calibri" w:cs="Times New Roman"/>
                <w:color w:val="000000"/>
              </w:rPr>
              <w:t>Methyltransferase</w:t>
            </w:r>
            <w:proofErr w:type="spellEnd"/>
          </w:p>
        </w:tc>
      </w:tr>
      <w:tr w:rsidR="00E844C1" w:rsidRPr="00E844C1" w14:paraId="54BA17DF" w14:textId="77777777" w:rsidTr="00E844C1">
        <w:trPr>
          <w:trHeight w:val="300"/>
        </w:trPr>
        <w:tc>
          <w:tcPr>
            <w:tcW w:w="1440" w:type="dxa"/>
            <w:tcBorders>
              <w:top w:val="nil"/>
              <w:left w:val="nil"/>
              <w:bottom w:val="nil"/>
              <w:right w:val="nil"/>
            </w:tcBorders>
            <w:shd w:val="clear" w:color="auto" w:fill="auto"/>
            <w:noWrap/>
            <w:vAlign w:val="bottom"/>
            <w:hideMark/>
          </w:tcPr>
          <w:p w14:paraId="2AEB2AE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Mi-2/NuRD</w:t>
            </w:r>
          </w:p>
        </w:tc>
        <w:tc>
          <w:tcPr>
            <w:tcW w:w="7440" w:type="dxa"/>
            <w:tcBorders>
              <w:top w:val="nil"/>
              <w:left w:val="nil"/>
              <w:bottom w:val="nil"/>
              <w:right w:val="nil"/>
            </w:tcBorders>
            <w:shd w:val="clear" w:color="auto" w:fill="auto"/>
            <w:noWrap/>
            <w:vAlign w:val="bottom"/>
            <w:hideMark/>
          </w:tcPr>
          <w:p w14:paraId="1ADABE0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Nucleosome Remodelling deacetylases </w:t>
            </w:r>
          </w:p>
        </w:tc>
      </w:tr>
      <w:tr w:rsidR="00E844C1" w:rsidRPr="00E844C1" w14:paraId="61BCA3F9" w14:textId="77777777" w:rsidTr="00E844C1">
        <w:trPr>
          <w:trHeight w:val="300"/>
        </w:trPr>
        <w:tc>
          <w:tcPr>
            <w:tcW w:w="1440" w:type="dxa"/>
            <w:tcBorders>
              <w:top w:val="nil"/>
              <w:left w:val="nil"/>
              <w:bottom w:val="nil"/>
              <w:right w:val="nil"/>
            </w:tcBorders>
            <w:shd w:val="clear" w:color="auto" w:fill="auto"/>
            <w:noWrap/>
            <w:vAlign w:val="bottom"/>
            <w:hideMark/>
          </w:tcPr>
          <w:p w14:paraId="0232985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MMR</w:t>
            </w:r>
          </w:p>
        </w:tc>
        <w:tc>
          <w:tcPr>
            <w:tcW w:w="7440" w:type="dxa"/>
            <w:tcBorders>
              <w:top w:val="nil"/>
              <w:left w:val="nil"/>
              <w:bottom w:val="nil"/>
              <w:right w:val="nil"/>
            </w:tcBorders>
            <w:shd w:val="clear" w:color="auto" w:fill="auto"/>
            <w:noWrap/>
            <w:vAlign w:val="bottom"/>
            <w:hideMark/>
          </w:tcPr>
          <w:p w14:paraId="6A0BCCC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DNA mismatch repair </w:t>
            </w:r>
          </w:p>
        </w:tc>
      </w:tr>
      <w:tr w:rsidR="00E844C1" w:rsidRPr="00E844C1" w14:paraId="0A48E39E" w14:textId="77777777" w:rsidTr="00E844C1">
        <w:trPr>
          <w:trHeight w:val="300"/>
        </w:trPr>
        <w:tc>
          <w:tcPr>
            <w:tcW w:w="1440" w:type="dxa"/>
            <w:tcBorders>
              <w:top w:val="nil"/>
              <w:left w:val="nil"/>
              <w:bottom w:val="nil"/>
              <w:right w:val="nil"/>
            </w:tcBorders>
            <w:shd w:val="clear" w:color="auto" w:fill="auto"/>
            <w:noWrap/>
            <w:vAlign w:val="bottom"/>
            <w:hideMark/>
          </w:tcPr>
          <w:p w14:paraId="1CEB6D9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MN</w:t>
            </w:r>
          </w:p>
        </w:tc>
        <w:tc>
          <w:tcPr>
            <w:tcW w:w="7440" w:type="dxa"/>
            <w:tcBorders>
              <w:top w:val="nil"/>
              <w:left w:val="nil"/>
              <w:bottom w:val="nil"/>
              <w:right w:val="nil"/>
            </w:tcBorders>
            <w:shd w:val="clear" w:color="auto" w:fill="auto"/>
            <w:noWrap/>
            <w:vAlign w:val="bottom"/>
            <w:hideMark/>
          </w:tcPr>
          <w:p w14:paraId="0ED7DD1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Micrococcal Nuclease</w:t>
            </w:r>
          </w:p>
        </w:tc>
      </w:tr>
      <w:tr w:rsidR="00E844C1" w:rsidRPr="00E844C1" w14:paraId="4DE3B505" w14:textId="77777777" w:rsidTr="00E844C1">
        <w:trPr>
          <w:trHeight w:val="300"/>
        </w:trPr>
        <w:tc>
          <w:tcPr>
            <w:tcW w:w="1440" w:type="dxa"/>
            <w:tcBorders>
              <w:top w:val="nil"/>
              <w:left w:val="nil"/>
              <w:bottom w:val="nil"/>
              <w:right w:val="nil"/>
            </w:tcBorders>
            <w:shd w:val="clear" w:color="auto" w:fill="auto"/>
            <w:noWrap/>
            <w:vAlign w:val="bottom"/>
            <w:hideMark/>
          </w:tcPr>
          <w:p w14:paraId="2950E357"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Mnase</w:t>
            </w:r>
            <w:proofErr w:type="spellEnd"/>
          </w:p>
        </w:tc>
        <w:tc>
          <w:tcPr>
            <w:tcW w:w="7440" w:type="dxa"/>
            <w:tcBorders>
              <w:top w:val="nil"/>
              <w:left w:val="nil"/>
              <w:bottom w:val="nil"/>
              <w:right w:val="nil"/>
            </w:tcBorders>
            <w:shd w:val="clear" w:color="auto" w:fill="auto"/>
            <w:noWrap/>
            <w:vAlign w:val="bottom"/>
            <w:hideMark/>
          </w:tcPr>
          <w:p w14:paraId="1F2E4A4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Micrococcal Nuclease</w:t>
            </w:r>
          </w:p>
        </w:tc>
      </w:tr>
      <w:tr w:rsidR="00E844C1" w:rsidRPr="00E844C1" w14:paraId="5B1A4C10" w14:textId="77777777" w:rsidTr="00E844C1">
        <w:trPr>
          <w:trHeight w:val="300"/>
        </w:trPr>
        <w:tc>
          <w:tcPr>
            <w:tcW w:w="1440" w:type="dxa"/>
            <w:tcBorders>
              <w:top w:val="nil"/>
              <w:left w:val="nil"/>
              <w:bottom w:val="nil"/>
              <w:right w:val="nil"/>
            </w:tcBorders>
            <w:shd w:val="clear" w:color="auto" w:fill="auto"/>
            <w:noWrap/>
            <w:vAlign w:val="bottom"/>
            <w:hideMark/>
          </w:tcPr>
          <w:p w14:paraId="33A46200"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mRNA</w:t>
            </w:r>
            <w:proofErr w:type="gramEnd"/>
          </w:p>
        </w:tc>
        <w:tc>
          <w:tcPr>
            <w:tcW w:w="7440" w:type="dxa"/>
            <w:tcBorders>
              <w:top w:val="nil"/>
              <w:left w:val="nil"/>
              <w:bottom w:val="nil"/>
              <w:right w:val="nil"/>
            </w:tcBorders>
            <w:shd w:val="clear" w:color="auto" w:fill="auto"/>
            <w:noWrap/>
            <w:vAlign w:val="bottom"/>
            <w:hideMark/>
          </w:tcPr>
          <w:p w14:paraId="4450640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Messenger Ribonucleic acid</w:t>
            </w:r>
          </w:p>
        </w:tc>
      </w:tr>
      <w:tr w:rsidR="00E844C1" w:rsidRPr="00E844C1" w14:paraId="5C6CDF5E" w14:textId="77777777" w:rsidTr="00E844C1">
        <w:trPr>
          <w:trHeight w:val="300"/>
        </w:trPr>
        <w:tc>
          <w:tcPr>
            <w:tcW w:w="1440" w:type="dxa"/>
            <w:tcBorders>
              <w:top w:val="nil"/>
              <w:left w:val="nil"/>
              <w:bottom w:val="nil"/>
              <w:right w:val="nil"/>
            </w:tcBorders>
            <w:shd w:val="clear" w:color="auto" w:fill="auto"/>
            <w:noWrap/>
            <w:vAlign w:val="bottom"/>
            <w:hideMark/>
          </w:tcPr>
          <w:p w14:paraId="1AE4F4C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MS</w:t>
            </w:r>
          </w:p>
        </w:tc>
        <w:tc>
          <w:tcPr>
            <w:tcW w:w="7440" w:type="dxa"/>
            <w:tcBorders>
              <w:top w:val="nil"/>
              <w:left w:val="nil"/>
              <w:bottom w:val="nil"/>
              <w:right w:val="nil"/>
            </w:tcBorders>
            <w:shd w:val="clear" w:color="auto" w:fill="auto"/>
            <w:noWrap/>
            <w:vAlign w:val="bottom"/>
            <w:hideMark/>
          </w:tcPr>
          <w:p w14:paraId="5C8E5C0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Microsatellite sequences</w:t>
            </w:r>
          </w:p>
        </w:tc>
      </w:tr>
      <w:tr w:rsidR="00E844C1" w:rsidRPr="00E844C1" w14:paraId="44DD8045" w14:textId="77777777" w:rsidTr="00E844C1">
        <w:trPr>
          <w:trHeight w:val="300"/>
        </w:trPr>
        <w:tc>
          <w:tcPr>
            <w:tcW w:w="1440" w:type="dxa"/>
            <w:tcBorders>
              <w:top w:val="nil"/>
              <w:left w:val="nil"/>
              <w:bottom w:val="nil"/>
              <w:right w:val="nil"/>
            </w:tcBorders>
            <w:shd w:val="clear" w:color="auto" w:fill="auto"/>
            <w:noWrap/>
            <w:vAlign w:val="bottom"/>
            <w:hideMark/>
          </w:tcPr>
          <w:p w14:paraId="57C1F1C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MSI</w:t>
            </w:r>
          </w:p>
        </w:tc>
        <w:tc>
          <w:tcPr>
            <w:tcW w:w="7440" w:type="dxa"/>
            <w:tcBorders>
              <w:top w:val="nil"/>
              <w:left w:val="nil"/>
              <w:bottom w:val="nil"/>
              <w:right w:val="nil"/>
            </w:tcBorders>
            <w:shd w:val="clear" w:color="auto" w:fill="auto"/>
            <w:noWrap/>
            <w:vAlign w:val="bottom"/>
            <w:hideMark/>
          </w:tcPr>
          <w:p w14:paraId="4665A7A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Microsatellite instability</w:t>
            </w:r>
          </w:p>
        </w:tc>
      </w:tr>
      <w:tr w:rsidR="00E844C1" w:rsidRPr="00E844C1" w14:paraId="68ED86B9" w14:textId="77777777" w:rsidTr="00E844C1">
        <w:trPr>
          <w:trHeight w:val="300"/>
        </w:trPr>
        <w:tc>
          <w:tcPr>
            <w:tcW w:w="1440" w:type="dxa"/>
            <w:tcBorders>
              <w:top w:val="nil"/>
              <w:left w:val="nil"/>
              <w:bottom w:val="nil"/>
              <w:right w:val="nil"/>
            </w:tcBorders>
            <w:shd w:val="clear" w:color="auto" w:fill="auto"/>
            <w:noWrap/>
            <w:vAlign w:val="bottom"/>
            <w:hideMark/>
          </w:tcPr>
          <w:p w14:paraId="008E9F4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MSS</w:t>
            </w:r>
          </w:p>
        </w:tc>
        <w:tc>
          <w:tcPr>
            <w:tcW w:w="7440" w:type="dxa"/>
            <w:tcBorders>
              <w:top w:val="nil"/>
              <w:left w:val="nil"/>
              <w:bottom w:val="nil"/>
              <w:right w:val="nil"/>
            </w:tcBorders>
            <w:shd w:val="clear" w:color="auto" w:fill="auto"/>
            <w:noWrap/>
            <w:vAlign w:val="bottom"/>
            <w:hideMark/>
          </w:tcPr>
          <w:p w14:paraId="7A82045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Microsatellite stable</w:t>
            </w:r>
          </w:p>
        </w:tc>
      </w:tr>
      <w:tr w:rsidR="00E844C1" w:rsidRPr="00E844C1" w14:paraId="318C6416" w14:textId="77777777" w:rsidTr="00E844C1">
        <w:trPr>
          <w:trHeight w:val="300"/>
        </w:trPr>
        <w:tc>
          <w:tcPr>
            <w:tcW w:w="1440" w:type="dxa"/>
            <w:tcBorders>
              <w:top w:val="nil"/>
              <w:left w:val="nil"/>
              <w:bottom w:val="nil"/>
              <w:right w:val="nil"/>
            </w:tcBorders>
            <w:shd w:val="clear" w:color="auto" w:fill="auto"/>
            <w:noWrap/>
            <w:vAlign w:val="bottom"/>
            <w:hideMark/>
          </w:tcPr>
          <w:p w14:paraId="7B565C0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MSX1</w:t>
            </w:r>
          </w:p>
        </w:tc>
        <w:tc>
          <w:tcPr>
            <w:tcW w:w="7440" w:type="dxa"/>
            <w:tcBorders>
              <w:top w:val="nil"/>
              <w:left w:val="nil"/>
              <w:bottom w:val="nil"/>
              <w:right w:val="nil"/>
            </w:tcBorders>
            <w:shd w:val="clear" w:color="auto" w:fill="auto"/>
            <w:noWrap/>
            <w:vAlign w:val="bottom"/>
            <w:hideMark/>
          </w:tcPr>
          <w:p w14:paraId="3B150C79"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Msh</w:t>
            </w:r>
            <w:proofErr w:type="spellEnd"/>
            <w:r w:rsidRPr="00E844C1">
              <w:rPr>
                <w:rFonts w:ascii="Calibri" w:eastAsia="Times New Roman" w:hAnsi="Calibri" w:cs="Times New Roman"/>
                <w:color w:val="000000"/>
              </w:rPr>
              <w:t xml:space="preserve"> </w:t>
            </w:r>
            <w:proofErr w:type="spellStart"/>
            <w:r w:rsidRPr="00E844C1">
              <w:rPr>
                <w:rFonts w:ascii="Calibri" w:eastAsia="Times New Roman" w:hAnsi="Calibri" w:cs="Times New Roman"/>
                <w:color w:val="000000"/>
              </w:rPr>
              <w:t>homeobox</w:t>
            </w:r>
            <w:proofErr w:type="spellEnd"/>
            <w:r w:rsidRPr="00E844C1">
              <w:rPr>
                <w:rFonts w:ascii="Calibri" w:eastAsia="Times New Roman" w:hAnsi="Calibri" w:cs="Times New Roman"/>
                <w:color w:val="000000"/>
              </w:rPr>
              <w:t xml:space="preserve"> 1</w:t>
            </w:r>
          </w:p>
        </w:tc>
      </w:tr>
      <w:tr w:rsidR="00E844C1" w:rsidRPr="00E844C1" w14:paraId="7C89B3E9" w14:textId="77777777" w:rsidTr="00E844C1">
        <w:trPr>
          <w:trHeight w:val="300"/>
        </w:trPr>
        <w:tc>
          <w:tcPr>
            <w:tcW w:w="1440" w:type="dxa"/>
            <w:tcBorders>
              <w:top w:val="nil"/>
              <w:left w:val="nil"/>
              <w:bottom w:val="nil"/>
              <w:right w:val="nil"/>
            </w:tcBorders>
            <w:shd w:val="clear" w:color="auto" w:fill="auto"/>
            <w:noWrap/>
            <w:vAlign w:val="bottom"/>
            <w:hideMark/>
          </w:tcPr>
          <w:p w14:paraId="71E8699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MTA1 </w:t>
            </w:r>
          </w:p>
        </w:tc>
        <w:tc>
          <w:tcPr>
            <w:tcW w:w="7440" w:type="dxa"/>
            <w:tcBorders>
              <w:top w:val="nil"/>
              <w:left w:val="nil"/>
              <w:bottom w:val="nil"/>
              <w:right w:val="nil"/>
            </w:tcBorders>
            <w:shd w:val="clear" w:color="auto" w:fill="auto"/>
            <w:noWrap/>
            <w:vAlign w:val="bottom"/>
            <w:hideMark/>
          </w:tcPr>
          <w:p w14:paraId="7C26EE1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Metastasis-associated gene 1</w:t>
            </w:r>
          </w:p>
        </w:tc>
      </w:tr>
      <w:tr w:rsidR="00E844C1" w:rsidRPr="00E844C1" w14:paraId="01BA0E77" w14:textId="77777777" w:rsidTr="00E844C1">
        <w:trPr>
          <w:trHeight w:val="300"/>
        </w:trPr>
        <w:tc>
          <w:tcPr>
            <w:tcW w:w="1440" w:type="dxa"/>
            <w:tcBorders>
              <w:top w:val="nil"/>
              <w:left w:val="nil"/>
              <w:bottom w:val="nil"/>
              <w:right w:val="nil"/>
            </w:tcBorders>
            <w:shd w:val="clear" w:color="auto" w:fill="auto"/>
            <w:noWrap/>
            <w:vAlign w:val="bottom"/>
            <w:hideMark/>
          </w:tcPr>
          <w:p w14:paraId="49C7E8B5"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mTOR</w:t>
            </w:r>
            <w:proofErr w:type="gramEnd"/>
          </w:p>
        </w:tc>
        <w:tc>
          <w:tcPr>
            <w:tcW w:w="7440" w:type="dxa"/>
            <w:tcBorders>
              <w:top w:val="nil"/>
              <w:left w:val="nil"/>
              <w:bottom w:val="nil"/>
              <w:right w:val="nil"/>
            </w:tcBorders>
            <w:shd w:val="clear" w:color="auto" w:fill="auto"/>
            <w:noWrap/>
            <w:vAlign w:val="bottom"/>
            <w:hideMark/>
          </w:tcPr>
          <w:p w14:paraId="1537335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Mammalian Target of </w:t>
            </w:r>
            <w:proofErr w:type="spellStart"/>
            <w:r w:rsidRPr="00E844C1">
              <w:rPr>
                <w:rFonts w:ascii="Calibri" w:eastAsia="Times New Roman" w:hAnsi="Calibri" w:cs="Times New Roman"/>
                <w:color w:val="000000"/>
              </w:rPr>
              <w:t>Rapamycin</w:t>
            </w:r>
            <w:proofErr w:type="spellEnd"/>
          </w:p>
        </w:tc>
      </w:tr>
      <w:tr w:rsidR="00E844C1" w:rsidRPr="00E844C1" w14:paraId="017542B1" w14:textId="77777777" w:rsidTr="00E844C1">
        <w:trPr>
          <w:trHeight w:val="300"/>
        </w:trPr>
        <w:tc>
          <w:tcPr>
            <w:tcW w:w="1440" w:type="dxa"/>
            <w:tcBorders>
              <w:top w:val="nil"/>
              <w:left w:val="nil"/>
              <w:bottom w:val="nil"/>
              <w:right w:val="nil"/>
            </w:tcBorders>
            <w:shd w:val="clear" w:color="auto" w:fill="auto"/>
            <w:noWrap/>
            <w:vAlign w:val="bottom"/>
            <w:hideMark/>
          </w:tcPr>
          <w:p w14:paraId="59C9ADF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MTT</w:t>
            </w:r>
          </w:p>
        </w:tc>
        <w:tc>
          <w:tcPr>
            <w:tcW w:w="7440" w:type="dxa"/>
            <w:tcBorders>
              <w:top w:val="nil"/>
              <w:left w:val="nil"/>
              <w:bottom w:val="nil"/>
              <w:right w:val="nil"/>
            </w:tcBorders>
            <w:shd w:val="clear" w:color="auto" w:fill="auto"/>
            <w:noWrap/>
            <w:vAlign w:val="bottom"/>
            <w:hideMark/>
          </w:tcPr>
          <w:p w14:paraId="2924BD0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3-(4,5-dimethylthiazol-2-yl)-2,5-diphenyltetrazolium bromide </w:t>
            </w:r>
          </w:p>
        </w:tc>
      </w:tr>
      <w:tr w:rsidR="00E844C1" w:rsidRPr="00E844C1" w14:paraId="0798593D" w14:textId="77777777" w:rsidTr="00E844C1">
        <w:trPr>
          <w:trHeight w:val="300"/>
        </w:trPr>
        <w:tc>
          <w:tcPr>
            <w:tcW w:w="1440" w:type="dxa"/>
            <w:tcBorders>
              <w:top w:val="nil"/>
              <w:left w:val="nil"/>
              <w:bottom w:val="nil"/>
              <w:right w:val="nil"/>
            </w:tcBorders>
            <w:shd w:val="clear" w:color="auto" w:fill="auto"/>
            <w:noWrap/>
            <w:vAlign w:val="bottom"/>
            <w:hideMark/>
          </w:tcPr>
          <w:p w14:paraId="0A8C1EC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MUTLα</w:t>
            </w:r>
          </w:p>
        </w:tc>
        <w:tc>
          <w:tcPr>
            <w:tcW w:w="7440" w:type="dxa"/>
            <w:tcBorders>
              <w:top w:val="nil"/>
              <w:left w:val="nil"/>
              <w:bottom w:val="nil"/>
              <w:right w:val="nil"/>
            </w:tcBorders>
            <w:shd w:val="clear" w:color="auto" w:fill="auto"/>
            <w:noWrap/>
            <w:vAlign w:val="bottom"/>
            <w:hideMark/>
          </w:tcPr>
          <w:p w14:paraId="3C864F2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Mutator L</w:t>
            </w:r>
          </w:p>
        </w:tc>
      </w:tr>
      <w:tr w:rsidR="00E844C1" w:rsidRPr="00E844C1" w14:paraId="10FC2694" w14:textId="77777777" w:rsidTr="00E844C1">
        <w:trPr>
          <w:trHeight w:val="300"/>
        </w:trPr>
        <w:tc>
          <w:tcPr>
            <w:tcW w:w="1440" w:type="dxa"/>
            <w:tcBorders>
              <w:top w:val="nil"/>
              <w:left w:val="nil"/>
              <w:bottom w:val="nil"/>
              <w:right w:val="nil"/>
            </w:tcBorders>
            <w:shd w:val="clear" w:color="auto" w:fill="auto"/>
            <w:noWrap/>
            <w:vAlign w:val="bottom"/>
            <w:hideMark/>
          </w:tcPr>
          <w:p w14:paraId="7AA439E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MUTSα</w:t>
            </w:r>
          </w:p>
        </w:tc>
        <w:tc>
          <w:tcPr>
            <w:tcW w:w="7440" w:type="dxa"/>
            <w:tcBorders>
              <w:top w:val="nil"/>
              <w:left w:val="nil"/>
              <w:bottom w:val="nil"/>
              <w:right w:val="nil"/>
            </w:tcBorders>
            <w:shd w:val="clear" w:color="auto" w:fill="auto"/>
            <w:noWrap/>
            <w:vAlign w:val="bottom"/>
            <w:hideMark/>
          </w:tcPr>
          <w:p w14:paraId="094E040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Mutator S</w:t>
            </w:r>
          </w:p>
        </w:tc>
      </w:tr>
      <w:tr w:rsidR="00E844C1" w:rsidRPr="00E844C1" w14:paraId="43EB8E8D" w14:textId="77777777" w:rsidTr="00E844C1">
        <w:trPr>
          <w:trHeight w:val="300"/>
        </w:trPr>
        <w:tc>
          <w:tcPr>
            <w:tcW w:w="1440" w:type="dxa"/>
            <w:tcBorders>
              <w:top w:val="nil"/>
              <w:left w:val="nil"/>
              <w:bottom w:val="nil"/>
              <w:right w:val="nil"/>
            </w:tcBorders>
            <w:shd w:val="clear" w:color="auto" w:fill="auto"/>
            <w:noWrap/>
            <w:vAlign w:val="bottom"/>
            <w:hideMark/>
          </w:tcPr>
          <w:p w14:paraId="3460C68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MW</w:t>
            </w:r>
          </w:p>
        </w:tc>
        <w:tc>
          <w:tcPr>
            <w:tcW w:w="7440" w:type="dxa"/>
            <w:tcBorders>
              <w:top w:val="nil"/>
              <w:left w:val="nil"/>
              <w:bottom w:val="nil"/>
              <w:right w:val="nil"/>
            </w:tcBorders>
            <w:shd w:val="clear" w:color="auto" w:fill="auto"/>
            <w:noWrap/>
            <w:vAlign w:val="bottom"/>
            <w:hideMark/>
          </w:tcPr>
          <w:p w14:paraId="7FADA6F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Molecular weight</w:t>
            </w:r>
          </w:p>
        </w:tc>
      </w:tr>
      <w:tr w:rsidR="00E844C1" w:rsidRPr="00E844C1" w14:paraId="29EF014F" w14:textId="77777777" w:rsidTr="00E844C1">
        <w:trPr>
          <w:trHeight w:val="300"/>
        </w:trPr>
        <w:tc>
          <w:tcPr>
            <w:tcW w:w="1440" w:type="dxa"/>
            <w:tcBorders>
              <w:top w:val="nil"/>
              <w:left w:val="nil"/>
              <w:bottom w:val="nil"/>
              <w:right w:val="nil"/>
            </w:tcBorders>
            <w:shd w:val="clear" w:color="auto" w:fill="auto"/>
            <w:noWrap/>
            <w:vAlign w:val="bottom"/>
            <w:hideMark/>
          </w:tcPr>
          <w:p w14:paraId="3EC886D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NCBI</w:t>
            </w:r>
          </w:p>
        </w:tc>
        <w:tc>
          <w:tcPr>
            <w:tcW w:w="7440" w:type="dxa"/>
            <w:tcBorders>
              <w:top w:val="nil"/>
              <w:left w:val="nil"/>
              <w:bottom w:val="nil"/>
              <w:right w:val="nil"/>
            </w:tcBorders>
            <w:shd w:val="clear" w:color="auto" w:fill="auto"/>
            <w:noWrap/>
            <w:vAlign w:val="bottom"/>
            <w:hideMark/>
          </w:tcPr>
          <w:p w14:paraId="2DEAF61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National </w:t>
            </w:r>
            <w:proofErr w:type="spellStart"/>
            <w:r w:rsidRPr="00E844C1">
              <w:rPr>
                <w:rFonts w:ascii="Calibri" w:eastAsia="Times New Roman" w:hAnsi="Calibri" w:cs="Times New Roman"/>
                <w:color w:val="000000"/>
              </w:rPr>
              <w:t>Center</w:t>
            </w:r>
            <w:proofErr w:type="spellEnd"/>
            <w:r w:rsidRPr="00E844C1">
              <w:rPr>
                <w:rFonts w:ascii="Calibri" w:eastAsia="Times New Roman" w:hAnsi="Calibri" w:cs="Times New Roman"/>
                <w:color w:val="000000"/>
              </w:rPr>
              <w:t xml:space="preserve"> for Biotechnology Information</w:t>
            </w:r>
          </w:p>
        </w:tc>
      </w:tr>
      <w:tr w:rsidR="00E844C1" w:rsidRPr="00E844C1" w14:paraId="7A1E758A" w14:textId="77777777" w:rsidTr="00E844C1">
        <w:trPr>
          <w:trHeight w:val="300"/>
        </w:trPr>
        <w:tc>
          <w:tcPr>
            <w:tcW w:w="1440" w:type="dxa"/>
            <w:tcBorders>
              <w:top w:val="nil"/>
              <w:left w:val="nil"/>
              <w:bottom w:val="nil"/>
              <w:right w:val="nil"/>
            </w:tcBorders>
            <w:shd w:val="clear" w:color="auto" w:fill="auto"/>
            <w:noWrap/>
            <w:vAlign w:val="bottom"/>
            <w:hideMark/>
          </w:tcPr>
          <w:p w14:paraId="5111F55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NDN</w:t>
            </w:r>
          </w:p>
        </w:tc>
        <w:tc>
          <w:tcPr>
            <w:tcW w:w="7440" w:type="dxa"/>
            <w:tcBorders>
              <w:top w:val="nil"/>
              <w:left w:val="nil"/>
              <w:bottom w:val="nil"/>
              <w:right w:val="nil"/>
            </w:tcBorders>
            <w:shd w:val="clear" w:color="auto" w:fill="auto"/>
            <w:noWrap/>
            <w:vAlign w:val="bottom"/>
            <w:hideMark/>
          </w:tcPr>
          <w:p w14:paraId="38FDC29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Necdin</w:t>
            </w:r>
          </w:p>
        </w:tc>
      </w:tr>
      <w:tr w:rsidR="00E844C1" w:rsidRPr="00E844C1" w14:paraId="11CC4AEE" w14:textId="77777777" w:rsidTr="00E844C1">
        <w:trPr>
          <w:trHeight w:val="300"/>
        </w:trPr>
        <w:tc>
          <w:tcPr>
            <w:tcW w:w="1440" w:type="dxa"/>
            <w:tcBorders>
              <w:top w:val="nil"/>
              <w:left w:val="nil"/>
              <w:bottom w:val="nil"/>
              <w:right w:val="nil"/>
            </w:tcBorders>
            <w:shd w:val="clear" w:color="auto" w:fill="auto"/>
            <w:noWrap/>
            <w:vAlign w:val="bottom"/>
            <w:hideMark/>
          </w:tcPr>
          <w:p w14:paraId="7D901DC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NF-</w:t>
            </w:r>
            <w:proofErr w:type="spellStart"/>
            <w:r w:rsidRPr="00E844C1">
              <w:rPr>
                <w:rFonts w:ascii="Calibri" w:eastAsia="Times New Roman" w:hAnsi="Calibri" w:cs="Times New Roman"/>
                <w:color w:val="000000"/>
              </w:rPr>
              <w:t>κB</w:t>
            </w:r>
            <w:proofErr w:type="spellEnd"/>
          </w:p>
        </w:tc>
        <w:tc>
          <w:tcPr>
            <w:tcW w:w="7440" w:type="dxa"/>
            <w:tcBorders>
              <w:top w:val="nil"/>
              <w:left w:val="nil"/>
              <w:bottom w:val="nil"/>
              <w:right w:val="nil"/>
            </w:tcBorders>
            <w:shd w:val="clear" w:color="auto" w:fill="auto"/>
            <w:noWrap/>
            <w:vAlign w:val="bottom"/>
            <w:hideMark/>
          </w:tcPr>
          <w:p w14:paraId="1CD4264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Nuclear factor-Kappa B</w:t>
            </w:r>
          </w:p>
        </w:tc>
      </w:tr>
      <w:tr w:rsidR="00E844C1" w:rsidRPr="00E844C1" w14:paraId="5D82EF16" w14:textId="77777777" w:rsidTr="00E844C1">
        <w:trPr>
          <w:trHeight w:val="300"/>
        </w:trPr>
        <w:tc>
          <w:tcPr>
            <w:tcW w:w="1440" w:type="dxa"/>
            <w:tcBorders>
              <w:top w:val="nil"/>
              <w:left w:val="nil"/>
              <w:bottom w:val="nil"/>
              <w:right w:val="nil"/>
            </w:tcBorders>
            <w:shd w:val="clear" w:color="auto" w:fill="auto"/>
            <w:noWrap/>
            <w:vAlign w:val="bottom"/>
            <w:hideMark/>
          </w:tcPr>
          <w:p w14:paraId="6563529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NHEJ</w:t>
            </w:r>
          </w:p>
        </w:tc>
        <w:tc>
          <w:tcPr>
            <w:tcW w:w="7440" w:type="dxa"/>
            <w:tcBorders>
              <w:top w:val="nil"/>
              <w:left w:val="nil"/>
              <w:bottom w:val="nil"/>
              <w:right w:val="nil"/>
            </w:tcBorders>
            <w:shd w:val="clear" w:color="auto" w:fill="auto"/>
            <w:noWrap/>
            <w:vAlign w:val="bottom"/>
            <w:hideMark/>
          </w:tcPr>
          <w:p w14:paraId="2E646BA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Non-homologous end joining</w:t>
            </w:r>
          </w:p>
        </w:tc>
      </w:tr>
      <w:tr w:rsidR="00E844C1" w:rsidRPr="00E844C1" w14:paraId="6DC979E5" w14:textId="77777777" w:rsidTr="00E844C1">
        <w:trPr>
          <w:trHeight w:val="300"/>
        </w:trPr>
        <w:tc>
          <w:tcPr>
            <w:tcW w:w="1440" w:type="dxa"/>
            <w:tcBorders>
              <w:top w:val="nil"/>
              <w:left w:val="nil"/>
              <w:bottom w:val="nil"/>
              <w:right w:val="nil"/>
            </w:tcBorders>
            <w:shd w:val="clear" w:color="auto" w:fill="auto"/>
            <w:noWrap/>
            <w:vAlign w:val="bottom"/>
            <w:hideMark/>
          </w:tcPr>
          <w:p w14:paraId="031AFDC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NHS</w:t>
            </w:r>
          </w:p>
        </w:tc>
        <w:tc>
          <w:tcPr>
            <w:tcW w:w="7440" w:type="dxa"/>
            <w:tcBorders>
              <w:top w:val="nil"/>
              <w:left w:val="nil"/>
              <w:bottom w:val="nil"/>
              <w:right w:val="nil"/>
            </w:tcBorders>
            <w:shd w:val="clear" w:color="auto" w:fill="auto"/>
            <w:noWrap/>
            <w:vAlign w:val="bottom"/>
            <w:hideMark/>
          </w:tcPr>
          <w:p w14:paraId="3D868C8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National Health Service</w:t>
            </w:r>
          </w:p>
        </w:tc>
      </w:tr>
      <w:tr w:rsidR="00E844C1" w:rsidRPr="00E844C1" w14:paraId="2AA7DA54" w14:textId="77777777" w:rsidTr="00E844C1">
        <w:trPr>
          <w:trHeight w:val="300"/>
        </w:trPr>
        <w:tc>
          <w:tcPr>
            <w:tcW w:w="1440" w:type="dxa"/>
            <w:tcBorders>
              <w:top w:val="nil"/>
              <w:left w:val="nil"/>
              <w:bottom w:val="nil"/>
              <w:right w:val="nil"/>
            </w:tcBorders>
            <w:shd w:val="clear" w:color="auto" w:fill="auto"/>
            <w:noWrap/>
            <w:vAlign w:val="bottom"/>
            <w:hideMark/>
          </w:tcPr>
          <w:p w14:paraId="6556442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NICE</w:t>
            </w:r>
          </w:p>
        </w:tc>
        <w:tc>
          <w:tcPr>
            <w:tcW w:w="7440" w:type="dxa"/>
            <w:tcBorders>
              <w:top w:val="nil"/>
              <w:left w:val="nil"/>
              <w:bottom w:val="nil"/>
              <w:right w:val="nil"/>
            </w:tcBorders>
            <w:shd w:val="clear" w:color="auto" w:fill="auto"/>
            <w:noWrap/>
            <w:vAlign w:val="bottom"/>
            <w:hideMark/>
          </w:tcPr>
          <w:p w14:paraId="3981265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National Institute for Health and Care Excellence</w:t>
            </w:r>
          </w:p>
        </w:tc>
      </w:tr>
      <w:tr w:rsidR="00E844C1" w:rsidRPr="00E844C1" w14:paraId="12384CB0" w14:textId="77777777" w:rsidTr="00E844C1">
        <w:trPr>
          <w:trHeight w:val="300"/>
        </w:trPr>
        <w:tc>
          <w:tcPr>
            <w:tcW w:w="1440" w:type="dxa"/>
            <w:tcBorders>
              <w:top w:val="nil"/>
              <w:left w:val="nil"/>
              <w:bottom w:val="nil"/>
              <w:right w:val="nil"/>
            </w:tcBorders>
            <w:shd w:val="clear" w:color="auto" w:fill="auto"/>
            <w:noWrap/>
            <w:vAlign w:val="bottom"/>
            <w:hideMark/>
          </w:tcPr>
          <w:p w14:paraId="046F876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NLS</w:t>
            </w:r>
          </w:p>
        </w:tc>
        <w:tc>
          <w:tcPr>
            <w:tcW w:w="7440" w:type="dxa"/>
            <w:tcBorders>
              <w:top w:val="nil"/>
              <w:left w:val="nil"/>
              <w:bottom w:val="nil"/>
              <w:right w:val="nil"/>
            </w:tcBorders>
            <w:shd w:val="clear" w:color="auto" w:fill="auto"/>
            <w:noWrap/>
            <w:vAlign w:val="bottom"/>
            <w:hideMark/>
          </w:tcPr>
          <w:p w14:paraId="45A97D4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Nuclear localisation sequence</w:t>
            </w:r>
          </w:p>
        </w:tc>
      </w:tr>
      <w:tr w:rsidR="00E844C1" w:rsidRPr="00E844C1" w14:paraId="18FC00EF" w14:textId="77777777" w:rsidTr="00E844C1">
        <w:trPr>
          <w:trHeight w:val="300"/>
        </w:trPr>
        <w:tc>
          <w:tcPr>
            <w:tcW w:w="1440" w:type="dxa"/>
            <w:tcBorders>
              <w:top w:val="nil"/>
              <w:left w:val="nil"/>
              <w:bottom w:val="nil"/>
              <w:right w:val="nil"/>
            </w:tcBorders>
            <w:shd w:val="clear" w:color="auto" w:fill="auto"/>
            <w:noWrap/>
            <w:vAlign w:val="bottom"/>
            <w:hideMark/>
          </w:tcPr>
          <w:p w14:paraId="14E2B66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NOC</w:t>
            </w:r>
          </w:p>
        </w:tc>
        <w:tc>
          <w:tcPr>
            <w:tcW w:w="7440" w:type="dxa"/>
            <w:tcBorders>
              <w:top w:val="nil"/>
              <w:left w:val="nil"/>
              <w:bottom w:val="nil"/>
              <w:right w:val="nil"/>
            </w:tcBorders>
            <w:shd w:val="clear" w:color="auto" w:fill="auto"/>
            <w:noWrap/>
            <w:vAlign w:val="bottom"/>
            <w:hideMark/>
          </w:tcPr>
          <w:p w14:paraId="587B9B2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w:t>
            </w:r>
            <w:proofErr w:type="spellStart"/>
            <w:r w:rsidRPr="00E844C1">
              <w:rPr>
                <w:rFonts w:ascii="Calibri" w:eastAsia="Times New Roman" w:hAnsi="Calibri" w:cs="Times New Roman"/>
                <w:color w:val="000000"/>
              </w:rPr>
              <w:t>nitroso</w:t>
            </w:r>
            <w:proofErr w:type="spellEnd"/>
            <w:r w:rsidRPr="00E844C1">
              <w:rPr>
                <w:rFonts w:ascii="Calibri" w:eastAsia="Times New Roman" w:hAnsi="Calibri" w:cs="Times New Roman"/>
                <w:color w:val="000000"/>
              </w:rPr>
              <w:t>-compounds</w:t>
            </w:r>
          </w:p>
        </w:tc>
      </w:tr>
      <w:tr w:rsidR="00E844C1" w:rsidRPr="00E844C1" w14:paraId="1D3C8070" w14:textId="77777777" w:rsidTr="00E844C1">
        <w:trPr>
          <w:trHeight w:val="300"/>
        </w:trPr>
        <w:tc>
          <w:tcPr>
            <w:tcW w:w="1440" w:type="dxa"/>
            <w:tcBorders>
              <w:top w:val="nil"/>
              <w:left w:val="nil"/>
              <w:bottom w:val="nil"/>
              <w:right w:val="nil"/>
            </w:tcBorders>
            <w:shd w:val="clear" w:color="auto" w:fill="auto"/>
            <w:noWrap/>
            <w:vAlign w:val="bottom"/>
            <w:hideMark/>
          </w:tcPr>
          <w:p w14:paraId="16BC9B8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NRAS</w:t>
            </w:r>
          </w:p>
        </w:tc>
        <w:tc>
          <w:tcPr>
            <w:tcW w:w="7440" w:type="dxa"/>
            <w:tcBorders>
              <w:top w:val="nil"/>
              <w:left w:val="nil"/>
              <w:bottom w:val="nil"/>
              <w:right w:val="nil"/>
            </w:tcBorders>
            <w:shd w:val="clear" w:color="auto" w:fill="auto"/>
            <w:noWrap/>
            <w:vAlign w:val="bottom"/>
            <w:hideMark/>
          </w:tcPr>
          <w:p w14:paraId="5CA7678D"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Neuroblastoma</w:t>
            </w:r>
            <w:proofErr w:type="spellEnd"/>
            <w:r w:rsidRPr="00E844C1">
              <w:rPr>
                <w:rFonts w:ascii="Calibri" w:eastAsia="Times New Roman" w:hAnsi="Calibri" w:cs="Times New Roman"/>
                <w:color w:val="000000"/>
              </w:rPr>
              <w:t xml:space="preserve"> RAS </w:t>
            </w:r>
          </w:p>
        </w:tc>
      </w:tr>
      <w:tr w:rsidR="00E844C1" w:rsidRPr="00E844C1" w14:paraId="0036014A" w14:textId="77777777" w:rsidTr="00E844C1">
        <w:trPr>
          <w:trHeight w:val="300"/>
        </w:trPr>
        <w:tc>
          <w:tcPr>
            <w:tcW w:w="1440" w:type="dxa"/>
            <w:tcBorders>
              <w:top w:val="nil"/>
              <w:left w:val="nil"/>
              <w:bottom w:val="nil"/>
              <w:right w:val="nil"/>
            </w:tcBorders>
            <w:shd w:val="clear" w:color="auto" w:fill="auto"/>
            <w:noWrap/>
            <w:vAlign w:val="bottom"/>
            <w:hideMark/>
          </w:tcPr>
          <w:p w14:paraId="351817F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OD</w:t>
            </w:r>
          </w:p>
        </w:tc>
        <w:tc>
          <w:tcPr>
            <w:tcW w:w="7440" w:type="dxa"/>
            <w:tcBorders>
              <w:top w:val="nil"/>
              <w:left w:val="nil"/>
              <w:bottom w:val="nil"/>
              <w:right w:val="nil"/>
            </w:tcBorders>
            <w:shd w:val="clear" w:color="auto" w:fill="auto"/>
            <w:noWrap/>
            <w:vAlign w:val="bottom"/>
            <w:hideMark/>
          </w:tcPr>
          <w:p w14:paraId="785C18F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Optical density</w:t>
            </w:r>
          </w:p>
        </w:tc>
      </w:tr>
      <w:tr w:rsidR="00E844C1" w:rsidRPr="00E844C1" w14:paraId="1C7E4491" w14:textId="77777777" w:rsidTr="00E844C1">
        <w:trPr>
          <w:trHeight w:val="300"/>
        </w:trPr>
        <w:tc>
          <w:tcPr>
            <w:tcW w:w="1440" w:type="dxa"/>
            <w:tcBorders>
              <w:top w:val="nil"/>
              <w:left w:val="nil"/>
              <w:bottom w:val="nil"/>
              <w:right w:val="nil"/>
            </w:tcBorders>
            <w:shd w:val="clear" w:color="auto" w:fill="auto"/>
            <w:noWrap/>
            <w:vAlign w:val="bottom"/>
            <w:hideMark/>
          </w:tcPr>
          <w:p w14:paraId="32DC33A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PAM</w:t>
            </w:r>
          </w:p>
        </w:tc>
        <w:tc>
          <w:tcPr>
            <w:tcW w:w="7440" w:type="dxa"/>
            <w:tcBorders>
              <w:top w:val="nil"/>
              <w:left w:val="nil"/>
              <w:bottom w:val="nil"/>
              <w:right w:val="nil"/>
            </w:tcBorders>
            <w:shd w:val="clear" w:color="auto" w:fill="auto"/>
            <w:noWrap/>
            <w:vAlign w:val="bottom"/>
            <w:hideMark/>
          </w:tcPr>
          <w:p w14:paraId="44B630E3"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protospacer</w:t>
            </w:r>
            <w:proofErr w:type="gramEnd"/>
            <w:r w:rsidRPr="00E844C1">
              <w:rPr>
                <w:rFonts w:ascii="Calibri" w:eastAsia="Times New Roman" w:hAnsi="Calibri" w:cs="Times New Roman"/>
                <w:color w:val="000000"/>
              </w:rPr>
              <w:t xml:space="preserve"> adjacent motif</w:t>
            </w:r>
          </w:p>
        </w:tc>
      </w:tr>
      <w:tr w:rsidR="00E844C1" w:rsidRPr="00E844C1" w14:paraId="175AF8C4" w14:textId="77777777" w:rsidTr="00E844C1">
        <w:trPr>
          <w:trHeight w:val="300"/>
        </w:trPr>
        <w:tc>
          <w:tcPr>
            <w:tcW w:w="1440" w:type="dxa"/>
            <w:tcBorders>
              <w:top w:val="nil"/>
              <w:left w:val="nil"/>
              <w:bottom w:val="nil"/>
              <w:right w:val="nil"/>
            </w:tcBorders>
            <w:shd w:val="clear" w:color="auto" w:fill="auto"/>
            <w:noWrap/>
            <w:vAlign w:val="bottom"/>
            <w:hideMark/>
          </w:tcPr>
          <w:p w14:paraId="331928D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PARP</w:t>
            </w:r>
          </w:p>
        </w:tc>
        <w:tc>
          <w:tcPr>
            <w:tcW w:w="7440" w:type="dxa"/>
            <w:tcBorders>
              <w:top w:val="nil"/>
              <w:left w:val="nil"/>
              <w:bottom w:val="nil"/>
              <w:right w:val="nil"/>
            </w:tcBorders>
            <w:shd w:val="clear" w:color="auto" w:fill="auto"/>
            <w:noWrap/>
            <w:vAlign w:val="bottom"/>
            <w:hideMark/>
          </w:tcPr>
          <w:p w14:paraId="673FD85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Poly (ADP-ribose) polymerase </w:t>
            </w:r>
          </w:p>
        </w:tc>
      </w:tr>
      <w:tr w:rsidR="00E844C1" w:rsidRPr="00E844C1" w14:paraId="69C479C8" w14:textId="77777777" w:rsidTr="00E844C1">
        <w:trPr>
          <w:trHeight w:val="300"/>
        </w:trPr>
        <w:tc>
          <w:tcPr>
            <w:tcW w:w="1440" w:type="dxa"/>
            <w:tcBorders>
              <w:top w:val="nil"/>
              <w:left w:val="nil"/>
              <w:bottom w:val="nil"/>
              <w:right w:val="nil"/>
            </w:tcBorders>
            <w:shd w:val="clear" w:color="auto" w:fill="auto"/>
            <w:noWrap/>
            <w:vAlign w:val="bottom"/>
            <w:hideMark/>
          </w:tcPr>
          <w:p w14:paraId="1806406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PCR</w:t>
            </w:r>
          </w:p>
        </w:tc>
        <w:tc>
          <w:tcPr>
            <w:tcW w:w="7440" w:type="dxa"/>
            <w:tcBorders>
              <w:top w:val="nil"/>
              <w:left w:val="nil"/>
              <w:bottom w:val="nil"/>
              <w:right w:val="nil"/>
            </w:tcBorders>
            <w:shd w:val="clear" w:color="auto" w:fill="auto"/>
            <w:noWrap/>
            <w:vAlign w:val="bottom"/>
            <w:hideMark/>
          </w:tcPr>
          <w:p w14:paraId="42E1C16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Polymerase chain reaction</w:t>
            </w:r>
          </w:p>
        </w:tc>
      </w:tr>
      <w:tr w:rsidR="00E844C1" w:rsidRPr="00E844C1" w14:paraId="56850AF5" w14:textId="77777777" w:rsidTr="00E844C1">
        <w:trPr>
          <w:trHeight w:val="300"/>
        </w:trPr>
        <w:tc>
          <w:tcPr>
            <w:tcW w:w="1440" w:type="dxa"/>
            <w:tcBorders>
              <w:top w:val="nil"/>
              <w:left w:val="nil"/>
              <w:bottom w:val="nil"/>
              <w:right w:val="nil"/>
            </w:tcBorders>
            <w:shd w:val="clear" w:color="auto" w:fill="auto"/>
            <w:noWrap/>
            <w:vAlign w:val="bottom"/>
            <w:hideMark/>
          </w:tcPr>
          <w:p w14:paraId="3180DBC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PCYOX1L</w:t>
            </w:r>
          </w:p>
        </w:tc>
        <w:tc>
          <w:tcPr>
            <w:tcW w:w="7440" w:type="dxa"/>
            <w:tcBorders>
              <w:top w:val="nil"/>
              <w:left w:val="nil"/>
              <w:bottom w:val="nil"/>
              <w:right w:val="nil"/>
            </w:tcBorders>
            <w:shd w:val="clear" w:color="auto" w:fill="auto"/>
            <w:noWrap/>
            <w:vAlign w:val="bottom"/>
            <w:hideMark/>
          </w:tcPr>
          <w:p w14:paraId="377D21C3"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Prenylcysteine</w:t>
            </w:r>
            <w:proofErr w:type="spellEnd"/>
            <w:r w:rsidRPr="00E844C1">
              <w:rPr>
                <w:rFonts w:ascii="Calibri" w:eastAsia="Times New Roman" w:hAnsi="Calibri" w:cs="Times New Roman"/>
                <w:color w:val="000000"/>
              </w:rPr>
              <w:t xml:space="preserve"> oxidase 1 like</w:t>
            </w:r>
          </w:p>
        </w:tc>
      </w:tr>
      <w:tr w:rsidR="00E844C1" w:rsidRPr="00E844C1" w14:paraId="3FA8BD3A" w14:textId="77777777" w:rsidTr="00E844C1">
        <w:trPr>
          <w:trHeight w:val="300"/>
        </w:trPr>
        <w:tc>
          <w:tcPr>
            <w:tcW w:w="1440" w:type="dxa"/>
            <w:tcBorders>
              <w:top w:val="nil"/>
              <w:left w:val="nil"/>
              <w:bottom w:val="nil"/>
              <w:right w:val="nil"/>
            </w:tcBorders>
            <w:shd w:val="clear" w:color="auto" w:fill="auto"/>
            <w:noWrap/>
            <w:vAlign w:val="bottom"/>
            <w:hideMark/>
          </w:tcPr>
          <w:p w14:paraId="4902400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PHLDA2</w:t>
            </w:r>
          </w:p>
        </w:tc>
        <w:tc>
          <w:tcPr>
            <w:tcW w:w="7440" w:type="dxa"/>
            <w:tcBorders>
              <w:top w:val="nil"/>
              <w:left w:val="nil"/>
              <w:bottom w:val="nil"/>
              <w:right w:val="nil"/>
            </w:tcBorders>
            <w:shd w:val="clear" w:color="auto" w:fill="auto"/>
            <w:noWrap/>
            <w:vAlign w:val="bottom"/>
            <w:hideMark/>
          </w:tcPr>
          <w:p w14:paraId="765F4360"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Pleckstrin</w:t>
            </w:r>
            <w:proofErr w:type="spellEnd"/>
            <w:r w:rsidRPr="00E844C1">
              <w:rPr>
                <w:rFonts w:ascii="Calibri" w:eastAsia="Times New Roman" w:hAnsi="Calibri" w:cs="Times New Roman"/>
                <w:color w:val="000000"/>
              </w:rPr>
              <w:t xml:space="preserve"> homology-like domain family A member 2</w:t>
            </w:r>
          </w:p>
        </w:tc>
      </w:tr>
      <w:tr w:rsidR="00E844C1" w:rsidRPr="00E844C1" w14:paraId="2D201066" w14:textId="77777777" w:rsidTr="00E844C1">
        <w:trPr>
          <w:trHeight w:val="300"/>
        </w:trPr>
        <w:tc>
          <w:tcPr>
            <w:tcW w:w="1440" w:type="dxa"/>
            <w:tcBorders>
              <w:top w:val="nil"/>
              <w:left w:val="nil"/>
              <w:bottom w:val="nil"/>
              <w:right w:val="nil"/>
            </w:tcBorders>
            <w:shd w:val="clear" w:color="auto" w:fill="auto"/>
            <w:noWrap/>
            <w:vAlign w:val="bottom"/>
            <w:hideMark/>
          </w:tcPr>
          <w:p w14:paraId="47701D9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PI</w:t>
            </w:r>
          </w:p>
        </w:tc>
        <w:tc>
          <w:tcPr>
            <w:tcW w:w="7440" w:type="dxa"/>
            <w:tcBorders>
              <w:top w:val="nil"/>
              <w:left w:val="nil"/>
              <w:bottom w:val="nil"/>
              <w:right w:val="nil"/>
            </w:tcBorders>
            <w:shd w:val="clear" w:color="auto" w:fill="auto"/>
            <w:noWrap/>
            <w:vAlign w:val="bottom"/>
            <w:hideMark/>
          </w:tcPr>
          <w:p w14:paraId="332BA9D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Propidium Iodide</w:t>
            </w:r>
          </w:p>
        </w:tc>
      </w:tr>
      <w:tr w:rsidR="00E844C1" w:rsidRPr="00E844C1" w14:paraId="10AF3D98" w14:textId="77777777" w:rsidTr="00E844C1">
        <w:trPr>
          <w:trHeight w:val="300"/>
        </w:trPr>
        <w:tc>
          <w:tcPr>
            <w:tcW w:w="1440" w:type="dxa"/>
            <w:tcBorders>
              <w:top w:val="nil"/>
              <w:left w:val="nil"/>
              <w:bottom w:val="nil"/>
              <w:right w:val="nil"/>
            </w:tcBorders>
            <w:shd w:val="clear" w:color="auto" w:fill="auto"/>
            <w:noWrap/>
            <w:vAlign w:val="bottom"/>
            <w:hideMark/>
          </w:tcPr>
          <w:p w14:paraId="4221EAB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PI3K</w:t>
            </w:r>
          </w:p>
        </w:tc>
        <w:tc>
          <w:tcPr>
            <w:tcW w:w="7440" w:type="dxa"/>
            <w:tcBorders>
              <w:top w:val="nil"/>
              <w:left w:val="nil"/>
              <w:bottom w:val="nil"/>
              <w:right w:val="nil"/>
            </w:tcBorders>
            <w:shd w:val="clear" w:color="auto" w:fill="auto"/>
            <w:noWrap/>
            <w:vAlign w:val="bottom"/>
            <w:hideMark/>
          </w:tcPr>
          <w:p w14:paraId="2A36BAF6"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Phosphoinositide</w:t>
            </w:r>
            <w:proofErr w:type="spellEnd"/>
            <w:r w:rsidRPr="00E844C1">
              <w:rPr>
                <w:rFonts w:ascii="Calibri" w:eastAsia="Times New Roman" w:hAnsi="Calibri" w:cs="Times New Roman"/>
                <w:color w:val="000000"/>
              </w:rPr>
              <w:t xml:space="preserve"> 3-kinase</w:t>
            </w:r>
          </w:p>
        </w:tc>
      </w:tr>
      <w:tr w:rsidR="00E844C1" w:rsidRPr="00E844C1" w14:paraId="6E458234" w14:textId="77777777" w:rsidTr="00E844C1">
        <w:trPr>
          <w:trHeight w:val="300"/>
        </w:trPr>
        <w:tc>
          <w:tcPr>
            <w:tcW w:w="1440" w:type="dxa"/>
            <w:tcBorders>
              <w:top w:val="nil"/>
              <w:left w:val="nil"/>
              <w:bottom w:val="nil"/>
              <w:right w:val="nil"/>
            </w:tcBorders>
            <w:shd w:val="clear" w:color="auto" w:fill="auto"/>
            <w:noWrap/>
            <w:vAlign w:val="bottom"/>
            <w:hideMark/>
          </w:tcPr>
          <w:p w14:paraId="2DDABBF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PORCN</w:t>
            </w:r>
          </w:p>
        </w:tc>
        <w:tc>
          <w:tcPr>
            <w:tcW w:w="7440" w:type="dxa"/>
            <w:tcBorders>
              <w:top w:val="nil"/>
              <w:left w:val="nil"/>
              <w:bottom w:val="nil"/>
              <w:right w:val="nil"/>
            </w:tcBorders>
            <w:shd w:val="clear" w:color="auto" w:fill="auto"/>
            <w:noWrap/>
            <w:vAlign w:val="bottom"/>
            <w:hideMark/>
          </w:tcPr>
          <w:p w14:paraId="3B6A0B6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Protein-serine O-</w:t>
            </w:r>
            <w:proofErr w:type="spellStart"/>
            <w:r w:rsidRPr="00E844C1">
              <w:rPr>
                <w:rFonts w:ascii="Calibri" w:eastAsia="Times New Roman" w:hAnsi="Calibri" w:cs="Times New Roman"/>
                <w:color w:val="000000"/>
              </w:rPr>
              <w:t>palmitoleoyltransferase</w:t>
            </w:r>
            <w:proofErr w:type="spellEnd"/>
          </w:p>
        </w:tc>
      </w:tr>
      <w:tr w:rsidR="00E844C1" w:rsidRPr="00E844C1" w14:paraId="7764E68D" w14:textId="77777777" w:rsidTr="00E844C1">
        <w:trPr>
          <w:trHeight w:val="300"/>
        </w:trPr>
        <w:tc>
          <w:tcPr>
            <w:tcW w:w="1440" w:type="dxa"/>
            <w:tcBorders>
              <w:top w:val="nil"/>
              <w:left w:val="nil"/>
              <w:bottom w:val="nil"/>
              <w:right w:val="nil"/>
            </w:tcBorders>
            <w:shd w:val="clear" w:color="auto" w:fill="auto"/>
            <w:noWrap/>
            <w:vAlign w:val="bottom"/>
            <w:hideMark/>
          </w:tcPr>
          <w:p w14:paraId="7BA0FFC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PP2A</w:t>
            </w:r>
          </w:p>
        </w:tc>
        <w:tc>
          <w:tcPr>
            <w:tcW w:w="7440" w:type="dxa"/>
            <w:tcBorders>
              <w:top w:val="nil"/>
              <w:left w:val="nil"/>
              <w:bottom w:val="nil"/>
              <w:right w:val="nil"/>
            </w:tcBorders>
            <w:shd w:val="clear" w:color="auto" w:fill="auto"/>
            <w:noWrap/>
            <w:vAlign w:val="bottom"/>
            <w:hideMark/>
          </w:tcPr>
          <w:p w14:paraId="6A81249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Protein phosphatase 2</w:t>
            </w:r>
          </w:p>
        </w:tc>
      </w:tr>
      <w:tr w:rsidR="00E844C1" w:rsidRPr="00E844C1" w14:paraId="0E70CDE3" w14:textId="77777777" w:rsidTr="00E844C1">
        <w:trPr>
          <w:trHeight w:val="300"/>
        </w:trPr>
        <w:tc>
          <w:tcPr>
            <w:tcW w:w="1440" w:type="dxa"/>
            <w:tcBorders>
              <w:top w:val="nil"/>
              <w:left w:val="nil"/>
              <w:bottom w:val="nil"/>
              <w:right w:val="nil"/>
            </w:tcBorders>
            <w:shd w:val="clear" w:color="auto" w:fill="auto"/>
            <w:noWrap/>
            <w:vAlign w:val="bottom"/>
            <w:hideMark/>
          </w:tcPr>
          <w:p w14:paraId="74EDB68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PS</w:t>
            </w:r>
          </w:p>
        </w:tc>
        <w:tc>
          <w:tcPr>
            <w:tcW w:w="7440" w:type="dxa"/>
            <w:tcBorders>
              <w:top w:val="nil"/>
              <w:left w:val="nil"/>
              <w:bottom w:val="nil"/>
              <w:right w:val="nil"/>
            </w:tcBorders>
            <w:shd w:val="clear" w:color="auto" w:fill="auto"/>
            <w:noWrap/>
            <w:vAlign w:val="bottom"/>
            <w:hideMark/>
          </w:tcPr>
          <w:p w14:paraId="5E80CE2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Phosphatidylserine </w:t>
            </w:r>
          </w:p>
        </w:tc>
      </w:tr>
      <w:tr w:rsidR="00E844C1" w:rsidRPr="00E844C1" w14:paraId="01D23BF9" w14:textId="77777777" w:rsidTr="00E844C1">
        <w:trPr>
          <w:trHeight w:val="300"/>
        </w:trPr>
        <w:tc>
          <w:tcPr>
            <w:tcW w:w="1440" w:type="dxa"/>
            <w:tcBorders>
              <w:top w:val="nil"/>
              <w:left w:val="nil"/>
              <w:bottom w:val="nil"/>
              <w:right w:val="nil"/>
            </w:tcBorders>
            <w:shd w:val="clear" w:color="auto" w:fill="auto"/>
            <w:noWrap/>
            <w:vAlign w:val="bottom"/>
            <w:hideMark/>
          </w:tcPr>
          <w:p w14:paraId="189747A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PSA</w:t>
            </w:r>
          </w:p>
        </w:tc>
        <w:tc>
          <w:tcPr>
            <w:tcW w:w="7440" w:type="dxa"/>
            <w:tcBorders>
              <w:top w:val="nil"/>
              <w:left w:val="nil"/>
              <w:bottom w:val="nil"/>
              <w:right w:val="nil"/>
            </w:tcBorders>
            <w:shd w:val="clear" w:color="auto" w:fill="auto"/>
            <w:noWrap/>
            <w:vAlign w:val="bottom"/>
            <w:hideMark/>
          </w:tcPr>
          <w:p w14:paraId="7EA4580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Prostate specific antigen</w:t>
            </w:r>
          </w:p>
        </w:tc>
      </w:tr>
      <w:tr w:rsidR="00E844C1" w:rsidRPr="00E844C1" w14:paraId="4F1C87D9" w14:textId="77777777" w:rsidTr="00E844C1">
        <w:trPr>
          <w:trHeight w:val="300"/>
        </w:trPr>
        <w:tc>
          <w:tcPr>
            <w:tcW w:w="1440" w:type="dxa"/>
            <w:tcBorders>
              <w:top w:val="nil"/>
              <w:left w:val="nil"/>
              <w:bottom w:val="nil"/>
              <w:right w:val="nil"/>
            </w:tcBorders>
            <w:shd w:val="clear" w:color="auto" w:fill="auto"/>
            <w:noWrap/>
            <w:vAlign w:val="bottom"/>
            <w:hideMark/>
          </w:tcPr>
          <w:p w14:paraId="795365B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RAC1</w:t>
            </w:r>
          </w:p>
        </w:tc>
        <w:tc>
          <w:tcPr>
            <w:tcW w:w="7440" w:type="dxa"/>
            <w:tcBorders>
              <w:top w:val="nil"/>
              <w:left w:val="nil"/>
              <w:bottom w:val="nil"/>
              <w:right w:val="nil"/>
            </w:tcBorders>
            <w:shd w:val="clear" w:color="auto" w:fill="auto"/>
            <w:noWrap/>
            <w:vAlign w:val="bottom"/>
            <w:hideMark/>
          </w:tcPr>
          <w:p w14:paraId="0F73234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Ras-related C3 </w:t>
            </w:r>
            <w:proofErr w:type="spellStart"/>
            <w:r w:rsidRPr="00E844C1">
              <w:rPr>
                <w:rFonts w:ascii="Calibri" w:eastAsia="Times New Roman" w:hAnsi="Calibri" w:cs="Times New Roman"/>
                <w:color w:val="000000"/>
              </w:rPr>
              <w:t>botulinum</w:t>
            </w:r>
            <w:proofErr w:type="spellEnd"/>
            <w:r w:rsidRPr="00E844C1">
              <w:rPr>
                <w:rFonts w:ascii="Calibri" w:eastAsia="Times New Roman" w:hAnsi="Calibri" w:cs="Times New Roman"/>
                <w:color w:val="000000"/>
              </w:rPr>
              <w:t xml:space="preserve"> toxin substrate 1</w:t>
            </w:r>
          </w:p>
        </w:tc>
      </w:tr>
      <w:tr w:rsidR="00E844C1" w:rsidRPr="00E844C1" w14:paraId="76F95F2F" w14:textId="77777777" w:rsidTr="00E844C1">
        <w:trPr>
          <w:trHeight w:val="300"/>
        </w:trPr>
        <w:tc>
          <w:tcPr>
            <w:tcW w:w="1440" w:type="dxa"/>
            <w:tcBorders>
              <w:top w:val="nil"/>
              <w:left w:val="nil"/>
              <w:bottom w:val="nil"/>
              <w:right w:val="nil"/>
            </w:tcBorders>
            <w:shd w:val="clear" w:color="auto" w:fill="auto"/>
            <w:noWrap/>
            <w:vAlign w:val="bottom"/>
            <w:hideMark/>
          </w:tcPr>
          <w:p w14:paraId="149466C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RIN</w:t>
            </w:r>
          </w:p>
        </w:tc>
        <w:tc>
          <w:tcPr>
            <w:tcW w:w="7440" w:type="dxa"/>
            <w:tcBorders>
              <w:top w:val="nil"/>
              <w:left w:val="nil"/>
              <w:bottom w:val="nil"/>
              <w:right w:val="nil"/>
            </w:tcBorders>
            <w:shd w:val="clear" w:color="auto" w:fill="auto"/>
            <w:noWrap/>
            <w:vAlign w:val="bottom"/>
            <w:hideMark/>
          </w:tcPr>
          <w:p w14:paraId="1C36A23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RNA integrity number</w:t>
            </w:r>
          </w:p>
        </w:tc>
      </w:tr>
      <w:tr w:rsidR="00E844C1" w:rsidRPr="00E844C1" w14:paraId="5FB2C7C2" w14:textId="77777777" w:rsidTr="00E844C1">
        <w:trPr>
          <w:trHeight w:val="300"/>
        </w:trPr>
        <w:tc>
          <w:tcPr>
            <w:tcW w:w="1440" w:type="dxa"/>
            <w:tcBorders>
              <w:top w:val="nil"/>
              <w:left w:val="nil"/>
              <w:bottom w:val="nil"/>
              <w:right w:val="nil"/>
            </w:tcBorders>
            <w:shd w:val="clear" w:color="auto" w:fill="auto"/>
            <w:noWrap/>
            <w:vAlign w:val="bottom"/>
            <w:hideMark/>
          </w:tcPr>
          <w:p w14:paraId="57C5740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RISC</w:t>
            </w:r>
          </w:p>
        </w:tc>
        <w:tc>
          <w:tcPr>
            <w:tcW w:w="7440" w:type="dxa"/>
            <w:tcBorders>
              <w:top w:val="nil"/>
              <w:left w:val="nil"/>
              <w:bottom w:val="nil"/>
              <w:right w:val="nil"/>
            </w:tcBorders>
            <w:shd w:val="clear" w:color="auto" w:fill="auto"/>
            <w:noWrap/>
            <w:vAlign w:val="bottom"/>
            <w:hideMark/>
          </w:tcPr>
          <w:p w14:paraId="4D01F8C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RNA-induced silencing complex</w:t>
            </w:r>
          </w:p>
        </w:tc>
      </w:tr>
      <w:tr w:rsidR="00E844C1" w:rsidRPr="00E844C1" w14:paraId="79D02ED9" w14:textId="77777777" w:rsidTr="00E844C1">
        <w:trPr>
          <w:trHeight w:val="300"/>
        </w:trPr>
        <w:tc>
          <w:tcPr>
            <w:tcW w:w="1440" w:type="dxa"/>
            <w:tcBorders>
              <w:top w:val="nil"/>
              <w:left w:val="nil"/>
              <w:bottom w:val="nil"/>
              <w:right w:val="nil"/>
            </w:tcBorders>
            <w:shd w:val="clear" w:color="auto" w:fill="auto"/>
            <w:noWrap/>
            <w:vAlign w:val="bottom"/>
            <w:hideMark/>
          </w:tcPr>
          <w:p w14:paraId="68A63DE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RNA</w:t>
            </w:r>
          </w:p>
        </w:tc>
        <w:tc>
          <w:tcPr>
            <w:tcW w:w="7440" w:type="dxa"/>
            <w:tcBorders>
              <w:top w:val="nil"/>
              <w:left w:val="nil"/>
              <w:bottom w:val="nil"/>
              <w:right w:val="nil"/>
            </w:tcBorders>
            <w:shd w:val="clear" w:color="auto" w:fill="auto"/>
            <w:noWrap/>
            <w:vAlign w:val="bottom"/>
            <w:hideMark/>
          </w:tcPr>
          <w:p w14:paraId="4CA1E4B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Ribonucleic acid</w:t>
            </w:r>
          </w:p>
        </w:tc>
      </w:tr>
      <w:tr w:rsidR="00E844C1" w:rsidRPr="00E844C1" w14:paraId="5D11A6C2" w14:textId="77777777" w:rsidTr="00E844C1">
        <w:trPr>
          <w:trHeight w:val="300"/>
        </w:trPr>
        <w:tc>
          <w:tcPr>
            <w:tcW w:w="1440" w:type="dxa"/>
            <w:tcBorders>
              <w:top w:val="nil"/>
              <w:left w:val="nil"/>
              <w:bottom w:val="nil"/>
              <w:right w:val="nil"/>
            </w:tcBorders>
            <w:shd w:val="clear" w:color="auto" w:fill="auto"/>
            <w:noWrap/>
            <w:vAlign w:val="bottom"/>
            <w:hideMark/>
          </w:tcPr>
          <w:p w14:paraId="42A22A0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RPA</w:t>
            </w:r>
          </w:p>
        </w:tc>
        <w:tc>
          <w:tcPr>
            <w:tcW w:w="7440" w:type="dxa"/>
            <w:tcBorders>
              <w:top w:val="nil"/>
              <w:left w:val="nil"/>
              <w:bottom w:val="nil"/>
              <w:right w:val="nil"/>
            </w:tcBorders>
            <w:shd w:val="clear" w:color="auto" w:fill="auto"/>
            <w:noWrap/>
            <w:vAlign w:val="bottom"/>
            <w:hideMark/>
          </w:tcPr>
          <w:p w14:paraId="6233174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Replication protein A</w:t>
            </w:r>
          </w:p>
        </w:tc>
      </w:tr>
      <w:tr w:rsidR="00E844C1" w:rsidRPr="00E844C1" w14:paraId="6757E493" w14:textId="77777777" w:rsidTr="00E844C1">
        <w:trPr>
          <w:trHeight w:val="300"/>
        </w:trPr>
        <w:tc>
          <w:tcPr>
            <w:tcW w:w="1440" w:type="dxa"/>
            <w:tcBorders>
              <w:top w:val="nil"/>
              <w:left w:val="nil"/>
              <w:bottom w:val="nil"/>
              <w:right w:val="nil"/>
            </w:tcBorders>
            <w:shd w:val="clear" w:color="auto" w:fill="auto"/>
            <w:noWrap/>
            <w:vAlign w:val="bottom"/>
            <w:hideMark/>
          </w:tcPr>
          <w:p w14:paraId="09374CC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RT-PCR</w:t>
            </w:r>
          </w:p>
        </w:tc>
        <w:tc>
          <w:tcPr>
            <w:tcW w:w="7440" w:type="dxa"/>
            <w:tcBorders>
              <w:top w:val="nil"/>
              <w:left w:val="nil"/>
              <w:bottom w:val="nil"/>
              <w:right w:val="nil"/>
            </w:tcBorders>
            <w:shd w:val="clear" w:color="auto" w:fill="auto"/>
            <w:noWrap/>
            <w:vAlign w:val="bottom"/>
            <w:hideMark/>
          </w:tcPr>
          <w:p w14:paraId="2988274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Real time-Polymerase chain reaction</w:t>
            </w:r>
          </w:p>
        </w:tc>
      </w:tr>
      <w:tr w:rsidR="00E844C1" w:rsidRPr="00E844C1" w14:paraId="3AA2B8FA" w14:textId="77777777" w:rsidTr="00E844C1">
        <w:trPr>
          <w:trHeight w:val="300"/>
        </w:trPr>
        <w:tc>
          <w:tcPr>
            <w:tcW w:w="1440" w:type="dxa"/>
            <w:tcBorders>
              <w:top w:val="nil"/>
              <w:left w:val="nil"/>
              <w:bottom w:val="nil"/>
              <w:right w:val="nil"/>
            </w:tcBorders>
            <w:shd w:val="clear" w:color="auto" w:fill="auto"/>
            <w:noWrap/>
            <w:vAlign w:val="bottom"/>
            <w:hideMark/>
          </w:tcPr>
          <w:p w14:paraId="31E8B91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RUNX3</w:t>
            </w:r>
          </w:p>
        </w:tc>
        <w:tc>
          <w:tcPr>
            <w:tcW w:w="7440" w:type="dxa"/>
            <w:tcBorders>
              <w:top w:val="nil"/>
              <w:left w:val="nil"/>
              <w:bottom w:val="nil"/>
              <w:right w:val="nil"/>
            </w:tcBorders>
            <w:shd w:val="clear" w:color="auto" w:fill="auto"/>
            <w:noWrap/>
            <w:vAlign w:val="bottom"/>
            <w:hideMark/>
          </w:tcPr>
          <w:p w14:paraId="4810769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Runt-related transcription factor 3</w:t>
            </w:r>
          </w:p>
        </w:tc>
      </w:tr>
      <w:tr w:rsidR="00E844C1" w:rsidRPr="00E844C1" w14:paraId="51689BA1" w14:textId="77777777" w:rsidTr="00E844C1">
        <w:trPr>
          <w:trHeight w:val="300"/>
        </w:trPr>
        <w:tc>
          <w:tcPr>
            <w:tcW w:w="1440" w:type="dxa"/>
            <w:tcBorders>
              <w:top w:val="nil"/>
              <w:left w:val="nil"/>
              <w:bottom w:val="nil"/>
              <w:right w:val="nil"/>
            </w:tcBorders>
            <w:shd w:val="clear" w:color="auto" w:fill="auto"/>
            <w:noWrap/>
            <w:vAlign w:val="bottom"/>
            <w:hideMark/>
          </w:tcPr>
          <w:p w14:paraId="0F9F302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SANT</w:t>
            </w:r>
          </w:p>
        </w:tc>
        <w:tc>
          <w:tcPr>
            <w:tcW w:w="7440" w:type="dxa"/>
            <w:tcBorders>
              <w:top w:val="nil"/>
              <w:left w:val="nil"/>
              <w:bottom w:val="nil"/>
              <w:right w:val="nil"/>
            </w:tcBorders>
            <w:shd w:val="clear" w:color="auto" w:fill="auto"/>
            <w:noWrap/>
            <w:vAlign w:val="bottom"/>
            <w:hideMark/>
          </w:tcPr>
          <w:p w14:paraId="6907202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SWI3, ADA2, NCOR, TFIIIB</w:t>
            </w:r>
          </w:p>
        </w:tc>
      </w:tr>
      <w:tr w:rsidR="00E844C1" w:rsidRPr="00E844C1" w14:paraId="0960D81C" w14:textId="77777777" w:rsidTr="00E844C1">
        <w:trPr>
          <w:trHeight w:val="300"/>
        </w:trPr>
        <w:tc>
          <w:tcPr>
            <w:tcW w:w="1440" w:type="dxa"/>
            <w:tcBorders>
              <w:top w:val="nil"/>
              <w:left w:val="nil"/>
              <w:bottom w:val="nil"/>
              <w:right w:val="nil"/>
            </w:tcBorders>
            <w:shd w:val="clear" w:color="auto" w:fill="auto"/>
            <w:noWrap/>
            <w:vAlign w:val="bottom"/>
            <w:hideMark/>
          </w:tcPr>
          <w:p w14:paraId="3527632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SCNAs</w:t>
            </w:r>
          </w:p>
        </w:tc>
        <w:tc>
          <w:tcPr>
            <w:tcW w:w="7440" w:type="dxa"/>
            <w:tcBorders>
              <w:top w:val="nil"/>
              <w:left w:val="nil"/>
              <w:bottom w:val="nil"/>
              <w:right w:val="nil"/>
            </w:tcBorders>
            <w:shd w:val="clear" w:color="auto" w:fill="auto"/>
            <w:noWrap/>
            <w:vAlign w:val="bottom"/>
            <w:hideMark/>
          </w:tcPr>
          <w:p w14:paraId="4314A09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Somatic copy number aberrations</w:t>
            </w:r>
          </w:p>
        </w:tc>
      </w:tr>
      <w:tr w:rsidR="00E844C1" w:rsidRPr="00E844C1" w14:paraId="297CB27E" w14:textId="77777777" w:rsidTr="00E844C1">
        <w:trPr>
          <w:trHeight w:val="300"/>
        </w:trPr>
        <w:tc>
          <w:tcPr>
            <w:tcW w:w="1440" w:type="dxa"/>
            <w:tcBorders>
              <w:top w:val="nil"/>
              <w:left w:val="nil"/>
              <w:bottom w:val="nil"/>
              <w:right w:val="nil"/>
            </w:tcBorders>
            <w:shd w:val="clear" w:color="auto" w:fill="auto"/>
            <w:noWrap/>
            <w:vAlign w:val="bottom"/>
            <w:hideMark/>
          </w:tcPr>
          <w:p w14:paraId="634F603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SDS-PAGE</w:t>
            </w:r>
          </w:p>
        </w:tc>
        <w:tc>
          <w:tcPr>
            <w:tcW w:w="7440" w:type="dxa"/>
            <w:tcBorders>
              <w:top w:val="nil"/>
              <w:left w:val="nil"/>
              <w:bottom w:val="nil"/>
              <w:right w:val="nil"/>
            </w:tcBorders>
            <w:shd w:val="clear" w:color="auto" w:fill="auto"/>
            <w:noWrap/>
            <w:vAlign w:val="bottom"/>
            <w:hideMark/>
          </w:tcPr>
          <w:p w14:paraId="772A369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Sodium dodecyl </w:t>
            </w:r>
            <w:proofErr w:type="spellStart"/>
            <w:r w:rsidRPr="00E844C1">
              <w:rPr>
                <w:rFonts w:ascii="Calibri" w:eastAsia="Times New Roman" w:hAnsi="Calibri" w:cs="Times New Roman"/>
                <w:color w:val="000000"/>
              </w:rPr>
              <w:t>sulfate</w:t>
            </w:r>
            <w:proofErr w:type="spellEnd"/>
            <w:r w:rsidRPr="00E844C1">
              <w:rPr>
                <w:rFonts w:ascii="Calibri" w:eastAsia="Times New Roman" w:hAnsi="Calibri" w:cs="Times New Roman"/>
                <w:color w:val="000000"/>
              </w:rPr>
              <w:t xml:space="preserve"> polyacrylamide gel electrophoresis</w:t>
            </w:r>
          </w:p>
        </w:tc>
      </w:tr>
      <w:tr w:rsidR="00E844C1" w:rsidRPr="00E844C1" w14:paraId="6F4ADC64" w14:textId="77777777" w:rsidTr="00E844C1">
        <w:trPr>
          <w:trHeight w:val="300"/>
        </w:trPr>
        <w:tc>
          <w:tcPr>
            <w:tcW w:w="1440" w:type="dxa"/>
            <w:tcBorders>
              <w:top w:val="nil"/>
              <w:left w:val="nil"/>
              <w:bottom w:val="nil"/>
              <w:right w:val="nil"/>
            </w:tcBorders>
            <w:shd w:val="clear" w:color="auto" w:fill="auto"/>
            <w:noWrap/>
            <w:vAlign w:val="bottom"/>
            <w:hideMark/>
          </w:tcPr>
          <w:p w14:paraId="2FD866D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SH3BP4</w:t>
            </w:r>
          </w:p>
        </w:tc>
        <w:tc>
          <w:tcPr>
            <w:tcW w:w="7440" w:type="dxa"/>
            <w:tcBorders>
              <w:top w:val="nil"/>
              <w:left w:val="nil"/>
              <w:bottom w:val="nil"/>
              <w:right w:val="nil"/>
            </w:tcBorders>
            <w:shd w:val="clear" w:color="auto" w:fill="auto"/>
            <w:noWrap/>
            <w:vAlign w:val="bottom"/>
            <w:hideMark/>
          </w:tcPr>
          <w:p w14:paraId="1BED07A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SH3 Domain Binding Protein 4</w:t>
            </w:r>
          </w:p>
        </w:tc>
      </w:tr>
      <w:tr w:rsidR="00E844C1" w:rsidRPr="00E844C1" w14:paraId="076B81DC" w14:textId="77777777" w:rsidTr="00E844C1">
        <w:trPr>
          <w:trHeight w:val="300"/>
        </w:trPr>
        <w:tc>
          <w:tcPr>
            <w:tcW w:w="1440" w:type="dxa"/>
            <w:tcBorders>
              <w:top w:val="nil"/>
              <w:left w:val="nil"/>
              <w:bottom w:val="nil"/>
              <w:right w:val="nil"/>
            </w:tcBorders>
            <w:shd w:val="clear" w:color="auto" w:fill="auto"/>
            <w:noWrap/>
            <w:vAlign w:val="bottom"/>
            <w:hideMark/>
          </w:tcPr>
          <w:p w14:paraId="25F5E2EA" w14:textId="77777777" w:rsidR="00E844C1" w:rsidRPr="00E844C1" w:rsidRDefault="00E844C1" w:rsidP="00E844C1">
            <w:pPr>
              <w:rPr>
                <w:rFonts w:ascii="Calibri" w:eastAsia="Times New Roman" w:hAnsi="Calibri" w:cs="Times New Roman"/>
                <w:color w:val="000000"/>
              </w:rPr>
            </w:pPr>
            <w:proofErr w:type="spellStart"/>
            <w:proofErr w:type="gramStart"/>
            <w:r w:rsidRPr="00E844C1">
              <w:rPr>
                <w:rFonts w:ascii="Calibri" w:eastAsia="Times New Roman" w:hAnsi="Calibri" w:cs="Times New Roman"/>
                <w:color w:val="000000"/>
              </w:rPr>
              <w:t>shRNA</w:t>
            </w:r>
            <w:proofErr w:type="spellEnd"/>
            <w:proofErr w:type="gramEnd"/>
          </w:p>
        </w:tc>
        <w:tc>
          <w:tcPr>
            <w:tcW w:w="7440" w:type="dxa"/>
            <w:tcBorders>
              <w:top w:val="nil"/>
              <w:left w:val="nil"/>
              <w:bottom w:val="nil"/>
              <w:right w:val="nil"/>
            </w:tcBorders>
            <w:shd w:val="clear" w:color="auto" w:fill="auto"/>
            <w:noWrap/>
            <w:vAlign w:val="bottom"/>
            <w:hideMark/>
          </w:tcPr>
          <w:p w14:paraId="650EE4C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Short hairpin ribonucleic acid</w:t>
            </w:r>
          </w:p>
        </w:tc>
      </w:tr>
      <w:tr w:rsidR="00E844C1" w:rsidRPr="00E844C1" w14:paraId="774280ED" w14:textId="77777777" w:rsidTr="00E844C1">
        <w:trPr>
          <w:trHeight w:val="300"/>
        </w:trPr>
        <w:tc>
          <w:tcPr>
            <w:tcW w:w="1440" w:type="dxa"/>
            <w:tcBorders>
              <w:top w:val="nil"/>
              <w:left w:val="nil"/>
              <w:bottom w:val="nil"/>
              <w:right w:val="nil"/>
            </w:tcBorders>
            <w:shd w:val="clear" w:color="auto" w:fill="auto"/>
            <w:noWrap/>
            <w:vAlign w:val="bottom"/>
            <w:hideMark/>
          </w:tcPr>
          <w:p w14:paraId="4261870D" w14:textId="77777777" w:rsidR="00E844C1" w:rsidRPr="00E844C1" w:rsidRDefault="00E844C1" w:rsidP="00E844C1">
            <w:pPr>
              <w:rPr>
                <w:rFonts w:ascii="Calibri" w:eastAsia="Times New Roman" w:hAnsi="Calibri" w:cs="Times New Roman"/>
                <w:color w:val="000000"/>
              </w:rPr>
            </w:pPr>
            <w:proofErr w:type="gramStart"/>
            <w:r w:rsidRPr="00E844C1">
              <w:rPr>
                <w:rFonts w:ascii="Calibri" w:eastAsia="Times New Roman" w:hAnsi="Calibri" w:cs="Times New Roman"/>
                <w:color w:val="000000"/>
              </w:rPr>
              <w:t>siRNA</w:t>
            </w:r>
            <w:proofErr w:type="gramEnd"/>
          </w:p>
        </w:tc>
        <w:tc>
          <w:tcPr>
            <w:tcW w:w="7440" w:type="dxa"/>
            <w:tcBorders>
              <w:top w:val="nil"/>
              <w:left w:val="nil"/>
              <w:bottom w:val="nil"/>
              <w:right w:val="nil"/>
            </w:tcBorders>
            <w:shd w:val="clear" w:color="auto" w:fill="auto"/>
            <w:noWrap/>
            <w:vAlign w:val="bottom"/>
            <w:hideMark/>
          </w:tcPr>
          <w:p w14:paraId="3286C50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Small interfering ribonucleic acid</w:t>
            </w:r>
          </w:p>
        </w:tc>
      </w:tr>
      <w:tr w:rsidR="00E844C1" w:rsidRPr="00E844C1" w14:paraId="75FB2EDB" w14:textId="77777777" w:rsidTr="00E844C1">
        <w:trPr>
          <w:trHeight w:val="300"/>
        </w:trPr>
        <w:tc>
          <w:tcPr>
            <w:tcW w:w="1440" w:type="dxa"/>
            <w:tcBorders>
              <w:top w:val="nil"/>
              <w:left w:val="nil"/>
              <w:bottom w:val="nil"/>
              <w:right w:val="nil"/>
            </w:tcBorders>
            <w:shd w:val="clear" w:color="auto" w:fill="auto"/>
            <w:noWrap/>
            <w:vAlign w:val="bottom"/>
            <w:hideMark/>
          </w:tcPr>
          <w:p w14:paraId="4D58F1F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SITRAN</w:t>
            </w:r>
          </w:p>
        </w:tc>
        <w:tc>
          <w:tcPr>
            <w:tcW w:w="7440" w:type="dxa"/>
            <w:tcBorders>
              <w:top w:val="nil"/>
              <w:left w:val="nil"/>
              <w:bottom w:val="nil"/>
              <w:right w:val="nil"/>
            </w:tcBorders>
            <w:shd w:val="clear" w:color="auto" w:fill="auto"/>
            <w:noWrap/>
            <w:vAlign w:val="bottom"/>
            <w:hideMark/>
          </w:tcPr>
          <w:p w14:paraId="68468F7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Sheffield Institute for Translational Neuroscience</w:t>
            </w:r>
          </w:p>
        </w:tc>
      </w:tr>
      <w:tr w:rsidR="00E844C1" w:rsidRPr="00E844C1" w14:paraId="14AA02D3" w14:textId="77777777" w:rsidTr="00E844C1">
        <w:trPr>
          <w:trHeight w:val="300"/>
        </w:trPr>
        <w:tc>
          <w:tcPr>
            <w:tcW w:w="1440" w:type="dxa"/>
            <w:tcBorders>
              <w:top w:val="nil"/>
              <w:left w:val="nil"/>
              <w:bottom w:val="nil"/>
              <w:right w:val="nil"/>
            </w:tcBorders>
            <w:shd w:val="clear" w:color="auto" w:fill="auto"/>
            <w:noWrap/>
            <w:vAlign w:val="bottom"/>
            <w:hideMark/>
          </w:tcPr>
          <w:p w14:paraId="40418B3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SLC2A14</w:t>
            </w:r>
          </w:p>
        </w:tc>
        <w:tc>
          <w:tcPr>
            <w:tcW w:w="7440" w:type="dxa"/>
            <w:tcBorders>
              <w:top w:val="nil"/>
              <w:left w:val="nil"/>
              <w:bottom w:val="nil"/>
              <w:right w:val="nil"/>
            </w:tcBorders>
            <w:shd w:val="clear" w:color="auto" w:fill="auto"/>
            <w:noWrap/>
            <w:vAlign w:val="bottom"/>
            <w:hideMark/>
          </w:tcPr>
          <w:p w14:paraId="2D864FA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Solute carrier family 2 member 14</w:t>
            </w:r>
          </w:p>
        </w:tc>
      </w:tr>
      <w:tr w:rsidR="00E844C1" w:rsidRPr="00E844C1" w14:paraId="4C44B599" w14:textId="77777777" w:rsidTr="00E844C1">
        <w:trPr>
          <w:trHeight w:val="300"/>
        </w:trPr>
        <w:tc>
          <w:tcPr>
            <w:tcW w:w="1440" w:type="dxa"/>
            <w:tcBorders>
              <w:top w:val="nil"/>
              <w:left w:val="nil"/>
              <w:bottom w:val="nil"/>
              <w:right w:val="nil"/>
            </w:tcBorders>
            <w:shd w:val="clear" w:color="auto" w:fill="auto"/>
            <w:noWrap/>
            <w:vAlign w:val="bottom"/>
            <w:hideMark/>
          </w:tcPr>
          <w:p w14:paraId="593B0DA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SLCA3</w:t>
            </w:r>
          </w:p>
        </w:tc>
        <w:tc>
          <w:tcPr>
            <w:tcW w:w="7440" w:type="dxa"/>
            <w:tcBorders>
              <w:top w:val="nil"/>
              <w:left w:val="nil"/>
              <w:bottom w:val="nil"/>
              <w:right w:val="nil"/>
            </w:tcBorders>
            <w:shd w:val="clear" w:color="auto" w:fill="auto"/>
            <w:noWrap/>
            <w:vAlign w:val="bottom"/>
            <w:hideMark/>
          </w:tcPr>
          <w:p w14:paraId="49869D1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Solute carrier family 3</w:t>
            </w:r>
          </w:p>
        </w:tc>
      </w:tr>
      <w:tr w:rsidR="00E844C1" w:rsidRPr="00E844C1" w14:paraId="1D59A5B0" w14:textId="77777777" w:rsidTr="00E844C1">
        <w:trPr>
          <w:trHeight w:val="300"/>
        </w:trPr>
        <w:tc>
          <w:tcPr>
            <w:tcW w:w="1440" w:type="dxa"/>
            <w:tcBorders>
              <w:top w:val="nil"/>
              <w:left w:val="nil"/>
              <w:bottom w:val="nil"/>
              <w:right w:val="nil"/>
            </w:tcBorders>
            <w:shd w:val="clear" w:color="auto" w:fill="auto"/>
            <w:noWrap/>
            <w:vAlign w:val="bottom"/>
            <w:hideMark/>
          </w:tcPr>
          <w:p w14:paraId="02F7844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SOX4</w:t>
            </w:r>
          </w:p>
        </w:tc>
        <w:tc>
          <w:tcPr>
            <w:tcW w:w="7440" w:type="dxa"/>
            <w:tcBorders>
              <w:top w:val="nil"/>
              <w:left w:val="nil"/>
              <w:bottom w:val="nil"/>
              <w:right w:val="nil"/>
            </w:tcBorders>
            <w:shd w:val="clear" w:color="auto" w:fill="auto"/>
            <w:noWrap/>
            <w:vAlign w:val="bottom"/>
            <w:hideMark/>
          </w:tcPr>
          <w:p w14:paraId="6C9B500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SRY-Box 4</w:t>
            </w:r>
          </w:p>
        </w:tc>
      </w:tr>
      <w:tr w:rsidR="00E844C1" w:rsidRPr="00E844C1" w14:paraId="28DB9776" w14:textId="77777777" w:rsidTr="00E844C1">
        <w:trPr>
          <w:trHeight w:val="300"/>
        </w:trPr>
        <w:tc>
          <w:tcPr>
            <w:tcW w:w="1440" w:type="dxa"/>
            <w:tcBorders>
              <w:top w:val="nil"/>
              <w:left w:val="nil"/>
              <w:bottom w:val="nil"/>
              <w:right w:val="nil"/>
            </w:tcBorders>
            <w:shd w:val="clear" w:color="auto" w:fill="auto"/>
            <w:noWrap/>
            <w:vAlign w:val="bottom"/>
            <w:hideMark/>
          </w:tcPr>
          <w:p w14:paraId="133621A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SRCAP</w:t>
            </w:r>
          </w:p>
        </w:tc>
        <w:tc>
          <w:tcPr>
            <w:tcW w:w="7440" w:type="dxa"/>
            <w:tcBorders>
              <w:top w:val="nil"/>
              <w:left w:val="nil"/>
              <w:bottom w:val="nil"/>
              <w:right w:val="nil"/>
            </w:tcBorders>
            <w:shd w:val="clear" w:color="auto" w:fill="auto"/>
            <w:noWrap/>
            <w:vAlign w:val="bottom"/>
            <w:hideMark/>
          </w:tcPr>
          <w:p w14:paraId="1EB535B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SNF-related CREBBP Activator Protein</w:t>
            </w:r>
          </w:p>
        </w:tc>
      </w:tr>
      <w:tr w:rsidR="00E844C1" w:rsidRPr="00E844C1" w14:paraId="0771D0A7" w14:textId="77777777" w:rsidTr="00E844C1">
        <w:trPr>
          <w:trHeight w:val="300"/>
        </w:trPr>
        <w:tc>
          <w:tcPr>
            <w:tcW w:w="1440" w:type="dxa"/>
            <w:tcBorders>
              <w:top w:val="nil"/>
              <w:left w:val="nil"/>
              <w:bottom w:val="nil"/>
              <w:right w:val="nil"/>
            </w:tcBorders>
            <w:shd w:val="clear" w:color="auto" w:fill="auto"/>
            <w:noWrap/>
            <w:vAlign w:val="bottom"/>
            <w:hideMark/>
          </w:tcPr>
          <w:p w14:paraId="0B4E50C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STR</w:t>
            </w:r>
          </w:p>
        </w:tc>
        <w:tc>
          <w:tcPr>
            <w:tcW w:w="7440" w:type="dxa"/>
            <w:tcBorders>
              <w:top w:val="nil"/>
              <w:left w:val="nil"/>
              <w:bottom w:val="nil"/>
              <w:right w:val="nil"/>
            </w:tcBorders>
            <w:shd w:val="clear" w:color="auto" w:fill="auto"/>
            <w:noWrap/>
            <w:vAlign w:val="bottom"/>
            <w:hideMark/>
          </w:tcPr>
          <w:p w14:paraId="567CA92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Short Tandem Repeat</w:t>
            </w:r>
          </w:p>
        </w:tc>
      </w:tr>
      <w:tr w:rsidR="00E844C1" w:rsidRPr="00E844C1" w14:paraId="131D103F" w14:textId="77777777" w:rsidTr="00E844C1">
        <w:trPr>
          <w:trHeight w:val="300"/>
        </w:trPr>
        <w:tc>
          <w:tcPr>
            <w:tcW w:w="1440" w:type="dxa"/>
            <w:tcBorders>
              <w:top w:val="nil"/>
              <w:left w:val="nil"/>
              <w:bottom w:val="nil"/>
              <w:right w:val="nil"/>
            </w:tcBorders>
            <w:shd w:val="clear" w:color="auto" w:fill="auto"/>
            <w:noWrap/>
            <w:vAlign w:val="bottom"/>
            <w:hideMark/>
          </w:tcPr>
          <w:p w14:paraId="345E52D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SWI/SNF</w:t>
            </w:r>
          </w:p>
        </w:tc>
        <w:tc>
          <w:tcPr>
            <w:tcW w:w="7440" w:type="dxa"/>
            <w:tcBorders>
              <w:top w:val="nil"/>
              <w:left w:val="nil"/>
              <w:bottom w:val="nil"/>
              <w:right w:val="nil"/>
            </w:tcBorders>
            <w:shd w:val="clear" w:color="auto" w:fill="auto"/>
            <w:noWrap/>
            <w:vAlign w:val="bottom"/>
            <w:hideMark/>
          </w:tcPr>
          <w:p w14:paraId="219CB01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Switch/Sucrose Non Fermentable</w:t>
            </w:r>
          </w:p>
        </w:tc>
      </w:tr>
      <w:tr w:rsidR="00E844C1" w:rsidRPr="00E844C1" w14:paraId="2F961668" w14:textId="77777777" w:rsidTr="00E844C1">
        <w:trPr>
          <w:trHeight w:val="300"/>
        </w:trPr>
        <w:tc>
          <w:tcPr>
            <w:tcW w:w="1440" w:type="dxa"/>
            <w:tcBorders>
              <w:top w:val="nil"/>
              <w:left w:val="nil"/>
              <w:bottom w:val="nil"/>
              <w:right w:val="nil"/>
            </w:tcBorders>
            <w:shd w:val="clear" w:color="auto" w:fill="auto"/>
            <w:noWrap/>
            <w:vAlign w:val="bottom"/>
            <w:hideMark/>
          </w:tcPr>
          <w:p w14:paraId="5D04EDD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TCF</w:t>
            </w:r>
          </w:p>
        </w:tc>
        <w:tc>
          <w:tcPr>
            <w:tcW w:w="7440" w:type="dxa"/>
            <w:tcBorders>
              <w:top w:val="nil"/>
              <w:left w:val="nil"/>
              <w:bottom w:val="nil"/>
              <w:right w:val="nil"/>
            </w:tcBorders>
            <w:shd w:val="clear" w:color="auto" w:fill="auto"/>
            <w:noWrap/>
            <w:vAlign w:val="bottom"/>
            <w:hideMark/>
          </w:tcPr>
          <w:p w14:paraId="212550B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T-cell factor</w:t>
            </w:r>
          </w:p>
        </w:tc>
      </w:tr>
      <w:tr w:rsidR="00E844C1" w:rsidRPr="00E844C1" w14:paraId="37DBBE3E" w14:textId="77777777" w:rsidTr="00E844C1">
        <w:trPr>
          <w:trHeight w:val="300"/>
        </w:trPr>
        <w:tc>
          <w:tcPr>
            <w:tcW w:w="1440" w:type="dxa"/>
            <w:tcBorders>
              <w:top w:val="nil"/>
              <w:left w:val="nil"/>
              <w:bottom w:val="nil"/>
              <w:right w:val="nil"/>
            </w:tcBorders>
            <w:shd w:val="clear" w:color="auto" w:fill="auto"/>
            <w:noWrap/>
            <w:vAlign w:val="bottom"/>
            <w:hideMark/>
          </w:tcPr>
          <w:p w14:paraId="2BE667C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TCGA</w:t>
            </w:r>
          </w:p>
        </w:tc>
        <w:tc>
          <w:tcPr>
            <w:tcW w:w="7440" w:type="dxa"/>
            <w:tcBorders>
              <w:top w:val="nil"/>
              <w:left w:val="nil"/>
              <w:bottom w:val="nil"/>
              <w:right w:val="nil"/>
            </w:tcBorders>
            <w:shd w:val="clear" w:color="auto" w:fill="auto"/>
            <w:noWrap/>
            <w:vAlign w:val="bottom"/>
            <w:hideMark/>
          </w:tcPr>
          <w:p w14:paraId="4128088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The Cancer Genome Atlas</w:t>
            </w:r>
          </w:p>
        </w:tc>
      </w:tr>
      <w:tr w:rsidR="00E844C1" w:rsidRPr="00E844C1" w14:paraId="0C19D281" w14:textId="77777777" w:rsidTr="00E844C1">
        <w:trPr>
          <w:trHeight w:val="300"/>
        </w:trPr>
        <w:tc>
          <w:tcPr>
            <w:tcW w:w="1440" w:type="dxa"/>
            <w:tcBorders>
              <w:top w:val="nil"/>
              <w:left w:val="nil"/>
              <w:bottom w:val="nil"/>
              <w:right w:val="nil"/>
            </w:tcBorders>
            <w:shd w:val="clear" w:color="auto" w:fill="auto"/>
            <w:noWrap/>
            <w:vAlign w:val="bottom"/>
            <w:hideMark/>
          </w:tcPr>
          <w:p w14:paraId="041E27E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TdT</w:t>
            </w:r>
          </w:p>
        </w:tc>
        <w:tc>
          <w:tcPr>
            <w:tcW w:w="7440" w:type="dxa"/>
            <w:tcBorders>
              <w:top w:val="nil"/>
              <w:left w:val="nil"/>
              <w:bottom w:val="nil"/>
              <w:right w:val="nil"/>
            </w:tcBorders>
            <w:shd w:val="clear" w:color="auto" w:fill="auto"/>
            <w:noWrap/>
            <w:vAlign w:val="bottom"/>
            <w:hideMark/>
          </w:tcPr>
          <w:p w14:paraId="13ED27B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Terminal deoxynucleotidyl transferase</w:t>
            </w:r>
          </w:p>
        </w:tc>
      </w:tr>
      <w:tr w:rsidR="00E844C1" w:rsidRPr="00E844C1" w14:paraId="676CD930" w14:textId="77777777" w:rsidTr="00E844C1">
        <w:trPr>
          <w:trHeight w:val="300"/>
        </w:trPr>
        <w:tc>
          <w:tcPr>
            <w:tcW w:w="1440" w:type="dxa"/>
            <w:tcBorders>
              <w:top w:val="nil"/>
              <w:left w:val="nil"/>
              <w:bottom w:val="nil"/>
              <w:right w:val="nil"/>
            </w:tcBorders>
            <w:shd w:val="clear" w:color="auto" w:fill="auto"/>
            <w:noWrap/>
            <w:vAlign w:val="bottom"/>
            <w:hideMark/>
          </w:tcPr>
          <w:p w14:paraId="55AD60B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TGF-β</w:t>
            </w:r>
          </w:p>
        </w:tc>
        <w:tc>
          <w:tcPr>
            <w:tcW w:w="7440" w:type="dxa"/>
            <w:tcBorders>
              <w:top w:val="nil"/>
              <w:left w:val="nil"/>
              <w:bottom w:val="nil"/>
              <w:right w:val="nil"/>
            </w:tcBorders>
            <w:shd w:val="clear" w:color="auto" w:fill="auto"/>
            <w:noWrap/>
            <w:vAlign w:val="bottom"/>
            <w:hideMark/>
          </w:tcPr>
          <w:p w14:paraId="77648C7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Transcription growth factor-β</w:t>
            </w:r>
          </w:p>
        </w:tc>
      </w:tr>
      <w:tr w:rsidR="00E844C1" w:rsidRPr="00E844C1" w14:paraId="4063AB7A" w14:textId="77777777" w:rsidTr="00E844C1">
        <w:trPr>
          <w:trHeight w:val="300"/>
        </w:trPr>
        <w:tc>
          <w:tcPr>
            <w:tcW w:w="1440" w:type="dxa"/>
            <w:tcBorders>
              <w:top w:val="nil"/>
              <w:left w:val="nil"/>
              <w:bottom w:val="nil"/>
              <w:right w:val="nil"/>
            </w:tcBorders>
            <w:shd w:val="clear" w:color="auto" w:fill="auto"/>
            <w:noWrap/>
            <w:vAlign w:val="bottom"/>
            <w:hideMark/>
          </w:tcPr>
          <w:p w14:paraId="55D4F64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TNM</w:t>
            </w:r>
          </w:p>
        </w:tc>
        <w:tc>
          <w:tcPr>
            <w:tcW w:w="7440" w:type="dxa"/>
            <w:tcBorders>
              <w:top w:val="nil"/>
              <w:left w:val="nil"/>
              <w:bottom w:val="nil"/>
              <w:right w:val="nil"/>
            </w:tcBorders>
            <w:shd w:val="clear" w:color="auto" w:fill="auto"/>
            <w:noWrap/>
            <w:vAlign w:val="bottom"/>
            <w:hideMark/>
          </w:tcPr>
          <w:p w14:paraId="65F9EF71"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Tumour, node, metastasis</w:t>
            </w:r>
          </w:p>
        </w:tc>
      </w:tr>
      <w:tr w:rsidR="00E844C1" w:rsidRPr="00E844C1" w14:paraId="44D6913B" w14:textId="77777777" w:rsidTr="00E844C1">
        <w:trPr>
          <w:trHeight w:val="300"/>
        </w:trPr>
        <w:tc>
          <w:tcPr>
            <w:tcW w:w="1440" w:type="dxa"/>
            <w:tcBorders>
              <w:top w:val="nil"/>
              <w:left w:val="nil"/>
              <w:bottom w:val="nil"/>
              <w:right w:val="nil"/>
            </w:tcBorders>
            <w:shd w:val="clear" w:color="auto" w:fill="auto"/>
            <w:noWrap/>
            <w:vAlign w:val="bottom"/>
            <w:hideMark/>
          </w:tcPr>
          <w:p w14:paraId="4AB6309A"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TOP1</w:t>
            </w:r>
          </w:p>
        </w:tc>
        <w:tc>
          <w:tcPr>
            <w:tcW w:w="7440" w:type="dxa"/>
            <w:tcBorders>
              <w:top w:val="nil"/>
              <w:left w:val="nil"/>
              <w:bottom w:val="nil"/>
              <w:right w:val="nil"/>
            </w:tcBorders>
            <w:shd w:val="clear" w:color="auto" w:fill="auto"/>
            <w:noWrap/>
            <w:vAlign w:val="bottom"/>
            <w:hideMark/>
          </w:tcPr>
          <w:p w14:paraId="4A73502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Topoisomerase I</w:t>
            </w:r>
          </w:p>
        </w:tc>
      </w:tr>
      <w:tr w:rsidR="00E844C1" w:rsidRPr="00E844C1" w14:paraId="1286A1CB" w14:textId="77777777" w:rsidTr="00E844C1">
        <w:trPr>
          <w:trHeight w:val="300"/>
        </w:trPr>
        <w:tc>
          <w:tcPr>
            <w:tcW w:w="1440" w:type="dxa"/>
            <w:tcBorders>
              <w:top w:val="nil"/>
              <w:left w:val="nil"/>
              <w:bottom w:val="nil"/>
              <w:right w:val="nil"/>
            </w:tcBorders>
            <w:shd w:val="clear" w:color="auto" w:fill="auto"/>
            <w:noWrap/>
            <w:vAlign w:val="bottom"/>
            <w:hideMark/>
          </w:tcPr>
          <w:p w14:paraId="768E4C96"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TOP2A</w:t>
            </w:r>
          </w:p>
        </w:tc>
        <w:tc>
          <w:tcPr>
            <w:tcW w:w="7440" w:type="dxa"/>
            <w:tcBorders>
              <w:top w:val="nil"/>
              <w:left w:val="nil"/>
              <w:bottom w:val="nil"/>
              <w:right w:val="nil"/>
            </w:tcBorders>
            <w:shd w:val="clear" w:color="auto" w:fill="auto"/>
            <w:noWrap/>
            <w:vAlign w:val="bottom"/>
            <w:hideMark/>
          </w:tcPr>
          <w:p w14:paraId="4C1D139F"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Topoisomerase II Alpha</w:t>
            </w:r>
          </w:p>
        </w:tc>
      </w:tr>
      <w:tr w:rsidR="00E844C1" w:rsidRPr="00E844C1" w14:paraId="4E4B964B" w14:textId="77777777" w:rsidTr="00E844C1">
        <w:trPr>
          <w:trHeight w:val="300"/>
        </w:trPr>
        <w:tc>
          <w:tcPr>
            <w:tcW w:w="1440" w:type="dxa"/>
            <w:tcBorders>
              <w:top w:val="nil"/>
              <w:left w:val="nil"/>
              <w:bottom w:val="nil"/>
              <w:right w:val="nil"/>
            </w:tcBorders>
            <w:shd w:val="clear" w:color="auto" w:fill="auto"/>
            <w:noWrap/>
            <w:vAlign w:val="bottom"/>
            <w:hideMark/>
          </w:tcPr>
          <w:p w14:paraId="51F992D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TP53 -/-</w:t>
            </w:r>
          </w:p>
        </w:tc>
        <w:tc>
          <w:tcPr>
            <w:tcW w:w="7440" w:type="dxa"/>
            <w:tcBorders>
              <w:top w:val="nil"/>
              <w:left w:val="nil"/>
              <w:bottom w:val="nil"/>
              <w:right w:val="nil"/>
            </w:tcBorders>
            <w:shd w:val="clear" w:color="auto" w:fill="auto"/>
            <w:noWrap/>
            <w:vAlign w:val="bottom"/>
            <w:hideMark/>
          </w:tcPr>
          <w:p w14:paraId="6E83B88B"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Tumour protein 53 deficient</w:t>
            </w:r>
          </w:p>
        </w:tc>
      </w:tr>
      <w:tr w:rsidR="00E844C1" w:rsidRPr="00E844C1" w14:paraId="5DFAC678" w14:textId="77777777" w:rsidTr="00E844C1">
        <w:trPr>
          <w:trHeight w:val="300"/>
        </w:trPr>
        <w:tc>
          <w:tcPr>
            <w:tcW w:w="1440" w:type="dxa"/>
            <w:tcBorders>
              <w:top w:val="nil"/>
              <w:left w:val="nil"/>
              <w:bottom w:val="nil"/>
              <w:right w:val="nil"/>
            </w:tcBorders>
            <w:shd w:val="clear" w:color="auto" w:fill="auto"/>
            <w:noWrap/>
            <w:vAlign w:val="bottom"/>
            <w:hideMark/>
          </w:tcPr>
          <w:p w14:paraId="44D1A75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TS</w:t>
            </w:r>
          </w:p>
        </w:tc>
        <w:tc>
          <w:tcPr>
            <w:tcW w:w="7440" w:type="dxa"/>
            <w:tcBorders>
              <w:top w:val="nil"/>
              <w:left w:val="nil"/>
              <w:bottom w:val="nil"/>
              <w:right w:val="nil"/>
            </w:tcBorders>
            <w:shd w:val="clear" w:color="auto" w:fill="auto"/>
            <w:noWrap/>
            <w:vAlign w:val="bottom"/>
            <w:hideMark/>
          </w:tcPr>
          <w:p w14:paraId="3A0E9F1C"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Thymidylate synthase</w:t>
            </w:r>
          </w:p>
        </w:tc>
      </w:tr>
      <w:tr w:rsidR="00E844C1" w:rsidRPr="00E844C1" w14:paraId="694AE79E" w14:textId="77777777" w:rsidTr="00E844C1">
        <w:trPr>
          <w:trHeight w:val="300"/>
        </w:trPr>
        <w:tc>
          <w:tcPr>
            <w:tcW w:w="1440" w:type="dxa"/>
            <w:tcBorders>
              <w:top w:val="nil"/>
              <w:left w:val="nil"/>
              <w:bottom w:val="nil"/>
              <w:right w:val="nil"/>
            </w:tcBorders>
            <w:shd w:val="clear" w:color="auto" w:fill="auto"/>
            <w:noWrap/>
            <w:vAlign w:val="bottom"/>
            <w:hideMark/>
          </w:tcPr>
          <w:p w14:paraId="789CC680"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TSG</w:t>
            </w:r>
          </w:p>
        </w:tc>
        <w:tc>
          <w:tcPr>
            <w:tcW w:w="7440" w:type="dxa"/>
            <w:tcBorders>
              <w:top w:val="nil"/>
              <w:left w:val="nil"/>
              <w:bottom w:val="nil"/>
              <w:right w:val="nil"/>
            </w:tcBorders>
            <w:shd w:val="clear" w:color="auto" w:fill="auto"/>
            <w:noWrap/>
            <w:vAlign w:val="bottom"/>
            <w:hideMark/>
          </w:tcPr>
          <w:p w14:paraId="317825B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Tumour suppressor genes</w:t>
            </w:r>
          </w:p>
        </w:tc>
      </w:tr>
      <w:tr w:rsidR="00E844C1" w:rsidRPr="00E844C1" w14:paraId="46216E35" w14:textId="77777777" w:rsidTr="00E844C1">
        <w:trPr>
          <w:trHeight w:val="300"/>
        </w:trPr>
        <w:tc>
          <w:tcPr>
            <w:tcW w:w="1440" w:type="dxa"/>
            <w:tcBorders>
              <w:top w:val="nil"/>
              <w:left w:val="nil"/>
              <w:bottom w:val="nil"/>
              <w:right w:val="nil"/>
            </w:tcBorders>
            <w:shd w:val="clear" w:color="auto" w:fill="auto"/>
            <w:noWrap/>
            <w:vAlign w:val="bottom"/>
            <w:hideMark/>
          </w:tcPr>
          <w:p w14:paraId="79A47CF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UDG</w:t>
            </w:r>
          </w:p>
        </w:tc>
        <w:tc>
          <w:tcPr>
            <w:tcW w:w="7440" w:type="dxa"/>
            <w:tcBorders>
              <w:top w:val="nil"/>
              <w:left w:val="nil"/>
              <w:bottom w:val="nil"/>
              <w:right w:val="nil"/>
            </w:tcBorders>
            <w:shd w:val="clear" w:color="auto" w:fill="auto"/>
            <w:noWrap/>
            <w:vAlign w:val="bottom"/>
            <w:hideMark/>
          </w:tcPr>
          <w:p w14:paraId="365A6D57"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 xml:space="preserve">Uracil-DNA glycosylase </w:t>
            </w:r>
          </w:p>
        </w:tc>
      </w:tr>
      <w:tr w:rsidR="00E844C1" w:rsidRPr="00E844C1" w14:paraId="5560334D" w14:textId="77777777" w:rsidTr="00E844C1">
        <w:trPr>
          <w:trHeight w:val="300"/>
        </w:trPr>
        <w:tc>
          <w:tcPr>
            <w:tcW w:w="1440" w:type="dxa"/>
            <w:tcBorders>
              <w:top w:val="nil"/>
              <w:left w:val="nil"/>
              <w:bottom w:val="nil"/>
              <w:right w:val="nil"/>
            </w:tcBorders>
            <w:shd w:val="clear" w:color="auto" w:fill="auto"/>
            <w:noWrap/>
            <w:vAlign w:val="bottom"/>
            <w:hideMark/>
          </w:tcPr>
          <w:p w14:paraId="0B8DCBA9"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UTR</w:t>
            </w:r>
          </w:p>
        </w:tc>
        <w:tc>
          <w:tcPr>
            <w:tcW w:w="7440" w:type="dxa"/>
            <w:tcBorders>
              <w:top w:val="nil"/>
              <w:left w:val="nil"/>
              <w:bottom w:val="nil"/>
              <w:right w:val="nil"/>
            </w:tcBorders>
            <w:shd w:val="clear" w:color="auto" w:fill="auto"/>
            <w:noWrap/>
            <w:vAlign w:val="bottom"/>
            <w:hideMark/>
          </w:tcPr>
          <w:p w14:paraId="59CAD528" w14:textId="77777777" w:rsidR="00E844C1" w:rsidRPr="00E844C1" w:rsidRDefault="00E844C1" w:rsidP="00E844C1">
            <w:pPr>
              <w:rPr>
                <w:rFonts w:ascii="Calibri" w:eastAsia="Times New Roman" w:hAnsi="Calibri" w:cs="Times New Roman"/>
                <w:color w:val="000000"/>
              </w:rPr>
            </w:pPr>
            <w:proofErr w:type="spellStart"/>
            <w:r w:rsidRPr="00E844C1">
              <w:rPr>
                <w:rFonts w:ascii="Calibri" w:eastAsia="Times New Roman" w:hAnsi="Calibri" w:cs="Times New Roman"/>
                <w:color w:val="000000"/>
              </w:rPr>
              <w:t>Untranslated</w:t>
            </w:r>
            <w:proofErr w:type="spellEnd"/>
            <w:r w:rsidRPr="00E844C1">
              <w:rPr>
                <w:rFonts w:ascii="Calibri" w:eastAsia="Times New Roman" w:hAnsi="Calibri" w:cs="Times New Roman"/>
                <w:color w:val="000000"/>
              </w:rPr>
              <w:t xml:space="preserve"> region</w:t>
            </w:r>
          </w:p>
        </w:tc>
      </w:tr>
      <w:tr w:rsidR="00E844C1" w:rsidRPr="00E844C1" w14:paraId="60083208" w14:textId="77777777" w:rsidTr="00E844C1">
        <w:trPr>
          <w:trHeight w:val="300"/>
        </w:trPr>
        <w:tc>
          <w:tcPr>
            <w:tcW w:w="1440" w:type="dxa"/>
            <w:tcBorders>
              <w:top w:val="nil"/>
              <w:left w:val="nil"/>
              <w:bottom w:val="nil"/>
              <w:right w:val="nil"/>
            </w:tcBorders>
            <w:shd w:val="clear" w:color="auto" w:fill="auto"/>
            <w:noWrap/>
            <w:vAlign w:val="bottom"/>
            <w:hideMark/>
          </w:tcPr>
          <w:p w14:paraId="669CEDA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UV</w:t>
            </w:r>
          </w:p>
        </w:tc>
        <w:tc>
          <w:tcPr>
            <w:tcW w:w="7440" w:type="dxa"/>
            <w:tcBorders>
              <w:top w:val="nil"/>
              <w:left w:val="nil"/>
              <w:bottom w:val="nil"/>
              <w:right w:val="nil"/>
            </w:tcBorders>
            <w:shd w:val="clear" w:color="auto" w:fill="auto"/>
            <w:noWrap/>
            <w:vAlign w:val="bottom"/>
            <w:hideMark/>
          </w:tcPr>
          <w:p w14:paraId="2D563A5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Ultra violet</w:t>
            </w:r>
          </w:p>
        </w:tc>
      </w:tr>
      <w:tr w:rsidR="00E844C1" w:rsidRPr="00E844C1" w14:paraId="41A00603" w14:textId="77777777" w:rsidTr="00E844C1">
        <w:trPr>
          <w:trHeight w:val="300"/>
        </w:trPr>
        <w:tc>
          <w:tcPr>
            <w:tcW w:w="1440" w:type="dxa"/>
            <w:tcBorders>
              <w:top w:val="nil"/>
              <w:left w:val="nil"/>
              <w:bottom w:val="nil"/>
              <w:right w:val="nil"/>
            </w:tcBorders>
            <w:shd w:val="clear" w:color="auto" w:fill="auto"/>
            <w:noWrap/>
            <w:vAlign w:val="bottom"/>
            <w:hideMark/>
          </w:tcPr>
          <w:p w14:paraId="3574395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VEGF</w:t>
            </w:r>
          </w:p>
        </w:tc>
        <w:tc>
          <w:tcPr>
            <w:tcW w:w="7440" w:type="dxa"/>
            <w:tcBorders>
              <w:top w:val="nil"/>
              <w:left w:val="nil"/>
              <w:bottom w:val="nil"/>
              <w:right w:val="nil"/>
            </w:tcBorders>
            <w:shd w:val="clear" w:color="auto" w:fill="auto"/>
            <w:noWrap/>
            <w:vAlign w:val="bottom"/>
            <w:hideMark/>
          </w:tcPr>
          <w:p w14:paraId="46C9AA8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Vascular endothelial growth factor</w:t>
            </w:r>
          </w:p>
        </w:tc>
      </w:tr>
      <w:tr w:rsidR="00E844C1" w:rsidRPr="00E844C1" w14:paraId="4CF40D8E" w14:textId="77777777" w:rsidTr="00E844C1">
        <w:trPr>
          <w:trHeight w:val="300"/>
        </w:trPr>
        <w:tc>
          <w:tcPr>
            <w:tcW w:w="1440" w:type="dxa"/>
            <w:tcBorders>
              <w:top w:val="nil"/>
              <w:left w:val="nil"/>
              <w:bottom w:val="nil"/>
              <w:right w:val="nil"/>
            </w:tcBorders>
            <w:shd w:val="clear" w:color="auto" w:fill="auto"/>
            <w:noWrap/>
            <w:vAlign w:val="bottom"/>
            <w:hideMark/>
          </w:tcPr>
          <w:p w14:paraId="33137C6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WB</w:t>
            </w:r>
          </w:p>
        </w:tc>
        <w:tc>
          <w:tcPr>
            <w:tcW w:w="7440" w:type="dxa"/>
            <w:tcBorders>
              <w:top w:val="nil"/>
              <w:left w:val="nil"/>
              <w:bottom w:val="nil"/>
              <w:right w:val="nil"/>
            </w:tcBorders>
            <w:shd w:val="clear" w:color="auto" w:fill="auto"/>
            <w:noWrap/>
            <w:vAlign w:val="bottom"/>
            <w:hideMark/>
          </w:tcPr>
          <w:p w14:paraId="0D994B8D"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Western Blot</w:t>
            </w:r>
          </w:p>
        </w:tc>
      </w:tr>
      <w:tr w:rsidR="00E844C1" w:rsidRPr="00E844C1" w14:paraId="186CC579" w14:textId="77777777" w:rsidTr="00E844C1">
        <w:trPr>
          <w:trHeight w:val="300"/>
        </w:trPr>
        <w:tc>
          <w:tcPr>
            <w:tcW w:w="1440" w:type="dxa"/>
            <w:tcBorders>
              <w:top w:val="nil"/>
              <w:left w:val="nil"/>
              <w:bottom w:val="nil"/>
              <w:right w:val="nil"/>
            </w:tcBorders>
            <w:shd w:val="clear" w:color="auto" w:fill="auto"/>
            <w:noWrap/>
            <w:vAlign w:val="bottom"/>
            <w:hideMark/>
          </w:tcPr>
          <w:p w14:paraId="49B8D64E"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WHO</w:t>
            </w:r>
          </w:p>
        </w:tc>
        <w:tc>
          <w:tcPr>
            <w:tcW w:w="7440" w:type="dxa"/>
            <w:tcBorders>
              <w:top w:val="nil"/>
              <w:left w:val="nil"/>
              <w:bottom w:val="nil"/>
              <w:right w:val="nil"/>
            </w:tcBorders>
            <w:shd w:val="clear" w:color="auto" w:fill="auto"/>
            <w:noWrap/>
            <w:vAlign w:val="bottom"/>
            <w:hideMark/>
          </w:tcPr>
          <w:p w14:paraId="53024062"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World Health Organisation</w:t>
            </w:r>
          </w:p>
        </w:tc>
      </w:tr>
      <w:tr w:rsidR="00E844C1" w:rsidRPr="00E844C1" w14:paraId="7303D80F" w14:textId="77777777" w:rsidTr="00E844C1">
        <w:trPr>
          <w:trHeight w:val="300"/>
        </w:trPr>
        <w:tc>
          <w:tcPr>
            <w:tcW w:w="1440" w:type="dxa"/>
            <w:tcBorders>
              <w:top w:val="nil"/>
              <w:left w:val="nil"/>
              <w:bottom w:val="nil"/>
              <w:right w:val="nil"/>
            </w:tcBorders>
            <w:shd w:val="clear" w:color="auto" w:fill="auto"/>
            <w:noWrap/>
            <w:vAlign w:val="bottom"/>
            <w:hideMark/>
          </w:tcPr>
          <w:p w14:paraId="1FE06C94"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YFP</w:t>
            </w:r>
          </w:p>
        </w:tc>
        <w:tc>
          <w:tcPr>
            <w:tcW w:w="7440" w:type="dxa"/>
            <w:tcBorders>
              <w:top w:val="nil"/>
              <w:left w:val="nil"/>
              <w:bottom w:val="nil"/>
              <w:right w:val="nil"/>
            </w:tcBorders>
            <w:shd w:val="clear" w:color="auto" w:fill="auto"/>
            <w:noWrap/>
            <w:vAlign w:val="bottom"/>
            <w:hideMark/>
          </w:tcPr>
          <w:p w14:paraId="7FB23763"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Yellows Fluorescent Protein</w:t>
            </w:r>
          </w:p>
        </w:tc>
      </w:tr>
      <w:tr w:rsidR="00E844C1" w:rsidRPr="00E844C1" w14:paraId="18D105EF" w14:textId="77777777" w:rsidTr="00E844C1">
        <w:trPr>
          <w:trHeight w:val="300"/>
        </w:trPr>
        <w:tc>
          <w:tcPr>
            <w:tcW w:w="1440" w:type="dxa"/>
            <w:tcBorders>
              <w:top w:val="nil"/>
              <w:left w:val="nil"/>
              <w:bottom w:val="nil"/>
              <w:right w:val="nil"/>
            </w:tcBorders>
            <w:shd w:val="clear" w:color="auto" w:fill="auto"/>
            <w:noWrap/>
            <w:vAlign w:val="bottom"/>
            <w:hideMark/>
          </w:tcPr>
          <w:p w14:paraId="7584A478"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ZFP36</w:t>
            </w:r>
          </w:p>
        </w:tc>
        <w:tc>
          <w:tcPr>
            <w:tcW w:w="7440" w:type="dxa"/>
            <w:tcBorders>
              <w:top w:val="nil"/>
              <w:left w:val="nil"/>
              <w:bottom w:val="nil"/>
              <w:right w:val="nil"/>
            </w:tcBorders>
            <w:shd w:val="clear" w:color="auto" w:fill="auto"/>
            <w:noWrap/>
            <w:vAlign w:val="bottom"/>
            <w:hideMark/>
          </w:tcPr>
          <w:p w14:paraId="7CA67485" w14:textId="77777777" w:rsidR="00E844C1" w:rsidRPr="00E844C1" w:rsidRDefault="00E844C1" w:rsidP="00E844C1">
            <w:pPr>
              <w:rPr>
                <w:rFonts w:ascii="Calibri" w:eastAsia="Times New Roman" w:hAnsi="Calibri" w:cs="Times New Roman"/>
                <w:color w:val="000000"/>
              </w:rPr>
            </w:pPr>
            <w:r w:rsidRPr="00E844C1">
              <w:rPr>
                <w:rFonts w:ascii="Calibri" w:eastAsia="Times New Roman" w:hAnsi="Calibri" w:cs="Times New Roman"/>
                <w:color w:val="000000"/>
              </w:rPr>
              <w:t>Zinc finger protein 36</w:t>
            </w:r>
          </w:p>
        </w:tc>
      </w:tr>
    </w:tbl>
    <w:p w14:paraId="7B7845C1" w14:textId="77777777" w:rsidR="009B03D7" w:rsidRDefault="009B03D7" w:rsidP="008E7B3A">
      <w:pPr>
        <w:pBdr>
          <w:bottom w:val="single" w:sz="8" w:space="4" w:color="4F81BD"/>
        </w:pBdr>
        <w:spacing w:after="300"/>
        <w:contextualSpacing/>
        <w:rPr>
          <w:rFonts w:ascii="Calibri" w:eastAsia="ＭＳ Ｐゴシック" w:hAnsi="Calibri" w:cs="Times New Roman"/>
          <w:spacing w:val="5"/>
          <w:kern w:val="28"/>
          <w:sz w:val="52"/>
          <w:szCs w:val="44"/>
        </w:rPr>
      </w:pPr>
    </w:p>
    <w:p w14:paraId="72B680F8" w14:textId="5E7E9D42" w:rsidR="00C50350" w:rsidRDefault="00C50350" w:rsidP="008E7B3A">
      <w:pPr>
        <w:pBdr>
          <w:bottom w:val="single" w:sz="8" w:space="4" w:color="4F81BD"/>
        </w:pBdr>
        <w:spacing w:after="300"/>
        <w:contextualSpacing/>
        <w:rPr>
          <w:rFonts w:ascii="Calibri" w:eastAsia="ＭＳ Ｐゴシック" w:hAnsi="Calibri" w:cs="Times New Roman"/>
          <w:spacing w:val="5"/>
          <w:kern w:val="28"/>
          <w:sz w:val="52"/>
          <w:szCs w:val="44"/>
        </w:rPr>
      </w:pPr>
      <w:r>
        <w:rPr>
          <w:rFonts w:ascii="Calibri" w:eastAsia="ＭＳ Ｐゴシック" w:hAnsi="Calibri" w:cs="Times New Roman"/>
          <w:spacing w:val="5"/>
          <w:kern w:val="28"/>
          <w:sz w:val="52"/>
          <w:szCs w:val="44"/>
        </w:rPr>
        <w:t>Contents</w:t>
      </w:r>
    </w:p>
    <w:p w14:paraId="3A63CDDC" w14:textId="77777777" w:rsidR="00C50350" w:rsidRDefault="00C50350">
      <w:pPr>
        <w:rPr>
          <w:rFonts w:ascii="Calibri" w:eastAsia="ＭＳ Ｐゴシック" w:hAnsi="Calibri" w:cs="Times New Roman"/>
          <w:spacing w:val="5"/>
          <w:kern w:val="28"/>
          <w:sz w:val="52"/>
          <w:szCs w:val="44"/>
        </w:rPr>
      </w:pPr>
    </w:p>
    <w:p w14:paraId="0A7427AF" w14:textId="4E1F2DBA" w:rsidR="00C50350" w:rsidRPr="00437D67" w:rsidRDefault="00023FDF">
      <w:pPr>
        <w:rPr>
          <w:rFonts w:ascii="Calibri" w:eastAsia="ＭＳ Ｐゴシック" w:hAnsi="Calibri" w:cs="Times New Roman"/>
          <w:b/>
          <w:spacing w:val="5"/>
          <w:kern w:val="28"/>
          <w:szCs w:val="44"/>
        </w:rPr>
      </w:pPr>
      <w:r>
        <w:rPr>
          <w:rFonts w:ascii="Calibri" w:eastAsia="ＭＳ Ｐゴシック" w:hAnsi="Calibri" w:cs="Times New Roman"/>
          <w:b/>
          <w:spacing w:val="5"/>
          <w:kern w:val="28"/>
          <w:szCs w:val="44"/>
        </w:rPr>
        <w:t>Chapter 1:</w:t>
      </w:r>
      <w:r w:rsidR="00C50350" w:rsidRPr="00437D67">
        <w:rPr>
          <w:rFonts w:ascii="Calibri" w:eastAsia="ＭＳ Ｐゴシック" w:hAnsi="Calibri" w:cs="Times New Roman"/>
          <w:b/>
          <w:spacing w:val="5"/>
          <w:kern w:val="28"/>
          <w:szCs w:val="44"/>
        </w:rPr>
        <w:t>Introduction</w:t>
      </w:r>
      <w:r w:rsidR="005E07DE">
        <w:rPr>
          <w:rFonts w:ascii="Calibri" w:eastAsia="ＭＳ Ｐゴシック" w:hAnsi="Calibri" w:cs="Times New Roman"/>
          <w:b/>
          <w:spacing w:val="5"/>
          <w:kern w:val="28"/>
          <w:szCs w:val="44"/>
        </w:rPr>
        <w:t>……………</w:t>
      </w:r>
      <w:r>
        <w:rPr>
          <w:rFonts w:ascii="Calibri" w:eastAsia="ＭＳ Ｐゴシック" w:hAnsi="Calibri" w:cs="Times New Roman"/>
          <w:b/>
          <w:spacing w:val="5"/>
          <w:kern w:val="28"/>
          <w:szCs w:val="44"/>
        </w:rPr>
        <w:t>………………………………………………………………………..</w:t>
      </w:r>
      <w:r w:rsidR="005E07DE">
        <w:rPr>
          <w:rFonts w:ascii="Calibri" w:eastAsia="ＭＳ Ｐゴシック" w:hAnsi="Calibri" w:cs="Times New Roman"/>
          <w:b/>
          <w:spacing w:val="5"/>
          <w:kern w:val="28"/>
          <w:szCs w:val="44"/>
        </w:rPr>
        <w:t>11</w:t>
      </w:r>
    </w:p>
    <w:p w14:paraId="59F7A08E" w14:textId="7D5E6774" w:rsidR="00893955" w:rsidRDefault="000E5B25" w:rsidP="00893955">
      <w:pPr>
        <w:pStyle w:val="ListParagraph"/>
        <w:numPr>
          <w:ilvl w:val="1"/>
          <w:numId w:val="52"/>
        </w:numPr>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Cancer Overview</w:t>
      </w:r>
      <w:r w:rsidR="005E07DE">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……………………………………………………………………………….12</w:t>
      </w:r>
    </w:p>
    <w:p w14:paraId="10002979" w14:textId="11CCD25A" w:rsidR="000E5B25" w:rsidRPr="000E5B25" w:rsidRDefault="00893955" w:rsidP="00893955">
      <w:pPr>
        <w:pStyle w:val="ListParagraph"/>
        <w:numPr>
          <w:ilvl w:val="1"/>
          <w:numId w:val="52"/>
        </w:numPr>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DNA Damage and the Repair Pathways………………..…………………………..…17</w:t>
      </w:r>
    </w:p>
    <w:p w14:paraId="07D2E51A" w14:textId="578C78E0" w:rsidR="000E5B25" w:rsidRDefault="0089395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1.3</w:t>
      </w:r>
      <w:r w:rsidR="000E5B25">
        <w:rPr>
          <w:rFonts w:ascii="Calibri" w:eastAsia="ＭＳ Ｐゴシック" w:hAnsi="Calibri" w:cs="Times New Roman"/>
          <w:spacing w:val="5"/>
          <w:kern w:val="28"/>
          <w:szCs w:val="44"/>
        </w:rPr>
        <w:t xml:space="preserve"> Colorectal Cancer</w:t>
      </w:r>
      <w:r w:rsidR="00F1379E">
        <w:rPr>
          <w:rFonts w:ascii="Calibri" w:eastAsia="ＭＳ Ｐゴシック" w:hAnsi="Calibri" w:cs="Times New Roman"/>
          <w:spacing w:val="5"/>
          <w:kern w:val="28"/>
          <w:szCs w:val="44"/>
        </w:rPr>
        <w:t>…………………………………</w:t>
      </w:r>
      <w:r>
        <w:rPr>
          <w:rFonts w:ascii="Calibri" w:eastAsia="ＭＳ Ｐゴシック" w:hAnsi="Calibri" w:cs="Times New Roman"/>
          <w:spacing w:val="5"/>
          <w:kern w:val="28"/>
          <w:szCs w:val="44"/>
        </w:rPr>
        <w:t>……………………………………………..19</w:t>
      </w:r>
    </w:p>
    <w:p w14:paraId="1806E493" w14:textId="5D117479" w:rsidR="000E5B25" w:rsidRDefault="0089395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1.4</w:t>
      </w:r>
      <w:r w:rsidR="000E5B25">
        <w:rPr>
          <w:rFonts w:ascii="Calibri" w:eastAsia="ＭＳ Ｐゴシック" w:hAnsi="Calibri" w:cs="Times New Roman"/>
          <w:spacing w:val="5"/>
          <w:kern w:val="28"/>
          <w:szCs w:val="44"/>
        </w:rPr>
        <w:t xml:space="preserve"> Tumourigenesis Enabling Pathways in Colorectal Cancer</w:t>
      </w:r>
      <w:r>
        <w:rPr>
          <w:rFonts w:ascii="Calibri" w:eastAsia="ＭＳ Ｐゴシック" w:hAnsi="Calibri" w:cs="Times New Roman"/>
          <w:spacing w:val="5"/>
          <w:kern w:val="28"/>
          <w:szCs w:val="44"/>
        </w:rPr>
        <w:t>…………………...25</w:t>
      </w:r>
    </w:p>
    <w:p w14:paraId="5F48C2B4" w14:textId="2D2B4488" w:rsidR="00893955" w:rsidRDefault="0089395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1.5 Diagnosis and Treatments of Colorectal Cancer………………………………….36</w:t>
      </w:r>
    </w:p>
    <w:p w14:paraId="308963DD" w14:textId="04516C87" w:rsidR="000E5B25" w:rsidRDefault="0089395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1.6 </w:t>
      </w:r>
      <w:r w:rsidR="000E5B25">
        <w:rPr>
          <w:rFonts w:ascii="Calibri" w:eastAsia="ＭＳ Ｐゴシック" w:hAnsi="Calibri" w:cs="Times New Roman"/>
          <w:spacing w:val="5"/>
          <w:kern w:val="28"/>
          <w:szCs w:val="44"/>
        </w:rPr>
        <w:t>Epigenetic Factors in Cancer Progression</w:t>
      </w:r>
      <w:r w:rsidR="005E14E1">
        <w:rPr>
          <w:rFonts w:ascii="Calibri" w:eastAsia="ＭＳ Ｐゴシック" w:hAnsi="Calibri" w:cs="Times New Roman"/>
          <w:spacing w:val="5"/>
          <w:kern w:val="28"/>
          <w:szCs w:val="44"/>
        </w:rPr>
        <w:t>…………………………………………</w:t>
      </w:r>
      <w:r w:rsidR="006063F9">
        <w:rPr>
          <w:rFonts w:ascii="Calibri" w:eastAsia="ＭＳ Ｐゴシック" w:hAnsi="Calibri" w:cs="Times New Roman"/>
          <w:spacing w:val="5"/>
          <w:kern w:val="28"/>
          <w:szCs w:val="44"/>
        </w:rPr>
        <w:t>..</w:t>
      </w:r>
      <w:r w:rsidR="005E14E1">
        <w:rPr>
          <w:rFonts w:ascii="Calibri" w:eastAsia="ＭＳ Ｐゴシック" w:hAnsi="Calibri" w:cs="Times New Roman"/>
          <w:spacing w:val="5"/>
          <w:kern w:val="28"/>
          <w:szCs w:val="44"/>
        </w:rPr>
        <w:t>.</w:t>
      </w:r>
      <w:r>
        <w:rPr>
          <w:rFonts w:ascii="Calibri" w:eastAsia="ＭＳ Ｐゴシック" w:hAnsi="Calibri" w:cs="Times New Roman"/>
          <w:spacing w:val="5"/>
          <w:kern w:val="28"/>
          <w:szCs w:val="44"/>
        </w:rPr>
        <w:t>43</w:t>
      </w:r>
    </w:p>
    <w:p w14:paraId="7529A6E6" w14:textId="6C09D986" w:rsidR="000E5B25" w:rsidRDefault="0089395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1.7</w:t>
      </w:r>
      <w:r w:rsidR="000E5B25">
        <w:rPr>
          <w:rFonts w:ascii="Calibri" w:eastAsia="ＭＳ Ｐゴシック" w:hAnsi="Calibri" w:cs="Times New Roman"/>
          <w:spacing w:val="5"/>
          <w:kern w:val="28"/>
          <w:szCs w:val="44"/>
        </w:rPr>
        <w:t xml:space="preserve"> Preliminary Project Data</w:t>
      </w:r>
      <w:r>
        <w:rPr>
          <w:rFonts w:ascii="Calibri" w:eastAsia="ＭＳ Ｐゴシック" w:hAnsi="Calibri" w:cs="Times New Roman"/>
          <w:spacing w:val="5"/>
          <w:kern w:val="28"/>
          <w:szCs w:val="44"/>
        </w:rPr>
        <w:t>……………………………………………………………………..48</w:t>
      </w:r>
    </w:p>
    <w:p w14:paraId="3528892F" w14:textId="77777777" w:rsidR="000E5B25" w:rsidRPr="000E5B25" w:rsidRDefault="000E5B25" w:rsidP="000E5B25">
      <w:pPr>
        <w:pStyle w:val="ListParagraph"/>
        <w:rPr>
          <w:rFonts w:ascii="Calibri" w:eastAsia="ＭＳ Ｐゴシック" w:hAnsi="Calibri" w:cs="Times New Roman"/>
          <w:spacing w:val="5"/>
          <w:kern w:val="28"/>
          <w:szCs w:val="44"/>
        </w:rPr>
      </w:pPr>
    </w:p>
    <w:p w14:paraId="2C297ED5" w14:textId="51186558" w:rsidR="00C50350" w:rsidRPr="00437D67" w:rsidRDefault="00C50350">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Chapter 2: Materials and Methods</w:t>
      </w:r>
      <w:r w:rsidR="00893955">
        <w:rPr>
          <w:rFonts w:ascii="Calibri" w:eastAsia="ＭＳ Ｐゴシック" w:hAnsi="Calibri" w:cs="Times New Roman"/>
          <w:b/>
          <w:spacing w:val="5"/>
          <w:kern w:val="28"/>
          <w:szCs w:val="44"/>
        </w:rPr>
        <w:t>……………………………………………………………………59</w:t>
      </w:r>
    </w:p>
    <w:p w14:paraId="46B02261" w14:textId="5A02F0A1"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2.1 Materials</w:t>
      </w:r>
      <w:r w:rsidR="006063F9">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………………………………………………………………..……..61</w:t>
      </w:r>
    </w:p>
    <w:p w14:paraId="6F6246EA" w14:textId="5EA0CD7A"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2.2 </w:t>
      </w:r>
      <w:r w:rsidRPr="000E5B25">
        <w:rPr>
          <w:rFonts w:ascii="Calibri" w:eastAsia="ＭＳ Ｐゴシック" w:hAnsi="Calibri" w:cs="Times New Roman"/>
          <w:spacing w:val="5"/>
          <w:kern w:val="28"/>
          <w:szCs w:val="44"/>
        </w:rPr>
        <w:t>Methods</w:t>
      </w:r>
      <w:r w:rsidR="006063F9">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…………………………………………………………………………..68</w:t>
      </w:r>
    </w:p>
    <w:p w14:paraId="75DD3950" w14:textId="77777777" w:rsidR="000E5B25" w:rsidRDefault="000E5B25" w:rsidP="000E5B25">
      <w:pPr>
        <w:rPr>
          <w:rFonts w:ascii="Calibri" w:eastAsia="ＭＳ Ｐゴシック" w:hAnsi="Calibri" w:cs="Times New Roman"/>
          <w:spacing w:val="5"/>
          <w:kern w:val="28"/>
          <w:szCs w:val="44"/>
        </w:rPr>
      </w:pPr>
    </w:p>
    <w:p w14:paraId="69270EE1" w14:textId="272CE23D" w:rsidR="000E5B25" w:rsidRPr="00437D67" w:rsidRDefault="00C50350" w:rsidP="000E5B25">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 xml:space="preserve">Chapter 3: </w:t>
      </w:r>
      <w:r w:rsidR="000E5B25" w:rsidRPr="00437D67">
        <w:rPr>
          <w:rFonts w:ascii="Calibri" w:eastAsia="ＭＳ Ｐゴシック" w:hAnsi="Calibri" w:cs="Times New Roman"/>
          <w:b/>
          <w:spacing w:val="5"/>
          <w:kern w:val="28"/>
          <w:szCs w:val="44"/>
        </w:rPr>
        <w:t>Stu</w:t>
      </w:r>
      <w:r w:rsidR="00327AA2">
        <w:rPr>
          <w:rFonts w:ascii="Calibri" w:eastAsia="ＭＳ Ｐゴシック" w:hAnsi="Calibri" w:cs="Times New Roman"/>
          <w:b/>
          <w:spacing w:val="5"/>
          <w:kern w:val="28"/>
          <w:szCs w:val="44"/>
        </w:rPr>
        <w:t>dying the effects of SRCAP over-</w:t>
      </w:r>
      <w:r w:rsidR="000E5B25" w:rsidRPr="00437D67">
        <w:rPr>
          <w:rFonts w:ascii="Calibri" w:eastAsia="ＭＳ Ｐゴシック" w:hAnsi="Calibri" w:cs="Times New Roman"/>
          <w:b/>
          <w:spacing w:val="5"/>
          <w:kern w:val="28"/>
          <w:szCs w:val="44"/>
        </w:rPr>
        <w:t>expression</w:t>
      </w:r>
      <w:r w:rsidR="006063F9">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.93</w:t>
      </w:r>
    </w:p>
    <w:p w14:paraId="42ECA5FA" w14:textId="338306F9"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3.1 Introduction</w:t>
      </w:r>
      <w:r w:rsidR="007E117F">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…………………………………………………………………..…..95</w:t>
      </w:r>
    </w:p>
    <w:p w14:paraId="5478C3E1" w14:textId="1551337E"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3.2 Transient transfection of </w:t>
      </w:r>
      <w:r w:rsidRPr="000E5B25">
        <w:rPr>
          <w:rFonts w:ascii="Calibri" w:eastAsia="ＭＳ Ｐゴシック" w:hAnsi="Calibri" w:cs="Times New Roman"/>
          <w:i/>
          <w:spacing w:val="5"/>
          <w:kern w:val="28"/>
          <w:szCs w:val="44"/>
        </w:rPr>
        <w:t>SRCAP</w:t>
      </w:r>
      <w:r w:rsidR="003F6AA5">
        <w:rPr>
          <w:rFonts w:ascii="Calibri" w:eastAsia="ＭＳ Ｐゴシック" w:hAnsi="Calibri" w:cs="Times New Roman"/>
          <w:spacing w:val="5"/>
          <w:kern w:val="28"/>
          <w:szCs w:val="44"/>
        </w:rPr>
        <w:t xml:space="preserve"> cDNA shows no over-</w:t>
      </w:r>
      <w:proofErr w:type="gramStart"/>
      <w:r w:rsidR="00893955">
        <w:rPr>
          <w:rFonts w:ascii="Calibri" w:eastAsia="ＭＳ Ｐゴシック" w:hAnsi="Calibri" w:cs="Times New Roman"/>
          <w:spacing w:val="5"/>
          <w:kern w:val="28"/>
          <w:szCs w:val="44"/>
        </w:rPr>
        <w:t>expression…….99</w:t>
      </w:r>
      <w:proofErr w:type="gramEnd"/>
    </w:p>
    <w:p w14:paraId="4E9EE9BC" w14:textId="62EA4B5A" w:rsidR="000E5B25" w:rsidRDefault="000E5B25" w:rsidP="000E5B25">
      <w:pPr>
        <w:pStyle w:val="ListParagraph"/>
        <w:ind w:left="1134" w:hanging="414"/>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3.3 Mutation of the consensus Kozak sequence results in correct</w:t>
      </w:r>
      <w:r w:rsidR="007E117F">
        <w:rPr>
          <w:rFonts w:ascii="Calibri" w:eastAsia="ＭＳ Ｐゴシック" w:hAnsi="Calibri" w:cs="Times New Roman"/>
          <w:spacing w:val="5"/>
          <w:kern w:val="28"/>
          <w:szCs w:val="44"/>
        </w:rPr>
        <w:t xml:space="preserve"> </w:t>
      </w:r>
      <w:r>
        <w:rPr>
          <w:rFonts w:ascii="Calibri" w:eastAsia="ＭＳ Ｐゴシック" w:hAnsi="Calibri" w:cs="Times New Roman"/>
          <w:spacing w:val="5"/>
          <w:kern w:val="28"/>
          <w:szCs w:val="44"/>
        </w:rPr>
        <w:t xml:space="preserve">localisation of </w:t>
      </w:r>
      <w:r w:rsidRPr="000E5B25">
        <w:rPr>
          <w:rFonts w:ascii="Calibri" w:eastAsia="ＭＳ Ｐゴシック" w:hAnsi="Calibri" w:cs="Times New Roman"/>
          <w:i/>
          <w:spacing w:val="5"/>
          <w:kern w:val="28"/>
          <w:szCs w:val="44"/>
        </w:rPr>
        <w:t>YFP SRCAP</w:t>
      </w:r>
      <w:r w:rsidR="007E117F" w:rsidRPr="007E117F">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……………………….102</w:t>
      </w:r>
    </w:p>
    <w:p w14:paraId="4179B16E" w14:textId="7503F7DA"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3.4 XL10 competent cell </w:t>
      </w:r>
      <w:r w:rsidR="003F6AA5">
        <w:rPr>
          <w:rFonts w:ascii="Calibri" w:eastAsia="ＭＳ Ｐゴシック" w:hAnsi="Calibri" w:cs="Times New Roman"/>
          <w:spacing w:val="5"/>
          <w:kern w:val="28"/>
          <w:szCs w:val="44"/>
        </w:rPr>
        <w:t>propagation leads to SRCAP over-</w:t>
      </w:r>
      <w:proofErr w:type="gramStart"/>
      <w:r>
        <w:rPr>
          <w:rFonts w:ascii="Calibri" w:eastAsia="ＭＳ Ｐゴシック" w:hAnsi="Calibri" w:cs="Times New Roman"/>
          <w:spacing w:val="5"/>
          <w:kern w:val="28"/>
          <w:szCs w:val="44"/>
        </w:rPr>
        <w:t>expression</w:t>
      </w:r>
      <w:r w:rsidR="00893955">
        <w:rPr>
          <w:rFonts w:ascii="Calibri" w:eastAsia="ＭＳ Ｐゴシック" w:hAnsi="Calibri" w:cs="Times New Roman"/>
          <w:spacing w:val="5"/>
          <w:kern w:val="28"/>
          <w:szCs w:val="44"/>
        </w:rPr>
        <w:t>…..107</w:t>
      </w:r>
      <w:proofErr w:type="gramEnd"/>
    </w:p>
    <w:p w14:paraId="72243C63" w14:textId="57A17368" w:rsidR="000E5B25" w:rsidRDefault="000E5B25" w:rsidP="000E5B25">
      <w:pPr>
        <w:pStyle w:val="ListParagraph"/>
        <w:ind w:left="1134" w:hanging="414"/>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3.5 Tetracycline induction Flp. System shows a small increase in over expression of SRCAP</w:t>
      </w:r>
      <w:r w:rsidR="007E117F">
        <w:rPr>
          <w:rFonts w:ascii="Calibri" w:eastAsia="ＭＳ Ｐゴシック" w:hAnsi="Calibri" w:cs="Times New Roman"/>
          <w:spacing w:val="5"/>
          <w:kern w:val="28"/>
          <w:szCs w:val="44"/>
        </w:rPr>
        <w:t>………………………………………………………………………</w:t>
      </w:r>
      <w:r w:rsidR="004A1D36">
        <w:rPr>
          <w:rFonts w:ascii="Calibri" w:eastAsia="ＭＳ Ｐゴシック" w:hAnsi="Calibri" w:cs="Times New Roman"/>
          <w:spacing w:val="5"/>
          <w:kern w:val="28"/>
          <w:szCs w:val="44"/>
        </w:rPr>
        <w:t>.</w:t>
      </w:r>
      <w:r w:rsidR="007E117F">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110</w:t>
      </w:r>
    </w:p>
    <w:p w14:paraId="6F9AA6DB" w14:textId="797DA4DA" w:rsidR="000E5B25" w:rsidRDefault="000E5B25" w:rsidP="000E5B25">
      <w:pPr>
        <w:pStyle w:val="ListParagraph"/>
        <w:ind w:left="1134" w:hanging="414"/>
        <w:rPr>
          <w:rFonts w:asciiTheme="majorHAnsi" w:hAnsiTheme="majorHAnsi"/>
        </w:rPr>
      </w:pPr>
      <w:r>
        <w:rPr>
          <w:rFonts w:ascii="Calibri" w:eastAsia="ＭＳ Ｐゴシック" w:hAnsi="Calibri" w:cs="Times New Roman"/>
          <w:spacing w:val="5"/>
          <w:kern w:val="28"/>
          <w:szCs w:val="44"/>
        </w:rPr>
        <w:t xml:space="preserve">3.6 Transient </w:t>
      </w:r>
      <w:r w:rsidRPr="00AA2033">
        <w:rPr>
          <w:rFonts w:asciiTheme="majorHAnsi" w:hAnsiTheme="majorHAnsi"/>
        </w:rPr>
        <w:t xml:space="preserve">transfection of deactivated CRIPSR/Cas9 as an alternative means to generate </w:t>
      </w:r>
      <w:r w:rsidRPr="00AA2033">
        <w:rPr>
          <w:rFonts w:asciiTheme="majorHAnsi" w:hAnsiTheme="majorHAnsi"/>
          <w:i/>
        </w:rPr>
        <w:t>SRCAP</w:t>
      </w:r>
      <w:r w:rsidR="00327AA2">
        <w:rPr>
          <w:rFonts w:asciiTheme="majorHAnsi" w:hAnsiTheme="majorHAnsi"/>
        </w:rPr>
        <w:t xml:space="preserve"> over-</w:t>
      </w:r>
      <w:r w:rsidRPr="00AA2033">
        <w:rPr>
          <w:rFonts w:asciiTheme="majorHAnsi" w:hAnsiTheme="majorHAnsi"/>
        </w:rPr>
        <w:t>expressing cells</w:t>
      </w:r>
      <w:r w:rsidR="00893955">
        <w:rPr>
          <w:rFonts w:asciiTheme="majorHAnsi" w:hAnsiTheme="majorHAnsi"/>
        </w:rPr>
        <w:t>…………………………………………….…114</w:t>
      </w:r>
    </w:p>
    <w:p w14:paraId="463166BB" w14:textId="44C912A0" w:rsidR="000E5B25" w:rsidRDefault="000E5B25" w:rsidP="000E5B25">
      <w:pPr>
        <w:pStyle w:val="ListParagraph"/>
        <w:ind w:left="1134" w:hanging="414"/>
        <w:rPr>
          <w:rFonts w:asciiTheme="majorHAnsi" w:hAnsiTheme="majorHAnsi"/>
        </w:rPr>
      </w:pPr>
      <w:r>
        <w:rPr>
          <w:rFonts w:asciiTheme="majorHAnsi" w:hAnsiTheme="majorHAnsi"/>
        </w:rPr>
        <w:t xml:space="preserve">3.7 Lentiviral CRISPR/dCas9 utilisation creates viable </w:t>
      </w:r>
      <w:r w:rsidRPr="000E5B25">
        <w:rPr>
          <w:rFonts w:asciiTheme="majorHAnsi" w:hAnsiTheme="majorHAnsi"/>
          <w:i/>
        </w:rPr>
        <w:t>SRCAP</w:t>
      </w:r>
      <w:r w:rsidR="00327AA2">
        <w:rPr>
          <w:rFonts w:asciiTheme="majorHAnsi" w:hAnsiTheme="majorHAnsi"/>
        </w:rPr>
        <w:t xml:space="preserve"> over-</w:t>
      </w:r>
      <w:r>
        <w:rPr>
          <w:rFonts w:asciiTheme="majorHAnsi" w:hAnsiTheme="majorHAnsi"/>
        </w:rPr>
        <w:t>expressing clones</w:t>
      </w:r>
      <w:r w:rsidR="004A1D36">
        <w:rPr>
          <w:rFonts w:asciiTheme="majorHAnsi" w:hAnsiTheme="majorHAnsi"/>
        </w:rPr>
        <w:t>……………………………</w:t>
      </w:r>
      <w:r w:rsidR="00893955">
        <w:rPr>
          <w:rFonts w:asciiTheme="majorHAnsi" w:hAnsiTheme="majorHAnsi"/>
        </w:rPr>
        <w:t>………………………………………………………………….…..118</w:t>
      </w:r>
    </w:p>
    <w:p w14:paraId="15B98A8E" w14:textId="51163E03" w:rsidR="000E5B25" w:rsidRDefault="000E5B25" w:rsidP="000E5B25">
      <w:pPr>
        <w:pStyle w:val="ListParagraph"/>
        <w:ind w:left="1134" w:hanging="414"/>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3.8 Lentiviral CRISPR/dCas9 </w:t>
      </w:r>
      <w:r w:rsidRPr="000E5B25">
        <w:rPr>
          <w:rFonts w:ascii="Calibri" w:eastAsia="ＭＳ Ｐゴシック" w:hAnsi="Calibri" w:cs="Times New Roman"/>
          <w:i/>
          <w:spacing w:val="5"/>
          <w:kern w:val="28"/>
          <w:szCs w:val="44"/>
        </w:rPr>
        <w:t>SRCAP</w:t>
      </w:r>
      <w:r w:rsidR="00327AA2">
        <w:rPr>
          <w:rFonts w:ascii="Calibri" w:eastAsia="ＭＳ Ｐゴシック" w:hAnsi="Calibri" w:cs="Times New Roman"/>
          <w:spacing w:val="5"/>
          <w:kern w:val="28"/>
          <w:szCs w:val="44"/>
        </w:rPr>
        <w:t xml:space="preserve"> over-</w:t>
      </w:r>
      <w:r>
        <w:rPr>
          <w:rFonts w:ascii="Calibri" w:eastAsia="ＭＳ Ｐゴシック" w:hAnsi="Calibri" w:cs="Times New Roman"/>
          <w:spacing w:val="5"/>
          <w:kern w:val="28"/>
          <w:szCs w:val="44"/>
        </w:rPr>
        <w:t>expression alters cellular phenotypes</w:t>
      </w:r>
      <w:r w:rsidR="004A1D36">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…………………………………………………………….………………12</w:t>
      </w:r>
      <w:r w:rsidR="004A1D36">
        <w:rPr>
          <w:rFonts w:ascii="Calibri" w:eastAsia="ＭＳ Ｐゴシック" w:hAnsi="Calibri" w:cs="Times New Roman"/>
          <w:spacing w:val="5"/>
          <w:kern w:val="28"/>
          <w:szCs w:val="44"/>
        </w:rPr>
        <w:t>2</w:t>
      </w:r>
    </w:p>
    <w:p w14:paraId="0521137C" w14:textId="4460D9E7" w:rsidR="000E5B25" w:rsidRDefault="000E5B25" w:rsidP="000E5B25">
      <w:pPr>
        <w:pStyle w:val="ListParagraph"/>
        <w:ind w:left="1134" w:hanging="414"/>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3.9 Lentiviral CRISPR/dCas9 does not show stable expression</w:t>
      </w:r>
      <w:r w:rsidR="00893955">
        <w:rPr>
          <w:rFonts w:ascii="Calibri" w:eastAsia="ＭＳ Ｐゴシック" w:hAnsi="Calibri" w:cs="Times New Roman"/>
          <w:spacing w:val="5"/>
          <w:kern w:val="28"/>
          <w:szCs w:val="44"/>
        </w:rPr>
        <w:t>……………….12</w:t>
      </w:r>
      <w:r w:rsidR="004A1D36">
        <w:rPr>
          <w:rFonts w:ascii="Calibri" w:eastAsia="ＭＳ Ｐゴシック" w:hAnsi="Calibri" w:cs="Times New Roman"/>
          <w:spacing w:val="5"/>
          <w:kern w:val="28"/>
          <w:szCs w:val="44"/>
        </w:rPr>
        <w:t>8</w:t>
      </w:r>
    </w:p>
    <w:p w14:paraId="36E8537A" w14:textId="1FC16F99" w:rsidR="000E5B25" w:rsidRDefault="000E5B25" w:rsidP="000E5B25">
      <w:pPr>
        <w:pStyle w:val="ListParagraph"/>
        <w:ind w:left="1134" w:hanging="414"/>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3.10 Discussion</w:t>
      </w:r>
      <w:r w:rsidR="004A1D36">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…………………………………………………………………………….13</w:t>
      </w:r>
      <w:r w:rsidR="004A1D36">
        <w:rPr>
          <w:rFonts w:ascii="Calibri" w:eastAsia="ＭＳ Ｐゴシック" w:hAnsi="Calibri" w:cs="Times New Roman"/>
          <w:spacing w:val="5"/>
          <w:kern w:val="28"/>
          <w:szCs w:val="44"/>
        </w:rPr>
        <w:t>1</w:t>
      </w:r>
    </w:p>
    <w:p w14:paraId="705E9F6D" w14:textId="77777777" w:rsidR="000E5B25" w:rsidRDefault="000E5B25" w:rsidP="000E5B25">
      <w:pPr>
        <w:rPr>
          <w:rFonts w:ascii="Calibri" w:eastAsia="ＭＳ Ｐゴシック" w:hAnsi="Calibri" w:cs="Times New Roman"/>
          <w:spacing w:val="5"/>
          <w:kern w:val="28"/>
          <w:szCs w:val="44"/>
        </w:rPr>
      </w:pPr>
    </w:p>
    <w:p w14:paraId="1237DD3C" w14:textId="4BF578A3" w:rsidR="000E5B25" w:rsidRPr="00437D67" w:rsidRDefault="000E5B25" w:rsidP="000E5B25">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 xml:space="preserve">Chapter 4: Investigating the effect of SRCAP </w:t>
      </w:r>
      <w:r w:rsidR="00A40F61">
        <w:rPr>
          <w:rFonts w:ascii="Calibri" w:eastAsia="ＭＳ Ｐゴシック" w:hAnsi="Calibri" w:cs="Times New Roman"/>
          <w:b/>
          <w:spacing w:val="5"/>
          <w:kern w:val="28"/>
          <w:szCs w:val="44"/>
        </w:rPr>
        <w:t>knock</w:t>
      </w:r>
      <w:r w:rsidRPr="00437D67">
        <w:rPr>
          <w:rFonts w:ascii="Calibri" w:eastAsia="ＭＳ Ｐゴシック" w:hAnsi="Calibri" w:cs="Times New Roman"/>
          <w:b/>
          <w:spacing w:val="5"/>
          <w:kern w:val="28"/>
          <w:szCs w:val="44"/>
        </w:rPr>
        <w:t xml:space="preserve">down on the DDR </w:t>
      </w:r>
      <w:r w:rsidR="00437D67">
        <w:rPr>
          <w:rFonts w:ascii="Calibri" w:eastAsia="ＭＳ Ｐゴシック" w:hAnsi="Calibri" w:cs="Times New Roman"/>
          <w:b/>
          <w:spacing w:val="5"/>
          <w:kern w:val="28"/>
          <w:szCs w:val="44"/>
        </w:rPr>
        <w:t>i</w:t>
      </w:r>
      <w:r w:rsidRPr="00437D67">
        <w:rPr>
          <w:rFonts w:ascii="Calibri" w:eastAsia="ＭＳ Ｐゴシック" w:hAnsi="Calibri" w:cs="Times New Roman"/>
          <w:b/>
          <w:spacing w:val="5"/>
          <w:kern w:val="28"/>
          <w:szCs w:val="44"/>
        </w:rPr>
        <w:t>n CRC cells</w:t>
      </w:r>
      <w:r w:rsidR="00A1506D">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………………………………………………………………………..137</w:t>
      </w:r>
    </w:p>
    <w:p w14:paraId="7C2ADF18" w14:textId="64DE949C"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4.1 Introduction</w:t>
      </w:r>
      <w:r w:rsidR="00A1506D">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…….………………………………………………………………….139</w:t>
      </w:r>
    </w:p>
    <w:p w14:paraId="4AC96C87" w14:textId="4DD6EC20"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4.2 Confirming the </w:t>
      </w:r>
      <w:r w:rsidRPr="00437D67">
        <w:rPr>
          <w:rFonts w:ascii="Calibri" w:eastAsia="ＭＳ Ｐゴシック" w:hAnsi="Calibri" w:cs="Times New Roman"/>
          <w:i/>
          <w:spacing w:val="5"/>
          <w:kern w:val="28"/>
          <w:szCs w:val="44"/>
        </w:rPr>
        <w:t>SRCAP</w:t>
      </w:r>
      <w:r w:rsidR="00A40F61">
        <w:rPr>
          <w:rFonts w:ascii="Calibri" w:eastAsia="ＭＳ Ｐゴシック" w:hAnsi="Calibri" w:cs="Times New Roman"/>
          <w:spacing w:val="5"/>
          <w:kern w:val="28"/>
          <w:szCs w:val="44"/>
        </w:rPr>
        <w:t xml:space="preserve"> knock</w:t>
      </w:r>
      <w:r>
        <w:rPr>
          <w:rFonts w:ascii="Calibri" w:eastAsia="ＭＳ Ｐゴシック" w:hAnsi="Calibri" w:cs="Times New Roman"/>
          <w:spacing w:val="5"/>
          <w:kern w:val="28"/>
          <w:szCs w:val="44"/>
        </w:rPr>
        <w:t>down</w:t>
      </w:r>
      <w:r w:rsidR="00A1506D">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……………………………………………..140</w:t>
      </w:r>
    </w:p>
    <w:p w14:paraId="612C32D7" w14:textId="6FDDE2EC"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4.3 </w:t>
      </w:r>
      <w:r w:rsidRPr="00437D67">
        <w:rPr>
          <w:rFonts w:ascii="Calibri" w:eastAsia="ＭＳ Ｐゴシック" w:hAnsi="Calibri" w:cs="Times New Roman"/>
          <w:i/>
          <w:spacing w:val="5"/>
          <w:kern w:val="28"/>
          <w:szCs w:val="44"/>
        </w:rPr>
        <w:t>SRCAP</w:t>
      </w:r>
      <w:r w:rsidR="00A40F61">
        <w:rPr>
          <w:rFonts w:ascii="Calibri" w:eastAsia="ＭＳ Ｐゴシック" w:hAnsi="Calibri" w:cs="Times New Roman"/>
          <w:spacing w:val="5"/>
          <w:kern w:val="28"/>
          <w:szCs w:val="44"/>
        </w:rPr>
        <w:t xml:space="preserve"> knock</w:t>
      </w:r>
      <w:r>
        <w:rPr>
          <w:rFonts w:ascii="Calibri" w:eastAsia="ＭＳ Ｐゴシック" w:hAnsi="Calibri" w:cs="Times New Roman"/>
          <w:spacing w:val="5"/>
          <w:kern w:val="28"/>
          <w:szCs w:val="44"/>
        </w:rPr>
        <w:t>down induces genome instability</w:t>
      </w:r>
      <w:r w:rsidR="00893955">
        <w:rPr>
          <w:rFonts w:ascii="Calibri" w:eastAsia="ＭＳ Ｐゴシック" w:hAnsi="Calibri" w:cs="Times New Roman"/>
          <w:spacing w:val="5"/>
          <w:kern w:val="28"/>
          <w:szCs w:val="44"/>
        </w:rPr>
        <w:t>………………………………..143</w:t>
      </w:r>
    </w:p>
    <w:p w14:paraId="671DB44A" w14:textId="6A4DFEA1"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4.4 Chromatin changes are a feature of </w:t>
      </w:r>
      <w:r w:rsidRPr="00437D67">
        <w:rPr>
          <w:rFonts w:ascii="Calibri" w:eastAsia="ＭＳ Ｐゴシック" w:hAnsi="Calibri" w:cs="Times New Roman"/>
          <w:i/>
          <w:spacing w:val="5"/>
          <w:kern w:val="28"/>
          <w:szCs w:val="44"/>
        </w:rPr>
        <w:t>SRCAP</w:t>
      </w:r>
      <w:r>
        <w:rPr>
          <w:rFonts w:ascii="Calibri" w:eastAsia="ＭＳ Ｐゴシック" w:hAnsi="Calibri" w:cs="Times New Roman"/>
          <w:spacing w:val="5"/>
          <w:kern w:val="28"/>
          <w:szCs w:val="44"/>
        </w:rPr>
        <w:t xml:space="preserve"> depletion</w:t>
      </w:r>
      <w:r w:rsidR="00893955">
        <w:rPr>
          <w:rFonts w:ascii="Calibri" w:eastAsia="ＭＳ Ｐゴシック" w:hAnsi="Calibri" w:cs="Times New Roman"/>
          <w:spacing w:val="5"/>
          <w:kern w:val="28"/>
          <w:szCs w:val="44"/>
        </w:rPr>
        <w:t>……………………..149</w:t>
      </w:r>
    </w:p>
    <w:p w14:paraId="03649DEA" w14:textId="03B13952"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4.5 </w:t>
      </w:r>
      <w:r w:rsidRPr="00437D67">
        <w:rPr>
          <w:rFonts w:ascii="Calibri" w:eastAsia="ＭＳ Ｐゴシック" w:hAnsi="Calibri" w:cs="Times New Roman"/>
          <w:i/>
          <w:spacing w:val="5"/>
          <w:kern w:val="28"/>
          <w:szCs w:val="44"/>
        </w:rPr>
        <w:t>SRCAP</w:t>
      </w:r>
      <w:r w:rsidR="00A40F61">
        <w:rPr>
          <w:rFonts w:ascii="Calibri" w:eastAsia="ＭＳ Ｐゴシック" w:hAnsi="Calibri" w:cs="Times New Roman"/>
          <w:spacing w:val="5"/>
          <w:kern w:val="28"/>
          <w:szCs w:val="44"/>
        </w:rPr>
        <w:t xml:space="preserve"> knock</w:t>
      </w:r>
      <w:r>
        <w:rPr>
          <w:rFonts w:ascii="Calibri" w:eastAsia="ＭＳ Ｐゴシック" w:hAnsi="Calibri" w:cs="Times New Roman"/>
          <w:spacing w:val="5"/>
          <w:kern w:val="28"/>
          <w:szCs w:val="44"/>
        </w:rPr>
        <w:t>down produces cell cycle changes</w:t>
      </w:r>
      <w:r w:rsidR="00893955">
        <w:rPr>
          <w:rFonts w:ascii="Calibri" w:eastAsia="ＭＳ Ｐゴシック" w:hAnsi="Calibri" w:cs="Times New Roman"/>
          <w:spacing w:val="5"/>
          <w:kern w:val="28"/>
          <w:szCs w:val="44"/>
        </w:rPr>
        <w:t>……………………………...153</w:t>
      </w:r>
    </w:p>
    <w:p w14:paraId="2959EA1F" w14:textId="6ADA248E"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4.6 Combining </w:t>
      </w:r>
      <w:r w:rsidRPr="00437D67">
        <w:rPr>
          <w:rFonts w:ascii="Calibri" w:eastAsia="ＭＳ Ｐゴシック" w:hAnsi="Calibri" w:cs="Times New Roman"/>
          <w:i/>
          <w:spacing w:val="5"/>
          <w:kern w:val="28"/>
          <w:szCs w:val="44"/>
        </w:rPr>
        <w:t>SRCAP</w:t>
      </w:r>
      <w:r>
        <w:rPr>
          <w:rFonts w:ascii="Calibri" w:eastAsia="ＭＳ Ｐゴシック" w:hAnsi="Calibri" w:cs="Times New Roman"/>
          <w:spacing w:val="5"/>
          <w:kern w:val="28"/>
          <w:szCs w:val="44"/>
        </w:rPr>
        <w:t xml:space="preserve"> </w:t>
      </w:r>
      <w:r w:rsidR="00A53DBC">
        <w:rPr>
          <w:rFonts w:ascii="Calibri" w:eastAsia="ＭＳ Ｐゴシック" w:hAnsi="Calibri" w:cs="Times New Roman"/>
          <w:spacing w:val="5"/>
          <w:kern w:val="28"/>
          <w:szCs w:val="44"/>
        </w:rPr>
        <w:t>k</w:t>
      </w:r>
      <w:r w:rsidR="00A40F61">
        <w:rPr>
          <w:rFonts w:ascii="Calibri" w:eastAsia="ＭＳ Ｐゴシック" w:hAnsi="Calibri" w:cs="Times New Roman"/>
          <w:spacing w:val="5"/>
          <w:kern w:val="28"/>
          <w:szCs w:val="44"/>
        </w:rPr>
        <w:t>nock</w:t>
      </w:r>
      <w:r>
        <w:rPr>
          <w:rFonts w:ascii="Calibri" w:eastAsia="ＭＳ Ｐゴシック" w:hAnsi="Calibri" w:cs="Times New Roman"/>
          <w:spacing w:val="5"/>
          <w:kern w:val="28"/>
          <w:szCs w:val="44"/>
        </w:rPr>
        <w:t>down with clinical treatments</w:t>
      </w:r>
      <w:r w:rsidR="00233B9C">
        <w:rPr>
          <w:rFonts w:ascii="Calibri" w:eastAsia="ＭＳ Ｐゴシック" w:hAnsi="Calibri" w:cs="Times New Roman"/>
          <w:spacing w:val="5"/>
          <w:kern w:val="28"/>
          <w:szCs w:val="44"/>
        </w:rPr>
        <w:t>…………</w:t>
      </w:r>
      <w:r w:rsidR="007B3AAC">
        <w:rPr>
          <w:rFonts w:ascii="Calibri" w:eastAsia="ＭＳ Ｐゴシック" w:hAnsi="Calibri" w:cs="Times New Roman"/>
          <w:spacing w:val="5"/>
          <w:kern w:val="28"/>
          <w:szCs w:val="44"/>
        </w:rPr>
        <w:t>.</w:t>
      </w:r>
      <w:r w:rsidR="00233B9C">
        <w:rPr>
          <w:rFonts w:ascii="Calibri" w:eastAsia="ＭＳ Ｐゴシック" w:hAnsi="Calibri" w:cs="Times New Roman"/>
          <w:spacing w:val="5"/>
          <w:kern w:val="28"/>
          <w:szCs w:val="44"/>
        </w:rPr>
        <w:t>…</w:t>
      </w:r>
      <w:r w:rsidR="00A53DBC">
        <w:rPr>
          <w:rFonts w:ascii="Calibri" w:eastAsia="ＭＳ Ｐゴシック" w:hAnsi="Calibri" w:cs="Times New Roman"/>
          <w:spacing w:val="5"/>
          <w:kern w:val="28"/>
          <w:szCs w:val="44"/>
        </w:rPr>
        <w:t>..</w:t>
      </w:r>
      <w:r w:rsidR="00233B9C">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161</w:t>
      </w:r>
    </w:p>
    <w:p w14:paraId="78E870E2" w14:textId="5B734129" w:rsidR="000E5B25" w:rsidRDefault="000E5B25" w:rsidP="000E5B25">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4.7 Discussion</w:t>
      </w:r>
      <w:r w:rsidR="007B3AAC">
        <w:rPr>
          <w:rFonts w:ascii="Calibri" w:eastAsia="ＭＳ Ｐゴシック" w:hAnsi="Calibri" w:cs="Times New Roman"/>
          <w:spacing w:val="5"/>
          <w:kern w:val="28"/>
          <w:szCs w:val="44"/>
        </w:rPr>
        <w:t>……………</w:t>
      </w:r>
      <w:r w:rsidR="00A53DBC">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…………………………………………………………………..….171</w:t>
      </w:r>
    </w:p>
    <w:p w14:paraId="7108D4D4" w14:textId="77777777" w:rsidR="000E5B25" w:rsidRDefault="000E5B25" w:rsidP="000E5B25">
      <w:pPr>
        <w:rPr>
          <w:rFonts w:ascii="Calibri" w:eastAsia="ＭＳ Ｐゴシック" w:hAnsi="Calibri" w:cs="Times New Roman"/>
          <w:spacing w:val="5"/>
          <w:kern w:val="28"/>
          <w:szCs w:val="44"/>
        </w:rPr>
      </w:pPr>
    </w:p>
    <w:p w14:paraId="657FFD84" w14:textId="6D5F9046" w:rsidR="000E5B25" w:rsidRPr="00437D67" w:rsidRDefault="000E5B25" w:rsidP="000E5B25">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Chapter 5:</w:t>
      </w:r>
      <w:r w:rsidR="00437D67" w:rsidRPr="00437D67">
        <w:rPr>
          <w:rFonts w:ascii="Calibri" w:eastAsia="ＭＳ Ｐゴシック" w:hAnsi="Calibri" w:cs="Times New Roman"/>
          <w:b/>
          <w:spacing w:val="5"/>
          <w:kern w:val="28"/>
          <w:szCs w:val="44"/>
        </w:rPr>
        <w:t xml:space="preserve"> Biological consequences of SRCAP levels in RAS oncogene activated cells</w:t>
      </w:r>
      <w:r w:rsidR="00A53DBC">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…………………………………..………………………………..177</w:t>
      </w:r>
    </w:p>
    <w:p w14:paraId="12A136B3" w14:textId="3830D1DF" w:rsidR="00437D67" w:rsidRDefault="00437D67" w:rsidP="00437D67">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5.1 Introduction</w:t>
      </w:r>
      <w:r w:rsidR="00A53DBC">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  ………………………………178</w:t>
      </w:r>
    </w:p>
    <w:p w14:paraId="05CB5629" w14:textId="40E538F1" w:rsidR="00437D67" w:rsidRDefault="00327AA2" w:rsidP="00437D67">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5.2 Induction of RAS over-</w:t>
      </w:r>
      <w:r w:rsidR="00437D67">
        <w:rPr>
          <w:rFonts w:ascii="Calibri" w:eastAsia="ＭＳ Ｐゴシック" w:hAnsi="Calibri" w:cs="Times New Roman"/>
          <w:spacing w:val="5"/>
          <w:kern w:val="28"/>
          <w:szCs w:val="44"/>
        </w:rPr>
        <w:t xml:space="preserve">expression and the effect on </w:t>
      </w:r>
      <w:r w:rsidR="00437D67" w:rsidRPr="00437D67">
        <w:rPr>
          <w:rFonts w:ascii="Calibri" w:eastAsia="ＭＳ Ｐゴシック" w:hAnsi="Calibri" w:cs="Times New Roman"/>
          <w:i/>
          <w:spacing w:val="5"/>
          <w:kern w:val="28"/>
          <w:szCs w:val="44"/>
        </w:rPr>
        <w:t>SRCAP</w:t>
      </w:r>
      <w:r w:rsidR="00437D67">
        <w:rPr>
          <w:rFonts w:ascii="Calibri" w:eastAsia="ＭＳ Ｐゴシック" w:hAnsi="Calibri" w:cs="Times New Roman"/>
          <w:spacing w:val="5"/>
          <w:kern w:val="28"/>
          <w:szCs w:val="44"/>
        </w:rPr>
        <w:t xml:space="preserve"> </w:t>
      </w:r>
      <w:proofErr w:type="gramStart"/>
      <w:r w:rsidR="00437D67">
        <w:rPr>
          <w:rFonts w:ascii="Calibri" w:eastAsia="ＭＳ Ｐゴシック" w:hAnsi="Calibri" w:cs="Times New Roman"/>
          <w:spacing w:val="5"/>
          <w:kern w:val="28"/>
          <w:szCs w:val="44"/>
        </w:rPr>
        <w:t>levels</w:t>
      </w:r>
      <w:r w:rsidR="00893955">
        <w:rPr>
          <w:rFonts w:ascii="Calibri" w:eastAsia="ＭＳ Ｐゴシック" w:hAnsi="Calibri" w:cs="Times New Roman"/>
          <w:spacing w:val="5"/>
          <w:kern w:val="28"/>
          <w:szCs w:val="44"/>
        </w:rPr>
        <w:t>…..181</w:t>
      </w:r>
      <w:proofErr w:type="gramEnd"/>
    </w:p>
    <w:p w14:paraId="12FC098F" w14:textId="74F1DC2C" w:rsidR="00437D67" w:rsidRDefault="00437D67" w:rsidP="00437D67">
      <w:pPr>
        <w:pStyle w:val="ListParagraph"/>
        <w:ind w:left="1134" w:hanging="414"/>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5.3 RAS</w:t>
      </w:r>
      <w:r w:rsidR="00327AA2">
        <w:rPr>
          <w:rFonts w:ascii="Calibri" w:eastAsia="ＭＳ Ｐゴシック" w:hAnsi="Calibri" w:cs="Times New Roman"/>
          <w:spacing w:val="5"/>
          <w:kern w:val="28"/>
          <w:szCs w:val="44"/>
        </w:rPr>
        <w:t xml:space="preserve"> over-</w:t>
      </w:r>
      <w:r>
        <w:rPr>
          <w:rFonts w:ascii="Calibri" w:eastAsia="ＭＳ Ｐゴシック" w:hAnsi="Calibri" w:cs="Times New Roman"/>
          <w:spacing w:val="5"/>
          <w:kern w:val="28"/>
          <w:szCs w:val="44"/>
        </w:rPr>
        <w:t>expression causes differential cellular responses depending on parental cell lineage</w:t>
      </w:r>
      <w:r w:rsidR="00893955">
        <w:rPr>
          <w:rFonts w:ascii="Calibri" w:eastAsia="ＭＳ Ｐゴシック" w:hAnsi="Calibri" w:cs="Times New Roman"/>
          <w:spacing w:val="5"/>
          <w:kern w:val="28"/>
          <w:szCs w:val="44"/>
        </w:rPr>
        <w:t>…………………………………………………………………………184</w:t>
      </w:r>
    </w:p>
    <w:p w14:paraId="5ADEF4D1" w14:textId="00BFBC36" w:rsidR="00437D67" w:rsidRDefault="00437D67" w:rsidP="00437D67">
      <w:pPr>
        <w:pStyle w:val="ListParagraph"/>
        <w:ind w:left="1134" w:hanging="414"/>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 xml:space="preserve">5.4 Effect of </w:t>
      </w:r>
      <w:r w:rsidRPr="00437D67">
        <w:rPr>
          <w:rFonts w:ascii="Calibri" w:eastAsia="ＭＳ Ｐゴシック" w:hAnsi="Calibri" w:cs="Times New Roman"/>
          <w:i/>
          <w:spacing w:val="5"/>
          <w:kern w:val="28"/>
          <w:szCs w:val="44"/>
        </w:rPr>
        <w:t>SRCAP</w:t>
      </w:r>
      <w:r w:rsidR="00A40F61">
        <w:rPr>
          <w:rFonts w:ascii="Calibri" w:eastAsia="ＭＳ Ｐゴシック" w:hAnsi="Calibri" w:cs="Times New Roman"/>
          <w:spacing w:val="5"/>
          <w:kern w:val="28"/>
          <w:szCs w:val="44"/>
        </w:rPr>
        <w:t xml:space="preserve"> knock</w:t>
      </w:r>
      <w:r>
        <w:rPr>
          <w:rFonts w:ascii="Calibri" w:eastAsia="ＭＳ Ｐゴシック" w:hAnsi="Calibri" w:cs="Times New Roman"/>
          <w:spacing w:val="5"/>
          <w:kern w:val="28"/>
          <w:szCs w:val="44"/>
        </w:rPr>
        <w:t>down in normal fibroblast cells</w:t>
      </w:r>
      <w:r w:rsidR="00BE6BCB">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w:t>
      </w:r>
      <w:r w:rsidR="00BE6BCB">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191</w:t>
      </w:r>
    </w:p>
    <w:p w14:paraId="3662D622" w14:textId="70D75CB9" w:rsidR="00437D67" w:rsidRDefault="00437D67" w:rsidP="00437D67">
      <w:pPr>
        <w:pStyle w:val="ListParagraph"/>
        <w:ind w:left="1134" w:hanging="414"/>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5.5 Discussion</w:t>
      </w:r>
      <w:r w:rsidR="002B08F9">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………………………………………………………………………….194</w:t>
      </w:r>
    </w:p>
    <w:p w14:paraId="4C995460" w14:textId="77777777" w:rsidR="00437D67" w:rsidRDefault="00437D67" w:rsidP="00437D67">
      <w:pPr>
        <w:rPr>
          <w:rFonts w:ascii="Calibri" w:eastAsia="ＭＳ Ｐゴシック" w:hAnsi="Calibri" w:cs="Times New Roman"/>
          <w:spacing w:val="5"/>
          <w:kern w:val="28"/>
          <w:szCs w:val="44"/>
        </w:rPr>
      </w:pPr>
    </w:p>
    <w:p w14:paraId="331B13A5" w14:textId="1B08091A"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Chapter 6: Transcriptomic analysis of the effects of SRCAP deregulation</w:t>
      </w:r>
      <w:r w:rsidR="00893955">
        <w:rPr>
          <w:rFonts w:ascii="Calibri" w:eastAsia="ＭＳ Ｐゴシック" w:hAnsi="Calibri" w:cs="Times New Roman"/>
          <w:b/>
          <w:spacing w:val="5"/>
          <w:kern w:val="28"/>
          <w:szCs w:val="44"/>
        </w:rPr>
        <w:t>……….198</w:t>
      </w:r>
    </w:p>
    <w:p w14:paraId="48320468" w14:textId="45F4F5D2" w:rsidR="00437D67" w:rsidRDefault="00437D67" w:rsidP="00437D67">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6.1 Introduction</w:t>
      </w:r>
      <w:r w:rsidR="002B08F9">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……………………………………………………..……………….200</w:t>
      </w:r>
    </w:p>
    <w:p w14:paraId="51057FF4" w14:textId="1EA13544" w:rsidR="00437D67" w:rsidRDefault="00437D67" w:rsidP="00437D67">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6.2 Collection of RNA samples and quality control</w:t>
      </w:r>
      <w:r w:rsidR="00893955">
        <w:rPr>
          <w:rFonts w:ascii="Calibri" w:eastAsia="ＭＳ Ｐゴシック" w:hAnsi="Calibri" w:cs="Times New Roman"/>
          <w:spacing w:val="5"/>
          <w:kern w:val="28"/>
          <w:szCs w:val="44"/>
        </w:rPr>
        <w:t>…………………….……………202</w:t>
      </w:r>
    </w:p>
    <w:p w14:paraId="4BD41CC1" w14:textId="7884F29D" w:rsidR="00437D67" w:rsidRDefault="00437D67" w:rsidP="00437D67">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6.3 Data Analysis</w:t>
      </w:r>
      <w:r w:rsidR="002B08F9">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…………………………………………..……………………………207</w:t>
      </w:r>
    </w:p>
    <w:p w14:paraId="33B39520" w14:textId="395CB84E" w:rsidR="00437D67" w:rsidRDefault="00437D67" w:rsidP="00437D67">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6.4 Hit validation</w:t>
      </w:r>
      <w:r w:rsidR="002B08F9">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………………….…………………………………………………….218</w:t>
      </w:r>
    </w:p>
    <w:p w14:paraId="63F2F856" w14:textId="5972344F" w:rsidR="00437D67" w:rsidRDefault="00437D67" w:rsidP="00437D67">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6.5 Discussion</w:t>
      </w:r>
      <w:r w:rsidR="002B08F9">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……….…………………………………………………………………227</w:t>
      </w:r>
    </w:p>
    <w:p w14:paraId="54DC58C1" w14:textId="77777777" w:rsidR="007A6E6D" w:rsidRDefault="007A6E6D" w:rsidP="007A6E6D">
      <w:pPr>
        <w:rPr>
          <w:rFonts w:ascii="Calibri" w:eastAsia="ＭＳ Ｐゴシック" w:hAnsi="Calibri" w:cs="Times New Roman"/>
          <w:spacing w:val="5"/>
          <w:kern w:val="28"/>
          <w:szCs w:val="44"/>
        </w:rPr>
      </w:pPr>
    </w:p>
    <w:p w14:paraId="43AC5735" w14:textId="2A3F3B51" w:rsidR="007A6E6D" w:rsidRPr="007A6E6D" w:rsidRDefault="007A6E6D" w:rsidP="007A6E6D">
      <w:pPr>
        <w:rPr>
          <w:rFonts w:ascii="Calibri" w:eastAsia="ＭＳ Ｐゴシック" w:hAnsi="Calibri" w:cs="Times New Roman"/>
          <w:b/>
          <w:spacing w:val="5"/>
          <w:kern w:val="28"/>
          <w:szCs w:val="44"/>
        </w:rPr>
      </w:pPr>
      <w:r w:rsidRPr="007A6E6D">
        <w:rPr>
          <w:rFonts w:ascii="Calibri" w:eastAsia="ＭＳ Ｐゴシック" w:hAnsi="Calibri" w:cs="Times New Roman"/>
          <w:b/>
          <w:spacing w:val="5"/>
          <w:kern w:val="28"/>
          <w:szCs w:val="44"/>
        </w:rPr>
        <w:t>Results Chapter Summaries</w:t>
      </w:r>
      <w:r w:rsidR="002B08F9">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…….………………………………………………………………..234</w:t>
      </w:r>
    </w:p>
    <w:p w14:paraId="177A0BE2" w14:textId="77777777" w:rsidR="007A6E6D" w:rsidRDefault="007A6E6D" w:rsidP="007A6E6D">
      <w:pPr>
        <w:rPr>
          <w:rFonts w:ascii="Calibri" w:eastAsia="ＭＳ Ｐゴシック" w:hAnsi="Calibri" w:cs="Times New Roman"/>
          <w:spacing w:val="5"/>
          <w:kern w:val="28"/>
          <w:szCs w:val="44"/>
        </w:rPr>
      </w:pPr>
    </w:p>
    <w:p w14:paraId="59ABAE6C" w14:textId="03DF8D11" w:rsidR="007A6E6D" w:rsidRDefault="007A6E6D" w:rsidP="007A6E6D">
      <w:pPr>
        <w:rPr>
          <w:rFonts w:ascii="Calibri" w:eastAsia="ＭＳ Ｐゴシック" w:hAnsi="Calibri" w:cs="Times New Roman"/>
          <w:b/>
          <w:spacing w:val="5"/>
          <w:kern w:val="28"/>
          <w:szCs w:val="44"/>
        </w:rPr>
      </w:pPr>
      <w:r w:rsidRPr="007A6E6D">
        <w:rPr>
          <w:rFonts w:ascii="Calibri" w:eastAsia="ＭＳ Ｐゴシック" w:hAnsi="Calibri" w:cs="Times New Roman"/>
          <w:b/>
          <w:spacing w:val="5"/>
          <w:kern w:val="28"/>
          <w:szCs w:val="44"/>
        </w:rPr>
        <w:t xml:space="preserve">Chapter 7: Discussion and Future </w:t>
      </w:r>
      <w:r w:rsidR="00A32C4A" w:rsidRPr="007A6E6D">
        <w:rPr>
          <w:rFonts w:ascii="Calibri" w:eastAsia="ＭＳ Ｐゴシック" w:hAnsi="Calibri" w:cs="Times New Roman"/>
          <w:b/>
          <w:spacing w:val="5"/>
          <w:kern w:val="28"/>
          <w:szCs w:val="44"/>
        </w:rPr>
        <w:t>Perspectives. ……</w:t>
      </w:r>
      <w:r w:rsidR="00893955">
        <w:rPr>
          <w:rFonts w:ascii="Calibri" w:eastAsia="ＭＳ Ｐゴシック" w:hAnsi="Calibri" w:cs="Times New Roman"/>
          <w:b/>
          <w:spacing w:val="5"/>
          <w:kern w:val="28"/>
          <w:szCs w:val="44"/>
        </w:rPr>
        <w:t>……………………………………….238</w:t>
      </w:r>
    </w:p>
    <w:p w14:paraId="11A6DE61" w14:textId="7A525FBA" w:rsidR="001C0608" w:rsidRDefault="001C0608" w:rsidP="001C0608">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7.1 SRCAP as a driver of CRC</w:t>
      </w:r>
      <w:r w:rsidR="00893955">
        <w:rPr>
          <w:rFonts w:ascii="Calibri" w:eastAsia="ＭＳ Ｐゴシック" w:hAnsi="Calibri" w:cs="Times New Roman"/>
          <w:spacing w:val="5"/>
          <w:kern w:val="28"/>
          <w:szCs w:val="44"/>
        </w:rPr>
        <w:t>………………………………………..…………………………238</w:t>
      </w:r>
    </w:p>
    <w:p w14:paraId="6F3C07AA" w14:textId="449CC6E2" w:rsidR="001C0608" w:rsidRDefault="001C0608" w:rsidP="001C0608">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7.2 S</w:t>
      </w:r>
      <w:r w:rsidR="003F6AA5">
        <w:rPr>
          <w:rFonts w:ascii="Calibri" w:eastAsia="ＭＳ Ｐゴシック" w:hAnsi="Calibri" w:cs="Times New Roman"/>
          <w:spacing w:val="5"/>
          <w:kern w:val="28"/>
          <w:szCs w:val="44"/>
        </w:rPr>
        <w:t>RCAP over-</w:t>
      </w:r>
      <w:r>
        <w:rPr>
          <w:rFonts w:ascii="Calibri" w:eastAsia="ＭＳ Ｐゴシック" w:hAnsi="Calibri" w:cs="Times New Roman"/>
          <w:spacing w:val="5"/>
          <w:kern w:val="28"/>
          <w:szCs w:val="44"/>
        </w:rPr>
        <w:t>expression</w:t>
      </w:r>
      <w:r w:rsidR="001F465A">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………………..239</w:t>
      </w:r>
    </w:p>
    <w:p w14:paraId="56884C34" w14:textId="41230586" w:rsidR="001C0608" w:rsidRDefault="00A40F61" w:rsidP="001C0608">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7.3 SRCAP knock</w:t>
      </w:r>
      <w:r w:rsidR="001C0608">
        <w:rPr>
          <w:rFonts w:ascii="Calibri" w:eastAsia="ＭＳ Ｐゴシック" w:hAnsi="Calibri" w:cs="Times New Roman"/>
          <w:spacing w:val="5"/>
          <w:kern w:val="28"/>
          <w:szCs w:val="44"/>
        </w:rPr>
        <w:t>down</w:t>
      </w:r>
      <w:r w:rsidR="00656881">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………………………………………………………….………………241</w:t>
      </w:r>
    </w:p>
    <w:p w14:paraId="77FC0749" w14:textId="15DCE8FF" w:rsidR="001C0608" w:rsidRDefault="001C0608" w:rsidP="001C0608">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7.</w:t>
      </w:r>
      <w:r w:rsidR="001F465A">
        <w:rPr>
          <w:rFonts w:ascii="Calibri" w:eastAsia="ＭＳ Ｐゴシック" w:hAnsi="Calibri" w:cs="Times New Roman"/>
          <w:spacing w:val="5"/>
          <w:kern w:val="28"/>
          <w:szCs w:val="44"/>
        </w:rPr>
        <w:t>4 SRCAP as a potential drug</w:t>
      </w:r>
      <w:r>
        <w:rPr>
          <w:rFonts w:ascii="Calibri" w:eastAsia="ＭＳ Ｐゴシック" w:hAnsi="Calibri" w:cs="Times New Roman"/>
          <w:spacing w:val="5"/>
          <w:kern w:val="28"/>
          <w:szCs w:val="44"/>
        </w:rPr>
        <w:t xml:space="preserve"> target</w:t>
      </w:r>
      <w:r w:rsidR="00893955">
        <w:rPr>
          <w:rFonts w:ascii="Calibri" w:eastAsia="ＭＳ Ｐゴシック" w:hAnsi="Calibri" w:cs="Times New Roman"/>
          <w:spacing w:val="5"/>
          <w:kern w:val="28"/>
          <w:szCs w:val="44"/>
        </w:rPr>
        <w:t>………………………………………………………243</w:t>
      </w:r>
    </w:p>
    <w:p w14:paraId="5881E94A" w14:textId="6750B9D3" w:rsidR="001C0608" w:rsidRDefault="001C0608" w:rsidP="001C0608">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7.5 SRCAP and transcriptome analysis</w:t>
      </w:r>
      <w:r w:rsidR="00656881">
        <w:rPr>
          <w:rFonts w:ascii="Calibri" w:eastAsia="ＭＳ Ｐゴシック" w:hAnsi="Calibri" w:cs="Times New Roman"/>
          <w:spacing w:val="5"/>
          <w:kern w:val="28"/>
          <w:szCs w:val="44"/>
        </w:rPr>
        <w:t>…….………………………………</w:t>
      </w:r>
      <w:r w:rsidR="00893955">
        <w:rPr>
          <w:rFonts w:ascii="Calibri" w:eastAsia="ＭＳ Ｐゴシック" w:hAnsi="Calibri" w:cs="Times New Roman"/>
          <w:spacing w:val="5"/>
          <w:kern w:val="28"/>
          <w:szCs w:val="44"/>
        </w:rPr>
        <w:t>……………..244</w:t>
      </w:r>
    </w:p>
    <w:p w14:paraId="654EA6D7" w14:textId="527AC788" w:rsidR="00656881" w:rsidRDefault="00656881" w:rsidP="001C0608">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7.6 Strengths and Limitat</w:t>
      </w:r>
      <w:r w:rsidR="00893955">
        <w:rPr>
          <w:rFonts w:ascii="Calibri" w:eastAsia="ＭＳ Ｐゴシック" w:hAnsi="Calibri" w:cs="Times New Roman"/>
          <w:spacing w:val="5"/>
          <w:kern w:val="28"/>
          <w:szCs w:val="44"/>
        </w:rPr>
        <w:t>ions…………………………………………………………………246</w:t>
      </w:r>
    </w:p>
    <w:p w14:paraId="35644847" w14:textId="44B1F6C4" w:rsidR="001C0608" w:rsidRPr="001C0608" w:rsidRDefault="001C0608" w:rsidP="001C0608">
      <w:pPr>
        <w:pStyle w:val="ListParagraph"/>
        <w:rPr>
          <w:rFonts w:ascii="Calibri" w:eastAsia="ＭＳ Ｐゴシック" w:hAnsi="Calibri" w:cs="Times New Roman"/>
          <w:spacing w:val="5"/>
          <w:kern w:val="28"/>
          <w:szCs w:val="44"/>
        </w:rPr>
      </w:pPr>
      <w:r>
        <w:rPr>
          <w:rFonts w:ascii="Calibri" w:eastAsia="ＭＳ Ｐゴシック" w:hAnsi="Calibri" w:cs="Times New Roman"/>
          <w:spacing w:val="5"/>
          <w:kern w:val="28"/>
          <w:szCs w:val="44"/>
        </w:rPr>
        <w:t>7.6 Future Perspectives</w:t>
      </w:r>
      <w:r w:rsidR="00893955">
        <w:rPr>
          <w:rFonts w:ascii="Calibri" w:eastAsia="ＭＳ Ｐゴシック" w:hAnsi="Calibri" w:cs="Times New Roman"/>
          <w:spacing w:val="5"/>
          <w:kern w:val="28"/>
          <w:szCs w:val="44"/>
        </w:rPr>
        <w:t>………………………………………………………………………….247</w:t>
      </w:r>
    </w:p>
    <w:p w14:paraId="556CB9B7" w14:textId="77777777" w:rsidR="00437D67" w:rsidRDefault="00437D67" w:rsidP="00437D67">
      <w:pPr>
        <w:rPr>
          <w:rFonts w:ascii="Calibri" w:eastAsia="ＭＳ Ｐゴシック" w:hAnsi="Calibri" w:cs="Times New Roman"/>
          <w:spacing w:val="5"/>
          <w:kern w:val="28"/>
          <w:szCs w:val="44"/>
        </w:rPr>
      </w:pPr>
    </w:p>
    <w:p w14:paraId="7AF2D405" w14:textId="2D9ACA44"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References</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………………………………………………………………………….249</w:t>
      </w:r>
    </w:p>
    <w:p w14:paraId="50BCACF1" w14:textId="06562456"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1</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271</w:t>
      </w:r>
    </w:p>
    <w:p w14:paraId="023D4C14" w14:textId="3AC2127F"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2</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272</w:t>
      </w:r>
    </w:p>
    <w:p w14:paraId="42E44663" w14:textId="5C2728BE"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3</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273</w:t>
      </w:r>
    </w:p>
    <w:p w14:paraId="566541C9" w14:textId="4646C705"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4</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274</w:t>
      </w:r>
    </w:p>
    <w:p w14:paraId="6F4DB3A5" w14:textId="3891CAA4"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5</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275</w:t>
      </w:r>
    </w:p>
    <w:p w14:paraId="5CB71AC7" w14:textId="7BA1CA5F"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6</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276</w:t>
      </w:r>
    </w:p>
    <w:p w14:paraId="3071601E" w14:textId="6AECA474"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7</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277</w:t>
      </w:r>
    </w:p>
    <w:p w14:paraId="5F22CB13" w14:textId="02DFA5E4"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8</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278</w:t>
      </w:r>
    </w:p>
    <w:p w14:paraId="1CD2482E" w14:textId="5AA8F81F"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9</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279</w:t>
      </w:r>
    </w:p>
    <w:p w14:paraId="72947CA4" w14:textId="398CD9DC"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10</w:t>
      </w:r>
      <w:r w:rsidR="00656881">
        <w:rPr>
          <w:rFonts w:ascii="Calibri" w:eastAsia="ＭＳ Ｐゴシック" w:hAnsi="Calibri" w:cs="Times New Roman"/>
          <w:b/>
          <w:spacing w:val="5"/>
          <w:kern w:val="28"/>
          <w:szCs w:val="44"/>
        </w:rPr>
        <w:t>…………………</w:t>
      </w:r>
      <w:r w:rsidR="00ED4F76">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……………………………………………………………………….…281</w:t>
      </w:r>
    </w:p>
    <w:p w14:paraId="239126C1" w14:textId="4C1E0215"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11</w:t>
      </w:r>
      <w:r w:rsidR="00656881">
        <w:rPr>
          <w:rFonts w:ascii="Calibri" w:eastAsia="ＭＳ Ｐゴシック" w:hAnsi="Calibri" w:cs="Times New Roman"/>
          <w:b/>
          <w:spacing w:val="5"/>
          <w:kern w:val="28"/>
          <w:szCs w:val="44"/>
        </w:rPr>
        <w:t>…………</w:t>
      </w:r>
      <w:r w:rsidR="00ED4F76">
        <w:rPr>
          <w:rFonts w:ascii="Calibri" w:eastAsia="ＭＳ Ｐゴシック" w:hAnsi="Calibri" w:cs="Times New Roman"/>
          <w:b/>
          <w:spacing w:val="5"/>
          <w:kern w:val="28"/>
          <w:szCs w:val="44"/>
        </w:rPr>
        <w:t>…………………………………………………………………………………</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282</w:t>
      </w:r>
    </w:p>
    <w:p w14:paraId="182B9CA8" w14:textId="30B4D3A9"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12</w:t>
      </w:r>
      <w:r w:rsidR="00656881">
        <w:rPr>
          <w:rFonts w:ascii="Calibri" w:eastAsia="ＭＳ Ｐゴシック" w:hAnsi="Calibri" w:cs="Times New Roman"/>
          <w:b/>
          <w:spacing w:val="5"/>
          <w:kern w:val="28"/>
          <w:szCs w:val="44"/>
        </w:rPr>
        <w:t>……………………………………………………………………</w:t>
      </w:r>
      <w:r w:rsidR="00ED4F76">
        <w:rPr>
          <w:rFonts w:ascii="Calibri" w:eastAsia="ＭＳ Ｐゴシック" w:hAnsi="Calibri" w:cs="Times New Roman"/>
          <w:b/>
          <w:spacing w:val="5"/>
          <w:kern w:val="28"/>
          <w:szCs w:val="44"/>
        </w:rPr>
        <w:t>………………………</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284</w:t>
      </w:r>
    </w:p>
    <w:p w14:paraId="61F5BDC1" w14:textId="2501F667"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Appendix 13</w:t>
      </w:r>
      <w:r w:rsidR="00656881">
        <w:rPr>
          <w:rFonts w:ascii="Calibri" w:eastAsia="ＭＳ Ｐゴシック" w:hAnsi="Calibri" w:cs="Times New Roman"/>
          <w:b/>
          <w:spacing w:val="5"/>
          <w:kern w:val="28"/>
          <w:szCs w:val="44"/>
        </w:rPr>
        <w:t>……………</w:t>
      </w:r>
      <w:r w:rsidR="00ED4F76">
        <w:rPr>
          <w:rFonts w:ascii="Calibri" w:eastAsia="ＭＳ Ｐゴシック" w:hAnsi="Calibri" w:cs="Times New Roman"/>
          <w:b/>
          <w:spacing w:val="5"/>
          <w:kern w:val="28"/>
          <w:szCs w:val="44"/>
        </w:rPr>
        <w:t>…………………………………………………………………………………</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285</w:t>
      </w:r>
    </w:p>
    <w:p w14:paraId="2B325EDE" w14:textId="3591C081" w:rsidR="00437D67" w:rsidRPr="00437D67" w:rsidRDefault="00437D67" w:rsidP="00437D67">
      <w:pPr>
        <w:rPr>
          <w:rFonts w:ascii="Calibri" w:eastAsia="ＭＳ Ｐゴシック" w:hAnsi="Calibri" w:cs="Times New Roman"/>
          <w:b/>
          <w:spacing w:val="5"/>
          <w:kern w:val="28"/>
          <w:szCs w:val="44"/>
        </w:rPr>
      </w:pPr>
      <w:r w:rsidRPr="00437D67">
        <w:rPr>
          <w:rFonts w:ascii="Calibri" w:eastAsia="ＭＳ Ｐゴシック" w:hAnsi="Calibri" w:cs="Times New Roman"/>
          <w:b/>
          <w:spacing w:val="5"/>
          <w:kern w:val="28"/>
          <w:szCs w:val="44"/>
        </w:rPr>
        <w:t>Image Use Licences</w:t>
      </w:r>
      <w:r w:rsidR="00656881">
        <w:rPr>
          <w:rFonts w:ascii="Calibri" w:eastAsia="ＭＳ Ｐゴシック" w:hAnsi="Calibri" w:cs="Times New Roman"/>
          <w:b/>
          <w:spacing w:val="5"/>
          <w:kern w:val="28"/>
          <w:szCs w:val="44"/>
        </w:rPr>
        <w:t>…</w:t>
      </w:r>
      <w:r w:rsidR="00ED4F76">
        <w:rPr>
          <w:rFonts w:ascii="Calibri" w:eastAsia="ＭＳ Ｐゴシック" w:hAnsi="Calibri" w:cs="Times New Roman"/>
          <w:b/>
          <w:spacing w:val="5"/>
          <w:kern w:val="28"/>
          <w:szCs w:val="44"/>
        </w:rPr>
        <w:t>………………………………………………………………………………….</w:t>
      </w:r>
      <w:r w:rsidR="00656881">
        <w:rPr>
          <w:rFonts w:ascii="Calibri" w:eastAsia="ＭＳ Ｐゴシック" w:hAnsi="Calibri" w:cs="Times New Roman"/>
          <w:b/>
          <w:spacing w:val="5"/>
          <w:kern w:val="28"/>
          <w:szCs w:val="44"/>
        </w:rPr>
        <w:t>…</w:t>
      </w:r>
      <w:r w:rsidR="00893955">
        <w:rPr>
          <w:rFonts w:ascii="Calibri" w:eastAsia="ＭＳ Ｐゴシック" w:hAnsi="Calibri" w:cs="Times New Roman"/>
          <w:b/>
          <w:spacing w:val="5"/>
          <w:kern w:val="28"/>
          <w:szCs w:val="44"/>
        </w:rPr>
        <w:t>286</w:t>
      </w:r>
    </w:p>
    <w:p w14:paraId="716A8A78" w14:textId="77777777" w:rsidR="00437D67" w:rsidRPr="00437D67" w:rsidRDefault="00437D67" w:rsidP="00437D67">
      <w:pPr>
        <w:pStyle w:val="ListParagraph"/>
        <w:ind w:left="1134" w:hanging="414"/>
        <w:rPr>
          <w:rFonts w:ascii="Calibri" w:eastAsia="ＭＳ Ｐゴシック" w:hAnsi="Calibri" w:cs="Times New Roman"/>
          <w:b/>
          <w:spacing w:val="5"/>
          <w:kern w:val="28"/>
          <w:szCs w:val="44"/>
        </w:rPr>
      </w:pPr>
    </w:p>
    <w:p w14:paraId="3C8BEBC2" w14:textId="77777777" w:rsidR="00437D67" w:rsidRPr="00437D67" w:rsidRDefault="00437D67" w:rsidP="00437D67">
      <w:pPr>
        <w:pStyle w:val="ListParagraph"/>
        <w:rPr>
          <w:rFonts w:ascii="Calibri" w:eastAsia="ＭＳ Ｐゴシック" w:hAnsi="Calibri" w:cs="Times New Roman"/>
          <w:b/>
          <w:spacing w:val="5"/>
          <w:kern w:val="28"/>
          <w:szCs w:val="44"/>
        </w:rPr>
      </w:pPr>
    </w:p>
    <w:p w14:paraId="21529043" w14:textId="77777777" w:rsidR="000E5B25" w:rsidRPr="00437D67" w:rsidRDefault="000E5B25" w:rsidP="000E5B25">
      <w:pPr>
        <w:pStyle w:val="ListParagraph"/>
        <w:ind w:left="1134" w:hanging="414"/>
        <w:rPr>
          <w:rFonts w:ascii="Calibri" w:eastAsia="ＭＳ Ｐゴシック" w:hAnsi="Calibri" w:cs="Times New Roman"/>
          <w:b/>
          <w:spacing w:val="5"/>
          <w:kern w:val="28"/>
          <w:szCs w:val="44"/>
        </w:rPr>
      </w:pPr>
    </w:p>
    <w:p w14:paraId="61A290F5" w14:textId="77777777" w:rsidR="000E5B25" w:rsidRPr="000E5B25" w:rsidRDefault="000E5B25" w:rsidP="000E5B25">
      <w:pPr>
        <w:pStyle w:val="ListParagraph"/>
        <w:ind w:left="1134" w:hanging="414"/>
        <w:rPr>
          <w:rFonts w:ascii="Calibri" w:eastAsia="ＭＳ Ｐゴシック" w:hAnsi="Calibri" w:cs="Times New Roman"/>
          <w:spacing w:val="5"/>
          <w:kern w:val="28"/>
          <w:szCs w:val="44"/>
        </w:rPr>
      </w:pPr>
    </w:p>
    <w:p w14:paraId="57E120DC" w14:textId="1A72BCEF" w:rsidR="00C50350" w:rsidRPr="00C50350" w:rsidRDefault="00C50350">
      <w:pPr>
        <w:rPr>
          <w:rFonts w:ascii="Calibri" w:eastAsia="ＭＳ Ｐゴシック" w:hAnsi="Calibri" w:cs="Times New Roman"/>
          <w:spacing w:val="5"/>
          <w:kern w:val="28"/>
          <w:szCs w:val="44"/>
        </w:rPr>
      </w:pPr>
      <w:r>
        <w:rPr>
          <w:rFonts w:ascii="Calibri" w:eastAsia="ＭＳ Ｐゴシック" w:hAnsi="Calibri" w:cs="Times New Roman"/>
          <w:spacing w:val="5"/>
          <w:kern w:val="28"/>
          <w:sz w:val="52"/>
          <w:szCs w:val="44"/>
        </w:rPr>
        <w:br w:type="page"/>
      </w:r>
    </w:p>
    <w:p w14:paraId="172E1575" w14:textId="77777777" w:rsidR="00E844C1" w:rsidRPr="00E844C1" w:rsidRDefault="00E844C1" w:rsidP="008E7B3A">
      <w:pPr>
        <w:pBdr>
          <w:bottom w:val="single" w:sz="8" w:space="4" w:color="4F81BD"/>
        </w:pBdr>
        <w:spacing w:after="300"/>
        <w:contextualSpacing/>
        <w:rPr>
          <w:rFonts w:ascii="Calibri" w:eastAsia="ＭＳ Ｐゴシック" w:hAnsi="Calibri" w:cs="Times New Roman"/>
          <w:spacing w:val="5"/>
          <w:kern w:val="28"/>
          <w:sz w:val="52"/>
          <w:szCs w:val="44"/>
        </w:rPr>
        <w:sectPr w:rsidR="00E844C1" w:rsidRPr="00E844C1" w:rsidSect="006A4B91">
          <w:pgSz w:w="11900" w:h="16840"/>
          <w:pgMar w:top="1440" w:right="1134" w:bottom="1276" w:left="2268" w:header="709" w:footer="709" w:gutter="0"/>
          <w:cols w:space="708"/>
          <w:titlePg/>
          <w:docGrid w:linePitch="360"/>
        </w:sectPr>
      </w:pPr>
    </w:p>
    <w:p w14:paraId="26F060FA" w14:textId="49D8AB1B" w:rsidR="00B15A35" w:rsidRPr="00EB3408" w:rsidRDefault="00F37C85" w:rsidP="00EB3408">
      <w:pPr>
        <w:pStyle w:val="Title"/>
        <w:rPr>
          <w:color w:val="auto"/>
        </w:rPr>
      </w:pPr>
      <w:r w:rsidRPr="00B15A35">
        <w:rPr>
          <w:color w:val="auto"/>
        </w:rPr>
        <w:t>Chapter 1: Introduction</w:t>
      </w:r>
    </w:p>
    <w:p w14:paraId="3CE8DA8C" w14:textId="405CA3DB" w:rsidR="00B15A35" w:rsidRPr="00EB3408" w:rsidRDefault="00B15A35" w:rsidP="002F41C6">
      <w:pPr>
        <w:pStyle w:val="ListParagraph"/>
        <w:numPr>
          <w:ilvl w:val="1"/>
          <w:numId w:val="29"/>
        </w:numPr>
        <w:ind w:left="426"/>
        <w:rPr>
          <w:rFonts w:asciiTheme="majorHAnsi" w:hAnsiTheme="majorHAnsi"/>
          <w:sz w:val="22"/>
          <w:szCs w:val="28"/>
        </w:rPr>
      </w:pPr>
      <w:r w:rsidRPr="00EB3408">
        <w:rPr>
          <w:rFonts w:asciiTheme="majorHAnsi" w:hAnsiTheme="majorHAnsi"/>
          <w:sz w:val="22"/>
          <w:szCs w:val="28"/>
        </w:rPr>
        <w:t>Cancer Overview</w:t>
      </w:r>
    </w:p>
    <w:p w14:paraId="4C14FBE9" w14:textId="77777777" w:rsidR="00B15A35" w:rsidRPr="00EB3408" w:rsidRDefault="00B15A35" w:rsidP="00BB3FAC">
      <w:pPr>
        <w:pStyle w:val="ListParagraph"/>
        <w:numPr>
          <w:ilvl w:val="0"/>
          <w:numId w:val="51"/>
        </w:numPr>
        <w:rPr>
          <w:rFonts w:asciiTheme="majorHAnsi" w:hAnsiTheme="majorHAnsi"/>
          <w:sz w:val="22"/>
          <w:szCs w:val="28"/>
        </w:rPr>
      </w:pPr>
      <w:r w:rsidRPr="00EB3408">
        <w:rPr>
          <w:rFonts w:asciiTheme="majorHAnsi" w:hAnsiTheme="majorHAnsi"/>
          <w:sz w:val="22"/>
          <w:szCs w:val="28"/>
        </w:rPr>
        <w:t>Cancer Statistics and Genetics</w:t>
      </w:r>
    </w:p>
    <w:p w14:paraId="5C10E552" w14:textId="77777777" w:rsidR="00B15A35" w:rsidRPr="00EB3408" w:rsidRDefault="00B15A35" w:rsidP="00BB3FAC">
      <w:pPr>
        <w:pStyle w:val="ListParagraph"/>
        <w:numPr>
          <w:ilvl w:val="0"/>
          <w:numId w:val="51"/>
        </w:numPr>
        <w:rPr>
          <w:rFonts w:asciiTheme="majorHAnsi" w:hAnsiTheme="majorHAnsi"/>
          <w:sz w:val="22"/>
          <w:szCs w:val="28"/>
        </w:rPr>
      </w:pPr>
      <w:r w:rsidRPr="00EB3408">
        <w:rPr>
          <w:rFonts w:asciiTheme="majorHAnsi" w:hAnsiTheme="majorHAnsi"/>
          <w:sz w:val="22"/>
          <w:szCs w:val="28"/>
        </w:rPr>
        <w:t>Driver and Passenger Genes</w:t>
      </w:r>
    </w:p>
    <w:p w14:paraId="0F3A662A" w14:textId="77777777" w:rsidR="00B15A35" w:rsidRPr="00EB3408" w:rsidRDefault="00B15A35" w:rsidP="00BB3FAC">
      <w:pPr>
        <w:pStyle w:val="ListParagraph"/>
        <w:numPr>
          <w:ilvl w:val="0"/>
          <w:numId w:val="51"/>
        </w:numPr>
        <w:rPr>
          <w:rFonts w:asciiTheme="majorHAnsi" w:hAnsiTheme="majorHAnsi"/>
          <w:sz w:val="22"/>
          <w:szCs w:val="28"/>
        </w:rPr>
      </w:pPr>
      <w:r w:rsidRPr="00EB3408">
        <w:rPr>
          <w:rFonts w:asciiTheme="majorHAnsi" w:hAnsiTheme="majorHAnsi"/>
          <w:sz w:val="22"/>
          <w:szCs w:val="28"/>
        </w:rPr>
        <w:t>The Hallmarks of Cancer</w:t>
      </w:r>
    </w:p>
    <w:p w14:paraId="3C2F4784" w14:textId="420D7703" w:rsidR="002F41C6" w:rsidRPr="00EB3408" w:rsidRDefault="00B15A35" w:rsidP="00BB3FAC">
      <w:pPr>
        <w:pStyle w:val="ListParagraph"/>
        <w:numPr>
          <w:ilvl w:val="0"/>
          <w:numId w:val="51"/>
        </w:numPr>
        <w:rPr>
          <w:rFonts w:asciiTheme="majorHAnsi" w:hAnsiTheme="majorHAnsi"/>
          <w:sz w:val="22"/>
          <w:szCs w:val="28"/>
        </w:rPr>
      </w:pPr>
      <w:r w:rsidRPr="00EB3408">
        <w:rPr>
          <w:rFonts w:asciiTheme="majorHAnsi" w:hAnsiTheme="majorHAnsi"/>
          <w:sz w:val="22"/>
          <w:szCs w:val="28"/>
        </w:rPr>
        <w:t>Cancer Profiling</w:t>
      </w:r>
    </w:p>
    <w:p w14:paraId="199B8469" w14:textId="1828FF7B" w:rsidR="002F41C6" w:rsidRPr="00E82D3B" w:rsidRDefault="002F41C6" w:rsidP="002F41C6">
      <w:pPr>
        <w:rPr>
          <w:rFonts w:asciiTheme="majorHAnsi" w:hAnsiTheme="majorHAnsi"/>
          <w:sz w:val="22"/>
          <w:szCs w:val="28"/>
        </w:rPr>
      </w:pPr>
      <w:r w:rsidRPr="00EB3408">
        <w:rPr>
          <w:rFonts w:asciiTheme="majorHAnsi" w:hAnsiTheme="majorHAnsi"/>
          <w:sz w:val="22"/>
          <w:szCs w:val="28"/>
        </w:rPr>
        <w:t xml:space="preserve">1.2 </w:t>
      </w:r>
      <w:r w:rsidRPr="00E82D3B">
        <w:rPr>
          <w:rFonts w:asciiTheme="majorHAnsi" w:hAnsiTheme="majorHAnsi"/>
          <w:sz w:val="22"/>
          <w:szCs w:val="28"/>
        </w:rPr>
        <w:t>DNA Damage</w:t>
      </w:r>
      <w:r w:rsidR="00EB3408" w:rsidRPr="00E82D3B">
        <w:rPr>
          <w:rFonts w:asciiTheme="majorHAnsi" w:hAnsiTheme="majorHAnsi"/>
          <w:sz w:val="22"/>
          <w:szCs w:val="28"/>
        </w:rPr>
        <w:t xml:space="preserve"> and the Repair Pathways</w:t>
      </w:r>
    </w:p>
    <w:p w14:paraId="4575CFE1" w14:textId="2DE571C5" w:rsidR="002F41C6" w:rsidRPr="00E82D3B" w:rsidRDefault="002F41C6" w:rsidP="002F41C6">
      <w:pPr>
        <w:pStyle w:val="ListParagraph"/>
        <w:numPr>
          <w:ilvl w:val="0"/>
          <w:numId w:val="43"/>
        </w:numPr>
        <w:ind w:left="1418"/>
        <w:rPr>
          <w:rFonts w:asciiTheme="majorHAnsi" w:hAnsiTheme="majorHAnsi"/>
          <w:sz w:val="22"/>
          <w:szCs w:val="28"/>
        </w:rPr>
      </w:pPr>
      <w:r w:rsidRPr="00E82D3B">
        <w:rPr>
          <w:rFonts w:asciiTheme="majorHAnsi" w:hAnsiTheme="majorHAnsi"/>
          <w:sz w:val="22"/>
          <w:szCs w:val="28"/>
        </w:rPr>
        <w:t>Causes</w:t>
      </w:r>
    </w:p>
    <w:p w14:paraId="57428497" w14:textId="15D4AB06" w:rsidR="002F41C6" w:rsidRPr="00E82D3B" w:rsidRDefault="002410C8" w:rsidP="002F41C6">
      <w:pPr>
        <w:pStyle w:val="ListParagraph"/>
        <w:numPr>
          <w:ilvl w:val="0"/>
          <w:numId w:val="43"/>
        </w:numPr>
        <w:ind w:left="1418"/>
        <w:rPr>
          <w:rFonts w:asciiTheme="majorHAnsi" w:hAnsiTheme="majorHAnsi"/>
          <w:sz w:val="22"/>
          <w:szCs w:val="28"/>
        </w:rPr>
      </w:pPr>
      <w:r w:rsidRPr="00E82D3B">
        <w:rPr>
          <w:rFonts w:asciiTheme="majorHAnsi" w:hAnsiTheme="majorHAnsi"/>
          <w:sz w:val="22"/>
          <w:szCs w:val="28"/>
        </w:rPr>
        <w:t>Base excision repair and nucleotide excision repair</w:t>
      </w:r>
    </w:p>
    <w:p w14:paraId="4B437DE6" w14:textId="215CA72B" w:rsidR="002F41C6" w:rsidRPr="00E82D3B" w:rsidRDefault="002410C8" w:rsidP="002F41C6">
      <w:pPr>
        <w:pStyle w:val="ListParagraph"/>
        <w:numPr>
          <w:ilvl w:val="0"/>
          <w:numId w:val="43"/>
        </w:numPr>
        <w:ind w:left="1418"/>
        <w:rPr>
          <w:rFonts w:asciiTheme="majorHAnsi" w:hAnsiTheme="majorHAnsi"/>
          <w:sz w:val="22"/>
          <w:szCs w:val="28"/>
        </w:rPr>
      </w:pPr>
      <w:r w:rsidRPr="00E82D3B">
        <w:rPr>
          <w:rFonts w:asciiTheme="majorHAnsi" w:hAnsiTheme="majorHAnsi"/>
          <w:sz w:val="22"/>
          <w:szCs w:val="28"/>
        </w:rPr>
        <w:t xml:space="preserve">Non-homologous end joining and homologous </w:t>
      </w:r>
      <w:r w:rsidR="00EC54E0" w:rsidRPr="00E82D3B">
        <w:rPr>
          <w:rFonts w:asciiTheme="majorHAnsi" w:hAnsiTheme="majorHAnsi"/>
          <w:sz w:val="22"/>
          <w:szCs w:val="28"/>
        </w:rPr>
        <w:t>recombination</w:t>
      </w:r>
    </w:p>
    <w:p w14:paraId="7097A6B2" w14:textId="3E893190" w:rsidR="00B15A35" w:rsidRPr="00E82D3B" w:rsidRDefault="002F41C6" w:rsidP="002F41C6">
      <w:pPr>
        <w:pStyle w:val="ListParagraph"/>
        <w:ind w:left="0"/>
        <w:rPr>
          <w:rFonts w:asciiTheme="majorHAnsi" w:hAnsiTheme="majorHAnsi"/>
          <w:sz w:val="22"/>
          <w:szCs w:val="28"/>
        </w:rPr>
      </w:pPr>
      <w:r w:rsidRPr="00E82D3B">
        <w:rPr>
          <w:rFonts w:asciiTheme="majorHAnsi" w:hAnsiTheme="majorHAnsi"/>
          <w:sz w:val="22"/>
          <w:szCs w:val="28"/>
        </w:rPr>
        <w:t xml:space="preserve">1.3 </w:t>
      </w:r>
      <w:r w:rsidR="00B15A35" w:rsidRPr="00E82D3B">
        <w:rPr>
          <w:rFonts w:asciiTheme="majorHAnsi" w:hAnsiTheme="majorHAnsi"/>
          <w:sz w:val="22"/>
          <w:szCs w:val="28"/>
        </w:rPr>
        <w:t>Colorectal Cancer</w:t>
      </w:r>
    </w:p>
    <w:p w14:paraId="609A1880" w14:textId="3F6DB396" w:rsidR="000A33A1" w:rsidRPr="00E82D3B" w:rsidRDefault="00B15A35" w:rsidP="002F41C6">
      <w:pPr>
        <w:pStyle w:val="ListParagraph"/>
        <w:numPr>
          <w:ilvl w:val="0"/>
          <w:numId w:val="30"/>
        </w:numPr>
        <w:rPr>
          <w:rFonts w:asciiTheme="majorHAnsi" w:hAnsiTheme="majorHAnsi"/>
          <w:sz w:val="22"/>
          <w:szCs w:val="28"/>
        </w:rPr>
      </w:pPr>
      <w:r w:rsidRPr="00E82D3B">
        <w:rPr>
          <w:rFonts w:asciiTheme="majorHAnsi" w:hAnsiTheme="majorHAnsi"/>
          <w:sz w:val="22"/>
          <w:szCs w:val="28"/>
        </w:rPr>
        <w:t>Prevalence and Progression</w:t>
      </w:r>
    </w:p>
    <w:p w14:paraId="12A509A3" w14:textId="77777777" w:rsidR="00B15A35" w:rsidRPr="00E82D3B" w:rsidRDefault="00B15A35" w:rsidP="002F41C6">
      <w:pPr>
        <w:pStyle w:val="ListParagraph"/>
        <w:numPr>
          <w:ilvl w:val="0"/>
          <w:numId w:val="30"/>
        </w:numPr>
        <w:rPr>
          <w:rFonts w:asciiTheme="majorHAnsi" w:hAnsiTheme="majorHAnsi"/>
          <w:sz w:val="22"/>
          <w:szCs w:val="28"/>
        </w:rPr>
      </w:pPr>
      <w:r w:rsidRPr="00E82D3B">
        <w:rPr>
          <w:rFonts w:asciiTheme="majorHAnsi" w:hAnsiTheme="majorHAnsi"/>
          <w:sz w:val="22"/>
          <w:szCs w:val="28"/>
        </w:rPr>
        <w:t>Sporadic Colorectal Cancer</w:t>
      </w:r>
    </w:p>
    <w:p w14:paraId="606F71E7" w14:textId="77777777" w:rsidR="00B15A35" w:rsidRPr="00E82D3B" w:rsidRDefault="00B15A35" w:rsidP="002F41C6">
      <w:pPr>
        <w:pStyle w:val="ListParagraph"/>
        <w:numPr>
          <w:ilvl w:val="0"/>
          <w:numId w:val="30"/>
        </w:numPr>
        <w:rPr>
          <w:rFonts w:asciiTheme="majorHAnsi" w:hAnsiTheme="majorHAnsi"/>
          <w:sz w:val="22"/>
          <w:szCs w:val="28"/>
        </w:rPr>
      </w:pPr>
      <w:r w:rsidRPr="00E82D3B">
        <w:rPr>
          <w:rFonts w:asciiTheme="majorHAnsi" w:hAnsiTheme="majorHAnsi"/>
          <w:sz w:val="22"/>
          <w:szCs w:val="28"/>
        </w:rPr>
        <w:t>Hereditary Colorectal Cancer</w:t>
      </w:r>
    </w:p>
    <w:p w14:paraId="56437E06" w14:textId="03154CA1" w:rsidR="00B15A35" w:rsidRPr="00EB3408" w:rsidRDefault="00B15A35" w:rsidP="002F41C6">
      <w:pPr>
        <w:pStyle w:val="ListParagraph"/>
        <w:numPr>
          <w:ilvl w:val="1"/>
          <w:numId w:val="31"/>
        </w:numPr>
        <w:ind w:left="426"/>
        <w:rPr>
          <w:rFonts w:asciiTheme="majorHAnsi" w:hAnsiTheme="majorHAnsi"/>
          <w:sz w:val="22"/>
          <w:szCs w:val="28"/>
        </w:rPr>
      </w:pPr>
      <w:r w:rsidRPr="00EB3408">
        <w:rPr>
          <w:rFonts w:asciiTheme="majorHAnsi" w:hAnsiTheme="majorHAnsi"/>
          <w:sz w:val="22"/>
          <w:szCs w:val="28"/>
        </w:rPr>
        <w:t>Tumourigenesis Enabling Pathways in Colorectal Cancer</w:t>
      </w:r>
    </w:p>
    <w:p w14:paraId="7646911B" w14:textId="77777777" w:rsidR="00B15A35" w:rsidRPr="00EB3408" w:rsidRDefault="00B15A35" w:rsidP="00BB3FAC">
      <w:pPr>
        <w:pStyle w:val="ListParagraph"/>
        <w:numPr>
          <w:ilvl w:val="0"/>
          <w:numId w:val="50"/>
        </w:numPr>
        <w:rPr>
          <w:rFonts w:asciiTheme="majorHAnsi" w:hAnsiTheme="majorHAnsi"/>
          <w:sz w:val="22"/>
          <w:szCs w:val="28"/>
        </w:rPr>
      </w:pPr>
      <w:r w:rsidRPr="00EB3408">
        <w:rPr>
          <w:rFonts w:asciiTheme="majorHAnsi" w:hAnsiTheme="majorHAnsi"/>
          <w:sz w:val="22"/>
          <w:szCs w:val="28"/>
        </w:rPr>
        <w:t>Chromosomal Instability (CIN)</w:t>
      </w:r>
    </w:p>
    <w:p w14:paraId="0C39AC5A" w14:textId="77777777" w:rsidR="00B15A35" w:rsidRPr="00EB3408" w:rsidRDefault="00B15A35" w:rsidP="00BB3FAC">
      <w:pPr>
        <w:pStyle w:val="ListParagraph"/>
        <w:numPr>
          <w:ilvl w:val="0"/>
          <w:numId w:val="50"/>
        </w:numPr>
        <w:rPr>
          <w:rFonts w:asciiTheme="majorHAnsi" w:hAnsiTheme="majorHAnsi"/>
          <w:sz w:val="22"/>
          <w:szCs w:val="28"/>
        </w:rPr>
      </w:pPr>
      <w:r w:rsidRPr="00EB3408">
        <w:rPr>
          <w:rFonts w:asciiTheme="majorHAnsi" w:hAnsiTheme="majorHAnsi"/>
          <w:sz w:val="22"/>
          <w:szCs w:val="28"/>
        </w:rPr>
        <w:t>Microsatellite Instability (MSI)</w:t>
      </w:r>
    </w:p>
    <w:p w14:paraId="1B95AFC5" w14:textId="77777777" w:rsidR="00B15A35" w:rsidRPr="00EB3408" w:rsidRDefault="00B15A35" w:rsidP="00BB3FAC">
      <w:pPr>
        <w:pStyle w:val="ListParagraph"/>
        <w:numPr>
          <w:ilvl w:val="0"/>
          <w:numId w:val="50"/>
        </w:numPr>
        <w:rPr>
          <w:rFonts w:asciiTheme="majorHAnsi" w:hAnsiTheme="majorHAnsi"/>
          <w:sz w:val="22"/>
          <w:szCs w:val="28"/>
        </w:rPr>
      </w:pPr>
      <w:r w:rsidRPr="00EB3408">
        <w:rPr>
          <w:rFonts w:asciiTheme="majorHAnsi" w:hAnsiTheme="majorHAnsi"/>
          <w:sz w:val="22"/>
          <w:szCs w:val="28"/>
        </w:rPr>
        <w:t>Methylation Status (CIMP)</w:t>
      </w:r>
    </w:p>
    <w:p w14:paraId="5884DF73" w14:textId="77777777" w:rsidR="00B15A35" w:rsidRPr="00EB3408" w:rsidRDefault="00B15A35" w:rsidP="00BB3FAC">
      <w:pPr>
        <w:pStyle w:val="ListParagraph"/>
        <w:numPr>
          <w:ilvl w:val="0"/>
          <w:numId w:val="50"/>
        </w:numPr>
        <w:rPr>
          <w:rFonts w:asciiTheme="majorHAnsi" w:hAnsiTheme="majorHAnsi"/>
          <w:sz w:val="22"/>
          <w:szCs w:val="28"/>
        </w:rPr>
      </w:pPr>
      <w:r w:rsidRPr="00EB3408">
        <w:rPr>
          <w:rFonts w:asciiTheme="majorHAnsi" w:hAnsiTheme="majorHAnsi"/>
          <w:sz w:val="22"/>
          <w:szCs w:val="28"/>
        </w:rPr>
        <w:t>New Models of Colorectal Cancer</w:t>
      </w:r>
    </w:p>
    <w:p w14:paraId="600E14F7" w14:textId="77777777" w:rsidR="002F41C6" w:rsidRPr="00EB3408" w:rsidRDefault="002F41C6" w:rsidP="00EB3408">
      <w:pPr>
        <w:pStyle w:val="ListParagraph"/>
        <w:ind w:left="0"/>
        <w:rPr>
          <w:rFonts w:asciiTheme="majorHAnsi" w:hAnsiTheme="majorHAnsi"/>
          <w:i/>
          <w:sz w:val="22"/>
          <w:szCs w:val="28"/>
        </w:rPr>
      </w:pPr>
      <w:r w:rsidRPr="00EB3408">
        <w:rPr>
          <w:rFonts w:asciiTheme="majorHAnsi" w:hAnsiTheme="majorHAnsi"/>
          <w:sz w:val="22"/>
          <w:szCs w:val="28"/>
        </w:rPr>
        <w:t>1.5 Diagnosis and Treatments of Colorectal Cancer</w:t>
      </w:r>
      <w:r w:rsidRPr="00EB3408">
        <w:rPr>
          <w:rFonts w:asciiTheme="majorHAnsi" w:hAnsiTheme="majorHAnsi"/>
          <w:i/>
          <w:sz w:val="22"/>
          <w:szCs w:val="28"/>
        </w:rPr>
        <w:t xml:space="preserve"> </w:t>
      </w:r>
    </w:p>
    <w:p w14:paraId="3F13989A" w14:textId="17472B50" w:rsidR="002F41C6" w:rsidRPr="00E82D3B" w:rsidRDefault="002F41C6" w:rsidP="002F41C6">
      <w:pPr>
        <w:pStyle w:val="ListParagraph"/>
        <w:numPr>
          <w:ilvl w:val="3"/>
          <w:numId w:val="47"/>
        </w:numPr>
        <w:rPr>
          <w:rFonts w:asciiTheme="majorHAnsi" w:hAnsiTheme="majorHAnsi"/>
          <w:sz w:val="22"/>
          <w:szCs w:val="28"/>
        </w:rPr>
      </w:pPr>
      <w:r w:rsidRPr="00E82D3B">
        <w:rPr>
          <w:rFonts w:asciiTheme="majorHAnsi" w:hAnsiTheme="majorHAnsi"/>
          <w:sz w:val="22"/>
          <w:szCs w:val="28"/>
        </w:rPr>
        <w:t>Diagnosis</w:t>
      </w:r>
    </w:p>
    <w:p w14:paraId="6DD22FE6" w14:textId="77777777" w:rsidR="002F41C6" w:rsidRPr="00E82D3B" w:rsidRDefault="002F41C6" w:rsidP="00BB3FAC">
      <w:pPr>
        <w:pStyle w:val="ListParagraph"/>
        <w:numPr>
          <w:ilvl w:val="3"/>
          <w:numId w:val="47"/>
        </w:numPr>
        <w:rPr>
          <w:rFonts w:asciiTheme="majorHAnsi" w:hAnsiTheme="majorHAnsi"/>
          <w:sz w:val="22"/>
          <w:szCs w:val="28"/>
        </w:rPr>
      </w:pPr>
      <w:r w:rsidRPr="00E82D3B">
        <w:rPr>
          <w:rFonts w:asciiTheme="majorHAnsi" w:hAnsiTheme="majorHAnsi"/>
          <w:sz w:val="22"/>
          <w:szCs w:val="28"/>
        </w:rPr>
        <w:t>Treatment Overview</w:t>
      </w:r>
    </w:p>
    <w:p w14:paraId="3384703C" w14:textId="77777777" w:rsidR="002F41C6" w:rsidRPr="00E82D3B" w:rsidRDefault="002F41C6" w:rsidP="00BB3FAC">
      <w:pPr>
        <w:pStyle w:val="ListParagraph"/>
        <w:numPr>
          <w:ilvl w:val="3"/>
          <w:numId w:val="47"/>
        </w:numPr>
        <w:rPr>
          <w:rFonts w:asciiTheme="majorHAnsi" w:hAnsiTheme="majorHAnsi"/>
          <w:sz w:val="22"/>
          <w:szCs w:val="28"/>
        </w:rPr>
      </w:pPr>
      <w:r w:rsidRPr="00E82D3B">
        <w:rPr>
          <w:rFonts w:asciiTheme="majorHAnsi" w:hAnsiTheme="majorHAnsi"/>
          <w:sz w:val="22"/>
          <w:szCs w:val="28"/>
        </w:rPr>
        <w:t>5-Fluorouracil</w:t>
      </w:r>
    </w:p>
    <w:p w14:paraId="7AD27400" w14:textId="77777777" w:rsidR="002F41C6" w:rsidRPr="00E82D3B" w:rsidRDefault="002F41C6" w:rsidP="00BB3FAC">
      <w:pPr>
        <w:pStyle w:val="ListParagraph"/>
        <w:numPr>
          <w:ilvl w:val="3"/>
          <w:numId w:val="47"/>
        </w:numPr>
        <w:rPr>
          <w:rFonts w:asciiTheme="majorHAnsi" w:hAnsiTheme="majorHAnsi"/>
          <w:sz w:val="22"/>
          <w:szCs w:val="28"/>
        </w:rPr>
      </w:pPr>
      <w:r w:rsidRPr="00E82D3B">
        <w:rPr>
          <w:rFonts w:asciiTheme="majorHAnsi" w:hAnsiTheme="majorHAnsi"/>
          <w:sz w:val="22"/>
          <w:szCs w:val="28"/>
        </w:rPr>
        <w:t>Irinotecan</w:t>
      </w:r>
    </w:p>
    <w:p w14:paraId="76B92BC4" w14:textId="77777777" w:rsidR="002F41C6" w:rsidRPr="00E82D3B" w:rsidRDefault="002F41C6" w:rsidP="00BB3FAC">
      <w:pPr>
        <w:pStyle w:val="ListParagraph"/>
        <w:numPr>
          <w:ilvl w:val="3"/>
          <w:numId w:val="47"/>
        </w:numPr>
        <w:rPr>
          <w:rFonts w:asciiTheme="majorHAnsi" w:hAnsiTheme="majorHAnsi"/>
          <w:sz w:val="22"/>
          <w:szCs w:val="28"/>
        </w:rPr>
      </w:pPr>
      <w:r w:rsidRPr="00E82D3B">
        <w:rPr>
          <w:rFonts w:asciiTheme="majorHAnsi" w:hAnsiTheme="majorHAnsi"/>
          <w:sz w:val="22"/>
          <w:szCs w:val="28"/>
        </w:rPr>
        <w:t>Oxaliplatin</w:t>
      </w:r>
    </w:p>
    <w:p w14:paraId="31CEA940" w14:textId="18B274C8" w:rsidR="002F41C6" w:rsidRPr="00E82D3B" w:rsidRDefault="002F41C6" w:rsidP="00BB3FAC">
      <w:pPr>
        <w:pStyle w:val="ListParagraph"/>
        <w:numPr>
          <w:ilvl w:val="3"/>
          <w:numId w:val="47"/>
        </w:numPr>
        <w:rPr>
          <w:rFonts w:asciiTheme="majorHAnsi" w:hAnsiTheme="majorHAnsi"/>
          <w:sz w:val="22"/>
          <w:szCs w:val="28"/>
        </w:rPr>
      </w:pPr>
      <w:r w:rsidRPr="00E82D3B">
        <w:rPr>
          <w:rFonts w:asciiTheme="majorHAnsi" w:hAnsiTheme="majorHAnsi"/>
          <w:sz w:val="22"/>
          <w:szCs w:val="28"/>
        </w:rPr>
        <w:t>Immunotherapy</w:t>
      </w:r>
    </w:p>
    <w:p w14:paraId="7C7D122B" w14:textId="0626784C" w:rsidR="00B15A35" w:rsidRPr="00EB3408" w:rsidRDefault="00B15A35" w:rsidP="002F41C6">
      <w:pPr>
        <w:pStyle w:val="ListParagraph"/>
        <w:numPr>
          <w:ilvl w:val="1"/>
          <w:numId w:val="44"/>
        </w:numPr>
        <w:ind w:left="426"/>
        <w:rPr>
          <w:rFonts w:asciiTheme="majorHAnsi" w:hAnsiTheme="majorHAnsi"/>
          <w:sz w:val="22"/>
          <w:szCs w:val="28"/>
        </w:rPr>
      </w:pPr>
      <w:r w:rsidRPr="00EB3408">
        <w:rPr>
          <w:rFonts w:asciiTheme="majorHAnsi" w:hAnsiTheme="majorHAnsi"/>
          <w:sz w:val="22"/>
          <w:szCs w:val="28"/>
        </w:rPr>
        <w:t>Epigenetic Factors In Cancer Progression</w:t>
      </w:r>
    </w:p>
    <w:p w14:paraId="652F0231" w14:textId="77777777" w:rsidR="00B15A35" w:rsidRPr="00EB3408" w:rsidRDefault="00B15A35" w:rsidP="002F41C6">
      <w:pPr>
        <w:pStyle w:val="ListParagraph"/>
        <w:numPr>
          <w:ilvl w:val="0"/>
          <w:numId w:val="32"/>
        </w:numPr>
        <w:rPr>
          <w:rFonts w:asciiTheme="majorHAnsi" w:hAnsiTheme="majorHAnsi"/>
          <w:sz w:val="22"/>
          <w:szCs w:val="28"/>
        </w:rPr>
      </w:pPr>
      <w:r w:rsidRPr="00EB3408">
        <w:rPr>
          <w:rFonts w:asciiTheme="majorHAnsi" w:hAnsiTheme="majorHAnsi"/>
          <w:sz w:val="22"/>
          <w:szCs w:val="28"/>
        </w:rPr>
        <w:t>Epigenetics and the Nucleosome</w:t>
      </w:r>
    </w:p>
    <w:p w14:paraId="5773F455" w14:textId="77777777" w:rsidR="00B15A35" w:rsidRPr="00EB3408" w:rsidRDefault="00B15A35" w:rsidP="002F41C6">
      <w:pPr>
        <w:pStyle w:val="ListParagraph"/>
        <w:numPr>
          <w:ilvl w:val="0"/>
          <w:numId w:val="32"/>
        </w:numPr>
        <w:rPr>
          <w:rFonts w:asciiTheme="majorHAnsi" w:hAnsiTheme="majorHAnsi"/>
          <w:sz w:val="22"/>
          <w:szCs w:val="28"/>
        </w:rPr>
      </w:pPr>
      <w:r w:rsidRPr="00EB3408">
        <w:rPr>
          <w:rFonts w:asciiTheme="majorHAnsi" w:hAnsiTheme="majorHAnsi"/>
          <w:sz w:val="22"/>
          <w:szCs w:val="28"/>
        </w:rPr>
        <w:t>ATP Dependent Chromatin Remodelers</w:t>
      </w:r>
    </w:p>
    <w:p w14:paraId="16713540" w14:textId="4F08C2F6" w:rsidR="00B15A35" w:rsidRPr="00EB3408" w:rsidRDefault="00B15A35" w:rsidP="002F41C6">
      <w:pPr>
        <w:pStyle w:val="ListParagraph"/>
        <w:numPr>
          <w:ilvl w:val="1"/>
          <w:numId w:val="44"/>
        </w:numPr>
        <w:ind w:left="426"/>
        <w:rPr>
          <w:rFonts w:asciiTheme="majorHAnsi" w:hAnsiTheme="majorHAnsi"/>
          <w:sz w:val="22"/>
          <w:szCs w:val="28"/>
        </w:rPr>
      </w:pPr>
      <w:r w:rsidRPr="00EB3408">
        <w:rPr>
          <w:rFonts w:asciiTheme="majorHAnsi" w:hAnsiTheme="majorHAnsi"/>
          <w:sz w:val="22"/>
          <w:szCs w:val="28"/>
        </w:rPr>
        <w:t>Preliminary Project Data</w:t>
      </w:r>
    </w:p>
    <w:p w14:paraId="10149FF6" w14:textId="77777777" w:rsidR="00B15A35" w:rsidRPr="00EB3408" w:rsidRDefault="00B15A35" w:rsidP="002F41C6">
      <w:pPr>
        <w:pStyle w:val="ListParagraph"/>
        <w:numPr>
          <w:ilvl w:val="0"/>
          <w:numId w:val="45"/>
        </w:numPr>
        <w:rPr>
          <w:rFonts w:asciiTheme="majorHAnsi" w:hAnsiTheme="majorHAnsi"/>
          <w:sz w:val="22"/>
          <w:szCs w:val="28"/>
        </w:rPr>
      </w:pPr>
      <w:r w:rsidRPr="00EB3408">
        <w:rPr>
          <w:rFonts w:asciiTheme="majorHAnsi" w:hAnsiTheme="majorHAnsi"/>
          <w:sz w:val="22"/>
          <w:szCs w:val="28"/>
        </w:rPr>
        <w:t>Target Selection</w:t>
      </w:r>
    </w:p>
    <w:p w14:paraId="02494D54" w14:textId="77777777" w:rsidR="00B15A35" w:rsidRPr="00EB3408" w:rsidRDefault="00B15A35" w:rsidP="002F41C6">
      <w:pPr>
        <w:pStyle w:val="ListParagraph"/>
        <w:numPr>
          <w:ilvl w:val="0"/>
          <w:numId w:val="45"/>
        </w:numPr>
        <w:rPr>
          <w:rFonts w:asciiTheme="majorHAnsi" w:hAnsiTheme="majorHAnsi"/>
          <w:sz w:val="22"/>
          <w:szCs w:val="28"/>
        </w:rPr>
      </w:pPr>
      <w:r w:rsidRPr="00EB3408">
        <w:rPr>
          <w:rFonts w:asciiTheme="majorHAnsi" w:hAnsiTheme="majorHAnsi"/>
          <w:sz w:val="22"/>
          <w:szCs w:val="28"/>
        </w:rPr>
        <w:t>SNF2-related CREBBP Activator Protein (SRCAP)</w:t>
      </w:r>
    </w:p>
    <w:p w14:paraId="51284264" w14:textId="77777777" w:rsidR="00B15A35" w:rsidRPr="00EB3408" w:rsidRDefault="00B15A35" w:rsidP="002F41C6">
      <w:pPr>
        <w:pStyle w:val="ListParagraph"/>
        <w:numPr>
          <w:ilvl w:val="0"/>
          <w:numId w:val="45"/>
        </w:numPr>
        <w:rPr>
          <w:rFonts w:asciiTheme="majorHAnsi" w:hAnsiTheme="majorHAnsi"/>
          <w:sz w:val="22"/>
          <w:szCs w:val="28"/>
        </w:rPr>
      </w:pPr>
      <w:r w:rsidRPr="00EB3408">
        <w:rPr>
          <w:rFonts w:asciiTheme="majorHAnsi" w:hAnsiTheme="majorHAnsi"/>
          <w:sz w:val="22"/>
          <w:szCs w:val="28"/>
        </w:rPr>
        <w:t>Floating-Harbor Syndrome</w:t>
      </w:r>
    </w:p>
    <w:p w14:paraId="1087DCFC" w14:textId="41C6B85E" w:rsidR="00B15A35" w:rsidRPr="00EB3408" w:rsidRDefault="00B15A35" w:rsidP="002F41C6">
      <w:pPr>
        <w:pStyle w:val="ListParagraph"/>
        <w:numPr>
          <w:ilvl w:val="0"/>
          <w:numId w:val="45"/>
        </w:numPr>
        <w:rPr>
          <w:rFonts w:asciiTheme="majorHAnsi" w:hAnsiTheme="majorHAnsi"/>
          <w:sz w:val="22"/>
          <w:szCs w:val="28"/>
        </w:rPr>
      </w:pPr>
      <w:r w:rsidRPr="00EB3408">
        <w:rPr>
          <w:rFonts w:asciiTheme="majorHAnsi" w:hAnsiTheme="majorHAnsi"/>
          <w:sz w:val="22"/>
          <w:szCs w:val="28"/>
        </w:rPr>
        <w:t>H2A.Z and its Implication</w:t>
      </w:r>
      <w:r w:rsidR="00CD3CE5" w:rsidRPr="00EB3408">
        <w:rPr>
          <w:rFonts w:asciiTheme="majorHAnsi" w:hAnsiTheme="majorHAnsi"/>
          <w:sz w:val="22"/>
          <w:szCs w:val="28"/>
        </w:rPr>
        <w:t>s</w:t>
      </w:r>
      <w:r w:rsidRPr="00EB3408">
        <w:rPr>
          <w:rFonts w:asciiTheme="majorHAnsi" w:hAnsiTheme="majorHAnsi"/>
          <w:sz w:val="22"/>
          <w:szCs w:val="28"/>
        </w:rPr>
        <w:t xml:space="preserve"> </w:t>
      </w:r>
      <w:r w:rsidR="00CD3CE5" w:rsidRPr="00EB3408">
        <w:rPr>
          <w:rFonts w:asciiTheme="majorHAnsi" w:hAnsiTheme="majorHAnsi"/>
          <w:sz w:val="22"/>
          <w:szCs w:val="28"/>
        </w:rPr>
        <w:t>for</w:t>
      </w:r>
      <w:r w:rsidRPr="00EB3408">
        <w:rPr>
          <w:rFonts w:asciiTheme="majorHAnsi" w:hAnsiTheme="majorHAnsi"/>
          <w:sz w:val="22"/>
          <w:szCs w:val="28"/>
        </w:rPr>
        <w:t xml:space="preserve"> Cancer </w:t>
      </w:r>
    </w:p>
    <w:p w14:paraId="4735742E" w14:textId="77777777" w:rsidR="00B15A35" w:rsidRPr="00EB3408" w:rsidRDefault="00B15A35" w:rsidP="002F41C6">
      <w:pPr>
        <w:pStyle w:val="ListParagraph"/>
        <w:numPr>
          <w:ilvl w:val="0"/>
          <w:numId w:val="45"/>
        </w:numPr>
        <w:rPr>
          <w:rFonts w:asciiTheme="majorHAnsi" w:hAnsiTheme="majorHAnsi"/>
          <w:sz w:val="22"/>
          <w:szCs w:val="28"/>
        </w:rPr>
      </w:pPr>
      <w:r w:rsidRPr="00EB3408">
        <w:rPr>
          <w:rFonts w:asciiTheme="majorHAnsi" w:hAnsiTheme="majorHAnsi"/>
          <w:sz w:val="22"/>
          <w:szCs w:val="28"/>
        </w:rPr>
        <w:t>Hypothesis and Aims</w:t>
      </w:r>
    </w:p>
    <w:p w14:paraId="68B6F13C" w14:textId="77777777" w:rsidR="00B15A35" w:rsidRPr="00EC1CC3" w:rsidRDefault="00B15A35" w:rsidP="00B15A35">
      <w:pPr>
        <w:rPr>
          <w:rFonts w:asciiTheme="majorHAnsi" w:hAnsiTheme="majorHAnsi"/>
          <w:sz w:val="28"/>
          <w:szCs w:val="32"/>
        </w:rPr>
      </w:pPr>
    </w:p>
    <w:p w14:paraId="4D51738C" w14:textId="77777777" w:rsidR="00B15A35" w:rsidRPr="00EB3408" w:rsidRDefault="00B15A35" w:rsidP="00B15A35">
      <w:pPr>
        <w:rPr>
          <w:rFonts w:asciiTheme="majorHAnsi" w:hAnsiTheme="majorHAnsi"/>
          <w:sz w:val="22"/>
          <w:szCs w:val="32"/>
          <w:u w:val="single"/>
        </w:rPr>
      </w:pPr>
      <w:r w:rsidRPr="00EB3408">
        <w:rPr>
          <w:rFonts w:asciiTheme="majorHAnsi" w:hAnsiTheme="majorHAnsi"/>
          <w:sz w:val="22"/>
          <w:szCs w:val="32"/>
          <w:u w:val="single"/>
        </w:rPr>
        <w:t>List of Figures</w:t>
      </w:r>
    </w:p>
    <w:p w14:paraId="48CA9927" w14:textId="77777777" w:rsidR="00B15A35" w:rsidRPr="00EB3408" w:rsidRDefault="00B15A35" w:rsidP="00B15A35">
      <w:pPr>
        <w:rPr>
          <w:rFonts w:asciiTheme="majorHAnsi" w:hAnsiTheme="majorHAnsi"/>
          <w:sz w:val="22"/>
        </w:rPr>
      </w:pPr>
      <w:r w:rsidRPr="00EB3408">
        <w:rPr>
          <w:rFonts w:asciiTheme="majorHAnsi" w:hAnsiTheme="majorHAnsi"/>
          <w:i/>
          <w:sz w:val="22"/>
        </w:rPr>
        <w:t>1.1   DNA Damage Response</w:t>
      </w:r>
      <w:r w:rsidRPr="00EB3408">
        <w:rPr>
          <w:rFonts w:asciiTheme="majorHAnsi" w:hAnsiTheme="majorHAnsi"/>
          <w:sz w:val="22"/>
        </w:rPr>
        <w:t xml:space="preserve"> </w:t>
      </w:r>
    </w:p>
    <w:p w14:paraId="1F623819" w14:textId="77777777" w:rsidR="00B15A35" w:rsidRPr="00EB3408" w:rsidRDefault="00B15A35" w:rsidP="00B15A35">
      <w:pPr>
        <w:rPr>
          <w:sz w:val="22"/>
        </w:rPr>
      </w:pPr>
      <w:r w:rsidRPr="00EB3408">
        <w:rPr>
          <w:rFonts w:asciiTheme="majorHAnsi" w:hAnsiTheme="majorHAnsi"/>
          <w:i/>
          <w:sz w:val="22"/>
        </w:rPr>
        <w:t>1.2. The Multistep Colorectal Cancer Model</w:t>
      </w:r>
      <w:r w:rsidRPr="00EB3408">
        <w:rPr>
          <w:sz w:val="22"/>
        </w:rPr>
        <w:t xml:space="preserve"> </w:t>
      </w:r>
    </w:p>
    <w:p w14:paraId="160EE323" w14:textId="77777777" w:rsidR="00B15A35" w:rsidRPr="00EB3408" w:rsidRDefault="00B15A35" w:rsidP="00B15A35">
      <w:r w:rsidRPr="00EB3408">
        <w:rPr>
          <w:rFonts w:asciiTheme="majorHAnsi" w:hAnsiTheme="majorHAnsi"/>
          <w:i/>
          <w:sz w:val="22"/>
        </w:rPr>
        <w:t xml:space="preserve">1.3. The Mismatch Repair Response </w:t>
      </w:r>
    </w:p>
    <w:p w14:paraId="542C7734" w14:textId="2583B187" w:rsidR="00B15A35" w:rsidRPr="00EB3408" w:rsidRDefault="00B15A35" w:rsidP="00B15A35">
      <w:pPr>
        <w:rPr>
          <w:rFonts w:asciiTheme="majorHAnsi" w:hAnsiTheme="majorHAnsi"/>
          <w:i/>
          <w:sz w:val="22"/>
        </w:rPr>
      </w:pPr>
      <w:r w:rsidRPr="00EB3408">
        <w:rPr>
          <w:rFonts w:asciiTheme="majorHAnsi" w:hAnsiTheme="majorHAnsi"/>
          <w:i/>
          <w:sz w:val="22"/>
        </w:rPr>
        <w:t xml:space="preserve">1.4 APC mutations within the </w:t>
      </w:r>
      <w:r w:rsidR="00642915" w:rsidRPr="00EB3408">
        <w:rPr>
          <w:rFonts w:asciiTheme="majorHAnsi" w:hAnsiTheme="majorHAnsi"/>
          <w:i/>
          <w:sz w:val="22"/>
        </w:rPr>
        <w:t xml:space="preserve">WNT </w:t>
      </w:r>
      <w:r w:rsidRPr="00EB3408">
        <w:rPr>
          <w:rFonts w:asciiTheme="majorHAnsi" w:hAnsiTheme="majorHAnsi"/>
          <w:i/>
          <w:sz w:val="22"/>
        </w:rPr>
        <w:t>signalling pathway</w:t>
      </w:r>
    </w:p>
    <w:p w14:paraId="48E5D64A" w14:textId="77777777" w:rsidR="00B15A35" w:rsidRPr="00EB3408" w:rsidRDefault="00B15A35" w:rsidP="00B15A35">
      <w:pPr>
        <w:rPr>
          <w:rFonts w:asciiTheme="majorHAnsi" w:hAnsiTheme="majorHAnsi"/>
          <w:i/>
          <w:sz w:val="22"/>
        </w:rPr>
      </w:pPr>
      <w:r w:rsidRPr="00EB3408">
        <w:rPr>
          <w:rFonts w:asciiTheme="majorHAnsi" w:hAnsiTheme="majorHAnsi"/>
          <w:i/>
          <w:sz w:val="22"/>
        </w:rPr>
        <w:t>1.5 The RAS/RAF signalling pathway</w:t>
      </w:r>
    </w:p>
    <w:p w14:paraId="345AAAE7" w14:textId="77777777" w:rsidR="00B15A35" w:rsidRPr="00EB3408" w:rsidRDefault="00B15A35" w:rsidP="00B15A35">
      <w:pPr>
        <w:rPr>
          <w:rFonts w:asciiTheme="majorHAnsi" w:hAnsiTheme="majorHAnsi"/>
          <w:i/>
          <w:sz w:val="22"/>
        </w:rPr>
      </w:pPr>
      <w:r w:rsidRPr="00EB3408">
        <w:rPr>
          <w:rFonts w:asciiTheme="majorHAnsi" w:hAnsiTheme="majorHAnsi"/>
          <w:i/>
          <w:sz w:val="22"/>
        </w:rPr>
        <w:t>1.6 Typical pathways to colon cancer progression</w:t>
      </w:r>
    </w:p>
    <w:p w14:paraId="155B277A" w14:textId="057133AA" w:rsidR="00B15A35" w:rsidRPr="00EB3408" w:rsidRDefault="00B15A35" w:rsidP="00B15A35">
      <w:pPr>
        <w:rPr>
          <w:rFonts w:asciiTheme="majorHAnsi" w:hAnsiTheme="majorHAnsi"/>
          <w:i/>
          <w:sz w:val="22"/>
        </w:rPr>
      </w:pPr>
      <w:r w:rsidRPr="00EB3408">
        <w:rPr>
          <w:rFonts w:asciiTheme="majorHAnsi" w:hAnsiTheme="majorHAnsi"/>
          <w:i/>
          <w:sz w:val="22"/>
        </w:rPr>
        <w:t xml:space="preserve">1.7 SRCAP’s role </w:t>
      </w:r>
      <w:r w:rsidR="009D2E01" w:rsidRPr="00EB3408">
        <w:rPr>
          <w:rFonts w:asciiTheme="majorHAnsi" w:hAnsiTheme="majorHAnsi"/>
          <w:i/>
          <w:sz w:val="22"/>
        </w:rPr>
        <w:t>in chromatin remodelling</w:t>
      </w:r>
    </w:p>
    <w:p w14:paraId="650638B4" w14:textId="77777777" w:rsidR="00B15A35" w:rsidRDefault="00B15A35" w:rsidP="00B15A35"/>
    <w:p w14:paraId="3ABA32DF" w14:textId="77777777" w:rsidR="00B15A35" w:rsidRPr="00EB3408" w:rsidRDefault="00B15A35" w:rsidP="00B15A35">
      <w:pPr>
        <w:rPr>
          <w:rFonts w:asciiTheme="majorHAnsi" w:hAnsiTheme="majorHAnsi"/>
          <w:sz w:val="22"/>
          <w:u w:val="single"/>
        </w:rPr>
      </w:pPr>
      <w:r w:rsidRPr="00EB3408">
        <w:rPr>
          <w:rFonts w:asciiTheme="majorHAnsi" w:hAnsiTheme="majorHAnsi"/>
          <w:sz w:val="22"/>
          <w:u w:val="single"/>
        </w:rPr>
        <w:t>List of Tables</w:t>
      </w:r>
    </w:p>
    <w:p w14:paraId="143E7AEB" w14:textId="77777777" w:rsidR="00B15A35" w:rsidRPr="00BC72E1" w:rsidRDefault="00B15A35" w:rsidP="00B15A35">
      <w:r w:rsidRPr="00EB3408">
        <w:rPr>
          <w:rFonts w:asciiTheme="majorHAnsi" w:hAnsiTheme="majorHAnsi"/>
          <w:i/>
          <w:sz w:val="22"/>
        </w:rPr>
        <w:t>1.1 The Ten Hallmarks of Cancer</w:t>
      </w:r>
      <w:r w:rsidRPr="00EC1CC3">
        <w:rPr>
          <w:i/>
        </w:rPr>
        <w:br w:type="page"/>
      </w:r>
      <w:r w:rsidRPr="00BC72E1">
        <w:rPr>
          <w:rFonts w:asciiTheme="majorHAnsi" w:hAnsiTheme="majorHAnsi"/>
          <w:sz w:val="28"/>
          <w:szCs w:val="28"/>
          <w:u w:val="single"/>
        </w:rPr>
        <w:t xml:space="preserve">1.1 Cancer </w:t>
      </w:r>
      <w:r>
        <w:rPr>
          <w:rFonts w:asciiTheme="majorHAnsi" w:hAnsiTheme="majorHAnsi"/>
          <w:sz w:val="28"/>
          <w:szCs w:val="28"/>
          <w:u w:val="single"/>
        </w:rPr>
        <w:t>Overview</w:t>
      </w:r>
    </w:p>
    <w:p w14:paraId="3BFE3E0C" w14:textId="77777777" w:rsidR="00B15A35" w:rsidRDefault="00B15A35" w:rsidP="00B15A35">
      <w:pPr>
        <w:pStyle w:val="NoSpacing"/>
        <w:spacing w:line="360" w:lineRule="auto"/>
        <w:jc w:val="both"/>
        <w:rPr>
          <w:rFonts w:asciiTheme="majorHAnsi" w:hAnsiTheme="majorHAnsi"/>
          <w:sz w:val="28"/>
          <w:szCs w:val="28"/>
          <w:u w:val="single"/>
        </w:rPr>
      </w:pPr>
    </w:p>
    <w:p w14:paraId="239F2070" w14:textId="77777777" w:rsidR="00B15A35" w:rsidRPr="00BC72E1" w:rsidRDefault="00B15A35" w:rsidP="002F41C6">
      <w:pPr>
        <w:pStyle w:val="NoSpacing"/>
        <w:numPr>
          <w:ilvl w:val="0"/>
          <w:numId w:val="33"/>
        </w:numPr>
        <w:spacing w:line="360" w:lineRule="auto"/>
        <w:jc w:val="both"/>
        <w:rPr>
          <w:rFonts w:asciiTheme="majorHAnsi" w:hAnsiTheme="majorHAnsi"/>
          <w:b/>
          <w:i/>
        </w:rPr>
      </w:pPr>
      <w:r>
        <w:rPr>
          <w:rFonts w:asciiTheme="majorHAnsi" w:hAnsiTheme="majorHAnsi"/>
          <w:b/>
          <w:i/>
        </w:rPr>
        <w:t>Cancer Statistics and G</w:t>
      </w:r>
      <w:r w:rsidRPr="00BC72E1">
        <w:rPr>
          <w:rFonts w:asciiTheme="majorHAnsi" w:hAnsiTheme="majorHAnsi"/>
          <w:b/>
          <w:i/>
        </w:rPr>
        <w:t>enetics</w:t>
      </w:r>
    </w:p>
    <w:p w14:paraId="2AAC2681" w14:textId="0323B644" w:rsidR="00B15A35" w:rsidRPr="00BC72E1" w:rsidRDefault="00B15A35" w:rsidP="00B15A35">
      <w:pPr>
        <w:pStyle w:val="NoSpacing"/>
        <w:spacing w:line="360" w:lineRule="auto"/>
        <w:jc w:val="both"/>
        <w:rPr>
          <w:rFonts w:asciiTheme="majorHAnsi" w:hAnsiTheme="majorHAnsi"/>
        </w:rPr>
      </w:pPr>
      <w:r w:rsidRPr="00BC72E1">
        <w:rPr>
          <w:rFonts w:asciiTheme="majorHAnsi" w:hAnsiTheme="majorHAnsi"/>
        </w:rPr>
        <w:t>The National Cancer Institute define</w:t>
      </w:r>
      <w:r>
        <w:rPr>
          <w:rFonts w:asciiTheme="majorHAnsi" w:hAnsiTheme="majorHAnsi"/>
        </w:rPr>
        <w:t>s</w:t>
      </w:r>
      <w:r w:rsidRPr="00BC72E1">
        <w:rPr>
          <w:rFonts w:asciiTheme="majorHAnsi" w:hAnsiTheme="majorHAnsi"/>
        </w:rPr>
        <w:t xml:space="preserve"> cancer as- “the name given to a collection of related diseases, where some of the body’s cells begin to divide without stopping and spread into surrounding tissues</w:t>
      </w:r>
      <w:r w:rsidRPr="00E82D3B">
        <w:rPr>
          <w:rFonts w:asciiTheme="majorHAnsi" w:hAnsiTheme="majorHAnsi"/>
        </w:rPr>
        <w:t>”</w:t>
      </w:r>
      <w:r w:rsidR="007436E9" w:rsidRPr="00E82D3B">
        <w:rPr>
          <w:rFonts w:asciiTheme="majorHAnsi" w:hAnsiTheme="majorHAnsi"/>
        </w:rPr>
        <w:t xml:space="preserve"> </w:t>
      </w:r>
      <w:r w:rsidR="000B477F" w:rsidRPr="00E82D3B">
        <w:rPr>
          <w:rFonts w:asciiTheme="majorHAnsi" w:hAnsiTheme="majorHAnsi"/>
        </w:rPr>
        <w:t xml:space="preserve">(National Cancer institute, </w:t>
      </w:r>
      <w:r w:rsidR="007436E9" w:rsidRPr="00E82D3B">
        <w:rPr>
          <w:rFonts w:asciiTheme="majorHAnsi" w:hAnsiTheme="majorHAnsi"/>
        </w:rPr>
        <w:fldChar w:fldCharType="begin"/>
      </w:r>
      <w:r w:rsidR="00A07575" w:rsidRPr="00E82D3B">
        <w:rPr>
          <w:rFonts w:asciiTheme="majorHAnsi" w:hAnsiTheme="majorHAnsi"/>
        </w:rPr>
        <w:instrText xml:space="preserve"> ADDIN EN.CITE &lt;EndNote&gt;&lt;Cite ExcludeAuth="1"&gt;&lt;Author&gt;NationalCancerInstitute&lt;/Author&gt;&lt;Year&gt;2015&lt;/Year&gt;&lt;IDText&gt;What is cancer?&lt;/IDText&gt;&lt;DisplayText&gt;(2015)&lt;/DisplayText&gt;&lt;record&gt;&lt;titles&gt;&lt;title&gt;What is cancer?&lt;/title&gt;&lt;/titles&gt;&lt;contributors&gt;&lt;authors&gt;&lt;author&gt;NationalCancerInstitute&lt;/author&gt;&lt;/authors&gt;&lt;/contributors&gt;&lt;added-date format="utc"&gt;1470750838&lt;/added-date&gt;&lt;ref-type name="Web Page"&gt;12&lt;/ref-type&gt;&lt;dates&gt;&lt;year&gt;2015&lt;/year&gt;&lt;/dates&gt;&lt;rec-number&gt;177&lt;/rec-number&gt;&lt;last-updated-date format="utc"&gt;1515417530&lt;/last-updated-date&gt;&lt;/record&gt;&lt;/Cite&gt;&lt;/EndNote&gt;</w:instrText>
      </w:r>
      <w:r w:rsidR="007436E9" w:rsidRPr="00E82D3B">
        <w:rPr>
          <w:rFonts w:asciiTheme="majorHAnsi" w:hAnsiTheme="majorHAnsi"/>
        </w:rPr>
        <w:fldChar w:fldCharType="separate"/>
      </w:r>
      <w:r w:rsidR="00A07575" w:rsidRPr="00E82D3B">
        <w:rPr>
          <w:rFonts w:asciiTheme="majorHAnsi" w:hAnsiTheme="majorHAnsi"/>
          <w:noProof/>
        </w:rPr>
        <w:t>2015)</w:t>
      </w:r>
      <w:r w:rsidR="007436E9" w:rsidRPr="00E82D3B">
        <w:rPr>
          <w:rFonts w:asciiTheme="majorHAnsi" w:hAnsiTheme="majorHAnsi"/>
        </w:rPr>
        <w:fldChar w:fldCharType="end"/>
      </w:r>
      <w:r w:rsidRPr="00E82D3B">
        <w:rPr>
          <w:rFonts w:asciiTheme="majorHAnsi" w:hAnsiTheme="majorHAnsi"/>
        </w:rPr>
        <w:t>. In fact there are around 200 types of cancer ranging from nearly all cell types of the</w:t>
      </w:r>
      <w:r w:rsidRPr="00BC72E1">
        <w:rPr>
          <w:rFonts w:asciiTheme="majorHAnsi" w:hAnsiTheme="majorHAnsi"/>
        </w:rPr>
        <w:t xml:space="preserve"> human body, and as of January 2015 approximately 910 people per day were diagnosed with some form of cancer in the UK </w:t>
      </w:r>
      <w:r w:rsidR="007436E9">
        <w:rPr>
          <w:rFonts w:asciiTheme="majorHAnsi" w:hAnsiTheme="majorHAnsi"/>
        </w:rPr>
        <w:fldChar w:fldCharType="begin"/>
      </w:r>
      <w:r w:rsidR="0070038F">
        <w:rPr>
          <w:rFonts w:asciiTheme="majorHAnsi" w:hAnsiTheme="majorHAnsi"/>
        </w:rPr>
        <w:instrText xml:space="preserve"> ADDIN EN.CITE &lt;EndNote&gt;&lt;Cite&gt;&lt;Author&gt;CRUK&lt;/Author&gt;&lt;Year&gt;2015&lt;/Year&gt;&lt;IDText&gt;Understanding cancer statistics - incidence, survival, mortality&lt;/IDText&gt;&lt;DisplayText&gt;(CRUK, 2015a)&lt;/DisplayText&gt;&lt;record&gt;&lt;titles&gt;&lt;title&gt;Understanding cancer statistics - incidence, survival, mortality&lt;/title&gt;&lt;/titles&gt;&lt;contributors&gt;&lt;authors&gt;&lt;author&gt;CRUK&lt;/author&gt;&lt;/authors&gt;&lt;/contributors&gt;&lt;added-date format="utc"&gt;1470751417&lt;/added-date&gt;&lt;ref-type name="Web Page"&gt;12&lt;/ref-type&gt;&lt;dates&gt;&lt;year&gt;2015&lt;/year&gt;&lt;/dates&gt;&lt;rec-number&gt;178&lt;/rec-number&gt;&lt;last-updated-date format="utc"&gt;1515417667&lt;/last-updated-date&gt;&lt;/record&gt;&lt;/Cite&gt;&lt;/EndNote&gt;</w:instrText>
      </w:r>
      <w:r w:rsidR="007436E9">
        <w:rPr>
          <w:rFonts w:asciiTheme="majorHAnsi" w:hAnsiTheme="majorHAnsi"/>
        </w:rPr>
        <w:fldChar w:fldCharType="separate"/>
      </w:r>
      <w:r w:rsidR="0070038F">
        <w:rPr>
          <w:rFonts w:asciiTheme="majorHAnsi" w:hAnsiTheme="majorHAnsi"/>
          <w:noProof/>
        </w:rPr>
        <w:t>(CRUK, 2015a)</w:t>
      </w:r>
      <w:r w:rsidR="007436E9">
        <w:rPr>
          <w:rFonts w:asciiTheme="majorHAnsi" w:hAnsiTheme="majorHAnsi"/>
        </w:rPr>
        <w:fldChar w:fldCharType="end"/>
      </w:r>
      <w:r w:rsidR="007436E9">
        <w:rPr>
          <w:rFonts w:asciiTheme="majorHAnsi" w:hAnsiTheme="majorHAnsi"/>
        </w:rPr>
        <w:t>.</w:t>
      </w:r>
      <w:r w:rsidR="00770EBD">
        <w:rPr>
          <w:rFonts w:asciiTheme="majorHAnsi" w:hAnsiTheme="majorHAnsi"/>
        </w:rPr>
        <w:t xml:space="preserve"> </w:t>
      </w:r>
      <w:r w:rsidRPr="00BC72E1">
        <w:rPr>
          <w:rFonts w:asciiTheme="majorHAnsi" w:hAnsiTheme="majorHAnsi"/>
        </w:rPr>
        <w:t>This makes cancer a leading cause of death across the world</w:t>
      </w:r>
      <w:r w:rsidR="00770EBD">
        <w:rPr>
          <w:rFonts w:asciiTheme="majorHAnsi" w:hAnsiTheme="majorHAnsi"/>
        </w:rPr>
        <w:t>,</w:t>
      </w:r>
      <w:r w:rsidRPr="00BC72E1">
        <w:rPr>
          <w:rFonts w:asciiTheme="majorHAnsi" w:hAnsiTheme="majorHAnsi"/>
        </w:rPr>
        <w:t xml:space="preserve"> and the </w:t>
      </w:r>
      <w:r w:rsidR="007B1C45">
        <w:rPr>
          <w:rFonts w:asciiTheme="majorHAnsi" w:hAnsiTheme="majorHAnsi"/>
        </w:rPr>
        <w:t>number</w:t>
      </w:r>
      <w:r w:rsidRPr="00BC72E1">
        <w:rPr>
          <w:rFonts w:asciiTheme="majorHAnsi" w:hAnsiTheme="majorHAnsi"/>
        </w:rPr>
        <w:t xml:space="preserve"> of new instances is predicted to increase by 70% in the coming </w:t>
      </w:r>
      <w:r w:rsidRPr="00E82D3B">
        <w:rPr>
          <w:rFonts w:asciiTheme="majorHAnsi" w:hAnsiTheme="majorHAnsi"/>
        </w:rPr>
        <w:t>decade</w:t>
      </w:r>
      <w:r w:rsidR="00770EBD" w:rsidRPr="00E82D3B">
        <w:rPr>
          <w:rFonts w:asciiTheme="majorHAnsi" w:hAnsiTheme="majorHAnsi"/>
        </w:rPr>
        <w:t xml:space="preserve"> </w:t>
      </w:r>
      <w:r w:rsidR="000B477F" w:rsidRPr="00E82D3B">
        <w:rPr>
          <w:rFonts w:asciiTheme="majorHAnsi" w:hAnsiTheme="majorHAnsi"/>
        </w:rPr>
        <w:t xml:space="preserve">(World Health Organisation, </w:t>
      </w:r>
      <w:r w:rsidR="007436E9" w:rsidRPr="00E82D3B">
        <w:rPr>
          <w:rFonts w:asciiTheme="majorHAnsi" w:hAnsiTheme="majorHAnsi"/>
        </w:rPr>
        <w:fldChar w:fldCharType="begin"/>
      </w:r>
      <w:r w:rsidR="00A07575" w:rsidRPr="00E82D3B">
        <w:rPr>
          <w:rFonts w:asciiTheme="majorHAnsi" w:hAnsiTheme="majorHAnsi"/>
        </w:rPr>
        <w:instrText xml:space="preserve"> ADDIN EN.CITE &lt;EndNote&gt;&lt;Cite ExcludeAuth="1"&gt;&lt;Author&gt;WorldHealthOrganisation&lt;/Author&gt;&lt;Year&gt;2015&lt;/Year&gt;&lt;IDText&gt;Cancer, Fact sheet No.297&lt;/IDText&gt;&lt;DisplayText&gt;(2015)&lt;/DisplayText&gt;&lt;record&gt;&lt;titles&gt;&lt;title&gt;Cancer, Fact sheet No.297&lt;/title&gt;&lt;/titles&gt;&lt;contributors&gt;&lt;authors&gt;&lt;author&gt;WorldHealthOrganisation&lt;/author&gt;&lt;/authors&gt;&lt;/contributors&gt;&lt;added-date format="utc"&gt;1470752308&lt;/added-date&gt;&lt;pub-location&gt;Online&lt;/pub-location&gt;&lt;ref-type name="Web Page"&gt;12&lt;/ref-type&gt;&lt;dates&gt;&lt;year&gt;2015&lt;/year&gt;&lt;/dates&gt;&lt;rec-number&gt;179&lt;/rec-number&gt;&lt;publisher&gt;World Health Organisation&lt;/publisher&gt;&lt;last-updated-date format="utc"&gt;1515417170&lt;/last-updated-date&gt;&lt;/record&gt;&lt;/Cite&gt;&lt;/EndNote&gt;</w:instrText>
      </w:r>
      <w:r w:rsidR="007436E9" w:rsidRPr="00E82D3B">
        <w:rPr>
          <w:rFonts w:asciiTheme="majorHAnsi" w:hAnsiTheme="majorHAnsi"/>
        </w:rPr>
        <w:fldChar w:fldCharType="separate"/>
      </w:r>
      <w:r w:rsidR="00A07575" w:rsidRPr="00E82D3B">
        <w:rPr>
          <w:rFonts w:asciiTheme="majorHAnsi" w:hAnsiTheme="majorHAnsi"/>
          <w:noProof/>
        </w:rPr>
        <w:t>2015)</w:t>
      </w:r>
      <w:r w:rsidR="007436E9" w:rsidRPr="00E82D3B">
        <w:rPr>
          <w:rFonts w:asciiTheme="majorHAnsi" w:hAnsiTheme="majorHAnsi"/>
        </w:rPr>
        <w:fldChar w:fldCharType="end"/>
      </w:r>
      <w:r w:rsidRPr="00BC72E1">
        <w:rPr>
          <w:rFonts w:asciiTheme="majorHAnsi" w:hAnsiTheme="majorHAnsi"/>
        </w:rPr>
        <w:t xml:space="preserve">. </w:t>
      </w:r>
      <w:r>
        <w:rPr>
          <w:rFonts w:asciiTheme="majorHAnsi" w:hAnsiTheme="majorHAnsi"/>
        </w:rPr>
        <w:t>Such statistics highlight that although there have been vast improvements into cancer treatment and care; there is still a</w:t>
      </w:r>
      <w:r w:rsidRPr="00BC72E1">
        <w:rPr>
          <w:rFonts w:asciiTheme="majorHAnsi" w:hAnsiTheme="majorHAnsi"/>
        </w:rPr>
        <w:t xml:space="preserve"> continued need for new research findings and novel </w:t>
      </w:r>
      <w:r w:rsidR="007A6E6D">
        <w:rPr>
          <w:rFonts w:asciiTheme="majorHAnsi" w:hAnsiTheme="majorHAnsi"/>
        </w:rPr>
        <w:t>therapeutics</w:t>
      </w:r>
      <w:r w:rsidRPr="00BC72E1">
        <w:rPr>
          <w:rFonts w:asciiTheme="majorHAnsi" w:hAnsiTheme="majorHAnsi"/>
        </w:rPr>
        <w:t xml:space="preserve">. </w:t>
      </w:r>
    </w:p>
    <w:p w14:paraId="294DF716" w14:textId="77777777" w:rsidR="00B15A35" w:rsidRPr="00BC72E1" w:rsidRDefault="00B15A35" w:rsidP="00B15A35">
      <w:pPr>
        <w:pStyle w:val="NoSpacing"/>
        <w:spacing w:line="360" w:lineRule="auto"/>
        <w:jc w:val="both"/>
        <w:rPr>
          <w:rFonts w:asciiTheme="majorHAnsi" w:hAnsiTheme="majorHAnsi"/>
          <w:sz w:val="28"/>
          <w:szCs w:val="28"/>
          <w:u w:val="single"/>
        </w:rPr>
      </w:pPr>
    </w:p>
    <w:p w14:paraId="2F0CC0C3" w14:textId="6582C6BB" w:rsidR="00B15A35" w:rsidRDefault="00B15A35" w:rsidP="00B15A35">
      <w:pPr>
        <w:pStyle w:val="NoSpacing"/>
        <w:spacing w:line="360" w:lineRule="auto"/>
        <w:jc w:val="both"/>
        <w:rPr>
          <w:rFonts w:asciiTheme="majorHAnsi" w:hAnsiTheme="majorHAnsi"/>
        </w:rPr>
      </w:pPr>
      <w:r w:rsidRPr="00BC72E1">
        <w:rPr>
          <w:rFonts w:asciiTheme="majorHAnsi" w:hAnsiTheme="majorHAnsi"/>
        </w:rPr>
        <w:t xml:space="preserve">Cancer arises due to the accumulation of various genetic </w:t>
      </w:r>
      <w:r>
        <w:rPr>
          <w:rFonts w:asciiTheme="majorHAnsi" w:hAnsiTheme="majorHAnsi"/>
        </w:rPr>
        <w:t xml:space="preserve">and epigenetic </w:t>
      </w:r>
      <w:r w:rsidRPr="00BC72E1">
        <w:rPr>
          <w:rFonts w:asciiTheme="majorHAnsi" w:hAnsiTheme="majorHAnsi"/>
        </w:rPr>
        <w:t>changes within somatic cells and the</w:t>
      </w:r>
      <w:r>
        <w:rPr>
          <w:rFonts w:asciiTheme="majorHAnsi" w:hAnsiTheme="majorHAnsi"/>
        </w:rPr>
        <w:t>ir</w:t>
      </w:r>
      <w:r w:rsidRPr="00BC72E1">
        <w:rPr>
          <w:rFonts w:asciiTheme="majorHAnsi" w:hAnsiTheme="majorHAnsi"/>
        </w:rPr>
        <w:t xml:space="preserve"> subsequent clonal expansion. This results in a population of cells with unconstrained growth, able to invade and </w:t>
      </w:r>
      <w:proofErr w:type="spellStart"/>
      <w:r>
        <w:rPr>
          <w:rFonts w:asciiTheme="majorHAnsi" w:hAnsiTheme="majorHAnsi"/>
        </w:rPr>
        <w:t>colonise</w:t>
      </w:r>
      <w:proofErr w:type="spellEnd"/>
      <w:r w:rsidRPr="00BC72E1">
        <w:rPr>
          <w:rFonts w:asciiTheme="majorHAnsi" w:hAnsiTheme="majorHAnsi"/>
        </w:rPr>
        <w:t xml:space="preserve"> other areas of the body </w:t>
      </w:r>
      <w:r w:rsidRPr="00BC72E1">
        <w:rPr>
          <w:rFonts w:asciiTheme="majorHAnsi" w:hAnsiTheme="majorHAnsi"/>
        </w:rPr>
        <w:fldChar w:fldCharType="begin"/>
      </w:r>
      <w:r w:rsidRPr="00BC72E1">
        <w:rPr>
          <w:rFonts w:asciiTheme="majorHAnsi" w:hAnsiTheme="majorHAnsi"/>
        </w:rPr>
        <w:instrText xml:space="preserve"> ADDIN EN.CITE &lt;EndNote&gt;&lt;Cite&gt;&lt;Author&gt;Miller&lt;/Author&gt;&lt;Year&gt;1980&lt;/Year&gt;&lt;IDText&gt;On the nature of susceptibility to cancer. The presidential address&lt;/IDText&gt;&lt;DisplayText&gt;(Miller, 1980)&lt;/DisplayText&gt;&lt;record&gt;&lt;isbn&gt;0008543X&lt;/isbn&gt;&lt;titles&gt;&lt;title&gt;On the nature of susceptibility to cancer. The presidential address&lt;/title&gt;&lt;secondary-title&gt;Cancer&lt;/secondary-title&gt;&lt;/titles&gt;&lt;pages&gt;1307-1318&lt;/pages&gt;&lt;number&gt;6&lt;/number&gt;&lt;contributors&gt;&lt;authors&gt;&lt;author&gt;Miller, D. G.&lt;/author&gt;&lt;/authors&gt;&lt;/contributors&gt;&lt;added-date format="utc"&gt;1425996974&lt;/added-date&gt;&lt;ref-type name="Journal Article"&gt;17&lt;/ref-type&gt;&lt;dates&gt;&lt;year&gt;1980&lt;/year&gt;&lt;/dates&gt;&lt;rec-number&gt;71&lt;/rec-number&gt;&lt;last-updated-date format="utc"&gt;1447344215&lt;/last-updated-date&gt;&lt;volume&gt;46&lt;/volume&gt;&lt;/record&gt;&lt;/Cite&gt;&lt;/EndNote&gt;</w:instrText>
      </w:r>
      <w:r w:rsidRPr="00BC72E1">
        <w:rPr>
          <w:rFonts w:asciiTheme="majorHAnsi" w:hAnsiTheme="majorHAnsi"/>
        </w:rPr>
        <w:fldChar w:fldCharType="separate"/>
      </w:r>
      <w:r w:rsidRPr="00BC72E1">
        <w:rPr>
          <w:rFonts w:asciiTheme="majorHAnsi" w:hAnsiTheme="majorHAnsi"/>
          <w:noProof/>
        </w:rPr>
        <w:t>(Miller, 1980)</w:t>
      </w:r>
      <w:r w:rsidRPr="00BC72E1">
        <w:rPr>
          <w:rFonts w:asciiTheme="majorHAnsi" w:hAnsiTheme="majorHAnsi"/>
        </w:rPr>
        <w:fldChar w:fldCharType="end"/>
      </w:r>
      <w:r w:rsidRPr="00BC72E1">
        <w:rPr>
          <w:rFonts w:asciiTheme="majorHAnsi" w:hAnsiTheme="majorHAnsi"/>
        </w:rPr>
        <w:t xml:space="preserve">. At the turn of the twentieth century the involvement of the genome came to the forefront of cancer research when Theodor </w:t>
      </w:r>
      <w:proofErr w:type="spellStart"/>
      <w:r w:rsidRPr="00BC72E1">
        <w:rPr>
          <w:rFonts w:asciiTheme="majorHAnsi" w:hAnsiTheme="majorHAnsi"/>
        </w:rPr>
        <w:t>Boveri</w:t>
      </w:r>
      <w:proofErr w:type="spellEnd"/>
      <w:r w:rsidRPr="00BC72E1">
        <w:rPr>
          <w:rFonts w:asciiTheme="majorHAnsi" w:hAnsiTheme="majorHAnsi"/>
        </w:rPr>
        <w:t xml:space="preserve"> and David von </w:t>
      </w:r>
      <w:proofErr w:type="spellStart"/>
      <w:r w:rsidRPr="00BC72E1">
        <w:rPr>
          <w:rFonts w:asciiTheme="majorHAnsi" w:hAnsiTheme="majorHAnsi"/>
        </w:rPr>
        <w:t>Hansemann</w:t>
      </w:r>
      <w:proofErr w:type="spellEnd"/>
      <w:r w:rsidRPr="00BC72E1">
        <w:rPr>
          <w:rFonts w:asciiTheme="majorHAnsi" w:hAnsiTheme="majorHAnsi"/>
        </w:rPr>
        <w:t xml:space="preserve"> recognized that cancer cells had aberrations within the genetic material</w:t>
      </w:r>
      <w:r>
        <w:rPr>
          <w:rFonts w:asciiTheme="majorHAnsi" w:hAnsiTheme="majorHAnsi"/>
        </w:rPr>
        <w:t xml:space="preserve"> </w:t>
      </w:r>
      <w:r w:rsidR="00770EBD">
        <w:rPr>
          <w:rFonts w:asciiTheme="majorHAnsi" w:hAnsiTheme="majorHAnsi"/>
        </w:rPr>
        <w:t xml:space="preserve">(reviewed in </w:t>
      </w:r>
      <w:r>
        <w:rPr>
          <w:rFonts w:asciiTheme="majorHAnsi" w:hAnsiTheme="majorHAnsi"/>
        </w:rPr>
        <w:fldChar w:fldCharType="begin"/>
      </w:r>
      <w:r w:rsidR="00D66FC3">
        <w:rPr>
          <w:rFonts w:asciiTheme="majorHAnsi" w:hAnsiTheme="majorHAnsi"/>
        </w:rPr>
        <w:instrText xml:space="preserve"> ADDIN EN.CITE &lt;EndNote&gt;&lt;Cite&gt;&lt;Author&gt;Bignold&lt;/Author&gt;&lt;Year&gt;2006&lt;/Year&gt;&lt;IDText&gt;Hansemann, Boveri, chromosomes and the gametogenesis-related theories of tumours&lt;/IDText&gt;&lt;DisplayText&gt;(Bignold et al., 2006)&lt;/DisplayText&gt;&lt;record&gt;&lt;dates&gt;&lt;pub-dates&gt;&lt;date&gt;Jul&lt;/date&gt;&lt;/pub-dates&gt;&lt;year&gt;2006&lt;/year&gt;&lt;/dates&gt;&lt;keywords&gt;&lt;keyword&gt;Chromosomes&lt;/keyword&gt;&lt;keyword&gt;Gametogenesis&lt;/keyword&gt;&lt;keyword&gt;History, 19th Century&lt;/keyword&gt;&lt;keyword&gt;History, 20th Century&lt;/keyword&gt;&lt;keyword&gt;Humans&lt;/keyword&gt;&lt;keyword&gt;Neoplasms&lt;/keyword&gt;&lt;/keywords&gt;&lt;urls&gt;&lt;related-urls&gt;&lt;url&gt;https://www.ncbi.nlm.nih.gov/pubmed/16753311&lt;/url&gt;&lt;/related-urls&gt;&lt;/urls&gt;&lt;isbn&gt;1065-6995&lt;/isbn&gt;&lt;titles&gt;&lt;title&gt;Hansemann, Boveri, chromosomes and the gametogenesis-related theories of tumours&lt;/title&gt;&lt;secondary-title&gt;Cell Biol Int&lt;/secondary-title&gt;&lt;/titles&gt;&lt;pages&gt;640-4&lt;/pages&gt;&lt;number&gt;7&lt;/number&gt;&lt;contributors&gt;&lt;authors&gt;&lt;author&gt;Bignold, L. P.&lt;/author&gt;&lt;author&gt;Coghlan, B. L.&lt;/author&gt;&lt;author&gt;Jersmann, H. P.&lt;/author&gt;&lt;/authors&gt;&lt;/contributors&gt;&lt;edition&gt;2006/04/25&lt;/edition&gt;&lt;language&gt;eng&lt;/language&gt;&lt;added-date format="utc"&gt;1498732533&lt;/added-date&gt;&lt;ref-type name="Journal Article"&gt;17&lt;/ref-type&gt;&lt;rec-number&gt;187&lt;/rec-number&gt;&lt;last-updated-date format="utc"&gt;1498732533&lt;/last-updated-date&gt;&lt;accession-num&gt;16753311&lt;/accession-num&gt;&lt;electronic-resource-num&gt;10.1016/j.cellbi.2006.04.002&lt;/electronic-resource-num&gt;&lt;volume&gt;30&lt;/volume&gt;&lt;/record&gt;&lt;/Cite&gt;&lt;/EndNote&gt;</w:instrText>
      </w:r>
      <w:r>
        <w:rPr>
          <w:rFonts w:asciiTheme="majorHAnsi" w:hAnsiTheme="majorHAnsi"/>
        </w:rPr>
        <w:fldChar w:fldCharType="separate"/>
      </w:r>
      <w:r w:rsidR="00D66FC3">
        <w:rPr>
          <w:rFonts w:asciiTheme="majorHAnsi" w:hAnsiTheme="majorHAnsi"/>
          <w:noProof/>
        </w:rPr>
        <w:t>(Bignold et al., 2006)</w:t>
      </w:r>
      <w:r>
        <w:rPr>
          <w:rFonts w:asciiTheme="majorHAnsi" w:hAnsiTheme="majorHAnsi"/>
        </w:rPr>
        <w:fldChar w:fldCharType="end"/>
      </w:r>
      <w:r w:rsidRPr="00BC72E1">
        <w:rPr>
          <w:rFonts w:asciiTheme="majorHAnsi" w:hAnsiTheme="majorHAnsi"/>
        </w:rPr>
        <w:t xml:space="preserve">. This was then supported by the later discovery of how mutations caused by DNA damaging agents can be passed on to daughter cells, which then confer a predisposition for proliferation </w:t>
      </w:r>
      <w:r w:rsidR="00770EBD">
        <w:rPr>
          <w:rFonts w:asciiTheme="majorHAnsi" w:hAnsiTheme="majorHAnsi"/>
        </w:rPr>
        <w:t xml:space="preserve">(reviewed in </w:t>
      </w:r>
      <w:r w:rsidR="00024075">
        <w:rPr>
          <w:rFonts w:asciiTheme="majorHAnsi" w:hAnsiTheme="majorHAnsi"/>
        </w:rPr>
        <w:fldChar w:fldCharType="begin"/>
      </w:r>
      <w:r w:rsidR="00D66FC3">
        <w:rPr>
          <w:rFonts w:asciiTheme="majorHAnsi" w:hAnsiTheme="majorHAnsi"/>
        </w:rPr>
        <w:instrText xml:space="preserve"> ADDIN EN.CITE &lt;EndNote&gt;&lt;Cite&gt;&lt;Author&gt;Loeb&lt;/Author&gt;&lt;Year&gt;2008&lt;/Year&gt;&lt;IDText&gt;Advances in chemical carcinogenesis: a historical review and prospective&lt;/IDText&gt;&lt;DisplayText&gt;(Loeb and Harris, 2008)&lt;/DisplayText&gt;&lt;record&gt;&lt;dates&gt;&lt;pub-dates&gt;&lt;date&gt;Sep&lt;/date&gt;&lt;/pub-dates&gt;&lt;year&gt;2008&lt;/year&gt;&lt;/dates&gt;&lt;keywords&gt;&lt;keyword&gt;Carcinogens&lt;/keyword&gt;&lt;keyword&gt;Cell Transformation, Neoplastic&lt;/keyword&gt;&lt;keyword&gt;DNA Damage&lt;/keyword&gt;&lt;keyword&gt;DNA Repair&lt;/keyword&gt;&lt;keyword&gt;Humans&lt;/keyword&gt;&lt;keyword&gt;Mutagens&lt;/keyword&gt;&lt;/keywords&gt;&lt;urls&gt;&lt;related-urls&gt;&lt;url&gt;https://www.ncbi.nlm.nih.gov/pubmed/18757397&lt;/url&gt;&lt;/related-urls&gt;&lt;/urls&gt;&lt;isbn&gt;1538-7445&lt;/isbn&gt;&lt;custom2&gt;PMC2583449&lt;/custom2&gt;&lt;titles&gt;&lt;title&gt;Advances in chemical carcinogenesis: a historical review and prospective&lt;/title&gt;&lt;secondary-title&gt;Cancer Res&lt;/secondary-title&gt;&lt;/titles&gt;&lt;pages&gt;6863-72&lt;/pages&gt;&lt;number&gt;17&lt;/number&gt;&lt;contributors&gt;&lt;authors&gt;&lt;author&gt;Loeb, L. A.&lt;/author&gt;&lt;author&gt;Harris, C. C.&lt;/author&gt;&lt;/authors&gt;&lt;/contributors&gt;&lt;language&gt;eng&lt;/language&gt;&lt;added-date format="utc"&gt;1512485820&lt;/added-date&gt;&lt;ref-type name="Journal Article"&gt;17&lt;/ref-type&gt;&lt;rec-number&gt;387&lt;/rec-number&gt;&lt;last-updated-date format="utc"&gt;1512485820&lt;/last-updated-date&gt;&lt;accession-num&gt;18757397&lt;/accession-num&gt;&lt;electronic-resource-num&gt;10.1158/0008-5472.CAN-08-2852&lt;/electronic-resource-num&gt;&lt;volume&gt;68&lt;/volume&gt;&lt;/record&gt;&lt;/Cite&gt;&lt;/EndNote&gt;</w:instrText>
      </w:r>
      <w:r w:rsidR="00024075">
        <w:rPr>
          <w:rFonts w:asciiTheme="majorHAnsi" w:hAnsiTheme="majorHAnsi"/>
        </w:rPr>
        <w:fldChar w:fldCharType="separate"/>
      </w:r>
      <w:r w:rsidR="00D66FC3">
        <w:rPr>
          <w:rFonts w:asciiTheme="majorHAnsi" w:hAnsiTheme="majorHAnsi"/>
          <w:noProof/>
        </w:rPr>
        <w:t>(Loeb and Harris, 2008)</w:t>
      </w:r>
      <w:r w:rsidR="00024075">
        <w:rPr>
          <w:rFonts w:asciiTheme="majorHAnsi" w:hAnsiTheme="majorHAnsi"/>
        </w:rPr>
        <w:fldChar w:fldCharType="end"/>
      </w:r>
      <w:r w:rsidR="00024075">
        <w:rPr>
          <w:rFonts w:asciiTheme="majorHAnsi" w:hAnsiTheme="majorHAnsi"/>
        </w:rPr>
        <w:t xml:space="preserve">. </w:t>
      </w:r>
      <w:r w:rsidRPr="00933344">
        <w:rPr>
          <w:rFonts w:asciiTheme="majorHAnsi" w:hAnsiTheme="majorHAnsi"/>
          <w:lang w:val="en-GB"/>
        </w:rPr>
        <w:t>However, it wasn’t until the 1990’s that the impact of genetically acquired cancer became important, due to linkage studies on families with high breast cancer prevalence</w:t>
      </w:r>
      <w:r w:rsidR="00024075">
        <w:rPr>
          <w:rFonts w:asciiTheme="majorHAnsi" w:hAnsiTheme="majorHAnsi"/>
          <w:lang w:val="en-GB"/>
        </w:rPr>
        <w:t xml:space="preserve"> </w:t>
      </w:r>
      <w:r w:rsidR="00024075">
        <w:rPr>
          <w:rFonts w:asciiTheme="majorHAnsi" w:hAnsiTheme="majorHAnsi"/>
          <w:lang w:val="en-GB"/>
        </w:rPr>
        <w:fldChar w:fldCharType="begin"/>
      </w:r>
      <w:r w:rsidR="00024075">
        <w:rPr>
          <w:rFonts w:asciiTheme="majorHAnsi" w:hAnsiTheme="majorHAnsi"/>
          <w:lang w:val="en-GB"/>
        </w:rPr>
        <w:instrText xml:space="preserve"> ADDIN EN.CITE &lt;EndNote&gt;&lt;Cite&gt;&lt;Author&gt;Hall&lt;/Author&gt;&lt;Year&gt;1990&lt;/Year&gt;&lt;IDText&gt;Linkage of early-onset familial breast cancer to chromosome 17q21&lt;/IDText&gt;&lt;DisplayText&gt;(Hall et al., 1990)&lt;/DisplayText&gt;&lt;record&gt;&lt;dates&gt;&lt;pub-dates&gt;&lt;date&gt;Dec&lt;/date&gt;&lt;/pub-dates&gt;&lt;year&gt;1990&lt;/year&gt;&lt;/dates&gt;&lt;keywords&gt;&lt;keyword&gt;Breast Neoplasms&lt;/keyword&gt;&lt;keyword&gt;Chromosome Mapping&lt;/keyword&gt;&lt;keyword&gt;Chromosomes, Human, Pair 17&lt;/keyword&gt;&lt;keyword&gt;Female&lt;/keyword&gt;&lt;keyword&gt;Humans&lt;/keyword&gt;&lt;keyword&gt;Male&lt;/keyword&gt;&lt;keyword&gt;Pedigree&lt;/keyword&gt;&lt;keyword&gt;Polymorphism, Genetic&lt;/keyword&gt;&lt;keyword&gt;Pregnancy&lt;/keyword&gt;&lt;keyword&gt;Risk Factors&lt;/keyword&gt;&lt;/keywords&gt;&lt;urls&gt;&lt;related-urls&gt;&lt;url&gt;https://www.ncbi.nlm.nih.gov/pubmed/2270482&lt;/url&gt;&lt;/related-urls&gt;&lt;/urls&gt;&lt;isbn&gt;0036-8075&lt;/isbn&gt;&lt;titles&gt;&lt;title&gt;Linkage of early-onset familial breast cancer to chromosome 17q21&lt;/title&gt;&lt;secondary-title&gt;Science&lt;/secondary-title&gt;&lt;/titles&gt;&lt;pages&gt;1684-9&lt;/pages&gt;&lt;number&gt;4988&lt;/number&gt;&lt;contributors&gt;&lt;authors&gt;&lt;author&gt;Hall, J. M.&lt;/author&gt;&lt;author&gt;Lee, M. K.&lt;/author&gt;&lt;author&gt;Newman, B.&lt;/author&gt;&lt;author&gt;Morrow, J. E.&lt;/author&gt;&lt;author&gt;Anderson, L. A.&lt;/author&gt;&lt;author&gt;Huey, B.&lt;/author&gt;&lt;author&gt;King, M. C.&lt;/author&gt;&lt;/authors&gt;&lt;/contributors&gt;&lt;language&gt;eng&lt;/language&gt;&lt;added-date format="utc"&gt;1512486079&lt;/added-date&gt;&lt;ref-type name="Journal Article"&gt;17&lt;/ref-type&gt;&lt;rec-number&gt;388&lt;/rec-number&gt;&lt;last-updated-date format="utc"&gt;1512486079&lt;/last-updated-date&gt;&lt;accession-num&gt;2270482&lt;/accession-num&gt;&lt;volume&gt;250&lt;/volume&gt;&lt;/record&gt;&lt;/Cite&gt;&lt;/EndNote&gt;</w:instrText>
      </w:r>
      <w:r w:rsidR="00024075">
        <w:rPr>
          <w:rFonts w:asciiTheme="majorHAnsi" w:hAnsiTheme="majorHAnsi"/>
          <w:lang w:val="en-GB"/>
        </w:rPr>
        <w:fldChar w:fldCharType="separate"/>
      </w:r>
      <w:r w:rsidR="00024075">
        <w:rPr>
          <w:rFonts w:asciiTheme="majorHAnsi" w:hAnsiTheme="majorHAnsi"/>
          <w:noProof/>
          <w:lang w:val="en-GB"/>
        </w:rPr>
        <w:t>(Hall et al., 1990)</w:t>
      </w:r>
      <w:r w:rsidR="00024075">
        <w:rPr>
          <w:rFonts w:asciiTheme="majorHAnsi" w:hAnsiTheme="majorHAnsi"/>
          <w:lang w:val="en-GB"/>
        </w:rPr>
        <w:fldChar w:fldCharType="end"/>
      </w:r>
      <w:r>
        <w:rPr>
          <w:rFonts w:asciiTheme="majorHAnsi" w:hAnsiTheme="majorHAnsi"/>
        </w:rPr>
        <w:t xml:space="preserve">. </w:t>
      </w:r>
    </w:p>
    <w:p w14:paraId="174BD468" w14:textId="77777777" w:rsidR="00B15A35" w:rsidRDefault="00B15A35" w:rsidP="00B15A35">
      <w:pPr>
        <w:pStyle w:val="NoSpacing"/>
        <w:spacing w:line="360" w:lineRule="auto"/>
        <w:jc w:val="both"/>
        <w:rPr>
          <w:rFonts w:asciiTheme="majorHAnsi" w:hAnsiTheme="majorHAnsi"/>
        </w:rPr>
      </w:pPr>
    </w:p>
    <w:p w14:paraId="53204BE8" w14:textId="39089496" w:rsidR="00B15A35" w:rsidRPr="00933344" w:rsidRDefault="00B15A35" w:rsidP="00B15A35">
      <w:pPr>
        <w:pStyle w:val="NoSpacing"/>
        <w:spacing w:line="360" w:lineRule="auto"/>
        <w:jc w:val="both"/>
      </w:pPr>
      <w:r w:rsidRPr="00933344">
        <w:rPr>
          <w:rFonts w:asciiTheme="majorHAnsi" w:hAnsiTheme="majorHAnsi"/>
          <w:lang w:val="en-GB"/>
        </w:rPr>
        <w:t xml:space="preserve">Mutations can occur endogenously such as </w:t>
      </w:r>
      <w:r>
        <w:rPr>
          <w:rFonts w:asciiTheme="majorHAnsi" w:hAnsiTheme="majorHAnsi"/>
          <w:lang w:val="en-GB"/>
        </w:rPr>
        <w:t>from damaging metabolic by-products</w:t>
      </w:r>
      <w:r w:rsidRPr="00933344">
        <w:rPr>
          <w:rFonts w:asciiTheme="majorHAnsi" w:hAnsiTheme="majorHAnsi"/>
          <w:lang w:val="en-GB"/>
        </w:rPr>
        <w:t xml:space="preserve"> or from exogenous sources like ionizing radiation.</w:t>
      </w:r>
      <w:r>
        <w:rPr>
          <w:rFonts w:asciiTheme="majorHAnsi" w:hAnsiTheme="majorHAnsi"/>
          <w:lang w:val="en-GB"/>
        </w:rPr>
        <w:t xml:space="preserve"> </w:t>
      </w:r>
      <w:r w:rsidRPr="00BC72E1">
        <w:rPr>
          <w:rFonts w:asciiTheme="majorHAnsi" w:hAnsiTheme="majorHAnsi"/>
        </w:rPr>
        <w:t>The body’s DNA monitoring and repair systems will usually detect aberrations and either repair the damage, or direct the cell for destruction, in order to maintain genomic integrity (Figure 1</w:t>
      </w:r>
      <w:r>
        <w:rPr>
          <w:rFonts w:asciiTheme="majorHAnsi" w:hAnsiTheme="majorHAnsi"/>
        </w:rPr>
        <w:t>.1</w:t>
      </w:r>
      <w:r w:rsidRPr="00BC72E1">
        <w:rPr>
          <w:rFonts w:asciiTheme="majorHAnsi" w:hAnsiTheme="majorHAnsi"/>
        </w:rPr>
        <w:t>). In this way mutations should be quite rare</w:t>
      </w:r>
      <w:r>
        <w:rPr>
          <w:rFonts w:asciiTheme="majorHAnsi" w:hAnsiTheme="majorHAnsi"/>
        </w:rPr>
        <w:t>, and genome integrity maintained</w:t>
      </w:r>
      <w:r w:rsidRPr="00BC72E1">
        <w:rPr>
          <w:rFonts w:asciiTheme="majorHAnsi" w:hAnsiTheme="majorHAnsi"/>
        </w:rPr>
        <w:t xml:space="preserve">. However, </w:t>
      </w:r>
      <w:r w:rsidRPr="00933344">
        <w:rPr>
          <w:rFonts w:asciiTheme="majorHAnsi" w:hAnsiTheme="majorHAnsi"/>
          <w:lang w:val="en-GB"/>
        </w:rPr>
        <w:t xml:space="preserve">if the DNA repair systems become </w:t>
      </w:r>
      <w:r>
        <w:rPr>
          <w:rFonts w:asciiTheme="majorHAnsi" w:hAnsiTheme="majorHAnsi"/>
          <w:lang w:val="en-GB"/>
        </w:rPr>
        <w:t>defective (potentially through deleterious mutations or through heightened replication stress driven oncogene activation),</w:t>
      </w:r>
      <w:r w:rsidRPr="00933344">
        <w:rPr>
          <w:rFonts w:asciiTheme="majorHAnsi" w:hAnsiTheme="majorHAnsi"/>
          <w:lang w:val="en-GB"/>
        </w:rPr>
        <w:t xml:space="preserve"> then the initial mutation increases the probability of acquiring successive ones in order to progress tumourigenesis, this is known as the ‘mutator phenotype’</w:t>
      </w:r>
      <w:r>
        <w:rPr>
          <w:rFonts w:asciiTheme="majorHAnsi" w:hAnsiTheme="majorHAnsi"/>
          <w:lang w:val="en-GB"/>
        </w:rPr>
        <w:t xml:space="preserve"> </w:t>
      </w:r>
      <w:r w:rsidRPr="00BC72E1">
        <w:rPr>
          <w:rFonts w:asciiTheme="majorHAnsi" w:hAnsiTheme="majorHAnsi"/>
        </w:rPr>
        <w:fldChar w:fldCharType="begin"/>
      </w:r>
      <w:r w:rsidRPr="00BC72E1">
        <w:rPr>
          <w:rFonts w:asciiTheme="majorHAnsi" w:hAnsiTheme="majorHAnsi"/>
        </w:rPr>
        <w:instrText xml:space="preserve"> ADDIN EN.CITE &lt;EndNote&gt;&lt;Cite&gt;&lt;Author&gt;Collins&lt;/Author&gt;&lt;Year&gt;2009&lt;/Year&gt;&lt;IDText&gt;The mismatch repair and base excision repair pathways: an opportunity for individualized (personalized) sensitization of cancer therapy&lt;/IDText&gt;&lt;DisplayText&gt;(Collins and Dritschilo, 2009)&lt;/DisplayText&gt;&lt;record&gt;&lt;dates&gt;&lt;pub-dates&gt;&lt;date&gt;Jun&lt;/date&gt;&lt;/pub-dates&gt;&lt;year&gt;2009&lt;/year&gt;&lt;/dates&gt;&lt;keywords&gt;&lt;keyword&gt;Base Pair Mismatch&lt;/keyword&gt;&lt;keyword&gt;DNA Repair&lt;/keyword&gt;&lt;keyword&gt;Endodeoxyribonucleases&lt;/keyword&gt;&lt;keyword&gt;Humans&lt;/keyword&gt;&lt;keyword&gt;Idoxuridine&lt;/keyword&gt;&lt;keyword&gt;Neoplasms&lt;/keyword&gt;&lt;keyword&gt;Thymine DNA Glycosylase&lt;/keyword&gt;&lt;/keywords&gt;&lt;urls&gt;&lt;related-urls&gt;&lt;url&gt;http://www.ncbi.nlm.nih.gov/pubmed/19421005&lt;/url&gt;&lt;/related-urls&gt;&lt;/urls&gt;&lt;isbn&gt;1555-8576&lt;/isbn&gt;&lt;custom2&gt;PMC3552576&lt;/custom2&gt;&lt;titles&gt;&lt;title&gt;The mismatch repair and base excision repair pathways: an opportunity for individualized (personalized) sensitization of cancer therapy&lt;/title&gt;&lt;secondary-title&gt;Cancer Biol Ther&lt;/secondary-title&gt;&lt;/titles&gt;&lt;pages&gt;1164-6&lt;/pages&gt;&lt;number&gt;12&lt;/number&gt;&lt;contributors&gt;&lt;authors&gt;&lt;author&gt;Collins, S. P.&lt;/author&gt;&lt;author&gt;Dritschilo, A.&lt;/author&gt;&lt;/authors&gt;&lt;/contributors&gt;&lt;language&gt;eng&lt;/language&gt;&lt;added-date format="utc"&gt;1425918861&lt;/added-date&gt;&lt;ref-type name="Journal Article"&gt;17&lt;/ref-type&gt;&lt;rec-number&gt;24&lt;/rec-number&gt;&lt;last-updated-date format="utc"&gt;1447343801&lt;/last-updated-date&gt;&lt;accession-num&gt;19421005&lt;/accession-num&gt;&lt;volume&gt;8&lt;/volume&gt;&lt;/record&gt;&lt;/Cite&gt;&lt;/EndNote&gt;</w:instrText>
      </w:r>
      <w:r w:rsidRPr="00BC72E1">
        <w:rPr>
          <w:rFonts w:asciiTheme="majorHAnsi" w:hAnsiTheme="majorHAnsi"/>
        </w:rPr>
        <w:fldChar w:fldCharType="separate"/>
      </w:r>
      <w:r w:rsidRPr="00BC72E1">
        <w:rPr>
          <w:rFonts w:asciiTheme="majorHAnsi" w:hAnsiTheme="majorHAnsi"/>
          <w:noProof/>
        </w:rPr>
        <w:t>(Collins and Dritschilo, 2009)</w:t>
      </w:r>
      <w:r w:rsidRPr="00BC72E1">
        <w:rPr>
          <w:rFonts w:asciiTheme="majorHAnsi" w:hAnsiTheme="majorHAnsi"/>
        </w:rPr>
        <w:fldChar w:fldCharType="end"/>
      </w:r>
      <w:r w:rsidRPr="00BD146C">
        <w:t xml:space="preserve">. </w:t>
      </w:r>
    </w:p>
    <w:p w14:paraId="190CF0FB" w14:textId="19391FFA" w:rsidR="00B15A35" w:rsidRDefault="00B15A35" w:rsidP="00B15A35">
      <w:pPr>
        <w:pStyle w:val="NoSpacing"/>
        <w:spacing w:line="360" w:lineRule="auto"/>
        <w:jc w:val="both"/>
        <w:rPr>
          <w:rFonts w:asciiTheme="majorHAnsi" w:hAnsiTheme="majorHAnsi"/>
          <w:b/>
          <w:i/>
        </w:rPr>
      </w:pPr>
      <w:r w:rsidRPr="00A74B71">
        <w:rPr>
          <w:noProof/>
        </w:rPr>
        <w:drawing>
          <wp:anchor distT="0" distB="0" distL="114300" distR="114300" simplePos="0" relativeHeight="252135424" behindDoc="0" locked="0" layoutInCell="1" allowOverlap="1" wp14:anchorId="09D67A4E" wp14:editId="3F8C795C">
            <wp:simplePos x="0" y="0"/>
            <wp:positionH relativeFrom="column">
              <wp:posOffset>-114300</wp:posOffset>
            </wp:positionH>
            <wp:positionV relativeFrom="paragraph">
              <wp:posOffset>140970</wp:posOffset>
            </wp:positionV>
            <wp:extent cx="5392420" cy="2837180"/>
            <wp:effectExtent l="0" t="0" r="0" b="7620"/>
            <wp:wrapSquare wrapText="bothSides"/>
            <wp:docPr id="371" name="Picture 371" descr="Macintosh HD:Users:ClairFellows:Desktop:Screen Shot 2017-11-07 at 14.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11-07 at 14.13.0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2420" cy="283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72E1">
        <w:rPr>
          <w:rFonts w:asciiTheme="majorHAnsi" w:hAnsiTheme="majorHAnsi"/>
          <w:noProof/>
        </w:rPr>
        <mc:AlternateContent>
          <mc:Choice Requires="wps">
            <w:drawing>
              <wp:anchor distT="0" distB="0" distL="114300" distR="114300" simplePos="0" relativeHeight="252123136" behindDoc="0" locked="0" layoutInCell="1" allowOverlap="1" wp14:anchorId="285A27F0" wp14:editId="25BAD763">
                <wp:simplePos x="0" y="0"/>
                <wp:positionH relativeFrom="column">
                  <wp:posOffset>-114300</wp:posOffset>
                </wp:positionH>
                <wp:positionV relativeFrom="paragraph">
                  <wp:posOffset>2934970</wp:posOffset>
                </wp:positionV>
                <wp:extent cx="5486400" cy="2057400"/>
                <wp:effectExtent l="0" t="0" r="0" b="0"/>
                <wp:wrapSquare wrapText="bothSides"/>
                <wp:docPr id="294" name="Text Box 294"/>
                <wp:cNvGraphicFramePr/>
                <a:graphic xmlns:a="http://schemas.openxmlformats.org/drawingml/2006/main">
                  <a:graphicData uri="http://schemas.microsoft.com/office/word/2010/wordprocessingShape">
                    <wps:wsp>
                      <wps:cNvSpPr txBox="1"/>
                      <wps:spPr>
                        <a:xfrm>
                          <a:off x="0" y="0"/>
                          <a:ext cx="54864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64C902" w14:textId="77777777" w:rsidR="00E82D3B" w:rsidRDefault="00E82D3B" w:rsidP="00B15A35">
                            <w:pPr>
                              <w:jc w:val="both"/>
                              <w:rPr>
                                <w:b/>
                                <w:i/>
                              </w:rPr>
                            </w:pPr>
                            <w:r>
                              <w:rPr>
                                <w:b/>
                                <w:i/>
                              </w:rPr>
                              <w:t>Figure 1</w:t>
                            </w:r>
                            <w:r w:rsidRPr="006D5624">
                              <w:rPr>
                                <w:b/>
                                <w:i/>
                              </w:rPr>
                              <w:t>.</w:t>
                            </w:r>
                            <w:r>
                              <w:rPr>
                                <w:b/>
                                <w:i/>
                              </w:rPr>
                              <w:t>1</w:t>
                            </w:r>
                            <w:r w:rsidRPr="006D5624">
                              <w:rPr>
                                <w:b/>
                                <w:i/>
                              </w:rPr>
                              <w:t xml:space="preserve"> DNA Damage </w:t>
                            </w:r>
                            <w:proofErr w:type="gramStart"/>
                            <w:r w:rsidRPr="006D5624">
                              <w:rPr>
                                <w:b/>
                                <w:i/>
                              </w:rPr>
                              <w:t>Response</w:t>
                            </w:r>
                            <w:proofErr w:type="gramEnd"/>
                            <w:r w:rsidRPr="006D5624">
                              <w:rPr>
                                <w:b/>
                                <w:i/>
                              </w:rPr>
                              <w:t xml:space="preserve">.  </w:t>
                            </w:r>
                          </w:p>
                          <w:p w14:paraId="59805693" w14:textId="281E7F12" w:rsidR="00E82D3B" w:rsidRPr="006D5624" w:rsidRDefault="00E82D3B" w:rsidP="00B15A35">
                            <w:pPr>
                              <w:jc w:val="both"/>
                              <w:rPr>
                                <w:i/>
                                <w:sz w:val="22"/>
                                <w:szCs w:val="22"/>
                              </w:rPr>
                            </w:pPr>
                            <w:r w:rsidRPr="006D5624">
                              <w:rPr>
                                <w:i/>
                                <w:sz w:val="22"/>
                                <w:szCs w:val="22"/>
                              </w:rPr>
                              <w:t xml:space="preserve">Normal somatic cells often </w:t>
                            </w:r>
                            <w:r>
                              <w:rPr>
                                <w:i/>
                                <w:sz w:val="22"/>
                                <w:szCs w:val="22"/>
                              </w:rPr>
                              <w:t>accumulate</w:t>
                            </w:r>
                            <w:r w:rsidRPr="006D5624">
                              <w:rPr>
                                <w:i/>
                                <w:sz w:val="22"/>
                                <w:szCs w:val="22"/>
                              </w:rPr>
                              <w:t xml:space="preserve"> mutations during mitosis due to the large amount of cell cycling that occurs within the body. Thi</w:t>
                            </w:r>
                            <w:r>
                              <w:rPr>
                                <w:i/>
                                <w:sz w:val="22"/>
                                <w:szCs w:val="22"/>
                              </w:rPr>
                              <w:t xml:space="preserve">s damage to the genome is detected </w:t>
                            </w:r>
                            <w:r w:rsidRPr="006D5624">
                              <w:rPr>
                                <w:i/>
                                <w:sz w:val="22"/>
                                <w:szCs w:val="22"/>
                              </w:rPr>
                              <w:t xml:space="preserve">by </w:t>
                            </w:r>
                            <w:r>
                              <w:rPr>
                                <w:i/>
                                <w:sz w:val="22"/>
                                <w:szCs w:val="22"/>
                              </w:rPr>
                              <w:t xml:space="preserve">DNA </w:t>
                            </w:r>
                            <w:r w:rsidRPr="006D5624">
                              <w:rPr>
                                <w:i/>
                                <w:sz w:val="22"/>
                                <w:szCs w:val="22"/>
                              </w:rPr>
                              <w:t xml:space="preserve">repair </w:t>
                            </w:r>
                            <w:r>
                              <w:rPr>
                                <w:i/>
                                <w:sz w:val="22"/>
                                <w:szCs w:val="22"/>
                              </w:rPr>
                              <w:t>mechanisms (DDR) and normal function</w:t>
                            </w:r>
                            <w:r w:rsidRPr="006D5624">
                              <w:rPr>
                                <w:i/>
                                <w:sz w:val="22"/>
                                <w:szCs w:val="22"/>
                              </w:rPr>
                              <w:t xml:space="preserve"> is often restored. However</w:t>
                            </w:r>
                            <w:r>
                              <w:rPr>
                                <w:i/>
                                <w:sz w:val="22"/>
                                <w:szCs w:val="22"/>
                              </w:rPr>
                              <w:t>,</w:t>
                            </w:r>
                            <w:r w:rsidRPr="006D5624">
                              <w:rPr>
                                <w:i/>
                                <w:sz w:val="22"/>
                                <w:szCs w:val="22"/>
                              </w:rPr>
                              <w:t xml:space="preserve"> </w:t>
                            </w:r>
                            <w:r>
                              <w:rPr>
                                <w:i/>
                                <w:sz w:val="22"/>
                                <w:szCs w:val="22"/>
                              </w:rPr>
                              <w:t>sufficient</w:t>
                            </w:r>
                            <w:r w:rsidRPr="006D5624">
                              <w:rPr>
                                <w:i/>
                                <w:sz w:val="22"/>
                                <w:szCs w:val="22"/>
                              </w:rPr>
                              <w:t xml:space="preserve"> repair </w:t>
                            </w:r>
                            <w:r>
                              <w:rPr>
                                <w:i/>
                                <w:sz w:val="22"/>
                                <w:szCs w:val="22"/>
                              </w:rPr>
                              <w:t xml:space="preserve">sometimes </w:t>
                            </w:r>
                            <w:r w:rsidRPr="006D5624">
                              <w:rPr>
                                <w:i/>
                                <w:sz w:val="22"/>
                                <w:szCs w:val="22"/>
                              </w:rPr>
                              <w:t>isn’t possible</w:t>
                            </w:r>
                            <w:r>
                              <w:rPr>
                                <w:i/>
                                <w:sz w:val="22"/>
                                <w:szCs w:val="22"/>
                              </w:rPr>
                              <w:t>,</w:t>
                            </w:r>
                            <w:r w:rsidRPr="006D5624">
                              <w:rPr>
                                <w:i/>
                                <w:sz w:val="22"/>
                                <w:szCs w:val="22"/>
                              </w:rPr>
                              <w:t xml:space="preserve"> and in these cases the cells move into a programmed death.  Further to </w:t>
                            </w:r>
                            <w:r>
                              <w:rPr>
                                <w:i/>
                                <w:sz w:val="22"/>
                                <w:szCs w:val="22"/>
                              </w:rPr>
                              <w:t xml:space="preserve">this, cell growth </w:t>
                            </w:r>
                            <w:r w:rsidRPr="006D5624">
                              <w:rPr>
                                <w:i/>
                                <w:sz w:val="22"/>
                                <w:szCs w:val="22"/>
                              </w:rPr>
                              <w:t xml:space="preserve">can be </w:t>
                            </w:r>
                            <w:r>
                              <w:rPr>
                                <w:i/>
                                <w:sz w:val="22"/>
                                <w:szCs w:val="22"/>
                              </w:rPr>
                              <w:t>sequestered</w:t>
                            </w:r>
                            <w:r w:rsidRPr="006D5624">
                              <w:rPr>
                                <w:i/>
                                <w:sz w:val="22"/>
                                <w:szCs w:val="22"/>
                              </w:rPr>
                              <w:t xml:space="preserve"> to prevent cancerous growth by </w:t>
                            </w:r>
                            <w:r>
                              <w:rPr>
                                <w:i/>
                                <w:sz w:val="22"/>
                                <w:szCs w:val="22"/>
                              </w:rPr>
                              <w:t xml:space="preserve">enforcing </w:t>
                            </w:r>
                            <w:r w:rsidRPr="006D5624">
                              <w:rPr>
                                <w:i/>
                                <w:sz w:val="22"/>
                                <w:szCs w:val="22"/>
                              </w:rPr>
                              <w:t>a state of dormancy, otherwise known as senescence. If DNA damage isn’t detected</w:t>
                            </w:r>
                            <w:r>
                              <w:rPr>
                                <w:i/>
                                <w:sz w:val="22"/>
                                <w:szCs w:val="22"/>
                              </w:rPr>
                              <w:t>,</w:t>
                            </w:r>
                            <w:r w:rsidRPr="006D5624">
                              <w:rPr>
                                <w:i/>
                                <w:sz w:val="22"/>
                                <w:szCs w:val="22"/>
                              </w:rPr>
                              <w:t xml:space="preserve"> then the cells are able to replicate and pass on the mutated genome to daughter cells.</w:t>
                            </w:r>
                            <w:r>
                              <w:rPr>
                                <w:i/>
                                <w:sz w:val="22"/>
                                <w:szCs w:val="22"/>
                              </w:rPr>
                              <w:t xml:space="preserve"> The mutations may be in oncogenes or tumour suppressor genes</w:t>
                            </w:r>
                            <w:r w:rsidRPr="006D5624">
                              <w:rPr>
                                <w:i/>
                                <w:sz w:val="22"/>
                                <w:szCs w:val="22"/>
                              </w:rPr>
                              <w:t xml:space="preserve"> </w:t>
                            </w:r>
                            <w:r>
                              <w:rPr>
                                <w:i/>
                                <w:sz w:val="22"/>
                                <w:szCs w:val="22"/>
                              </w:rPr>
                              <w:t>and so t</w:t>
                            </w:r>
                            <w:r w:rsidRPr="006D5624">
                              <w:rPr>
                                <w:i/>
                                <w:sz w:val="22"/>
                                <w:szCs w:val="22"/>
                              </w:rPr>
                              <w:t xml:space="preserve">hese cells have an increased chance of acquiring more </w:t>
                            </w:r>
                            <w:r>
                              <w:rPr>
                                <w:i/>
                                <w:sz w:val="22"/>
                                <w:szCs w:val="22"/>
                              </w:rPr>
                              <w:t xml:space="preserve">cancer hallmarks </w:t>
                            </w:r>
                            <w:r w:rsidRPr="006D5624">
                              <w:rPr>
                                <w:i/>
                                <w:sz w:val="22"/>
                                <w:szCs w:val="22"/>
                              </w:rPr>
                              <w:t>and becoming tumourigenic</w:t>
                            </w:r>
                            <w:r>
                              <w:rPr>
                                <w:i/>
                                <w:sz w:val="22"/>
                                <w:szCs w:val="22"/>
                              </w:rPr>
                              <w:t xml:space="preserve"> (</w:t>
                            </w:r>
                            <w:r w:rsidRPr="00E66C72">
                              <w:rPr>
                                <w:i/>
                                <w:sz w:val="22"/>
                                <w:szCs w:val="22"/>
                              </w:rPr>
                              <w:t>Adapted and modified with permission from</w:t>
                            </w:r>
                            <w:r>
                              <w:rPr>
                                <w:i/>
                                <w:sz w:val="22"/>
                                <w:szCs w:val="22"/>
                              </w:rPr>
                              <w:fldChar w:fldCharType="begin"/>
                            </w:r>
                            <w:r>
                              <w:rPr>
                                <w:i/>
                                <w:sz w:val="22"/>
                                <w:szCs w:val="22"/>
                              </w:rPr>
                              <w:instrText xml:space="preserve"> ADDIN EN.CITE &lt;EndNote&gt;&lt;Cite&gt;&lt;Author&gt;Mandal&lt;/Author&gt;&lt;Year&gt;2011&lt;/Year&gt;&lt;IDText&gt;DNA damage response in adult stem cells: pathways and consequences&lt;/IDText&gt;&lt;DisplayText&gt;(Mandal et al., 2011)&lt;/DisplayText&gt;&lt;record&gt;&lt;dates&gt;&lt;pub-dates&gt;&lt;date&gt;Mar&lt;/date&gt;&lt;/pub-dates&gt;&lt;year&gt;2011&lt;/year&gt;&lt;/dates&gt;&lt;keywords&gt;&lt;keyword&gt;Adult Stem Cells&lt;/keyword&gt;&lt;keyword&gt;Aging&lt;/keyword&gt;&lt;keyword&gt;Animals&lt;/keyword&gt;&lt;keyword&gt;Cell Cycle&lt;/keyword&gt;&lt;keyword&gt;Cell Proliferation&lt;/keyword&gt;&lt;keyword&gt;DNA Damage&lt;/keyword&gt;&lt;keyword&gt;DNA Repair&lt;/keyword&gt;&lt;keyword&gt;Humans&lt;/keyword&gt;&lt;keyword&gt;Models, Biological&lt;/keyword&gt;&lt;keyword&gt;Neoplasms&lt;/keyword&gt;&lt;keyword&gt;Reactive Oxygen Species&lt;/keyword&gt;&lt;keyword&gt;Signal Transduction&lt;/keyword&gt;&lt;/keywords&gt;&lt;urls&gt;&lt;related-urls&gt;&lt;url&gt;http://www.ncbi.nlm.nih.gov/pubmed/21304553&lt;/url&gt;&lt;/related-urls&gt;&lt;/urls&gt;&lt;isbn&gt;1471-0080&lt;/isbn&gt;&lt;titles&gt;&lt;title&gt;DNA damage response in adult stem cells: pathways and consequences&lt;/title&gt;&lt;secondary-title&gt;Nat Rev Mol Cell Biol&lt;/secondary-title&gt;&lt;/titles&gt;&lt;pages&gt;198-202&lt;/pages&gt;&lt;number&gt;3&lt;/number&gt;&lt;contributors&gt;&lt;authors&gt;&lt;author&gt;Mandal, P. K.&lt;/author&gt;&lt;author&gt;Blanpain, C.&lt;/author&gt;&lt;author&gt;Rossi, D. J.&lt;/author&gt;&lt;/authors&gt;&lt;/contributors&gt;&lt;language&gt;eng&lt;/language&gt;&lt;added-date format="utc"&gt;1428411905&lt;/added-date&gt;&lt;ref-type name="Journal Article"&gt;17&lt;/ref-type&gt;&lt;rec-number&gt;129&lt;/rec-number&gt;&lt;last-updated-date format="utc"&gt;1447344215&lt;/last-updated-date&gt;&lt;accession-num&gt;21304553&lt;/accession-num&gt;&lt;electronic-resource-num&gt;10.1038/nrm3060&lt;/electronic-resource-num&gt;&lt;volume&gt;12&lt;/volume&gt;&lt;/record&gt;&lt;/Cite&gt;&lt;/EndNote&gt;</w:instrText>
                            </w:r>
                            <w:r>
                              <w:rPr>
                                <w:i/>
                                <w:sz w:val="22"/>
                                <w:szCs w:val="22"/>
                              </w:rPr>
                              <w:fldChar w:fldCharType="separate"/>
                            </w:r>
                            <w:r>
                              <w:rPr>
                                <w:i/>
                                <w:noProof/>
                                <w:sz w:val="22"/>
                                <w:szCs w:val="22"/>
                              </w:rPr>
                              <w:t>(Mandal et al., 2011)</w:t>
                            </w:r>
                            <w:r>
                              <w:rPr>
                                <w:i/>
                                <w:sz w:val="22"/>
                                <w:szCs w:val="22"/>
                              </w:rPr>
                              <w:fldChar w:fldCharType="end"/>
                            </w:r>
                            <w:r w:rsidRPr="006D5624">
                              <w:rPr>
                                <w:i/>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94" o:spid="_x0000_s1026" type="#_x0000_t202" style="position:absolute;left:0;text-align:left;margin-left:-8.95pt;margin-top:231.1pt;width:6in;height:162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5snc8CAAAT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" filled="f" stroked="f">
                <v:textbox>
                  <w:txbxContent>
                    <w:p w14:paraId="7464C902" w14:textId="77777777" w:rsidR="000A1E0D" w:rsidRDefault="000A1E0D" w:rsidP="00B15A35">
                      <w:pPr>
                        <w:jc w:val="both"/>
                        <w:rPr>
                          <w:b/>
                          <w:i/>
                        </w:rPr>
                      </w:pPr>
                      <w:r>
                        <w:rPr>
                          <w:b/>
                          <w:i/>
                        </w:rPr>
                        <w:t>Figure 1</w:t>
                      </w:r>
                      <w:r w:rsidRPr="006D5624">
                        <w:rPr>
                          <w:b/>
                          <w:i/>
                        </w:rPr>
                        <w:t>.</w:t>
                      </w:r>
                      <w:r>
                        <w:rPr>
                          <w:b/>
                          <w:i/>
                        </w:rPr>
                        <w:t>1</w:t>
                      </w:r>
                      <w:r w:rsidRPr="006D5624">
                        <w:rPr>
                          <w:b/>
                          <w:i/>
                        </w:rPr>
                        <w:t xml:space="preserve"> DNA Damage </w:t>
                      </w:r>
                      <w:proofErr w:type="gramStart"/>
                      <w:r w:rsidRPr="006D5624">
                        <w:rPr>
                          <w:b/>
                          <w:i/>
                        </w:rPr>
                        <w:t>Response</w:t>
                      </w:r>
                      <w:proofErr w:type="gramEnd"/>
                      <w:r w:rsidRPr="006D5624">
                        <w:rPr>
                          <w:b/>
                          <w:i/>
                        </w:rPr>
                        <w:t xml:space="preserve">.  </w:t>
                      </w:r>
                    </w:p>
                    <w:p w14:paraId="59805693" w14:textId="281E7F12" w:rsidR="000A1E0D" w:rsidRPr="006D5624" w:rsidRDefault="000A1E0D" w:rsidP="00B15A35">
                      <w:pPr>
                        <w:jc w:val="both"/>
                        <w:rPr>
                          <w:i/>
                          <w:sz w:val="22"/>
                          <w:szCs w:val="22"/>
                        </w:rPr>
                      </w:pPr>
                      <w:r w:rsidRPr="006D5624">
                        <w:rPr>
                          <w:i/>
                          <w:sz w:val="22"/>
                          <w:szCs w:val="22"/>
                        </w:rPr>
                        <w:t xml:space="preserve">Normal somatic cells often </w:t>
                      </w:r>
                      <w:r>
                        <w:rPr>
                          <w:i/>
                          <w:sz w:val="22"/>
                          <w:szCs w:val="22"/>
                        </w:rPr>
                        <w:t>accumulate</w:t>
                      </w:r>
                      <w:r w:rsidRPr="006D5624">
                        <w:rPr>
                          <w:i/>
                          <w:sz w:val="22"/>
                          <w:szCs w:val="22"/>
                        </w:rPr>
                        <w:t xml:space="preserve"> mutations during mitosis due to the large amount of cell cycling that occurs within the body. Thi</w:t>
                      </w:r>
                      <w:r>
                        <w:rPr>
                          <w:i/>
                          <w:sz w:val="22"/>
                          <w:szCs w:val="22"/>
                        </w:rPr>
                        <w:t xml:space="preserve">s damage to the genome is detected </w:t>
                      </w:r>
                      <w:r w:rsidRPr="006D5624">
                        <w:rPr>
                          <w:i/>
                          <w:sz w:val="22"/>
                          <w:szCs w:val="22"/>
                        </w:rPr>
                        <w:t xml:space="preserve">by </w:t>
                      </w:r>
                      <w:r>
                        <w:rPr>
                          <w:i/>
                          <w:sz w:val="22"/>
                          <w:szCs w:val="22"/>
                        </w:rPr>
                        <w:t xml:space="preserve">DNA </w:t>
                      </w:r>
                      <w:r w:rsidRPr="006D5624">
                        <w:rPr>
                          <w:i/>
                          <w:sz w:val="22"/>
                          <w:szCs w:val="22"/>
                        </w:rPr>
                        <w:t xml:space="preserve">repair </w:t>
                      </w:r>
                      <w:r>
                        <w:rPr>
                          <w:i/>
                          <w:sz w:val="22"/>
                          <w:szCs w:val="22"/>
                        </w:rPr>
                        <w:t>mechanisms (DDR) and normal function</w:t>
                      </w:r>
                      <w:r w:rsidRPr="006D5624">
                        <w:rPr>
                          <w:i/>
                          <w:sz w:val="22"/>
                          <w:szCs w:val="22"/>
                        </w:rPr>
                        <w:t xml:space="preserve"> is often restored. However</w:t>
                      </w:r>
                      <w:r>
                        <w:rPr>
                          <w:i/>
                          <w:sz w:val="22"/>
                          <w:szCs w:val="22"/>
                        </w:rPr>
                        <w:t>,</w:t>
                      </w:r>
                      <w:r w:rsidRPr="006D5624">
                        <w:rPr>
                          <w:i/>
                          <w:sz w:val="22"/>
                          <w:szCs w:val="22"/>
                        </w:rPr>
                        <w:t xml:space="preserve"> </w:t>
                      </w:r>
                      <w:r>
                        <w:rPr>
                          <w:i/>
                          <w:sz w:val="22"/>
                          <w:szCs w:val="22"/>
                        </w:rPr>
                        <w:t>sufficient</w:t>
                      </w:r>
                      <w:r w:rsidRPr="006D5624">
                        <w:rPr>
                          <w:i/>
                          <w:sz w:val="22"/>
                          <w:szCs w:val="22"/>
                        </w:rPr>
                        <w:t xml:space="preserve"> repair </w:t>
                      </w:r>
                      <w:r>
                        <w:rPr>
                          <w:i/>
                          <w:sz w:val="22"/>
                          <w:szCs w:val="22"/>
                        </w:rPr>
                        <w:t xml:space="preserve">sometimes </w:t>
                      </w:r>
                      <w:r w:rsidRPr="006D5624">
                        <w:rPr>
                          <w:i/>
                          <w:sz w:val="22"/>
                          <w:szCs w:val="22"/>
                        </w:rPr>
                        <w:t>isn’t possible</w:t>
                      </w:r>
                      <w:r>
                        <w:rPr>
                          <w:i/>
                          <w:sz w:val="22"/>
                          <w:szCs w:val="22"/>
                        </w:rPr>
                        <w:t>,</w:t>
                      </w:r>
                      <w:r w:rsidRPr="006D5624">
                        <w:rPr>
                          <w:i/>
                          <w:sz w:val="22"/>
                          <w:szCs w:val="22"/>
                        </w:rPr>
                        <w:t xml:space="preserve"> and in these cases the cells move into a programmed death.  Further to </w:t>
                      </w:r>
                      <w:r>
                        <w:rPr>
                          <w:i/>
                          <w:sz w:val="22"/>
                          <w:szCs w:val="22"/>
                        </w:rPr>
                        <w:t xml:space="preserve">this, cell growth </w:t>
                      </w:r>
                      <w:r w:rsidRPr="006D5624">
                        <w:rPr>
                          <w:i/>
                          <w:sz w:val="22"/>
                          <w:szCs w:val="22"/>
                        </w:rPr>
                        <w:t xml:space="preserve">can be </w:t>
                      </w:r>
                      <w:r>
                        <w:rPr>
                          <w:i/>
                          <w:sz w:val="22"/>
                          <w:szCs w:val="22"/>
                        </w:rPr>
                        <w:t>sequestered</w:t>
                      </w:r>
                      <w:r w:rsidRPr="006D5624">
                        <w:rPr>
                          <w:i/>
                          <w:sz w:val="22"/>
                          <w:szCs w:val="22"/>
                        </w:rPr>
                        <w:t xml:space="preserve"> to prevent cancerous growth by </w:t>
                      </w:r>
                      <w:r>
                        <w:rPr>
                          <w:i/>
                          <w:sz w:val="22"/>
                          <w:szCs w:val="22"/>
                        </w:rPr>
                        <w:t xml:space="preserve">enforcing </w:t>
                      </w:r>
                      <w:r w:rsidRPr="006D5624">
                        <w:rPr>
                          <w:i/>
                          <w:sz w:val="22"/>
                          <w:szCs w:val="22"/>
                        </w:rPr>
                        <w:t>a state of dormancy, otherwise known as senescence. If DNA damage isn’t detected</w:t>
                      </w:r>
                      <w:r>
                        <w:rPr>
                          <w:i/>
                          <w:sz w:val="22"/>
                          <w:szCs w:val="22"/>
                        </w:rPr>
                        <w:t>,</w:t>
                      </w:r>
                      <w:r w:rsidRPr="006D5624">
                        <w:rPr>
                          <w:i/>
                          <w:sz w:val="22"/>
                          <w:szCs w:val="22"/>
                        </w:rPr>
                        <w:t xml:space="preserve"> then the cells are able to replicate and pass on the mutated genome to daughter cells.</w:t>
                      </w:r>
                      <w:r>
                        <w:rPr>
                          <w:i/>
                          <w:sz w:val="22"/>
                          <w:szCs w:val="22"/>
                        </w:rPr>
                        <w:t xml:space="preserve"> The mutations may be in oncogenes or tumour suppressor genes</w:t>
                      </w:r>
                      <w:r w:rsidRPr="006D5624">
                        <w:rPr>
                          <w:i/>
                          <w:sz w:val="22"/>
                          <w:szCs w:val="22"/>
                        </w:rPr>
                        <w:t xml:space="preserve"> </w:t>
                      </w:r>
                      <w:r>
                        <w:rPr>
                          <w:i/>
                          <w:sz w:val="22"/>
                          <w:szCs w:val="22"/>
                        </w:rPr>
                        <w:t>and so t</w:t>
                      </w:r>
                      <w:r w:rsidRPr="006D5624">
                        <w:rPr>
                          <w:i/>
                          <w:sz w:val="22"/>
                          <w:szCs w:val="22"/>
                        </w:rPr>
                        <w:t xml:space="preserve">hese cells have an increased chance of acquiring more </w:t>
                      </w:r>
                      <w:r>
                        <w:rPr>
                          <w:i/>
                          <w:sz w:val="22"/>
                          <w:szCs w:val="22"/>
                        </w:rPr>
                        <w:t xml:space="preserve">cancer hallmarks </w:t>
                      </w:r>
                      <w:r w:rsidRPr="006D5624">
                        <w:rPr>
                          <w:i/>
                          <w:sz w:val="22"/>
                          <w:szCs w:val="22"/>
                        </w:rPr>
                        <w:t>and becoming tumourigenic</w:t>
                      </w:r>
                      <w:r>
                        <w:rPr>
                          <w:i/>
                          <w:sz w:val="22"/>
                          <w:szCs w:val="22"/>
                        </w:rPr>
                        <w:t xml:space="preserve"> (</w:t>
                      </w:r>
                      <w:r w:rsidRPr="00E66C72">
                        <w:rPr>
                          <w:i/>
                          <w:sz w:val="22"/>
                          <w:szCs w:val="22"/>
                        </w:rPr>
                        <w:t>Adapted and modified with permission from</w:t>
                      </w:r>
                      <w:r>
                        <w:rPr>
                          <w:i/>
                          <w:sz w:val="22"/>
                          <w:szCs w:val="22"/>
                        </w:rPr>
                        <w:fldChar w:fldCharType="begin"/>
                      </w:r>
                      <w:r>
                        <w:rPr>
                          <w:i/>
                          <w:sz w:val="22"/>
                          <w:szCs w:val="22"/>
                        </w:rPr>
                        <w:instrText xml:space="preserve"> ADDIN EN.CITE &lt;EndNote&gt;&lt;Cite&gt;&lt;Author&gt;Mandal&lt;/Author&gt;&lt;Year&gt;2011&lt;/Year&gt;&lt;IDText&gt;DNA damage response in adult stem cells: pathways and consequences&lt;/IDText&gt;&lt;DisplayText&gt;(Mandal et al., 2011)&lt;/DisplayText&gt;&lt;record&gt;&lt;dates&gt;&lt;pub-dates&gt;&lt;date&gt;Mar&lt;/date&gt;&lt;/pub-dates&gt;&lt;year&gt;2011&lt;/year&gt;&lt;/dates&gt;&lt;keywords&gt;&lt;keyword&gt;Adult Stem Cells&lt;/keyword&gt;&lt;keyword&gt;Aging&lt;/keyword&gt;&lt;keyword&gt;Animals&lt;/keyword&gt;&lt;keyword&gt;Cell Cycle&lt;/keyword&gt;&lt;keyword&gt;Cell Proliferation&lt;/keyword&gt;&lt;keyword&gt;DNA Damage&lt;/keyword&gt;&lt;keyword&gt;DNA Repair&lt;/keyword&gt;&lt;keyword&gt;Humans&lt;/keyword&gt;&lt;keyword&gt;Models, Biological&lt;/keyword&gt;&lt;keyword&gt;Neoplasms&lt;/keyword&gt;&lt;keyword&gt;Reactive Oxygen Species&lt;/keyword&gt;&lt;keyword&gt;Signal Transduction&lt;/keyword&gt;&lt;/keywords&gt;&lt;urls&gt;&lt;related-urls&gt;&lt;url&gt;http://www.ncbi.nlm.nih.gov/pubmed/21304553&lt;/url&gt;&lt;/related-urls&gt;&lt;/urls&gt;&lt;isbn&gt;1471-0080&lt;/isbn&gt;&lt;titles&gt;&lt;title&gt;DNA damage response in adult stem cells: pathways and consequences&lt;/title&gt;&lt;secondary-title&gt;Nat Rev Mol Cell Biol&lt;/secondary-title&gt;&lt;/titles&gt;&lt;pages&gt;198-202&lt;/pages&gt;&lt;number&gt;3&lt;/number&gt;&lt;contributors&gt;&lt;authors&gt;&lt;author&gt;Mandal, P. K.&lt;/author&gt;&lt;author&gt;Blanpain, C.&lt;/author&gt;&lt;author&gt;Rossi, D. J.&lt;/author&gt;&lt;/authors&gt;&lt;/contributors&gt;&lt;language&gt;eng&lt;/language&gt;&lt;added-date format="utc"&gt;1428411905&lt;/added-date&gt;&lt;ref-type name="Journal Article"&gt;17&lt;/ref-type&gt;&lt;rec-number&gt;129&lt;/rec-number&gt;&lt;last-updated-date format="utc"&gt;1447344215&lt;/last-updated-date&gt;&lt;accession-num&gt;21304553&lt;/accession-num&gt;&lt;electronic-resource-num&gt;10.1038/nrm3060&lt;/electronic-resource-num&gt;&lt;volume&gt;12&lt;/volume&gt;&lt;/record&gt;&lt;/Cite&gt;&lt;/EndNote&gt;</w:instrText>
                      </w:r>
                      <w:r>
                        <w:rPr>
                          <w:i/>
                          <w:sz w:val="22"/>
                          <w:szCs w:val="22"/>
                        </w:rPr>
                        <w:fldChar w:fldCharType="separate"/>
                      </w:r>
                      <w:r>
                        <w:rPr>
                          <w:i/>
                          <w:noProof/>
                          <w:sz w:val="22"/>
                          <w:szCs w:val="22"/>
                        </w:rPr>
                        <w:t>(Mandal et al., 2011)</w:t>
                      </w:r>
                      <w:r>
                        <w:rPr>
                          <w:i/>
                          <w:sz w:val="22"/>
                          <w:szCs w:val="22"/>
                        </w:rPr>
                        <w:fldChar w:fldCharType="end"/>
                      </w:r>
                      <w:r w:rsidRPr="006D5624">
                        <w:rPr>
                          <w:i/>
                          <w:sz w:val="22"/>
                          <w:szCs w:val="22"/>
                        </w:rPr>
                        <w:t xml:space="preserve">. </w:t>
                      </w:r>
                    </w:p>
                  </w:txbxContent>
                </v:textbox>
                <w10:wrap type="square"/>
              </v:shape>
            </w:pict>
          </mc:Fallback>
        </mc:AlternateContent>
      </w:r>
    </w:p>
    <w:p w14:paraId="20857DAA" w14:textId="77777777" w:rsidR="00B15A35" w:rsidRPr="00BC72E1" w:rsidRDefault="00B15A35" w:rsidP="002F41C6">
      <w:pPr>
        <w:pStyle w:val="NoSpacing"/>
        <w:numPr>
          <w:ilvl w:val="0"/>
          <w:numId w:val="33"/>
        </w:numPr>
        <w:spacing w:line="360" w:lineRule="auto"/>
        <w:jc w:val="both"/>
        <w:rPr>
          <w:rFonts w:asciiTheme="majorHAnsi" w:hAnsiTheme="majorHAnsi"/>
          <w:b/>
          <w:i/>
        </w:rPr>
      </w:pPr>
      <w:r w:rsidRPr="00BC72E1">
        <w:rPr>
          <w:rFonts w:asciiTheme="majorHAnsi" w:hAnsiTheme="majorHAnsi"/>
          <w:b/>
          <w:i/>
        </w:rPr>
        <w:t xml:space="preserve"> Driver and Passenger Genes</w:t>
      </w:r>
    </w:p>
    <w:p w14:paraId="3C32AA3D" w14:textId="2E901C65" w:rsidR="00B15A35" w:rsidRPr="00933344" w:rsidRDefault="00B15A35" w:rsidP="00B15A35">
      <w:pPr>
        <w:pStyle w:val="NoSpacing"/>
        <w:spacing w:line="360" w:lineRule="auto"/>
        <w:jc w:val="both"/>
        <w:rPr>
          <w:rFonts w:asciiTheme="majorHAnsi" w:hAnsiTheme="majorHAnsi"/>
        </w:rPr>
      </w:pPr>
      <w:r w:rsidRPr="00BC72E1">
        <w:rPr>
          <w:rFonts w:asciiTheme="majorHAnsi" w:hAnsiTheme="majorHAnsi"/>
        </w:rPr>
        <w:t>Mutations can be categorized depending on whether they confer cancer progression or not. For example</w:t>
      </w:r>
      <w:r>
        <w:rPr>
          <w:rFonts w:asciiTheme="majorHAnsi" w:hAnsiTheme="majorHAnsi"/>
        </w:rPr>
        <w:t>,</w:t>
      </w:r>
      <w:r w:rsidRPr="00BC72E1">
        <w:rPr>
          <w:rFonts w:asciiTheme="majorHAnsi" w:hAnsiTheme="majorHAnsi"/>
        </w:rPr>
        <w:t xml:space="preserve"> driver mutations confer a selective growth advantage and contribute to oncogenesis, whereas passenger mutations do not have any functional advantage to the cancer cells</w:t>
      </w:r>
      <w:r w:rsidR="007A6E6D">
        <w:rPr>
          <w:rFonts w:asciiTheme="majorHAnsi" w:hAnsiTheme="majorHAnsi"/>
        </w:rPr>
        <w:t>,</w:t>
      </w:r>
      <w:r w:rsidRPr="00BC72E1">
        <w:rPr>
          <w:rFonts w:asciiTheme="majorHAnsi" w:hAnsiTheme="majorHAnsi"/>
        </w:rPr>
        <w:t xml:space="preserve"> but are passed on in clonal expansion. Passenger mutations outnumber driver mutations, however, it is now widely thought that tumours have more than one gene driving progression.</w:t>
      </w:r>
      <w:r w:rsidRPr="00BC72E1">
        <w:rPr>
          <w:rFonts w:asciiTheme="majorHAnsi" w:hAnsiTheme="majorHAnsi"/>
          <w:lang w:val="en-GB"/>
        </w:rPr>
        <w:t xml:space="preserve"> The original Vogelstein model </w:t>
      </w:r>
      <w:r>
        <w:rPr>
          <w:rFonts w:asciiTheme="majorHAnsi" w:hAnsiTheme="majorHAnsi"/>
          <w:lang w:val="en-GB"/>
        </w:rPr>
        <w:fldChar w:fldCharType="begin"/>
      </w:r>
      <w:r>
        <w:rPr>
          <w:rFonts w:asciiTheme="majorHAnsi" w:hAnsiTheme="majorHAnsi"/>
          <w:lang w:val="en-GB"/>
        </w:rPr>
        <w:instrText xml:space="preserve"> ADDIN EN.CITE &lt;EndNote&gt;&lt;Cite&gt;&lt;Author&gt;Vogelstein&lt;/Author&gt;&lt;Year&gt;1988&lt;/Year&gt;&lt;IDText&gt;Genetic alterations during colorectal-tumor development&lt;/IDText&gt;&lt;DisplayText&gt;(Vogelstein et al., 1988)&lt;/DisplayText&gt;&lt;record&gt;&lt;dates&gt;&lt;pub-dates&gt;&lt;date&gt;Sep&lt;/date&gt;&lt;/pub-dates&gt;&lt;year&gt;1988&lt;/year&gt;&lt;/dates&gt;&lt;keywords&gt;&lt;keyword&gt;Adenoma&lt;/keyword&gt;&lt;keyword&gt;Adenomatous Polyposis Coli&lt;/keyword&gt;&lt;keyword&gt;Adult&lt;/keyword&gt;&lt;keyword&gt;Aged&lt;/keyword&gt;&lt;keyword&gt;Aged, 80 and over&lt;/keyword&gt;&lt;keyword&gt;Alleles&lt;/keyword&gt;&lt;keyword&gt;Carcinoma&lt;/keyword&gt;&lt;keyword&gt;Chromosome Deletion&lt;/keyword&gt;&lt;keyword&gt;Chromosomes, Human, Pair 17&lt;/keyword&gt;&lt;keyword&gt;Chromosomes, Human, Pair 18&lt;/keyword&gt;&lt;keyword&gt;Chromosomes, Human, Pair 5&lt;/keyword&gt;&lt;keyword&gt;Colonic Neoplasms&lt;/keyword&gt;&lt;keyword&gt;Colorectal Neoplasms, Hereditary Nonpolyposis&lt;/keyword&gt;&lt;keyword&gt;Female&lt;/keyword&gt;&lt;keyword&gt;Genes, ras&lt;/keyword&gt;&lt;keyword&gt;Humans&lt;/keyword&gt;&lt;keyword&gt;Male&lt;/keyword&gt;&lt;keyword&gt;Middle Aged&lt;/keyword&gt;&lt;keyword&gt;Mutation&lt;/keyword&gt;&lt;keyword&gt;Rectal Neoplasms&lt;/keyword&gt;&lt;/keywords&gt;&lt;urls&gt;&lt;related-urls&gt;&lt;url&gt;http://www.ncbi.nlm.nih.gov/pubmed/2841597&lt;/url&gt;&lt;/related-urls&gt;&lt;/urls&gt;&lt;isbn&gt;0028-4793&lt;/isbn&gt;&lt;titles&gt;&lt;title&gt;Genetic alterations during colorectal-tumor development&lt;/title&gt;&lt;secondary-title&gt;N Engl J Med&lt;/secondary-title&gt;&lt;/titles&gt;&lt;pages&gt;525-32&lt;/pages&gt;&lt;number&gt;9&lt;/number&gt;&lt;contributors&gt;&lt;authors&gt;&lt;author&gt;Vogelstein, B.&lt;/author&gt;&lt;author&gt;Fearon, E. R.&lt;/author&gt;&lt;author&gt;Hamilton, S. R.&lt;/author&gt;&lt;author&gt;Kern, S. E.&lt;/author&gt;&lt;author&gt;Preisinger, A. C.&lt;/author&gt;&lt;author&gt;Leppert, M.&lt;/author&gt;&lt;author&gt;Nakamura, Y.&lt;/author&gt;&lt;author&gt;White, R.&lt;/author&gt;&lt;author&gt;Smits, A. M.&lt;/author&gt;&lt;author&gt;Bos, J. L.&lt;/author&gt;&lt;/authors&gt;&lt;/contributors&gt;&lt;language&gt;eng&lt;/language&gt;&lt;added-date format="utc"&gt;1425999657&lt;/added-date&gt;&lt;ref-type name="Journal Article"&gt;17&lt;/ref-type&gt;&lt;rec-number&gt;112&lt;/rec-number&gt;&lt;last-updated-date format="utc"&gt;1447344322&lt;/last-updated-date&gt;&lt;accession-num&gt;2841597&lt;/accession-num&gt;&lt;electronic-resource-num&gt;10.1056/NEJM198809013190901&lt;/electronic-resource-num&gt;&lt;volume&gt;319&lt;/volume&gt;&lt;/record&gt;&lt;/Cite&gt;&lt;/EndNote&gt;</w:instrText>
      </w:r>
      <w:r>
        <w:rPr>
          <w:rFonts w:asciiTheme="majorHAnsi" w:hAnsiTheme="majorHAnsi"/>
          <w:lang w:val="en-GB"/>
        </w:rPr>
        <w:fldChar w:fldCharType="separate"/>
      </w:r>
      <w:r>
        <w:rPr>
          <w:rFonts w:asciiTheme="majorHAnsi" w:hAnsiTheme="majorHAnsi"/>
          <w:noProof/>
          <w:lang w:val="en-GB"/>
        </w:rPr>
        <w:t>(Vogelstein et al., 1988)</w:t>
      </w:r>
      <w:r>
        <w:rPr>
          <w:rFonts w:asciiTheme="majorHAnsi" w:hAnsiTheme="majorHAnsi"/>
          <w:lang w:val="en-GB"/>
        </w:rPr>
        <w:fldChar w:fldCharType="end"/>
      </w:r>
      <w:r>
        <w:rPr>
          <w:rFonts w:asciiTheme="majorHAnsi" w:hAnsiTheme="majorHAnsi"/>
          <w:lang w:val="en-GB"/>
        </w:rPr>
        <w:t xml:space="preserve"> </w:t>
      </w:r>
      <w:r w:rsidR="007B1C45">
        <w:rPr>
          <w:rFonts w:asciiTheme="majorHAnsi" w:hAnsiTheme="majorHAnsi"/>
          <w:lang w:val="en-GB"/>
        </w:rPr>
        <w:t>suggested 5-7 mutations. H</w:t>
      </w:r>
      <w:r w:rsidRPr="00BC72E1">
        <w:rPr>
          <w:rFonts w:asciiTheme="majorHAnsi" w:hAnsiTheme="majorHAnsi"/>
          <w:lang w:val="en-GB"/>
        </w:rPr>
        <w:t>owever</w:t>
      </w:r>
      <w:r>
        <w:rPr>
          <w:rFonts w:asciiTheme="majorHAnsi" w:hAnsiTheme="majorHAnsi"/>
          <w:lang w:val="en-GB"/>
        </w:rPr>
        <w:t>,</w:t>
      </w:r>
      <w:r w:rsidRPr="00BC72E1">
        <w:rPr>
          <w:rFonts w:asciiTheme="majorHAnsi" w:hAnsiTheme="majorHAnsi"/>
          <w:lang w:val="en-GB"/>
        </w:rPr>
        <w:t xml:space="preserve"> recent research suggests this could be </w:t>
      </w:r>
      <w:r w:rsidR="007B1C45">
        <w:rPr>
          <w:rFonts w:asciiTheme="majorHAnsi" w:hAnsiTheme="majorHAnsi"/>
          <w:lang w:val="en-GB"/>
        </w:rPr>
        <w:t>up</w:t>
      </w:r>
      <w:r w:rsidRPr="00BC72E1">
        <w:rPr>
          <w:rFonts w:asciiTheme="majorHAnsi" w:hAnsiTheme="majorHAnsi"/>
          <w:lang w:val="en-GB"/>
        </w:rPr>
        <w:t xml:space="preserve"> to 20 driver mutations</w:t>
      </w:r>
      <w:r>
        <w:rPr>
          <w:rFonts w:asciiTheme="majorHAnsi" w:hAnsiTheme="majorHAnsi"/>
          <w:lang w:val="en-GB"/>
        </w:rPr>
        <w:t xml:space="preserve"> </w:t>
      </w:r>
      <w:r>
        <w:rPr>
          <w:rFonts w:asciiTheme="majorHAnsi" w:hAnsiTheme="majorHAnsi"/>
          <w:lang w:val="en-GB"/>
        </w:rPr>
        <w:fldChar w:fldCharType="begin">
          <w:fldData xml:space="preserve">PEVuZE5vdGU+PENpdGU+PEF1dGhvcj5TasO2YmxvbTwvQXV0aG9yPjxZZWFyPjIwMDY8L1llYXI+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</w:fldData>
        </w:fldChar>
      </w:r>
      <w:r>
        <w:rPr>
          <w:rFonts w:asciiTheme="majorHAnsi" w:hAnsiTheme="majorHAnsi"/>
          <w:lang w:val="en-GB"/>
        </w:rPr>
        <w:instrText xml:space="preserve"> ADDIN EN.CITE </w:instrText>
      </w:r>
      <w:r>
        <w:rPr>
          <w:rFonts w:asciiTheme="majorHAnsi" w:hAnsiTheme="majorHAnsi"/>
          <w:lang w:val="en-GB"/>
        </w:rPr>
        <w:fldChar w:fldCharType="begin">
          <w:fldData xml:space="preserve">PEVuZE5vdGU+PENpdGU+PEF1dGhvcj5TasO2YmxvbTwvQXV0aG9yPjxZZWFyPjIwMDY8L1llYXI+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</w:fldData>
        </w:fldChar>
      </w:r>
      <w:r>
        <w:rPr>
          <w:rFonts w:asciiTheme="majorHAnsi" w:hAnsiTheme="majorHAnsi"/>
          <w:lang w:val="en-GB"/>
        </w:rPr>
        <w:instrText xml:space="preserve"> ADDIN EN.CITE.DATA </w:instrText>
      </w:r>
      <w:r>
        <w:rPr>
          <w:rFonts w:asciiTheme="majorHAnsi" w:hAnsiTheme="majorHAnsi"/>
          <w:lang w:val="en-GB"/>
        </w:rPr>
      </w:r>
      <w:r>
        <w:rPr>
          <w:rFonts w:asciiTheme="majorHAnsi" w:hAnsiTheme="majorHAnsi"/>
          <w:lang w:val="en-GB"/>
        </w:rPr>
        <w:fldChar w:fldCharType="end"/>
      </w:r>
      <w:r>
        <w:rPr>
          <w:rFonts w:asciiTheme="majorHAnsi" w:hAnsiTheme="majorHAnsi"/>
          <w:lang w:val="en-GB"/>
        </w:rPr>
      </w:r>
      <w:r>
        <w:rPr>
          <w:rFonts w:asciiTheme="majorHAnsi" w:hAnsiTheme="majorHAnsi"/>
          <w:lang w:val="en-GB"/>
        </w:rPr>
        <w:fldChar w:fldCharType="separate"/>
      </w:r>
      <w:r>
        <w:rPr>
          <w:rFonts w:asciiTheme="majorHAnsi" w:hAnsiTheme="majorHAnsi"/>
          <w:noProof/>
          <w:lang w:val="en-GB"/>
        </w:rPr>
        <w:t>(Sjöblom et al., 2006)</w:t>
      </w:r>
      <w:r>
        <w:rPr>
          <w:rFonts w:asciiTheme="majorHAnsi" w:hAnsiTheme="majorHAnsi"/>
          <w:lang w:val="en-GB"/>
        </w:rPr>
        <w:fldChar w:fldCharType="end"/>
      </w:r>
      <w:r w:rsidRPr="00BC72E1">
        <w:rPr>
          <w:rFonts w:asciiTheme="majorHAnsi" w:hAnsiTheme="majorHAnsi"/>
          <w:lang w:val="en-GB"/>
        </w:rPr>
        <w:t xml:space="preserve">. </w:t>
      </w:r>
      <w:r>
        <w:rPr>
          <w:rFonts w:asciiTheme="majorHAnsi" w:hAnsiTheme="majorHAnsi"/>
          <w:lang w:val="en-GB"/>
        </w:rPr>
        <w:t xml:space="preserve">The number of mutations which are driving tumour progression differs between cancer types, with the average being 4, but this can be 1 in thyroid cancers and &gt;10 in colorectal cancers </w:t>
      </w:r>
      <w:r>
        <w:rPr>
          <w:rFonts w:asciiTheme="majorHAnsi" w:hAnsiTheme="majorHAnsi"/>
          <w:lang w:val="en-GB"/>
        </w:rPr>
        <w:fldChar w:fldCharType="begin"/>
      </w:r>
      <w:r>
        <w:rPr>
          <w:rFonts w:asciiTheme="majorHAnsi" w:hAnsiTheme="majorHAnsi"/>
          <w:lang w:val="en-GB"/>
        </w:rPr>
        <w:instrText xml:space="preserve"> ADDIN EN.CITE &lt;EndNote&gt;&lt;Cite&gt;&lt;Author&gt;Martincorena&lt;/Author&gt;&lt;Year&gt;2017&lt;/Year&gt;&lt;IDText&gt;Universal Patterns of Selection in Cancer and Somatic Tissues&lt;/IDText&gt;&lt;DisplayText&gt;(Martincorena et al., 2017)&lt;/DisplayText&gt;&lt;record&gt;&lt;dates&gt;&lt;pub-dates&gt;&lt;date&gt;Oct&lt;/date&gt;&lt;/pub-dates&gt;&lt;year&gt;2017&lt;/year&gt;&lt;/dates&gt;&lt;keywords&gt;&lt;keyword&gt;cancer&lt;/keyword&gt;&lt;keyword&gt;evolution&lt;/keyword&gt;&lt;keyword&gt;genomics&lt;/keyword&gt;&lt;keyword&gt;mutations&lt;/keyword&gt;&lt;keyword&gt;selection&lt;/keyword&gt;&lt;/keywords&gt;&lt;urls&gt;&lt;related-urls&gt;&lt;url&gt;https://www.ncbi.nlm.nih.gov/pubmed/29056346&lt;/url&gt;&lt;/related-urls&gt;&lt;/urls&gt;&lt;isbn&gt;1097-4172&lt;/isbn&gt;&lt;titles&gt;&lt;title&gt;Universal Patterns of Selection in Cancer and Somatic Tissues&lt;/title&gt;&lt;secondary-title&gt;Cell&lt;/secondary-title&gt;&lt;/titles&gt;&lt;contributors&gt;&lt;authors&gt;&lt;author&gt;Martincorena, I.&lt;/author&gt;&lt;author&gt;Raine, K. M.&lt;/author&gt;&lt;author&gt;Gerstung, M.&lt;/author&gt;&lt;author&gt;Dawson, K. J.&lt;/author&gt;&lt;author&gt;Haase, K.&lt;/author&gt;&lt;author&gt;Van Loo, P.&lt;/author&gt;&lt;author&gt;Davies, H.&lt;/author&gt;&lt;author&gt;Stratton, M. R.&lt;/author&gt;&lt;author&gt;Campbell, P. J.&lt;/author&gt;&lt;/authors&gt;&lt;/contributors&gt;&lt;edition&gt;2017/10/18&lt;/edition&gt;&lt;language&gt;eng&lt;/language&gt;&lt;added-date format="utc"&gt;1510242817&lt;/added-date&gt;&lt;ref-type name="Journal Article"&gt;17&lt;/ref-type&gt;&lt;rec-number&gt;365&lt;/rec-number&gt;&lt;last-updated-date format="utc"&gt;1510242817&lt;/last-updated-date&gt;&lt;accession-num&gt;29056346&lt;/accession-num&gt;&lt;electronic-resource-num&gt;10.1016/j.cell.2017.09.042&lt;/electronic-resource-num&gt;&lt;/record&gt;&lt;/Cite&gt;&lt;/EndNote&gt;</w:instrText>
      </w:r>
      <w:r>
        <w:rPr>
          <w:rFonts w:asciiTheme="majorHAnsi" w:hAnsiTheme="majorHAnsi"/>
          <w:lang w:val="en-GB"/>
        </w:rPr>
        <w:fldChar w:fldCharType="separate"/>
      </w:r>
      <w:r>
        <w:rPr>
          <w:rFonts w:asciiTheme="majorHAnsi" w:hAnsiTheme="majorHAnsi"/>
          <w:noProof/>
          <w:lang w:val="en-GB"/>
        </w:rPr>
        <w:t>(Martincorena et al., 2017)</w:t>
      </w:r>
      <w:r>
        <w:rPr>
          <w:rFonts w:asciiTheme="majorHAnsi" w:hAnsiTheme="majorHAnsi"/>
          <w:lang w:val="en-GB"/>
        </w:rPr>
        <w:fldChar w:fldCharType="end"/>
      </w:r>
      <w:r>
        <w:rPr>
          <w:rFonts w:asciiTheme="majorHAnsi" w:hAnsiTheme="majorHAnsi"/>
          <w:lang w:val="en-GB"/>
        </w:rPr>
        <w:t xml:space="preserve">. </w:t>
      </w:r>
      <w:r w:rsidRPr="00933344">
        <w:rPr>
          <w:rFonts w:asciiTheme="majorHAnsi" w:hAnsiTheme="majorHAnsi"/>
        </w:rPr>
        <w:t>The identification of somatic copy number changes has shown distinct profiles of alterations for specific cancers. However, the cancer genome</w:t>
      </w:r>
      <w:r>
        <w:rPr>
          <w:rFonts w:asciiTheme="majorHAnsi" w:hAnsiTheme="majorHAnsi"/>
        </w:rPr>
        <w:t>s contain</w:t>
      </w:r>
      <w:r w:rsidRPr="00933344">
        <w:rPr>
          <w:rFonts w:asciiTheme="majorHAnsi" w:hAnsiTheme="majorHAnsi"/>
        </w:rPr>
        <w:t xml:space="preserve"> many mutations, so </w:t>
      </w:r>
      <w:r>
        <w:rPr>
          <w:rFonts w:asciiTheme="majorHAnsi" w:hAnsiTheme="majorHAnsi"/>
        </w:rPr>
        <w:t xml:space="preserve">it is important </w:t>
      </w:r>
      <w:r w:rsidRPr="00933344">
        <w:rPr>
          <w:rFonts w:asciiTheme="majorHAnsi" w:hAnsiTheme="majorHAnsi"/>
        </w:rPr>
        <w:t xml:space="preserve">to determine which are drivers of tumourigenesis and which are mutations that have accumulated by chance and have no bearing on tumour progression </w:t>
      </w:r>
      <w:r>
        <w:rPr>
          <w:rFonts w:asciiTheme="majorHAnsi" w:hAnsiTheme="majorHAnsi"/>
        </w:rPr>
        <w:fldChar w:fldCharType="begin">
          <w:fldData xml:space="preserve">PEVuZE5vdGU+PENpdGU+PEF1dGhvcj5CZXJvdWtoaW08L0F1dGhvcj48WWVhcj4yMDEwPC9ZZWFy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PEVuZE5vdGU+PENpdGU+PEF1dGhvcj5CZXJvdWtoaW08L0F1dGhvcj48WWVhcj4yMDEwPC9ZZWFy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(Beroukhim et al., 2010)</w:t>
      </w:r>
      <w:r>
        <w:rPr>
          <w:rFonts w:asciiTheme="majorHAnsi" w:hAnsiTheme="majorHAnsi"/>
        </w:rPr>
        <w:fldChar w:fldCharType="end"/>
      </w:r>
      <w:r>
        <w:rPr>
          <w:rFonts w:asciiTheme="majorHAnsi" w:hAnsiTheme="majorHAnsi"/>
        </w:rPr>
        <w:t xml:space="preserve">. </w:t>
      </w:r>
      <w:r w:rsidRPr="00933344">
        <w:rPr>
          <w:rFonts w:asciiTheme="majorHAnsi" w:hAnsiTheme="majorHAnsi"/>
          <w:lang w:val="en-GB"/>
        </w:rPr>
        <w:t>Often cancers become resistant to therapies</w:t>
      </w:r>
      <w:r w:rsidR="007B1C45">
        <w:rPr>
          <w:rFonts w:asciiTheme="majorHAnsi" w:hAnsiTheme="majorHAnsi"/>
          <w:lang w:val="en-GB"/>
        </w:rPr>
        <w:t>,</w:t>
      </w:r>
      <w:r w:rsidRPr="00933344">
        <w:rPr>
          <w:rFonts w:asciiTheme="majorHAnsi" w:hAnsiTheme="majorHAnsi"/>
          <w:lang w:val="en-GB"/>
        </w:rPr>
        <w:t xml:space="preserve"> and it is thought that </w:t>
      </w:r>
      <w:r w:rsidR="002743E5" w:rsidRPr="00933344">
        <w:rPr>
          <w:rFonts w:asciiTheme="majorHAnsi" w:hAnsiTheme="majorHAnsi"/>
          <w:lang w:val="en-GB"/>
        </w:rPr>
        <w:t>subtypes of driver mutations are</w:t>
      </w:r>
      <w:r w:rsidRPr="00933344">
        <w:rPr>
          <w:rFonts w:asciiTheme="majorHAnsi" w:hAnsiTheme="majorHAnsi"/>
          <w:lang w:val="en-GB"/>
        </w:rPr>
        <w:t xml:space="preserve"> responsible for this phenotype. The theory is that these mutations are actually passengers in the absence of therapy, but when treatment is given the environmental change pushes them into the initiation of growth advantage and therefore reoccurrence of the disease manifests</w:t>
      </w:r>
      <w:r w:rsidR="00D66FC3">
        <w:rPr>
          <w:rFonts w:asciiTheme="majorHAnsi" w:hAnsiTheme="majorHAnsi"/>
          <w:lang w:val="en-GB"/>
        </w:rPr>
        <w:t xml:space="preserve"> </w:t>
      </w:r>
      <w:r w:rsidR="00D66FC3">
        <w:rPr>
          <w:rFonts w:asciiTheme="majorHAnsi" w:hAnsiTheme="majorHAnsi"/>
          <w:lang w:val="en-GB"/>
        </w:rPr>
        <w:fldChar w:fldCharType="begin"/>
      </w:r>
      <w:r w:rsidR="00D66FC3">
        <w:rPr>
          <w:rFonts w:asciiTheme="majorHAnsi" w:hAnsiTheme="majorHAnsi"/>
          <w:lang w:val="en-GB"/>
        </w:rPr>
        <w:instrText xml:space="preserve"> ADDIN EN.CITE &lt;EndNote&gt;&lt;Cite&gt;&lt;Author&gt;Stratton&lt;/Author&gt;&lt;Year&gt;2009&lt;/Year&gt;&lt;IDText&gt;The cancer genome&lt;/IDText&gt;&lt;DisplayText&gt;(Stratton et al., 2009)&lt;/DisplayText&gt;&lt;record&gt;&lt;dates&gt;&lt;pub-dates&gt;&lt;date&gt;Apr&lt;/date&gt;&lt;/pub-dates&gt;&lt;year&gt;2009&lt;/year&gt;&lt;/dates&gt;&lt;keywords&gt;&lt;keyword&gt;Genes, Neoplasm&lt;/keyword&gt;&lt;keyword&gt;Genome, Human&lt;/keyword&gt;&lt;keyword&gt;Genomics&lt;/keyword&gt;&lt;keyword&gt;Humans&lt;/keyword&gt;&lt;keyword&gt;Mutation&lt;/keyword&gt;&lt;keyword&gt;Neoplasms&lt;/keyword&gt;&lt;keyword&gt;Sequence Analysis&lt;/keyword&gt;&lt;/keywords&gt;&lt;urls&gt;&lt;related-urls&gt;&lt;url&gt;https://www.ncbi.nlm.nih.gov/pubmed/19360079&lt;/url&gt;&lt;/related-urls&gt;&lt;/urls&gt;&lt;isbn&gt;1476-4687&lt;/isbn&gt;&lt;custom2&gt;PMC2821689&lt;/custom2&gt;&lt;titles&gt;&lt;title&gt;The cancer genome&lt;/title&gt;&lt;secondary-title&gt;Nature&lt;/secondary-title&gt;&lt;/titles&gt;&lt;pages&gt;719-24&lt;/pages&gt;&lt;number&gt;7239&lt;/number&gt;&lt;contributors&gt;&lt;authors&gt;&lt;author&gt;Stratton, M. R.&lt;/author&gt;&lt;author&gt;Campbell, P. J.&lt;/author&gt;&lt;author&gt;Futreal, P. A.&lt;/author&gt;&lt;/authors&gt;&lt;/contributors&gt;&lt;language&gt;eng&lt;/language&gt;&lt;added-date format="utc"&gt;1469461383&lt;/added-date&gt;&lt;ref-type name="Journal Article"&gt;17&lt;/ref-type&gt;&lt;rec-number&gt;174&lt;/rec-number&gt;&lt;last-updated-date format="utc"&gt;1470753718&lt;/last-updated-date&gt;&lt;accession-num&gt;19360079&lt;/accession-num&gt;&lt;electronic-resource-num&gt;10.1038/nature07943&lt;/electronic-resource-num&gt;&lt;volume&gt;458&lt;/volume&gt;&lt;/record&gt;&lt;/Cite&gt;&lt;/EndNote&gt;</w:instrText>
      </w:r>
      <w:r w:rsidR="00D66FC3">
        <w:rPr>
          <w:rFonts w:asciiTheme="majorHAnsi" w:hAnsiTheme="majorHAnsi"/>
          <w:lang w:val="en-GB"/>
        </w:rPr>
        <w:fldChar w:fldCharType="separate"/>
      </w:r>
      <w:r w:rsidR="00D66FC3">
        <w:rPr>
          <w:rFonts w:asciiTheme="majorHAnsi" w:hAnsiTheme="majorHAnsi"/>
          <w:noProof/>
          <w:lang w:val="en-GB"/>
        </w:rPr>
        <w:t>(Stratton et al., 2009)</w:t>
      </w:r>
      <w:r w:rsidR="00D66FC3">
        <w:rPr>
          <w:rFonts w:asciiTheme="majorHAnsi" w:hAnsiTheme="majorHAnsi"/>
          <w:lang w:val="en-GB"/>
        </w:rPr>
        <w:fldChar w:fldCharType="end"/>
      </w:r>
      <w:r w:rsidR="00D66FC3">
        <w:rPr>
          <w:rFonts w:asciiTheme="majorHAnsi" w:hAnsiTheme="majorHAnsi"/>
          <w:lang w:val="en-GB"/>
        </w:rPr>
        <w:t xml:space="preserve">. </w:t>
      </w:r>
      <w:r w:rsidRPr="00933344">
        <w:rPr>
          <w:rFonts w:asciiTheme="majorHAnsi" w:hAnsiTheme="majorHAnsi"/>
        </w:rPr>
        <w:t>Therefore the identification of cancer driver ge</w:t>
      </w:r>
      <w:r>
        <w:rPr>
          <w:rFonts w:asciiTheme="majorHAnsi" w:hAnsiTheme="majorHAnsi"/>
        </w:rPr>
        <w:t>nes could change the way cancer</w:t>
      </w:r>
      <w:r w:rsidRPr="00933344">
        <w:rPr>
          <w:rFonts w:asciiTheme="majorHAnsi" w:hAnsiTheme="majorHAnsi"/>
        </w:rPr>
        <w:t xml:space="preserve"> subtypes are classified and alter therapeutics in a more patient personalised manner</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&lt;EndNote&gt;&lt;Cite&gt;&lt;Author&gt;Martincorena&lt;/Author&gt;&lt;Year&gt;2017&lt;/Year&gt;&lt;IDText&gt;Universal Patterns of Selection in Cancer and Somatic Tissues&lt;/IDText&gt;&lt;DisplayText&gt;(Martincorena et al., 2017)&lt;/DisplayText&gt;&lt;record&gt;&lt;dates&gt;&lt;pub-dates&gt;&lt;date&gt;Oct&lt;/date&gt;&lt;/pub-dates&gt;&lt;year&gt;2017&lt;/year&gt;&lt;/dates&gt;&lt;keywords&gt;&lt;keyword&gt;cancer&lt;/keyword&gt;&lt;keyword&gt;evolution&lt;/keyword&gt;&lt;keyword&gt;genomics&lt;/keyword&gt;&lt;keyword&gt;mutations&lt;/keyword&gt;&lt;keyword&gt;selection&lt;/keyword&gt;&lt;/keywords&gt;&lt;urls&gt;&lt;related-urls&gt;&lt;url&gt;https://www.ncbi.nlm.nih.gov/pubmed/29056346&lt;/url&gt;&lt;/related-urls&gt;&lt;/urls&gt;&lt;isbn&gt;1097-4172&lt;/isbn&gt;&lt;titles&gt;&lt;title&gt;Universal Patterns of Selection in Cancer and Somatic Tissues&lt;/title&gt;&lt;secondary-title&gt;Cell&lt;/secondary-title&gt;&lt;/titles&gt;&lt;contributors&gt;&lt;authors&gt;&lt;author&gt;Martincorena, I.&lt;/author&gt;&lt;author&gt;Raine, K. M.&lt;/author&gt;&lt;author&gt;Gerstung, M.&lt;/author&gt;&lt;author&gt;Dawson, K. J.&lt;/author&gt;&lt;author&gt;Haase, K.&lt;/author&gt;&lt;author&gt;Van Loo, P.&lt;/author&gt;&lt;author&gt;Davies, H.&lt;/author&gt;&lt;author&gt;Stratton, M. R.&lt;/author&gt;&lt;author&gt;Campbell, P. J.&lt;/author&gt;&lt;/authors&gt;&lt;/contributors&gt;&lt;edition&gt;2017/10/18&lt;/edition&gt;&lt;language&gt;eng&lt;/language&gt;&lt;added-date format="utc"&gt;1510242817&lt;/added-date&gt;&lt;ref-type name="Journal Article"&gt;17&lt;/ref-type&gt;&lt;rec-number&gt;365&lt;/rec-number&gt;&lt;last-updated-date format="utc"&gt;1510242817&lt;/last-updated-date&gt;&lt;accession-num&gt;29056346&lt;/accession-num&gt;&lt;electronic-resource-num&gt;10.1016/j.cell.2017.09.042&lt;/electronic-resource-num&gt;&lt;/record&gt;&lt;/Cite&gt;&lt;/EndNote&gt;</w:instrText>
      </w:r>
      <w:r>
        <w:rPr>
          <w:rFonts w:asciiTheme="majorHAnsi" w:hAnsiTheme="majorHAnsi"/>
        </w:rPr>
        <w:fldChar w:fldCharType="separate"/>
      </w:r>
      <w:r>
        <w:rPr>
          <w:rFonts w:asciiTheme="majorHAnsi" w:hAnsiTheme="majorHAnsi"/>
          <w:noProof/>
        </w:rPr>
        <w:t>(Martincorena et al., 2017)</w:t>
      </w:r>
      <w:r>
        <w:rPr>
          <w:rFonts w:asciiTheme="majorHAnsi" w:hAnsiTheme="majorHAnsi"/>
        </w:rPr>
        <w:fldChar w:fldCharType="end"/>
      </w:r>
      <w:r w:rsidRPr="00933344">
        <w:rPr>
          <w:rFonts w:asciiTheme="majorHAnsi" w:hAnsiTheme="majorHAnsi"/>
        </w:rPr>
        <w:t>. For example, differing molecular signatures could indicate high-risk indivi</w:t>
      </w:r>
      <w:r w:rsidR="007A6E6D">
        <w:rPr>
          <w:rFonts w:asciiTheme="majorHAnsi" w:hAnsiTheme="majorHAnsi"/>
        </w:rPr>
        <w:t>duals or whether resistance to</w:t>
      </w:r>
      <w:r w:rsidRPr="00933344">
        <w:rPr>
          <w:rFonts w:asciiTheme="majorHAnsi" w:hAnsiTheme="majorHAnsi"/>
        </w:rPr>
        <w:t xml:space="preserve"> treatment agent</w:t>
      </w:r>
      <w:r w:rsidR="007A6E6D">
        <w:rPr>
          <w:rFonts w:asciiTheme="majorHAnsi" w:hAnsiTheme="majorHAnsi"/>
        </w:rPr>
        <w:t>s</w:t>
      </w:r>
      <w:r w:rsidRPr="00933344">
        <w:rPr>
          <w:rFonts w:asciiTheme="majorHAnsi" w:hAnsiTheme="majorHAnsi"/>
        </w:rPr>
        <w:t xml:space="preserve"> will occur and therefore prevent unnecessary interventions</w:t>
      </w:r>
      <w:r w:rsidR="007B1C45">
        <w:rPr>
          <w:rFonts w:asciiTheme="majorHAnsi" w:hAnsiTheme="majorHAnsi"/>
        </w:rPr>
        <w:t xml:space="preserve"> that are unlikely to be of benefit</w:t>
      </w:r>
      <w:r w:rsidRPr="00933344">
        <w:rPr>
          <w:rFonts w:asciiTheme="majorHAnsi" w:hAnsiTheme="majorHAnsi"/>
        </w:rPr>
        <w:t xml:space="preserve">. It would also be clinically beneficial if </w:t>
      </w:r>
      <w:r w:rsidR="007B1C45">
        <w:rPr>
          <w:rFonts w:asciiTheme="majorHAnsi" w:hAnsiTheme="majorHAnsi"/>
        </w:rPr>
        <w:t>such</w:t>
      </w:r>
      <w:r w:rsidRPr="00933344">
        <w:rPr>
          <w:rFonts w:asciiTheme="majorHAnsi" w:hAnsiTheme="majorHAnsi"/>
        </w:rPr>
        <w:t xml:space="preserve"> diagnostic tests could be done from readily available bodily fluids and therefore reduce the invasiveness</w:t>
      </w:r>
      <w:r>
        <w:rPr>
          <w:rFonts w:asciiTheme="majorHAnsi" w:hAnsiTheme="majorHAnsi"/>
        </w:rPr>
        <w:t xml:space="preserve"> of the tests</w:t>
      </w:r>
      <w:r w:rsidRPr="00933344">
        <w:rPr>
          <w:rFonts w:asciiTheme="majorHAnsi" w:hAnsiTheme="majorHAnsi"/>
        </w:rPr>
        <w:t xml:space="preserve"> </w:t>
      </w:r>
      <w:r w:rsidRPr="00933344">
        <w:rPr>
          <w:rFonts w:asciiTheme="majorHAnsi" w:hAnsiTheme="majorHAnsi"/>
        </w:rPr>
        <w:fldChar w:fldCharType="begin">
          <w:fldData xml:space="preserve">PEVuZE5vdGU+PENpdGU+PEF1dGhvcj5CYWxtYWluPC9BdXRob3I+PFllYXI+MjAwMzwvWWVhcj48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PEVuZE5vdGU+PENpdGU+PEF1dGhvcj5CYWxtYWluPC9BdXRob3I+PFllYXI+MjAwMzwvWWVhcj48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sidRPr="00933344">
        <w:rPr>
          <w:rFonts w:asciiTheme="majorHAnsi" w:hAnsiTheme="majorHAnsi"/>
        </w:rPr>
      </w:r>
      <w:r w:rsidRPr="00933344">
        <w:rPr>
          <w:rFonts w:asciiTheme="majorHAnsi" w:hAnsiTheme="majorHAnsi"/>
        </w:rPr>
        <w:fldChar w:fldCharType="separate"/>
      </w:r>
      <w:r>
        <w:rPr>
          <w:rFonts w:asciiTheme="majorHAnsi" w:hAnsiTheme="majorHAnsi"/>
          <w:noProof/>
        </w:rPr>
        <w:t>(Balmain et al., 2003)</w:t>
      </w:r>
      <w:r w:rsidRPr="00933344">
        <w:rPr>
          <w:rFonts w:asciiTheme="majorHAnsi" w:hAnsiTheme="majorHAnsi"/>
          <w:lang w:val="en-GB"/>
        </w:rPr>
        <w:fldChar w:fldCharType="end"/>
      </w:r>
      <w:r w:rsidRPr="00933344">
        <w:rPr>
          <w:rFonts w:asciiTheme="majorHAnsi" w:hAnsiTheme="majorHAnsi"/>
        </w:rPr>
        <w:t>.</w:t>
      </w:r>
    </w:p>
    <w:p w14:paraId="7EB9CAEF" w14:textId="77777777" w:rsidR="00B15A35" w:rsidRPr="00BC72E1" w:rsidRDefault="00B15A35" w:rsidP="00B15A35">
      <w:pPr>
        <w:pStyle w:val="NoSpacing"/>
        <w:spacing w:line="360" w:lineRule="auto"/>
        <w:jc w:val="both"/>
        <w:rPr>
          <w:rFonts w:asciiTheme="majorHAnsi" w:hAnsiTheme="majorHAnsi"/>
          <w:b/>
          <w:i/>
        </w:rPr>
      </w:pPr>
    </w:p>
    <w:p w14:paraId="38AB3ECB" w14:textId="77777777" w:rsidR="00B15A35" w:rsidRDefault="00B15A35" w:rsidP="002F41C6">
      <w:pPr>
        <w:pStyle w:val="NoSpacing"/>
        <w:numPr>
          <w:ilvl w:val="0"/>
          <w:numId w:val="33"/>
        </w:numPr>
        <w:spacing w:line="360" w:lineRule="auto"/>
        <w:jc w:val="both"/>
        <w:rPr>
          <w:rFonts w:asciiTheme="majorHAnsi" w:hAnsiTheme="majorHAnsi"/>
          <w:b/>
          <w:i/>
        </w:rPr>
      </w:pPr>
      <w:r w:rsidRPr="00BC72E1">
        <w:rPr>
          <w:rFonts w:asciiTheme="majorHAnsi" w:hAnsiTheme="majorHAnsi"/>
          <w:b/>
          <w:i/>
        </w:rPr>
        <w:t>The Hallmarks of Cancer</w:t>
      </w:r>
    </w:p>
    <w:p w14:paraId="1C94B0EA" w14:textId="27F60341" w:rsidR="00B15A35" w:rsidRPr="001113A6" w:rsidRDefault="00770EBD" w:rsidP="00B15A35">
      <w:pPr>
        <w:pStyle w:val="NoSpacing"/>
        <w:spacing w:line="360" w:lineRule="auto"/>
        <w:jc w:val="both"/>
        <w:rPr>
          <w:rFonts w:asciiTheme="majorHAnsi" w:hAnsiTheme="majorHAnsi"/>
        </w:rPr>
      </w:pPr>
      <w:r>
        <w:rPr>
          <w:rFonts w:asciiTheme="majorHAnsi" w:hAnsiTheme="majorHAnsi"/>
        </w:rPr>
        <w:t>A</w:t>
      </w:r>
      <w:r w:rsidR="00B15A35" w:rsidRPr="001113A6">
        <w:rPr>
          <w:rFonts w:asciiTheme="majorHAnsi" w:hAnsiTheme="majorHAnsi"/>
        </w:rPr>
        <w:t xml:space="preserve"> seminal paper by</w:t>
      </w:r>
      <w:r w:rsidR="007A6E6D">
        <w:rPr>
          <w:rFonts w:asciiTheme="majorHAnsi" w:hAnsiTheme="majorHAnsi"/>
        </w:rPr>
        <w:t xml:space="preserve"> </w:t>
      </w:r>
      <w:proofErr w:type="spellStart"/>
      <w:r w:rsidR="007A6E6D">
        <w:rPr>
          <w:rFonts w:asciiTheme="majorHAnsi" w:hAnsiTheme="majorHAnsi"/>
        </w:rPr>
        <w:t>Hanahan</w:t>
      </w:r>
      <w:proofErr w:type="spellEnd"/>
      <w:r w:rsidR="007A6E6D">
        <w:rPr>
          <w:rFonts w:asciiTheme="majorHAnsi" w:hAnsiTheme="majorHAnsi"/>
        </w:rPr>
        <w:t xml:space="preserve"> and </w:t>
      </w:r>
      <w:proofErr w:type="spellStart"/>
      <w:r w:rsidR="007A6E6D">
        <w:rPr>
          <w:rFonts w:asciiTheme="majorHAnsi" w:hAnsiTheme="majorHAnsi"/>
        </w:rPr>
        <w:t>Weinburg</w:t>
      </w:r>
      <w:proofErr w:type="spellEnd"/>
      <w:r w:rsidR="00B15A35" w:rsidRPr="001113A6">
        <w:rPr>
          <w:rFonts w:asciiTheme="majorHAnsi" w:hAnsiTheme="majorHAnsi"/>
        </w:rPr>
        <w:t xml:space="preserve"> </w:t>
      </w:r>
      <w:r w:rsidR="00B15A35">
        <w:rPr>
          <w:rFonts w:asciiTheme="majorHAnsi" w:hAnsiTheme="majorHAnsi"/>
        </w:rPr>
        <w:fldChar w:fldCharType="begin"/>
      </w:r>
      <w:r w:rsidR="007A6E6D">
        <w:rPr>
          <w:rFonts w:asciiTheme="majorHAnsi" w:hAnsiTheme="majorHAnsi"/>
        </w:rPr>
        <w:instrText xml:space="preserve"> ADDIN EN.CITE &lt;EndNote&gt;&lt;Cite ExcludeAuth="1"&gt;&lt;Author&gt;Hanahan&lt;/Author&gt;&lt;Year&gt;2000&lt;/Year&gt;&lt;IDText&gt;The hallmarks of cancer&lt;/IDText&gt;&lt;DisplayText&gt;(2000)&lt;/DisplayText&gt;&lt;record&gt;&lt;isbn&gt;00928674&lt;/isbn&gt;&lt;titles&gt;&lt;title&gt;The hallmarks of cancer&lt;/title&gt;&lt;/titles&gt;&lt;pages&gt;57-70&lt;/pages&gt;&lt;contributors&gt;&lt;authors&gt;&lt;author&gt;Hanahan, D.&lt;/author&gt;&lt;author&gt;Weinberg, R. A.&lt;/author&gt;&lt;/authors&gt;&lt;/contributors&gt;&lt;added-date format="utc"&gt;1425982752&lt;/added-date&gt;&lt;ref-type name="Generic"&gt;13&lt;/ref-type&gt;&lt;dates&gt;&lt;year&gt;2000&lt;/year&gt;&lt;/dates&gt;&lt;rec-number&gt;47&lt;/rec-number&gt;&lt;last-updated-date format="utc"&gt;1447344549&lt;/last-updated-date&gt;&lt;electronic-resource-num&gt;10.1016/S0092-8674(00)81683-9&lt;/electronic-resource-num&gt;&lt;volume&gt;100&lt;/volume&gt;&lt;/record&gt;&lt;/Cite&gt;&lt;/EndNote&gt;</w:instrText>
      </w:r>
      <w:r w:rsidR="00B15A35">
        <w:rPr>
          <w:rFonts w:asciiTheme="majorHAnsi" w:hAnsiTheme="majorHAnsi"/>
        </w:rPr>
        <w:fldChar w:fldCharType="separate"/>
      </w:r>
      <w:r w:rsidR="007A6E6D">
        <w:rPr>
          <w:rFonts w:asciiTheme="majorHAnsi" w:hAnsiTheme="majorHAnsi"/>
          <w:noProof/>
        </w:rPr>
        <w:t>(2000)</w:t>
      </w:r>
      <w:r w:rsidR="00B15A35">
        <w:rPr>
          <w:rFonts w:asciiTheme="majorHAnsi" w:hAnsiTheme="majorHAnsi"/>
        </w:rPr>
        <w:fldChar w:fldCharType="end"/>
      </w:r>
      <w:r w:rsidR="007A6E6D">
        <w:rPr>
          <w:rFonts w:asciiTheme="majorHAnsi" w:hAnsiTheme="majorHAnsi"/>
        </w:rPr>
        <w:t>,</w:t>
      </w:r>
      <w:r w:rsidR="00B15A35">
        <w:rPr>
          <w:rFonts w:asciiTheme="majorHAnsi" w:hAnsiTheme="majorHAnsi"/>
        </w:rPr>
        <w:t xml:space="preserve"> </w:t>
      </w:r>
      <w:r w:rsidR="00B15A35" w:rsidRPr="001113A6">
        <w:rPr>
          <w:rFonts w:asciiTheme="majorHAnsi" w:hAnsiTheme="majorHAnsi"/>
        </w:rPr>
        <w:t xml:space="preserve">illustrated the theory that there are six hallmarks of cancer. </w:t>
      </w:r>
      <w:r w:rsidR="00B15A35">
        <w:rPr>
          <w:rFonts w:asciiTheme="majorHAnsi" w:hAnsiTheme="majorHAnsi"/>
        </w:rPr>
        <w:t>T</w:t>
      </w:r>
      <w:r w:rsidR="00B15A35" w:rsidRPr="001113A6">
        <w:rPr>
          <w:rFonts w:asciiTheme="majorHAnsi" w:hAnsiTheme="majorHAnsi"/>
        </w:rPr>
        <w:t xml:space="preserve">hese provide a framework to understanding how the differing mutations fit into specific categories </w:t>
      </w:r>
      <w:r w:rsidR="007B1C45">
        <w:rPr>
          <w:rFonts w:asciiTheme="majorHAnsi" w:hAnsiTheme="majorHAnsi"/>
        </w:rPr>
        <w:t xml:space="preserve">and pathways </w:t>
      </w:r>
      <w:r w:rsidR="00B15A35" w:rsidRPr="001113A6">
        <w:rPr>
          <w:rFonts w:asciiTheme="majorHAnsi" w:hAnsiTheme="majorHAnsi"/>
        </w:rPr>
        <w:t>that drive tumour progression. Also, i</w:t>
      </w:r>
      <w:r w:rsidR="007B1C45">
        <w:rPr>
          <w:rFonts w:asciiTheme="majorHAnsi" w:hAnsiTheme="majorHAnsi"/>
        </w:rPr>
        <w:t>n reality cancer cells interact</w:t>
      </w:r>
      <w:r w:rsidR="00B15A35" w:rsidRPr="001113A6">
        <w:rPr>
          <w:rFonts w:asciiTheme="majorHAnsi" w:hAnsiTheme="majorHAnsi"/>
        </w:rPr>
        <w:t xml:space="preserve"> with their microenvironment to create a dynamic and complex tumour. More recently </w:t>
      </w:r>
      <w:r w:rsidR="007B1C45">
        <w:rPr>
          <w:rFonts w:asciiTheme="majorHAnsi" w:hAnsiTheme="majorHAnsi"/>
        </w:rPr>
        <w:t>the authors</w:t>
      </w:r>
      <w:r w:rsidR="00B15A35" w:rsidRPr="001113A6">
        <w:rPr>
          <w:rFonts w:asciiTheme="majorHAnsi" w:hAnsiTheme="majorHAnsi"/>
        </w:rPr>
        <w:t xml:space="preserve"> expanded this theory to include two further hallmarks</w:t>
      </w:r>
      <w:proofErr w:type="gramStart"/>
      <w:r w:rsidR="00B15A35" w:rsidRPr="001113A6">
        <w:rPr>
          <w:rFonts w:asciiTheme="majorHAnsi" w:hAnsiTheme="majorHAnsi"/>
        </w:rPr>
        <w:t>;</w:t>
      </w:r>
      <w:proofErr w:type="gramEnd"/>
      <w:r w:rsidR="00B15A35" w:rsidRPr="001113A6">
        <w:rPr>
          <w:rFonts w:asciiTheme="majorHAnsi" w:hAnsiTheme="majorHAnsi"/>
        </w:rPr>
        <w:t xml:space="preserve"> </w:t>
      </w:r>
      <w:r w:rsidR="007B1C45">
        <w:rPr>
          <w:rFonts w:asciiTheme="majorHAnsi" w:hAnsiTheme="majorHAnsi"/>
        </w:rPr>
        <w:t>the avoidance of</w:t>
      </w:r>
      <w:r w:rsidR="00B15A35" w:rsidRPr="001113A6">
        <w:rPr>
          <w:rFonts w:asciiTheme="majorHAnsi" w:hAnsiTheme="majorHAnsi"/>
        </w:rPr>
        <w:t xml:space="preserve"> immune destruction and deregulation of cellular energetics. In addition, two enabling characteristics are now included; </w:t>
      </w:r>
      <w:r w:rsidR="007B1C45">
        <w:rPr>
          <w:rFonts w:asciiTheme="majorHAnsi" w:hAnsiTheme="majorHAnsi"/>
        </w:rPr>
        <w:t>these are tumour promotion of</w:t>
      </w:r>
      <w:r w:rsidR="00B15A35" w:rsidRPr="001113A6">
        <w:rPr>
          <w:rFonts w:asciiTheme="majorHAnsi" w:hAnsiTheme="majorHAnsi"/>
        </w:rPr>
        <w:t xml:space="preserve"> inflammation</w:t>
      </w:r>
      <w:r w:rsidR="007B1C45">
        <w:rPr>
          <w:rFonts w:asciiTheme="majorHAnsi" w:hAnsiTheme="majorHAnsi"/>
        </w:rPr>
        <w:t>,</w:t>
      </w:r>
      <w:r w:rsidR="00B15A35" w:rsidRPr="001113A6">
        <w:rPr>
          <w:rFonts w:asciiTheme="majorHAnsi" w:hAnsiTheme="majorHAnsi"/>
        </w:rPr>
        <w:t xml:space="preserve"> and genome instability and mutation. All 10 hallmarks are summarized in Table 1</w:t>
      </w:r>
      <w:r w:rsidR="00B15A35">
        <w:rPr>
          <w:rFonts w:asciiTheme="majorHAnsi" w:hAnsiTheme="majorHAnsi"/>
        </w:rPr>
        <w:t>.1</w:t>
      </w:r>
      <w:r w:rsidR="00B15A35" w:rsidRPr="001113A6">
        <w:rPr>
          <w:rFonts w:asciiTheme="majorHAnsi" w:hAnsiTheme="majorHAnsi"/>
        </w:rPr>
        <w:t xml:space="preserve"> </w:t>
      </w:r>
      <w:r w:rsidR="00B15A35">
        <w:rPr>
          <w:rFonts w:asciiTheme="majorHAnsi" w:hAnsiTheme="majorHAnsi"/>
        </w:rPr>
        <w:fldChar w:fldCharType="begin"/>
      </w:r>
      <w:r w:rsidR="00B15A35">
        <w:rPr>
          <w:rFonts w:asciiTheme="majorHAnsi" w:hAnsiTheme="majorHAnsi"/>
        </w:rPr>
        <w:instrText xml:space="preserve"> ADDIN EN.CITE &lt;EndNote&gt;&lt;Cite&gt;&lt;Author&gt;Hanahan&lt;/Author&gt;&lt;Year&gt;2011&lt;/Year&gt;&lt;IDText&gt;Hallmarks of cancer: The next generation&lt;/IDText&gt;&lt;DisplayText&gt;(Hanahan and Weinberg, 2011)&lt;/DisplayText&gt;&lt;record&gt;&lt;isbn&gt;00928674&lt;/isbn&gt;&lt;titles&gt;&lt;title&gt;Hallmarks of cancer: The next generation&lt;/title&gt;&lt;/titles&gt;&lt;pages&gt;646-674&lt;/pages&gt;&lt;contributors&gt;&lt;authors&gt;&lt;author&gt;Hanahan, D.&lt;/author&gt;&lt;author&gt;Weinberg, R. A.&lt;/author&gt;&lt;/authors&gt;&lt;/contributors&gt;&lt;added-date format="utc"&gt;1425982623&lt;/added-date&gt;&lt;ref-type name="Generic"&gt;13&lt;/ref-type&gt;&lt;dates&gt;&lt;year&gt;2011&lt;/year&gt;&lt;/dates&gt;&lt;rec-number&gt;46&lt;/rec-number&gt;&lt;last-updated-date format="utc"&gt;1447344549&lt;/last-updated-date&gt;&lt;electronic-resource-num&gt;10.1016/j.cell.2011.02.013&lt;/electronic-resource-num&gt;&lt;volume&gt;144&lt;/volume&gt;&lt;/record&gt;&lt;/Cite&gt;&lt;/EndNote&gt;</w:instrText>
      </w:r>
      <w:r w:rsidR="00B15A35">
        <w:rPr>
          <w:rFonts w:asciiTheme="majorHAnsi" w:hAnsiTheme="majorHAnsi"/>
        </w:rPr>
        <w:fldChar w:fldCharType="separate"/>
      </w:r>
      <w:r w:rsidR="00B15A35">
        <w:rPr>
          <w:rFonts w:asciiTheme="majorHAnsi" w:hAnsiTheme="majorHAnsi"/>
          <w:noProof/>
        </w:rPr>
        <w:t>(Hanahan and Weinberg, 2011)</w:t>
      </w:r>
      <w:r w:rsidR="00B15A35">
        <w:rPr>
          <w:rFonts w:asciiTheme="majorHAnsi" w:hAnsiTheme="majorHAnsi"/>
        </w:rPr>
        <w:fldChar w:fldCharType="end"/>
      </w:r>
      <w:r w:rsidR="00B15A35">
        <w:rPr>
          <w:rFonts w:asciiTheme="majorHAnsi" w:hAnsiTheme="majorHAnsi"/>
        </w:rPr>
        <w:t>.</w:t>
      </w:r>
    </w:p>
    <w:p w14:paraId="0F53B935" w14:textId="77777777" w:rsidR="00B15A35" w:rsidRDefault="00B15A35" w:rsidP="00B15A35">
      <w:pPr>
        <w:pStyle w:val="NoSpacing"/>
        <w:spacing w:line="360" w:lineRule="auto"/>
        <w:jc w:val="both"/>
        <w:rPr>
          <w:rFonts w:asciiTheme="majorHAnsi" w:hAnsiTheme="majorHAnsi"/>
          <w:b/>
          <w:i/>
        </w:rPr>
      </w:pPr>
    </w:p>
    <w:tbl>
      <w:tblPr>
        <w:tblStyle w:val="TableGrid"/>
        <w:tblpPr w:leftFromText="180" w:rightFromText="180" w:vertAnchor="text" w:horzAnchor="page" w:tblpX="2197" w:tblpY="28"/>
        <w:tblW w:w="0" w:type="auto"/>
        <w:tblLook w:val="04A0" w:firstRow="1" w:lastRow="0" w:firstColumn="1" w:lastColumn="0" w:noHBand="0" w:noVBand="1"/>
      </w:tblPr>
      <w:tblGrid>
        <w:gridCol w:w="2000"/>
        <w:gridCol w:w="4744"/>
        <w:gridCol w:w="1970"/>
      </w:tblGrid>
      <w:tr w:rsidR="00B15A35" w:rsidRPr="001D5DBE" w14:paraId="605D8C2D" w14:textId="77777777" w:rsidTr="00443E84">
        <w:trPr>
          <w:trHeight w:val="611"/>
        </w:trPr>
        <w:tc>
          <w:tcPr>
            <w:tcW w:w="0" w:type="auto"/>
            <w:shd w:val="clear" w:color="auto" w:fill="000000" w:themeFill="text1"/>
          </w:tcPr>
          <w:p w14:paraId="19F4E293" w14:textId="77777777" w:rsidR="00B15A35" w:rsidRPr="00E97710" w:rsidRDefault="00B15A35" w:rsidP="00443E84">
            <w:pPr>
              <w:pStyle w:val="NoSpacing"/>
              <w:spacing w:line="276" w:lineRule="auto"/>
              <w:jc w:val="center"/>
              <w:rPr>
                <w:b/>
                <w:color w:val="FFFFFF" w:themeColor="background1"/>
                <w:sz w:val="22"/>
              </w:rPr>
            </w:pPr>
            <w:r w:rsidRPr="00E97710">
              <w:rPr>
                <w:b/>
                <w:color w:val="FFFFFF" w:themeColor="background1"/>
                <w:sz w:val="22"/>
              </w:rPr>
              <w:t>Hallmark of Cancer</w:t>
            </w:r>
          </w:p>
        </w:tc>
        <w:tc>
          <w:tcPr>
            <w:tcW w:w="0" w:type="auto"/>
            <w:shd w:val="clear" w:color="auto" w:fill="000000" w:themeFill="text1"/>
          </w:tcPr>
          <w:p w14:paraId="62A4DD58" w14:textId="77777777" w:rsidR="00B15A35" w:rsidRPr="00E97710" w:rsidRDefault="00B15A35" w:rsidP="00443E84">
            <w:pPr>
              <w:pStyle w:val="NoSpacing"/>
              <w:spacing w:line="276" w:lineRule="auto"/>
              <w:jc w:val="center"/>
              <w:rPr>
                <w:b/>
                <w:color w:val="FFFFFF" w:themeColor="background1"/>
                <w:sz w:val="22"/>
              </w:rPr>
            </w:pPr>
            <w:r w:rsidRPr="00E97710">
              <w:rPr>
                <w:b/>
                <w:color w:val="FFFFFF" w:themeColor="background1"/>
                <w:sz w:val="22"/>
              </w:rPr>
              <w:t>Description</w:t>
            </w:r>
          </w:p>
        </w:tc>
        <w:tc>
          <w:tcPr>
            <w:tcW w:w="0" w:type="auto"/>
            <w:shd w:val="clear" w:color="auto" w:fill="000000" w:themeFill="text1"/>
          </w:tcPr>
          <w:p w14:paraId="69CC5ECB" w14:textId="77777777" w:rsidR="00B15A35" w:rsidRPr="00E97710" w:rsidRDefault="00B15A35" w:rsidP="00443E84">
            <w:pPr>
              <w:pStyle w:val="NoSpacing"/>
              <w:spacing w:line="276" w:lineRule="auto"/>
              <w:jc w:val="center"/>
              <w:rPr>
                <w:b/>
                <w:color w:val="FFFFFF" w:themeColor="background1"/>
                <w:sz w:val="22"/>
              </w:rPr>
            </w:pPr>
            <w:r w:rsidRPr="00E97710">
              <w:rPr>
                <w:b/>
                <w:color w:val="FFFFFF" w:themeColor="background1"/>
                <w:sz w:val="22"/>
              </w:rPr>
              <w:t>Therapeutic approaches</w:t>
            </w:r>
          </w:p>
        </w:tc>
      </w:tr>
      <w:tr w:rsidR="00B15A35" w:rsidRPr="001D5DBE" w14:paraId="73F073AB" w14:textId="77777777" w:rsidTr="00A7594C">
        <w:trPr>
          <w:trHeight w:val="316"/>
        </w:trPr>
        <w:tc>
          <w:tcPr>
            <w:tcW w:w="0" w:type="auto"/>
            <w:shd w:val="clear" w:color="auto" w:fill="D9D9D9" w:themeFill="background1" w:themeFillShade="D9"/>
          </w:tcPr>
          <w:p w14:paraId="7FD792E7" w14:textId="77777777" w:rsidR="00B15A35" w:rsidRPr="001D5DBE" w:rsidRDefault="00B15A35" w:rsidP="00443E84">
            <w:pPr>
              <w:pStyle w:val="NoSpacing"/>
              <w:spacing w:line="276" w:lineRule="auto"/>
              <w:jc w:val="center"/>
              <w:rPr>
                <w:sz w:val="22"/>
              </w:rPr>
            </w:pPr>
            <w:r w:rsidRPr="001D5DBE">
              <w:rPr>
                <w:sz w:val="22"/>
              </w:rPr>
              <w:t>1. Self-sufficiency in Growth Signals</w:t>
            </w:r>
          </w:p>
        </w:tc>
        <w:tc>
          <w:tcPr>
            <w:tcW w:w="0" w:type="auto"/>
          </w:tcPr>
          <w:p w14:paraId="0C2BB217" w14:textId="67B611BA" w:rsidR="00B15A35" w:rsidRPr="001D5DBE" w:rsidRDefault="00B15A35" w:rsidP="00443E84">
            <w:pPr>
              <w:pStyle w:val="NoSpacing"/>
              <w:spacing w:line="276" w:lineRule="auto"/>
              <w:jc w:val="center"/>
              <w:rPr>
                <w:sz w:val="22"/>
              </w:rPr>
            </w:pPr>
            <w:r w:rsidRPr="001D5DBE">
              <w:rPr>
                <w:sz w:val="22"/>
              </w:rPr>
              <w:t>Up regulation of growth factors or over</w:t>
            </w:r>
            <w:r w:rsidR="00327AA2">
              <w:rPr>
                <w:sz w:val="22"/>
              </w:rPr>
              <w:t>-</w:t>
            </w:r>
            <w:r w:rsidRPr="001D5DBE">
              <w:rPr>
                <w:sz w:val="22"/>
              </w:rPr>
              <w:t>expression of growth receptors in tumour and normal cells to drive cell proliferation.</w:t>
            </w:r>
          </w:p>
        </w:tc>
        <w:tc>
          <w:tcPr>
            <w:tcW w:w="0" w:type="auto"/>
          </w:tcPr>
          <w:p w14:paraId="035BCDBD" w14:textId="77777777" w:rsidR="00B15A35" w:rsidRPr="001D5DBE" w:rsidRDefault="00B15A35" w:rsidP="00443E84">
            <w:pPr>
              <w:pStyle w:val="NoSpacing"/>
              <w:spacing w:line="276" w:lineRule="auto"/>
              <w:jc w:val="center"/>
              <w:rPr>
                <w:sz w:val="22"/>
              </w:rPr>
            </w:pPr>
            <w:r w:rsidRPr="001D5DBE">
              <w:rPr>
                <w:sz w:val="22"/>
              </w:rPr>
              <w:t>EGFR Inhibitors</w:t>
            </w:r>
          </w:p>
        </w:tc>
      </w:tr>
      <w:tr w:rsidR="00B15A35" w:rsidRPr="001D5DBE" w14:paraId="40D8E1B5" w14:textId="77777777" w:rsidTr="00A7594C">
        <w:trPr>
          <w:trHeight w:val="294"/>
        </w:trPr>
        <w:tc>
          <w:tcPr>
            <w:tcW w:w="0" w:type="auto"/>
            <w:shd w:val="clear" w:color="auto" w:fill="D9D9D9" w:themeFill="background1" w:themeFillShade="D9"/>
          </w:tcPr>
          <w:p w14:paraId="6A92672C" w14:textId="77777777" w:rsidR="00B15A35" w:rsidRPr="001D5DBE" w:rsidRDefault="00B15A35" w:rsidP="00443E84">
            <w:pPr>
              <w:pStyle w:val="NoSpacing"/>
              <w:spacing w:line="276" w:lineRule="auto"/>
              <w:jc w:val="center"/>
              <w:rPr>
                <w:sz w:val="22"/>
              </w:rPr>
            </w:pPr>
            <w:r w:rsidRPr="001D5DBE">
              <w:rPr>
                <w:sz w:val="22"/>
              </w:rPr>
              <w:t>2. Insensitivity to Anti-Growth Signals</w:t>
            </w:r>
          </w:p>
        </w:tc>
        <w:tc>
          <w:tcPr>
            <w:tcW w:w="0" w:type="auto"/>
          </w:tcPr>
          <w:p w14:paraId="0D8CED29" w14:textId="77777777" w:rsidR="00B15A35" w:rsidRPr="001D5DBE" w:rsidRDefault="00B15A35" w:rsidP="00443E84">
            <w:pPr>
              <w:pStyle w:val="NoSpacing"/>
              <w:spacing w:line="276" w:lineRule="auto"/>
              <w:jc w:val="center"/>
              <w:rPr>
                <w:sz w:val="22"/>
              </w:rPr>
            </w:pPr>
            <w:r w:rsidRPr="001D5DBE">
              <w:rPr>
                <w:sz w:val="22"/>
              </w:rPr>
              <w:t>These usually block proliferation by pushing cells into quiescence; in cancer cells circumvent these signals to allow uncontrolled growth.</w:t>
            </w:r>
          </w:p>
        </w:tc>
        <w:tc>
          <w:tcPr>
            <w:tcW w:w="0" w:type="auto"/>
          </w:tcPr>
          <w:p w14:paraId="72730021" w14:textId="77777777" w:rsidR="00B15A35" w:rsidRPr="001D5DBE" w:rsidRDefault="00B15A35" w:rsidP="00443E84">
            <w:pPr>
              <w:pStyle w:val="NoSpacing"/>
              <w:spacing w:line="276" w:lineRule="auto"/>
              <w:jc w:val="center"/>
              <w:rPr>
                <w:sz w:val="22"/>
              </w:rPr>
            </w:pPr>
            <w:r w:rsidRPr="001D5DBE">
              <w:rPr>
                <w:sz w:val="22"/>
              </w:rPr>
              <w:t>Cycling-dependent kinase inhibitors</w:t>
            </w:r>
          </w:p>
        </w:tc>
      </w:tr>
      <w:tr w:rsidR="00B15A35" w:rsidRPr="001D5DBE" w14:paraId="2296FABA" w14:textId="77777777" w:rsidTr="00A7594C">
        <w:trPr>
          <w:trHeight w:val="316"/>
        </w:trPr>
        <w:tc>
          <w:tcPr>
            <w:tcW w:w="0" w:type="auto"/>
            <w:shd w:val="clear" w:color="auto" w:fill="D9D9D9" w:themeFill="background1" w:themeFillShade="D9"/>
          </w:tcPr>
          <w:p w14:paraId="5B57AFFF" w14:textId="77777777" w:rsidR="00B15A35" w:rsidRPr="001D5DBE" w:rsidRDefault="00B15A35" w:rsidP="00443E84">
            <w:pPr>
              <w:pStyle w:val="NoSpacing"/>
              <w:spacing w:line="276" w:lineRule="auto"/>
              <w:jc w:val="center"/>
              <w:rPr>
                <w:sz w:val="22"/>
              </w:rPr>
            </w:pPr>
            <w:r w:rsidRPr="001D5DBE">
              <w:rPr>
                <w:sz w:val="22"/>
              </w:rPr>
              <w:t>3. Invasion and Metastasis</w:t>
            </w:r>
          </w:p>
        </w:tc>
        <w:tc>
          <w:tcPr>
            <w:tcW w:w="0" w:type="auto"/>
          </w:tcPr>
          <w:p w14:paraId="4E07C245" w14:textId="77777777" w:rsidR="00B15A35" w:rsidRPr="001D5DBE" w:rsidRDefault="00B15A35" w:rsidP="00443E84">
            <w:pPr>
              <w:pStyle w:val="NoSpacing"/>
              <w:spacing w:line="276" w:lineRule="auto"/>
              <w:jc w:val="center"/>
              <w:rPr>
                <w:sz w:val="22"/>
              </w:rPr>
            </w:pPr>
            <w:r w:rsidRPr="001D5DBE">
              <w:rPr>
                <w:sz w:val="22"/>
              </w:rPr>
              <w:t>This is the ability of cells to disseminate from the primary and move to potentially distant locations to create secondary growths, often associated with adhesion molecules.</w:t>
            </w:r>
          </w:p>
        </w:tc>
        <w:tc>
          <w:tcPr>
            <w:tcW w:w="0" w:type="auto"/>
          </w:tcPr>
          <w:p w14:paraId="1AB4BBD8" w14:textId="77777777" w:rsidR="00B15A35" w:rsidRPr="001D5DBE" w:rsidRDefault="00B15A35" w:rsidP="00443E84">
            <w:pPr>
              <w:pStyle w:val="NoSpacing"/>
              <w:spacing w:line="276" w:lineRule="auto"/>
              <w:jc w:val="center"/>
              <w:rPr>
                <w:sz w:val="22"/>
              </w:rPr>
            </w:pPr>
            <w:r w:rsidRPr="001D5DBE">
              <w:rPr>
                <w:sz w:val="22"/>
              </w:rPr>
              <w:t>Inhibitors of HGF/c-met</w:t>
            </w:r>
          </w:p>
        </w:tc>
      </w:tr>
      <w:tr w:rsidR="00B15A35" w:rsidRPr="001D5DBE" w14:paraId="40179EA4" w14:textId="77777777" w:rsidTr="00A7594C">
        <w:trPr>
          <w:trHeight w:val="294"/>
        </w:trPr>
        <w:tc>
          <w:tcPr>
            <w:tcW w:w="0" w:type="auto"/>
            <w:shd w:val="clear" w:color="auto" w:fill="D9D9D9" w:themeFill="background1" w:themeFillShade="D9"/>
          </w:tcPr>
          <w:p w14:paraId="151D8053" w14:textId="77777777" w:rsidR="00B15A35" w:rsidRPr="001D5DBE" w:rsidRDefault="00B15A35" w:rsidP="00443E84">
            <w:pPr>
              <w:pStyle w:val="NoSpacing"/>
              <w:spacing w:line="276" w:lineRule="auto"/>
              <w:jc w:val="center"/>
              <w:rPr>
                <w:sz w:val="22"/>
              </w:rPr>
            </w:pPr>
            <w:r w:rsidRPr="001D5DBE">
              <w:rPr>
                <w:sz w:val="22"/>
              </w:rPr>
              <w:t>4. Limitless Replicative Potential</w:t>
            </w:r>
          </w:p>
        </w:tc>
        <w:tc>
          <w:tcPr>
            <w:tcW w:w="0" w:type="auto"/>
          </w:tcPr>
          <w:p w14:paraId="27D09FF5" w14:textId="77777777" w:rsidR="00B15A35" w:rsidRPr="001D5DBE" w:rsidRDefault="00B15A35" w:rsidP="00443E84">
            <w:pPr>
              <w:pStyle w:val="NoSpacing"/>
              <w:spacing w:line="276" w:lineRule="auto"/>
              <w:jc w:val="center"/>
              <w:rPr>
                <w:sz w:val="22"/>
              </w:rPr>
            </w:pPr>
            <w:r w:rsidRPr="001D5DBE">
              <w:rPr>
                <w:sz w:val="22"/>
              </w:rPr>
              <w:t>They have an infinite number of divisions meaning they become immortal, possibly due to up regulation of telomerase to maintain chromosome length.</w:t>
            </w:r>
          </w:p>
        </w:tc>
        <w:tc>
          <w:tcPr>
            <w:tcW w:w="0" w:type="auto"/>
          </w:tcPr>
          <w:p w14:paraId="09954F80" w14:textId="77777777" w:rsidR="00B15A35" w:rsidRPr="001D5DBE" w:rsidRDefault="00B15A35" w:rsidP="00443E84">
            <w:pPr>
              <w:pStyle w:val="NoSpacing"/>
              <w:spacing w:line="276" w:lineRule="auto"/>
              <w:jc w:val="center"/>
              <w:rPr>
                <w:sz w:val="22"/>
              </w:rPr>
            </w:pPr>
            <w:r w:rsidRPr="001D5DBE">
              <w:rPr>
                <w:sz w:val="22"/>
              </w:rPr>
              <w:t>Telomerase Inhibitors</w:t>
            </w:r>
          </w:p>
        </w:tc>
      </w:tr>
      <w:tr w:rsidR="00B15A35" w:rsidRPr="001D5DBE" w14:paraId="53D20B66" w14:textId="77777777" w:rsidTr="00A7594C">
        <w:trPr>
          <w:trHeight w:val="316"/>
        </w:trPr>
        <w:tc>
          <w:tcPr>
            <w:tcW w:w="0" w:type="auto"/>
            <w:shd w:val="clear" w:color="auto" w:fill="D9D9D9" w:themeFill="background1" w:themeFillShade="D9"/>
          </w:tcPr>
          <w:p w14:paraId="652DDBCF" w14:textId="77777777" w:rsidR="00B15A35" w:rsidRPr="001D5DBE" w:rsidRDefault="00B15A35" w:rsidP="00443E84">
            <w:pPr>
              <w:pStyle w:val="NoSpacing"/>
              <w:spacing w:line="276" w:lineRule="auto"/>
              <w:jc w:val="center"/>
              <w:rPr>
                <w:sz w:val="22"/>
              </w:rPr>
            </w:pPr>
            <w:r w:rsidRPr="001D5DBE">
              <w:rPr>
                <w:sz w:val="22"/>
              </w:rPr>
              <w:t>5. Inducing Angiogenesis</w:t>
            </w:r>
          </w:p>
        </w:tc>
        <w:tc>
          <w:tcPr>
            <w:tcW w:w="0" w:type="auto"/>
          </w:tcPr>
          <w:p w14:paraId="2B56730F" w14:textId="77777777" w:rsidR="00B15A35" w:rsidRPr="001D5DBE" w:rsidRDefault="00B15A35" w:rsidP="00443E84">
            <w:pPr>
              <w:pStyle w:val="NoSpacing"/>
              <w:spacing w:line="276" w:lineRule="auto"/>
              <w:jc w:val="center"/>
              <w:rPr>
                <w:sz w:val="22"/>
              </w:rPr>
            </w:pPr>
            <w:r w:rsidRPr="001D5DBE">
              <w:rPr>
                <w:sz w:val="22"/>
              </w:rPr>
              <w:t>To be able to progress into more complex tumours the cells require their own vasculature to gain nutrients and oxygen.</w:t>
            </w:r>
          </w:p>
        </w:tc>
        <w:tc>
          <w:tcPr>
            <w:tcW w:w="0" w:type="auto"/>
          </w:tcPr>
          <w:p w14:paraId="2E88DEA4" w14:textId="77777777" w:rsidR="00B15A35" w:rsidRPr="001D5DBE" w:rsidRDefault="00B15A35" w:rsidP="00443E84">
            <w:pPr>
              <w:pStyle w:val="NoSpacing"/>
              <w:spacing w:line="276" w:lineRule="auto"/>
              <w:jc w:val="center"/>
              <w:rPr>
                <w:sz w:val="22"/>
              </w:rPr>
            </w:pPr>
            <w:r w:rsidRPr="001D5DBE">
              <w:rPr>
                <w:sz w:val="22"/>
              </w:rPr>
              <w:t>Inhibitors of VEGF signaling</w:t>
            </w:r>
          </w:p>
        </w:tc>
      </w:tr>
      <w:tr w:rsidR="00B15A35" w:rsidRPr="001D5DBE" w14:paraId="7A4C3191" w14:textId="77777777" w:rsidTr="00A7594C">
        <w:trPr>
          <w:trHeight w:val="316"/>
        </w:trPr>
        <w:tc>
          <w:tcPr>
            <w:tcW w:w="0" w:type="auto"/>
            <w:shd w:val="clear" w:color="auto" w:fill="D9D9D9" w:themeFill="background1" w:themeFillShade="D9"/>
          </w:tcPr>
          <w:p w14:paraId="3C0C2F62" w14:textId="77777777" w:rsidR="00B15A35" w:rsidRPr="001D5DBE" w:rsidRDefault="00B15A35" w:rsidP="00443E84">
            <w:pPr>
              <w:pStyle w:val="NoSpacing"/>
              <w:spacing w:line="276" w:lineRule="auto"/>
              <w:jc w:val="center"/>
              <w:rPr>
                <w:sz w:val="22"/>
              </w:rPr>
            </w:pPr>
            <w:r w:rsidRPr="001D5DBE">
              <w:rPr>
                <w:sz w:val="22"/>
              </w:rPr>
              <w:t>6. Resisting Cell Death</w:t>
            </w:r>
          </w:p>
        </w:tc>
        <w:tc>
          <w:tcPr>
            <w:tcW w:w="0" w:type="auto"/>
          </w:tcPr>
          <w:p w14:paraId="3A828896" w14:textId="77777777" w:rsidR="00B15A35" w:rsidRPr="001D5DBE" w:rsidRDefault="00B15A35" w:rsidP="00443E84">
            <w:pPr>
              <w:pStyle w:val="NoSpacing"/>
              <w:spacing w:line="276" w:lineRule="auto"/>
              <w:jc w:val="center"/>
              <w:rPr>
                <w:sz w:val="22"/>
              </w:rPr>
            </w:pPr>
            <w:r w:rsidRPr="001D5DBE">
              <w:rPr>
                <w:sz w:val="22"/>
              </w:rPr>
              <w:t>Cells evade apoptosis through loss of tumour suppressors and up regulation of oncogenes.</w:t>
            </w:r>
          </w:p>
        </w:tc>
        <w:tc>
          <w:tcPr>
            <w:tcW w:w="0" w:type="auto"/>
          </w:tcPr>
          <w:p w14:paraId="3CBEAEFF" w14:textId="77777777" w:rsidR="00B15A35" w:rsidRPr="001D5DBE" w:rsidRDefault="00B15A35" w:rsidP="00443E84">
            <w:pPr>
              <w:pStyle w:val="NoSpacing"/>
              <w:spacing w:line="276" w:lineRule="auto"/>
              <w:jc w:val="center"/>
              <w:rPr>
                <w:sz w:val="22"/>
              </w:rPr>
            </w:pPr>
            <w:r w:rsidRPr="001D5DBE">
              <w:rPr>
                <w:sz w:val="22"/>
              </w:rPr>
              <w:t>Proapoptotic BH3 mimetics</w:t>
            </w:r>
          </w:p>
        </w:tc>
      </w:tr>
      <w:tr w:rsidR="00B15A35" w:rsidRPr="001D5DBE" w14:paraId="5A30A064" w14:textId="77777777" w:rsidTr="00A7594C">
        <w:trPr>
          <w:trHeight w:val="316"/>
        </w:trPr>
        <w:tc>
          <w:tcPr>
            <w:tcW w:w="0" w:type="auto"/>
            <w:shd w:val="clear" w:color="auto" w:fill="D9D9D9" w:themeFill="background1" w:themeFillShade="D9"/>
          </w:tcPr>
          <w:p w14:paraId="58168C13" w14:textId="77777777" w:rsidR="00B15A35" w:rsidRPr="001D5DBE" w:rsidRDefault="00B15A35" w:rsidP="00443E84">
            <w:pPr>
              <w:pStyle w:val="NoSpacing"/>
              <w:spacing w:line="276" w:lineRule="auto"/>
              <w:jc w:val="center"/>
              <w:rPr>
                <w:sz w:val="22"/>
              </w:rPr>
            </w:pPr>
            <w:r w:rsidRPr="001D5DBE">
              <w:rPr>
                <w:sz w:val="22"/>
              </w:rPr>
              <w:t>7. Avoiding Immune Destruction</w:t>
            </w:r>
          </w:p>
        </w:tc>
        <w:tc>
          <w:tcPr>
            <w:tcW w:w="0" w:type="auto"/>
          </w:tcPr>
          <w:p w14:paraId="74088D3D" w14:textId="77777777" w:rsidR="00B15A35" w:rsidRPr="001D5DBE" w:rsidRDefault="00B15A35" w:rsidP="00443E84">
            <w:pPr>
              <w:pStyle w:val="NoSpacing"/>
              <w:spacing w:line="276" w:lineRule="auto"/>
              <w:jc w:val="center"/>
              <w:rPr>
                <w:sz w:val="22"/>
              </w:rPr>
            </w:pPr>
            <w:proofErr w:type="gramStart"/>
            <w:r w:rsidRPr="001D5DBE">
              <w:rPr>
                <w:sz w:val="22"/>
              </w:rPr>
              <w:t>Cells should be monitored by the immune response and cancer cells destroyed</w:t>
            </w:r>
            <w:proofErr w:type="gramEnd"/>
            <w:r w:rsidRPr="001D5DBE">
              <w:rPr>
                <w:sz w:val="22"/>
              </w:rPr>
              <w:t>, however they avoid this by disabling factors of the immune system.</w:t>
            </w:r>
          </w:p>
        </w:tc>
        <w:tc>
          <w:tcPr>
            <w:tcW w:w="0" w:type="auto"/>
          </w:tcPr>
          <w:p w14:paraId="071F6349" w14:textId="77777777" w:rsidR="00B15A35" w:rsidRPr="001D5DBE" w:rsidRDefault="00B15A35" w:rsidP="00443E84">
            <w:pPr>
              <w:pStyle w:val="NoSpacing"/>
              <w:spacing w:line="276" w:lineRule="auto"/>
              <w:jc w:val="center"/>
              <w:rPr>
                <w:sz w:val="22"/>
              </w:rPr>
            </w:pPr>
            <w:r w:rsidRPr="001D5DBE">
              <w:rPr>
                <w:sz w:val="22"/>
              </w:rPr>
              <w:t>Immune activating antibodies</w:t>
            </w:r>
          </w:p>
        </w:tc>
      </w:tr>
      <w:tr w:rsidR="00B15A35" w:rsidRPr="001D5DBE" w14:paraId="74FC0472" w14:textId="77777777" w:rsidTr="00A7594C">
        <w:trPr>
          <w:trHeight w:val="316"/>
        </w:trPr>
        <w:tc>
          <w:tcPr>
            <w:tcW w:w="0" w:type="auto"/>
            <w:shd w:val="clear" w:color="auto" w:fill="D9D9D9" w:themeFill="background1" w:themeFillShade="D9"/>
          </w:tcPr>
          <w:p w14:paraId="1685F100" w14:textId="77777777" w:rsidR="00B15A35" w:rsidRPr="001D5DBE" w:rsidRDefault="00B15A35" w:rsidP="00443E84">
            <w:pPr>
              <w:pStyle w:val="NoSpacing"/>
              <w:spacing w:line="276" w:lineRule="auto"/>
              <w:jc w:val="center"/>
              <w:rPr>
                <w:sz w:val="22"/>
              </w:rPr>
            </w:pPr>
            <w:r w:rsidRPr="001D5DBE">
              <w:rPr>
                <w:sz w:val="22"/>
              </w:rPr>
              <w:t>8. Deregulation of Cellular Energetics</w:t>
            </w:r>
          </w:p>
        </w:tc>
        <w:tc>
          <w:tcPr>
            <w:tcW w:w="0" w:type="auto"/>
          </w:tcPr>
          <w:p w14:paraId="2B7B4A38" w14:textId="77777777" w:rsidR="00B15A35" w:rsidRPr="001D5DBE" w:rsidRDefault="00B15A35" w:rsidP="00443E84">
            <w:pPr>
              <w:pStyle w:val="NoSpacing"/>
              <w:spacing w:line="276" w:lineRule="auto"/>
              <w:jc w:val="center"/>
              <w:rPr>
                <w:sz w:val="22"/>
              </w:rPr>
            </w:pPr>
            <w:r w:rsidRPr="001D5DBE">
              <w:rPr>
                <w:sz w:val="22"/>
              </w:rPr>
              <w:t>Cancer cells undergo a metabolic switch where they limit their metabolism to glycolysis even in the presence of oxygen, resulting in energy to fuel growth.</w:t>
            </w:r>
          </w:p>
        </w:tc>
        <w:tc>
          <w:tcPr>
            <w:tcW w:w="0" w:type="auto"/>
          </w:tcPr>
          <w:p w14:paraId="33DB092E" w14:textId="77777777" w:rsidR="00B15A35" w:rsidRPr="001D5DBE" w:rsidRDefault="00B15A35" w:rsidP="00443E84">
            <w:pPr>
              <w:pStyle w:val="NoSpacing"/>
              <w:spacing w:line="276" w:lineRule="auto"/>
              <w:jc w:val="center"/>
              <w:rPr>
                <w:sz w:val="22"/>
              </w:rPr>
            </w:pPr>
            <w:r w:rsidRPr="001D5DBE">
              <w:rPr>
                <w:sz w:val="22"/>
              </w:rPr>
              <w:t>Aerobic glycolysis inhibitors</w:t>
            </w:r>
          </w:p>
        </w:tc>
      </w:tr>
      <w:tr w:rsidR="00B15A35" w:rsidRPr="001D5DBE" w14:paraId="23B7F307" w14:textId="77777777" w:rsidTr="00A7594C">
        <w:trPr>
          <w:trHeight w:val="316"/>
        </w:trPr>
        <w:tc>
          <w:tcPr>
            <w:tcW w:w="0" w:type="auto"/>
            <w:shd w:val="clear" w:color="auto" w:fill="D9D9D9" w:themeFill="background1" w:themeFillShade="D9"/>
          </w:tcPr>
          <w:p w14:paraId="03438859" w14:textId="77777777" w:rsidR="00B15A35" w:rsidRPr="001D5DBE" w:rsidRDefault="00B15A35" w:rsidP="00443E84">
            <w:pPr>
              <w:pStyle w:val="NoSpacing"/>
              <w:spacing w:line="276" w:lineRule="auto"/>
              <w:jc w:val="center"/>
              <w:rPr>
                <w:sz w:val="22"/>
              </w:rPr>
            </w:pPr>
            <w:r w:rsidRPr="001D5DBE">
              <w:rPr>
                <w:sz w:val="22"/>
              </w:rPr>
              <w:t>9. Tumour Promoting Inflammation</w:t>
            </w:r>
          </w:p>
        </w:tc>
        <w:tc>
          <w:tcPr>
            <w:tcW w:w="0" w:type="auto"/>
          </w:tcPr>
          <w:p w14:paraId="50D2666B" w14:textId="77777777" w:rsidR="00B15A35" w:rsidRPr="001D5DBE" w:rsidRDefault="00B15A35" w:rsidP="00443E84">
            <w:pPr>
              <w:pStyle w:val="NoSpacing"/>
              <w:spacing w:line="276" w:lineRule="auto"/>
              <w:jc w:val="center"/>
              <w:rPr>
                <w:sz w:val="22"/>
              </w:rPr>
            </w:pPr>
            <w:r w:rsidRPr="001D5DBE">
              <w:rPr>
                <w:sz w:val="22"/>
              </w:rPr>
              <w:t>Cells of the immune system infiltrate tumours and can enhance their progression through release of tumour-promoting factors.</w:t>
            </w:r>
          </w:p>
        </w:tc>
        <w:tc>
          <w:tcPr>
            <w:tcW w:w="0" w:type="auto"/>
          </w:tcPr>
          <w:p w14:paraId="32AFF788" w14:textId="77777777" w:rsidR="00B15A35" w:rsidRPr="001D5DBE" w:rsidRDefault="00B15A35" w:rsidP="00443E84">
            <w:pPr>
              <w:pStyle w:val="NoSpacing"/>
              <w:spacing w:line="276" w:lineRule="auto"/>
              <w:jc w:val="center"/>
              <w:rPr>
                <w:sz w:val="22"/>
              </w:rPr>
            </w:pPr>
            <w:r w:rsidRPr="001D5DBE">
              <w:rPr>
                <w:sz w:val="22"/>
              </w:rPr>
              <w:t>Anti-inflammatory drugs</w:t>
            </w:r>
          </w:p>
        </w:tc>
      </w:tr>
      <w:tr w:rsidR="00B15A35" w:rsidRPr="001D5DBE" w14:paraId="7FF38443" w14:textId="77777777" w:rsidTr="00A7594C">
        <w:trPr>
          <w:trHeight w:val="316"/>
        </w:trPr>
        <w:tc>
          <w:tcPr>
            <w:tcW w:w="0" w:type="auto"/>
            <w:shd w:val="clear" w:color="auto" w:fill="D9D9D9" w:themeFill="background1" w:themeFillShade="D9"/>
          </w:tcPr>
          <w:p w14:paraId="62F3061E" w14:textId="77777777" w:rsidR="00B15A35" w:rsidRPr="001D5DBE" w:rsidRDefault="00B15A35" w:rsidP="00443E84">
            <w:pPr>
              <w:pStyle w:val="NoSpacing"/>
              <w:spacing w:line="276" w:lineRule="auto"/>
              <w:jc w:val="center"/>
              <w:rPr>
                <w:sz w:val="22"/>
              </w:rPr>
            </w:pPr>
            <w:r w:rsidRPr="001D5DBE">
              <w:rPr>
                <w:sz w:val="22"/>
              </w:rPr>
              <w:t>10. Genome Instability and Mutation</w:t>
            </w:r>
          </w:p>
        </w:tc>
        <w:tc>
          <w:tcPr>
            <w:tcW w:w="0" w:type="auto"/>
          </w:tcPr>
          <w:p w14:paraId="203E9E0B" w14:textId="77777777" w:rsidR="00B15A35" w:rsidRPr="001D5DBE" w:rsidRDefault="00B15A35" w:rsidP="00443E84">
            <w:pPr>
              <w:pStyle w:val="NoSpacing"/>
              <w:spacing w:line="276" w:lineRule="auto"/>
              <w:jc w:val="center"/>
              <w:rPr>
                <w:sz w:val="22"/>
              </w:rPr>
            </w:pPr>
            <w:r w:rsidRPr="001D5DBE">
              <w:rPr>
                <w:sz w:val="22"/>
              </w:rPr>
              <w:t>Tumours either have inherited mutations and/or they acquire random sporadic mutations that present a selective advantage.</w:t>
            </w:r>
          </w:p>
        </w:tc>
        <w:tc>
          <w:tcPr>
            <w:tcW w:w="0" w:type="auto"/>
          </w:tcPr>
          <w:p w14:paraId="1D41CA1D" w14:textId="77777777" w:rsidR="00B15A35" w:rsidRPr="001D5DBE" w:rsidRDefault="00B15A35" w:rsidP="00443E84">
            <w:pPr>
              <w:pStyle w:val="NoSpacing"/>
              <w:spacing w:line="276" w:lineRule="auto"/>
              <w:jc w:val="center"/>
              <w:rPr>
                <w:sz w:val="22"/>
              </w:rPr>
            </w:pPr>
            <w:r w:rsidRPr="001D5DBE">
              <w:rPr>
                <w:sz w:val="22"/>
              </w:rPr>
              <w:t>PARP inhibitors</w:t>
            </w:r>
          </w:p>
        </w:tc>
      </w:tr>
    </w:tbl>
    <w:p w14:paraId="3C25F45A" w14:textId="77777777" w:rsidR="00B15A35" w:rsidRPr="001A2BB9" w:rsidRDefault="00B15A35" w:rsidP="00B15A35">
      <w:pPr>
        <w:pStyle w:val="NoSpacing"/>
        <w:spacing w:line="360" w:lineRule="auto"/>
        <w:jc w:val="both"/>
        <w:rPr>
          <w:rFonts w:asciiTheme="majorHAnsi" w:hAnsiTheme="majorHAnsi"/>
          <w:b/>
          <w:i/>
        </w:rPr>
      </w:pPr>
      <w:r w:rsidRPr="00BD146C">
        <w:rPr>
          <w:noProof/>
        </w:rPr>
        <mc:AlternateContent>
          <mc:Choice Requires="wps">
            <w:drawing>
              <wp:anchor distT="0" distB="0" distL="114300" distR="114300" simplePos="0" relativeHeight="252124160" behindDoc="0" locked="0" layoutInCell="1" allowOverlap="1" wp14:anchorId="0BE5C975" wp14:editId="26D385EC">
                <wp:simplePos x="0" y="0"/>
                <wp:positionH relativeFrom="column">
                  <wp:posOffset>-228600</wp:posOffset>
                </wp:positionH>
                <wp:positionV relativeFrom="paragraph">
                  <wp:posOffset>6629400</wp:posOffset>
                </wp:positionV>
                <wp:extent cx="5659120" cy="1257300"/>
                <wp:effectExtent l="0" t="0" r="0" b="12700"/>
                <wp:wrapSquare wrapText="bothSides"/>
                <wp:docPr id="295" name="Text Box 295"/>
                <wp:cNvGraphicFramePr/>
                <a:graphic xmlns:a="http://schemas.openxmlformats.org/drawingml/2006/main">
                  <a:graphicData uri="http://schemas.microsoft.com/office/word/2010/wordprocessingShape">
                    <wps:wsp>
                      <wps:cNvSpPr txBox="1"/>
                      <wps:spPr>
                        <a:xfrm>
                          <a:off x="0" y="0"/>
                          <a:ext cx="565912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B41BD5" w14:textId="77777777" w:rsidR="00E82D3B" w:rsidRPr="001113A6" w:rsidRDefault="00E82D3B" w:rsidP="00B15A35">
                            <w:pPr>
                              <w:pStyle w:val="NoSpacing"/>
                              <w:rPr>
                                <w:b/>
                                <w:i/>
                                <w:sz w:val="22"/>
                                <w:szCs w:val="22"/>
                              </w:rPr>
                            </w:pPr>
                            <w:r w:rsidRPr="001113A6">
                              <w:rPr>
                                <w:b/>
                                <w:i/>
                                <w:sz w:val="22"/>
                                <w:szCs w:val="22"/>
                              </w:rPr>
                              <w:t>Table 1.1 The Ten Hallmarks of Cancer</w:t>
                            </w:r>
                          </w:p>
                          <w:p w14:paraId="3F9C9BB6" w14:textId="77777777" w:rsidR="00E82D3B" w:rsidRPr="001113A6" w:rsidRDefault="00E82D3B" w:rsidP="00B15A35">
                            <w:pPr>
                              <w:pStyle w:val="NoSpacing"/>
                              <w:jc w:val="both"/>
                              <w:rPr>
                                <w:b/>
                                <w:i/>
                              </w:rPr>
                            </w:pPr>
                            <w:proofErr w:type="spellStart"/>
                            <w:r w:rsidRPr="001113A6">
                              <w:rPr>
                                <w:i/>
                                <w:sz w:val="22"/>
                                <w:szCs w:val="22"/>
                              </w:rPr>
                              <w:t>Hanahan</w:t>
                            </w:r>
                            <w:proofErr w:type="spellEnd"/>
                            <w:r w:rsidRPr="001113A6">
                              <w:rPr>
                                <w:i/>
                                <w:sz w:val="22"/>
                                <w:szCs w:val="22"/>
                              </w:rPr>
                              <w:t xml:space="preserve"> and </w:t>
                            </w:r>
                            <w:proofErr w:type="spellStart"/>
                            <w:r w:rsidRPr="001113A6">
                              <w:rPr>
                                <w:i/>
                                <w:sz w:val="22"/>
                                <w:szCs w:val="22"/>
                              </w:rPr>
                              <w:t>Weinburg</w:t>
                            </w:r>
                            <w:proofErr w:type="spellEnd"/>
                            <w:r w:rsidRPr="001113A6">
                              <w:rPr>
                                <w:i/>
                                <w:sz w:val="22"/>
                                <w:szCs w:val="22"/>
                              </w:rPr>
                              <w:t xml:space="preserve"> first established the hallmarks of cancer in 2000 as a way of simplifying and categorizing the vast amounts of knowledge that had been investigated within the cancer biology field and indicate possible directions for further research. Table 1.</w:t>
                            </w:r>
                            <w:r>
                              <w:rPr>
                                <w:i/>
                                <w:sz w:val="22"/>
                                <w:szCs w:val="22"/>
                              </w:rPr>
                              <w:t>1</w:t>
                            </w:r>
                            <w:r w:rsidRPr="001113A6">
                              <w:rPr>
                                <w:i/>
                                <w:sz w:val="22"/>
                                <w:szCs w:val="22"/>
                              </w:rPr>
                              <w:t xml:space="preserve"> s</w:t>
                            </w:r>
                            <w:r>
                              <w:rPr>
                                <w:i/>
                                <w:sz w:val="22"/>
                                <w:szCs w:val="22"/>
                              </w:rPr>
                              <w:t>hows a</w:t>
                            </w:r>
                            <w:r w:rsidRPr="001113A6">
                              <w:rPr>
                                <w:i/>
                                <w:sz w:val="22"/>
                                <w:szCs w:val="22"/>
                              </w:rPr>
                              <w:t xml:space="preserve"> brief summary of the ten different characteristics shared by human cancers, and the possible treatments connected to these, including four hallmarks, which were added in 2011. (</w:t>
                            </w:r>
                            <w:proofErr w:type="spellStart"/>
                            <w:r w:rsidRPr="001113A6">
                              <w:rPr>
                                <w:i/>
                                <w:sz w:val="22"/>
                                <w:szCs w:val="22"/>
                              </w:rPr>
                              <w:t>Hanahan</w:t>
                            </w:r>
                            <w:proofErr w:type="spellEnd"/>
                            <w:r w:rsidRPr="001113A6">
                              <w:rPr>
                                <w:i/>
                                <w:sz w:val="22"/>
                                <w:szCs w:val="22"/>
                              </w:rPr>
                              <w:t xml:space="preserve"> and </w:t>
                            </w:r>
                            <w:proofErr w:type="spellStart"/>
                            <w:r w:rsidRPr="001113A6">
                              <w:rPr>
                                <w:i/>
                                <w:sz w:val="22"/>
                                <w:szCs w:val="22"/>
                              </w:rPr>
                              <w:t>Weinburg</w:t>
                            </w:r>
                            <w:proofErr w:type="spellEnd"/>
                            <w:r w:rsidRPr="001113A6">
                              <w:rPr>
                                <w:i/>
                                <w:sz w:val="22"/>
                                <w:szCs w:val="22"/>
                              </w:rPr>
                              <w:t xml:space="preserve"> 2000 &amp; 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27" type="#_x0000_t202" style="position:absolute;left:0;text-align:left;margin-left:-17.95pt;margin-top:522pt;width:445.6pt;height:9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" filled="f" stroked="f">
                <v:textbox>
                  <w:txbxContent>
                    <w:p w14:paraId="53B41BD5" w14:textId="77777777" w:rsidR="000A1E0D" w:rsidRPr="001113A6" w:rsidRDefault="000A1E0D" w:rsidP="00B15A35">
                      <w:pPr>
                        <w:pStyle w:val="NoSpacing"/>
                        <w:rPr>
                          <w:b/>
                          <w:i/>
                          <w:sz w:val="22"/>
                          <w:szCs w:val="22"/>
                        </w:rPr>
                      </w:pPr>
                      <w:r w:rsidRPr="001113A6">
                        <w:rPr>
                          <w:b/>
                          <w:i/>
                          <w:sz w:val="22"/>
                          <w:szCs w:val="22"/>
                        </w:rPr>
                        <w:t>Table 1.1 The Ten Hallmarks of Cancer</w:t>
                      </w:r>
                    </w:p>
                    <w:p w14:paraId="3F9C9BB6" w14:textId="77777777" w:rsidR="000A1E0D" w:rsidRPr="001113A6" w:rsidRDefault="000A1E0D" w:rsidP="00B15A35">
                      <w:pPr>
                        <w:pStyle w:val="NoSpacing"/>
                        <w:jc w:val="both"/>
                        <w:rPr>
                          <w:b/>
                          <w:i/>
                        </w:rPr>
                      </w:pPr>
                      <w:proofErr w:type="spellStart"/>
                      <w:r w:rsidRPr="001113A6">
                        <w:rPr>
                          <w:i/>
                          <w:sz w:val="22"/>
                          <w:szCs w:val="22"/>
                        </w:rPr>
                        <w:t>Hanahan</w:t>
                      </w:r>
                      <w:proofErr w:type="spellEnd"/>
                      <w:r w:rsidRPr="001113A6">
                        <w:rPr>
                          <w:i/>
                          <w:sz w:val="22"/>
                          <w:szCs w:val="22"/>
                        </w:rPr>
                        <w:t xml:space="preserve"> and </w:t>
                      </w:r>
                      <w:proofErr w:type="spellStart"/>
                      <w:r w:rsidRPr="001113A6">
                        <w:rPr>
                          <w:i/>
                          <w:sz w:val="22"/>
                          <w:szCs w:val="22"/>
                        </w:rPr>
                        <w:t>Weinburg</w:t>
                      </w:r>
                      <w:proofErr w:type="spellEnd"/>
                      <w:r w:rsidRPr="001113A6">
                        <w:rPr>
                          <w:i/>
                          <w:sz w:val="22"/>
                          <w:szCs w:val="22"/>
                        </w:rPr>
                        <w:t xml:space="preserve"> first established the hallmarks of cancer in 2000 as a way of simplifying and categorizing the vast amounts of knowledge that had been investigated within the cancer biology field and indicate possible directions for further research. Table 1.</w:t>
                      </w:r>
                      <w:r>
                        <w:rPr>
                          <w:i/>
                          <w:sz w:val="22"/>
                          <w:szCs w:val="22"/>
                        </w:rPr>
                        <w:t>1</w:t>
                      </w:r>
                      <w:r w:rsidRPr="001113A6">
                        <w:rPr>
                          <w:i/>
                          <w:sz w:val="22"/>
                          <w:szCs w:val="22"/>
                        </w:rPr>
                        <w:t xml:space="preserve"> s</w:t>
                      </w:r>
                      <w:r>
                        <w:rPr>
                          <w:i/>
                          <w:sz w:val="22"/>
                          <w:szCs w:val="22"/>
                        </w:rPr>
                        <w:t>hows a</w:t>
                      </w:r>
                      <w:r w:rsidRPr="001113A6">
                        <w:rPr>
                          <w:i/>
                          <w:sz w:val="22"/>
                          <w:szCs w:val="22"/>
                        </w:rPr>
                        <w:t xml:space="preserve"> brief summary of the ten different characteristics shared by human cancers, and the possible treatments connected to these, including four hallmarks, which were added in 2011. (</w:t>
                      </w:r>
                      <w:proofErr w:type="spellStart"/>
                      <w:r w:rsidRPr="001113A6">
                        <w:rPr>
                          <w:i/>
                          <w:sz w:val="22"/>
                          <w:szCs w:val="22"/>
                        </w:rPr>
                        <w:t>Hanahan</w:t>
                      </w:r>
                      <w:proofErr w:type="spellEnd"/>
                      <w:r w:rsidRPr="001113A6">
                        <w:rPr>
                          <w:i/>
                          <w:sz w:val="22"/>
                          <w:szCs w:val="22"/>
                        </w:rPr>
                        <w:t xml:space="preserve"> and </w:t>
                      </w:r>
                      <w:proofErr w:type="spellStart"/>
                      <w:r w:rsidRPr="001113A6">
                        <w:rPr>
                          <w:i/>
                          <w:sz w:val="22"/>
                          <w:szCs w:val="22"/>
                        </w:rPr>
                        <w:t>Weinburg</w:t>
                      </w:r>
                      <w:proofErr w:type="spellEnd"/>
                      <w:r w:rsidRPr="001113A6">
                        <w:rPr>
                          <w:i/>
                          <w:sz w:val="22"/>
                          <w:szCs w:val="22"/>
                        </w:rPr>
                        <w:t xml:space="preserve"> 2000 &amp; 2011)</w:t>
                      </w:r>
                    </w:p>
                  </w:txbxContent>
                </v:textbox>
                <w10:wrap type="square"/>
              </v:shape>
            </w:pict>
          </mc:Fallback>
        </mc:AlternateContent>
      </w:r>
    </w:p>
    <w:p w14:paraId="171BFDD6" w14:textId="77777777" w:rsidR="00B15A35" w:rsidRDefault="00B15A35" w:rsidP="00B15A35">
      <w:pPr>
        <w:pStyle w:val="ListParagraph"/>
        <w:spacing w:line="360" w:lineRule="auto"/>
        <w:rPr>
          <w:rFonts w:asciiTheme="majorHAnsi" w:hAnsiTheme="majorHAnsi"/>
          <w:b/>
          <w:i/>
        </w:rPr>
      </w:pPr>
    </w:p>
    <w:p w14:paraId="27E5A5C1" w14:textId="77777777" w:rsidR="00B15A35" w:rsidRDefault="00B15A35" w:rsidP="00B15A35">
      <w:pPr>
        <w:pStyle w:val="ListParagraph"/>
        <w:spacing w:line="360" w:lineRule="auto"/>
        <w:rPr>
          <w:rFonts w:asciiTheme="majorHAnsi" w:hAnsiTheme="majorHAnsi"/>
          <w:b/>
          <w:i/>
        </w:rPr>
      </w:pPr>
    </w:p>
    <w:p w14:paraId="69847243" w14:textId="77777777" w:rsidR="00B15A35" w:rsidRDefault="00B15A35" w:rsidP="00B15A35">
      <w:pPr>
        <w:pStyle w:val="ListParagraph"/>
        <w:spacing w:line="360" w:lineRule="auto"/>
        <w:rPr>
          <w:rFonts w:asciiTheme="majorHAnsi" w:hAnsiTheme="majorHAnsi"/>
          <w:b/>
          <w:i/>
        </w:rPr>
      </w:pPr>
    </w:p>
    <w:p w14:paraId="30149AA1" w14:textId="77777777" w:rsidR="00B15A35" w:rsidRPr="001113A6" w:rsidRDefault="00B15A35" w:rsidP="002F41C6">
      <w:pPr>
        <w:pStyle w:val="ListParagraph"/>
        <w:numPr>
          <w:ilvl w:val="0"/>
          <w:numId w:val="33"/>
        </w:numPr>
        <w:spacing w:line="360" w:lineRule="auto"/>
        <w:rPr>
          <w:rFonts w:asciiTheme="majorHAnsi" w:hAnsiTheme="majorHAnsi"/>
          <w:b/>
          <w:i/>
        </w:rPr>
      </w:pPr>
      <w:r w:rsidRPr="001113A6">
        <w:rPr>
          <w:rFonts w:asciiTheme="majorHAnsi" w:hAnsiTheme="majorHAnsi"/>
          <w:b/>
          <w:i/>
        </w:rPr>
        <w:t>Cancer Profiling</w:t>
      </w:r>
    </w:p>
    <w:p w14:paraId="217CF133" w14:textId="081DA22B" w:rsidR="00B15A35" w:rsidRDefault="00B15A35" w:rsidP="00B15A35">
      <w:pPr>
        <w:spacing w:line="360" w:lineRule="auto"/>
        <w:jc w:val="both"/>
        <w:rPr>
          <w:rFonts w:asciiTheme="majorHAnsi" w:hAnsiTheme="majorHAnsi"/>
        </w:rPr>
      </w:pPr>
      <w:r w:rsidRPr="001113A6">
        <w:rPr>
          <w:rFonts w:asciiTheme="majorHAnsi" w:hAnsiTheme="majorHAnsi"/>
        </w:rPr>
        <w:t>Initially investigation</w:t>
      </w:r>
      <w:r>
        <w:rPr>
          <w:rFonts w:asciiTheme="majorHAnsi" w:hAnsiTheme="majorHAnsi"/>
        </w:rPr>
        <w:t>s</w:t>
      </w:r>
      <w:r w:rsidRPr="001113A6">
        <w:rPr>
          <w:rFonts w:asciiTheme="majorHAnsi" w:hAnsiTheme="majorHAnsi"/>
        </w:rPr>
        <w:t xml:space="preserve"> into the </w:t>
      </w:r>
      <w:r>
        <w:rPr>
          <w:rFonts w:asciiTheme="majorHAnsi" w:hAnsiTheme="majorHAnsi"/>
        </w:rPr>
        <w:t xml:space="preserve">genetic </w:t>
      </w:r>
      <w:r w:rsidRPr="001113A6">
        <w:rPr>
          <w:rFonts w:asciiTheme="majorHAnsi" w:hAnsiTheme="majorHAnsi"/>
        </w:rPr>
        <w:t>links in cancer focused on twin and family studies, however due</w:t>
      </w:r>
      <w:r>
        <w:rPr>
          <w:rFonts w:asciiTheme="majorHAnsi" w:hAnsiTheme="majorHAnsi"/>
        </w:rPr>
        <w:t xml:space="preserve"> to</w:t>
      </w:r>
      <w:r w:rsidRPr="001113A6">
        <w:rPr>
          <w:rFonts w:asciiTheme="majorHAnsi" w:hAnsiTheme="majorHAnsi"/>
        </w:rPr>
        <w:t xml:space="preserve"> the advancement in human genome sequencing it is now much easier to look for variants </w:t>
      </w:r>
      <w:r>
        <w:rPr>
          <w:rFonts w:asciiTheme="majorHAnsi" w:hAnsiTheme="majorHAnsi"/>
        </w:rPr>
        <w:t>with</w:t>
      </w:r>
      <w:r w:rsidRPr="001113A6">
        <w:rPr>
          <w:rFonts w:asciiTheme="majorHAnsi" w:hAnsiTheme="majorHAnsi"/>
        </w:rPr>
        <w:t xml:space="preserve">in different populations </w:t>
      </w:r>
      <w:r>
        <w:rPr>
          <w:rFonts w:asciiTheme="majorHAnsi" w:hAnsiTheme="majorHAnsi"/>
        </w:rPr>
        <w:fldChar w:fldCharType="begin"/>
      </w:r>
      <w:r>
        <w:rPr>
          <w:rFonts w:asciiTheme="majorHAnsi" w:hAnsiTheme="majorHAnsi"/>
        </w:rPr>
        <w:instrText xml:space="preserve"> ADDIN EN.CITE &lt;EndNote&gt;&lt;Cite&gt;&lt;Author&gt;Chung&lt;/Author&gt;&lt;Year&gt;2011&lt;/Year&gt;&lt;IDText&gt;Current status of genome-wide association studies in cancer&lt;/IDText&gt;&lt;DisplayText&gt;(Chung and Chanock, 2011)&lt;/DisplayText&gt;&lt;record&gt;&lt;dates&gt;&lt;pub-dates&gt;&lt;date&gt;Jul&lt;/date&gt;&lt;/pub-dates&gt;&lt;year&gt;2011&lt;/year&gt;&lt;/dates&gt;&lt;keywords&gt;&lt;keyword&gt;Genetic Markers&lt;/keyword&gt;&lt;keyword&gt;Genetic Predisposition to Disease&lt;/keyword&gt;&lt;keyword&gt;Genome-Wide Association Study&lt;/keyword&gt;&lt;keyword&gt;Humans&lt;/keyword&gt;&lt;keyword&gt;Neoplasms&lt;/keyword&gt;&lt;/keywords&gt;&lt;urls&gt;&lt;related-urls&gt;&lt;url&gt;https://www.ncbi.nlm.nih.gov/pubmed/21678065&lt;/url&gt;&lt;/related-urls&gt;&lt;/urls&gt;&lt;isbn&gt;1432-1203&lt;/isbn&gt;&lt;titles&gt;&lt;title&gt;Current status of genome-wide association studies in cancer&lt;/title&gt;&lt;secondary-title&gt;Hum Genet&lt;/secondary-title&gt;&lt;/titles&gt;&lt;pages&gt;59-78&lt;/pages&gt;&lt;number&gt;1&lt;/number&gt;&lt;contributors&gt;&lt;authors&gt;&lt;author&gt;Chung, C. C.&lt;/author&gt;&lt;author&gt;Chanock, S. J.&lt;/author&gt;&lt;/authors&gt;&lt;/contributors&gt;&lt;language&gt;eng&lt;/language&gt;&lt;added-date format="utc"&gt;1469461630&lt;/added-date&gt;&lt;ref-type name="Journal Article"&gt;17&lt;/ref-type&gt;&lt;rec-number&gt;175&lt;/rec-number&gt;&lt;last-updated-date format="utc"&gt;1469461630&lt;/last-updated-date&gt;&lt;accession-num&gt;21678065&lt;/accession-num&gt;&lt;electronic-resource-num&gt;10.1007/s00439-011-1030-9&lt;/electronic-resource-num&gt;&lt;volume&gt;130&lt;/volume&gt;&lt;/record&gt;&lt;/Cite&gt;&lt;/EndNote&gt;</w:instrText>
      </w:r>
      <w:r>
        <w:rPr>
          <w:rFonts w:asciiTheme="majorHAnsi" w:hAnsiTheme="majorHAnsi"/>
        </w:rPr>
        <w:fldChar w:fldCharType="separate"/>
      </w:r>
      <w:r>
        <w:rPr>
          <w:rFonts w:asciiTheme="majorHAnsi" w:hAnsiTheme="majorHAnsi"/>
          <w:noProof/>
        </w:rPr>
        <w:t>(Chung and Chanock, 2011)</w:t>
      </w:r>
      <w:r>
        <w:rPr>
          <w:rFonts w:asciiTheme="majorHAnsi" w:hAnsiTheme="majorHAnsi"/>
        </w:rPr>
        <w:fldChar w:fldCharType="end"/>
      </w:r>
      <w:r>
        <w:rPr>
          <w:rFonts w:asciiTheme="majorHAnsi" w:hAnsiTheme="majorHAnsi"/>
        </w:rPr>
        <w:t xml:space="preserve">. </w:t>
      </w:r>
      <w:r w:rsidRPr="001113A6">
        <w:rPr>
          <w:rFonts w:asciiTheme="majorHAnsi" w:hAnsiTheme="majorHAnsi"/>
        </w:rPr>
        <w:t xml:space="preserve">Second generation sequencing and high-throughput arrays have changed the accessibility to genomic information for cancer research. These allow more comprehensive mapping of tumour DNA and the identification of areas of copy number variations and </w:t>
      </w:r>
      <w:r w:rsidR="007B1C45">
        <w:rPr>
          <w:rFonts w:asciiTheme="majorHAnsi" w:hAnsiTheme="majorHAnsi"/>
        </w:rPr>
        <w:t xml:space="preserve">point </w:t>
      </w:r>
      <w:r w:rsidRPr="001113A6">
        <w:rPr>
          <w:rFonts w:asciiTheme="majorHAnsi" w:hAnsiTheme="majorHAnsi"/>
        </w:rPr>
        <w:t>mutations that h</w:t>
      </w:r>
      <w:r w:rsidR="007B1C45">
        <w:rPr>
          <w:rFonts w:asciiTheme="majorHAnsi" w:hAnsiTheme="majorHAnsi"/>
        </w:rPr>
        <w:t xml:space="preserve">adn’t previously been explored </w:t>
      </w:r>
      <w:r w:rsidRPr="001113A6">
        <w:rPr>
          <w:rFonts w:asciiTheme="majorHAnsi" w:hAnsiTheme="majorHAnsi"/>
        </w:rPr>
        <w:t>on a genome-wide basis</w:t>
      </w:r>
      <w:r w:rsidR="00770EBD">
        <w:rPr>
          <w:rFonts w:asciiTheme="majorHAnsi" w:hAnsiTheme="majorHAnsi"/>
        </w:rPr>
        <w:t xml:space="preserve"> </w:t>
      </w:r>
      <w:r w:rsidR="00770EBD">
        <w:rPr>
          <w:rFonts w:asciiTheme="majorHAnsi" w:hAnsiTheme="majorHAnsi"/>
        </w:rPr>
        <w:fldChar w:fldCharType="begin">
          <w:fldData xml:space="preserve">PEVuZE5vdGU+PENpdGU+PEF1dGhvcj5DYW1wYmVsbDwvQXV0aG9yPjxZZWFyPjIwMDg8L1llYXI+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</w:fldData>
        </w:fldChar>
      </w:r>
      <w:r w:rsidR="00770EBD">
        <w:rPr>
          <w:rFonts w:asciiTheme="majorHAnsi" w:hAnsiTheme="majorHAnsi"/>
        </w:rPr>
        <w:instrText xml:space="preserve"> ADDIN EN.CITE </w:instrText>
      </w:r>
      <w:r w:rsidR="00770EBD">
        <w:rPr>
          <w:rFonts w:asciiTheme="majorHAnsi" w:hAnsiTheme="majorHAnsi"/>
        </w:rPr>
        <w:fldChar w:fldCharType="begin">
          <w:fldData xml:space="preserve">PEVuZE5vdGU+PENpdGU+PEF1dGhvcj5DYW1wYmVsbDwvQXV0aG9yPjxZZWFyPjIwMDg8L1llYXI+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</w:fldData>
        </w:fldChar>
      </w:r>
      <w:r w:rsidR="00770EBD">
        <w:rPr>
          <w:rFonts w:asciiTheme="majorHAnsi" w:hAnsiTheme="majorHAnsi"/>
        </w:rPr>
        <w:instrText xml:space="preserve"> ADDIN EN.CITE.DATA </w:instrText>
      </w:r>
      <w:r w:rsidR="00770EBD">
        <w:rPr>
          <w:rFonts w:asciiTheme="majorHAnsi" w:hAnsiTheme="majorHAnsi"/>
        </w:rPr>
      </w:r>
      <w:r w:rsidR="00770EBD">
        <w:rPr>
          <w:rFonts w:asciiTheme="majorHAnsi" w:hAnsiTheme="majorHAnsi"/>
        </w:rPr>
        <w:fldChar w:fldCharType="end"/>
      </w:r>
      <w:r w:rsidR="00770EBD">
        <w:rPr>
          <w:rFonts w:asciiTheme="majorHAnsi" w:hAnsiTheme="majorHAnsi"/>
        </w:rPr>
      </w:r>
      <w:r w:rsidR="00770EBD">
        <w:rPr>
          <w:rFonts w:asciiTheme="majorHAnsi" w:hAnsiTheme="majorHAnsi"/>
        </w:rPr>
        <w:fldChar w:fldCharType="separate"/>
      </w:r>
      <w:r w:rsidR="00770EBD">
        <w:rPr>
          <w:rFonts w:asciiTheme="majorHAnsi" w:hAnsiTheme="majorHAnsi"/>
          <w:noProof/>
        </w:rPr>
        <w:t>(Campbell et al., 2008, Ley et al., 2008)</w:t>
      </w:r>
      <w:r w:rsidR="00770EBD">
        <w:rPr>
          <w:rFonts w:asciiTheme="majorHAnsi" w:hAnsiTheme="majorHAnsi"/>
        </w:rPr>
        <w:fldChar w:fldCharType="end"/>
      </w:r>
      <w:r w:rsidRPr="001113A6">
        <w:rPr>
          <w:rFonts w:asciiTheme="majorHAnsi" w:hAnsiTheme="majorHAnsi"/>
        </w:rPr>
        <w:t>.</w:t>
      </w:r>
      <w:r w:rsidR="00F91BEA">
        <w:rPr>
          <w:rFonts w:asciiTheme="majorHAnsi" w:hAnsiTheme="majorHAnsi"/>
        </w:rPr>
        <w:t xml:space="preserve"> </w:t>
      </w:r>
      <w:r w:rsidR="00AA599E">
        <w:rPr>
          <w:rFonts w:asciiTheme="majorHAnsi" w:hAnsiTheme="majorHAnsi"/>
        </w:rPr>
        <w:t>Over the last few years comprehensive molecular profiling of various cancers has been conducted by a cohort of various institutions under The Cancer Genome Atlas (TCGA) project, as a way of identifying novel prognostic and therapeutic markers</w:t>
      </w:r>
      <w:r w:rsidR="00770EBD">
        <w:rPr>
          <w:rFonts w:asciiTheme="majorHAnsi" w:hAnsiTheme="majorHAnsi"/>
        </w:rPr>
        <w:t xml:space="preserve"> </w:t>
      </w:r>
      <w:r w:rsidR="00770EBD">
        <w:rPr>
          <w:rFonts w:asciiTheme="majorHAnsi" w:hAnsiTheme="majorHAnsi"/>
        </w:rPr>
        <w:fldChar w:fldCharType="begin">
          <w:fldData xml:space="preserve">PEVuZE5vdGU+PENpdGU+PEF1dGhvcj5CcmF0PC9BdXRob3I+PFllYXI+MjAxNTwvWWVhcj48SURU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</w:fldData>
        </w:fldChar>
      </w:r>
      <w:r w:rsidR="00770EBD">
        <w:rPr>
          <w:rFonts w:asciiTheme="majorHAnsi" w:hAnsiTheme="majorHAnsi"/>
        </w:rPr>
        <w:instrText xml:space="preserve"> ADDIN EN.CITE </w:instrText>
      </w:r>
      <w:r w:rsidR="00770EBD">
        <w:rPr>
          <w:rFonts w:asciiTheme="majorHAnsi" w:hAnsiTheme="majorHAnsi"/>
        </w:rPr>
        <w:fldChar w:fldCharType="begin">
          <w:fldData xml:space="preserve">PEVuZE5vdGU+PENpdGU+PEF1dGhvcj5CcmF0PC9BdXRob3I+PFllYXI+MjAxNTwvWWVhcj48SURU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</w:fldData>
        </w:fldChar>
      </w:r>
      <w:r w:rsidR="00770EBD">
        <w:rPr>
          <w:rFonts w:asciiTheme="majorHAnsi" w:hAnsiTheme="majorHAnsi"/>
        </w:rPr>
        <w:instrText xml:space="preserve"> ADDIN EN.CITE.DATA </w:instrText>
      </w:r>
      <w:r w:rsidR="00770EBD">
        <w:rPr>
          <w:rFonts w:asciiTheme="majorHAnsi" w:hAnsiTheme="majorHAnsi"/>
        </w:rPr>
      </w:r>
      <w:r w:rsidR="00770EBD">
        <w:rPr>
          <w:rFonts w:asciiTheme="majorHAnsi" w:hAnsiTheme="majorHAnsi"/>
        </w:rPr>
        <w:fldChar w:fldCharType="end"/>
      </w:r>
      <w:r w:rsidR="00770EBD">
        <w:rPr>
          <w:rFonts w:asciiTheme="majorHAnsi" w:hAnsiTheme="majorHAnsi"/>
        </w:rPr>
      </w:r>
      <w:r w:rsidR="00770EBD">
        <w:rPr>
          <w:rFonts w:asciiTheme="majorHAnsi" w:hAnsiTheme="majorHAnsi"/>
        </w:rPr>
        <w:fldChar w:fldCharType="separate"/>
      </w:r>
      <w:r w:rsidR="00770EBD">
        <w:rPr>
          <w:rFonts w:asciiTheme="majorHAnsi" w:hAnsiTheme="majorHAnsi"/>
          <w:noProof/>
        </w:rPr>
        <w:t>(Brat et al., 2015, Ceccarelli et al., 2016, TCGANetwork et al., 2017)</w:t>
      </w:r>
      <w:r w:rsidR="00770EBD">
        <w:rPr>
          <w:rFonts w:asciiTheme="majorHAnsi" w:hAnsiTheme="majorHAnsi"/>
        </w:rPr>
        <w:fldChar w:fldCharType="end"/>
      </w:r>
      <w:r w:rsidR="00AA599E">
        <w:rPr>
          <w:rFonts w:asciiTheme="majorHAnsi" w:hAnsiTheme="majorHAnsi"/>
        </w:rPr>
        <w:t>.</w:t>
      </w:r>
      <w:r w:rsidRPr="001113A6">
        <w:rPr>
          <w:rFonts w:asciiTheme="majorHAnsi" w:hAnsiTheme="majorHAnsi"/>
        </w:rPr>
        <w:t xml:space="preserve"> Firstly</w:t>
      </w:r>
      <w:r>
        <w:rPr>
          <w:rFonts w:asciiTheme="majorHAnsi" w:hAnsiTheme="majorHAnsi"/>
        </w:rPr>
        <w:t>,</w:t>
      </w:r>
      <w:r w:rsidRPr="001113A6">
        <w:rPr>
          <w:rFonts w:asciiTheme="majorHAnsi" w:hAnsiTheme="majorHAnsi"/>
        </w:rPr>
        <w:t xml:space="preserve"> mapping of the genome and highlighting where the variations occur is critical, the next step is to then </w:t>
      </w:r>
      <w:r w:rsidR="007B1C45">
        <w:rPr>
          <w:rFonts w:asciiTheme="majorHAnsi" w:hAnsiTheme="majorHAnsi"/>
        </w:rPr>
        <w:t>determine</w:t>
      </w:r>
      <w:r w:rsidRPr="001113A6">
        <w:rPr>
          <w:rFonts w:asciiTheme="majorHAnsi" w:hAnsiTheme="majorHAnsi"/>
        </w:rPr>
        <w:t xml:space="preserve"> biological functioning towards cancer progression in order to ascertain whether the </w:t>
      </w:r>
      <w:r w:rsidR="00D66FC3">
        <w:rPr>
          <w:rFonts w:asciiTheme="majorHAnsi" w:hAnsiTheme="majorHAnsi"/>
        </w:rPr>
        <w:t xml:space="preserve">mutation to the </w:t>
      </w:r>
      <w:r w:rsidRPr="001113A6">
        <w:rPr>
          <w:rFonts w:asciiTheme="majorHAnsi" w:hAnsiTheme="majorHAnsi"/>
        </w:rPr>
        <w:t>gene is a driver or passenger</w:t>
      </w:r>
      <w:r w:rsidR="007B1C45">
        <w:rPr>
          <w:rFonts w:asciiTheme="majorHAnsi" w:hAnsiTheme="majorHAnsi"/>
        </w:rPr>
        <w:t>,</w:t>
      </w:r>
      <w:r w:rsidRPr="001113A6">
        <w:rPr>
          <w:rFonts w:asciiTheme="majorHAnsi" w:hAnsiTheme="majorHAnsi"/>
        </w:rPr>
        <w:t xml:space="preserve"> and hence whether it would be a suitable target for therapy </w:t>
      </w:r>
      <w:r>
        <w:rPr>
          <w:rFonts w:asciiTheme="majorHAnsi" w:hAnsiTheme="majorHAnsi"/>
        </w:rPr>
        <w:fldChar w:fldCharType="begin"/>
      </w:r>
      <w:r>
        <w:rPr>
          <w:rFonts w:asciiTheme="majorHAnsi" w:hAnsiTheme="majorHAnsi"/>
        </w:rPr>
        <w:instrText xml:space="preserve"> ADDIN EN.CITE &lt;EndNote&gt;&lt;Cite&gt;&lt;Author&gt;Stratton&lt;/Author&gt;&lt;Year&gt;2009&lt;/Year&gt;&lt;IDText&gt;The cancer genome&lt;/IDText&gt;&lt;DisplayText&gt;(Stratton et al., 2009)&lt;/DisplayText&gt;&lt;record&gt;&lt;dates&gt;&lt;pub-dates&gt;&lt;date&gt;Apr&lt;/date&gt;&lt;/pub-dates&gt;&lt;year&gt;2009&lt;/year&gt;&lt;/dates&gt;&lt;keywords&gt;&lt;keyword&gt;Genes, Neoplasm&lt;/keyword&gt;&lt;keyword&gt;Genome, Human&lt;/keyword&gt;&lt;keyword&gt;Genomics&lt;/keyword&gt;&lt;keyword&gt;Humans&lt;/keyword&gt;&lt;keyword&gt;Mutation&lt;/keyword&gt;&lt;keyword&gt;Neoplasms&lt;/keyword&gt;&lt;keyword&gt;Sequence Analysis&lt;/keyword&gt;&lt;/keywords&gt;&lt;urls&gt;&lt;related-urls&gt;&lt;url&gt;https://www.ncbi.nlm.nih.gov/pubmed/19360079&lt;/url&gt;&lt;/related-urls&gt;&lt;/urls&gt;&lt;isbn&gt;1476-4687&lt;/isbn&gt;&lt;custom2&gt;PMC2821689&lt;/custom2&gt;&lt;titles&gt;&lt;title&gt;The cancer genome&lt;/title&gt;&lt;secondary-title&gt;Nature&lt;/secondary-title&gt;&lt;/titles&gt;&lt;pages&gt;719-24&lt;/pages&gt;&lt;number&gt;7239&lt;/number&gt;&lt;contributors&gt;&lt;authors&gt;&lt;author&gt;Stratton, M. R.&lt;/author&gt;&lt;author&gt;Campbell, P. J.&lt;/author&gt;&lt;author&gt;Futreal, P. A.&lt;/author&gt;&lt;/authors&gt;&lt;/contributors&gt;&lt;language&gt;eng&lt;/language&gt;&lt;added-date format="utc"&gt;1469461383&lt;/added-date&gt;&lt;ref-type name="Journal Article"&gt;17&lt;/ref-type&gt;&lt;rec-number&gt;174&lt;/rec-number&gt;&lt;last-updated-date format="utc"&gt;1470753718&lt;/last-updated-date&gt;&lt;accession-num&gt;19360079&lt;/accession-num&gt;&lt;electronic-resource-num&gt;10.1038/nature07943&lt;/electronic-resource-num&gt;&lt;volume&gt;458&lt;/volume&gt;&lt;/record&gt;&lt;/Cite&gt;&lt;/EndNote&gt;</w:instrText>
      </w:r>
      <w:r>
        <w:rPr>
          <w:rFonts w:asciiTheme="majorHAnsi" w:hAnsiTheme="majorHAnsi"/>
        </w:rPr>
        <w:fldChar w:fldCharType="separate"/>
      </w:r>
      <w:r>
        <w:rPr>
          <w:rFonts w:asciiTheme="majorHAnsi" w:hAnsiTheme="majorHAnsi"/>
          <w:noProof/>
        </w:rPr>
        <w:t>(Stratton et al., 2009)</w:t>
      </w:r>
      <w:r>
        <w:rPr>
          <w:rFonts w:asciiTheme="majorHAnsi" w:hAnsiTheme="majorHAnsi"/>
        </w:rPr>
        <w:fldChar w:fldCharType="end"/>
      </w:r>
      <w:r>
        <w:rPr>
          <w:rFonts w:asciiTheme="majorHAnsi" w:hAnsiTheme="majorHAnsi"/>
        </w:rPr>
        <w:t>. A study in 2010 showed that o</w:t>
      </w:r>
      <w:r w:rsidRPr="001113A6">
        <w:rPr>
          <w:rFonts w:asciiTheme="majorHAnsi" w:hAnsiTheme="majorHAnsi"/>
        </w:rPr>
        <w:t>ut of 3,131 cancers tested for copy number profiles</w:t>
      </w:r>
      <w:r>
        <w:rPr>
          <w:rFonts w:asciiTheme="majorHAnsi" w:hAnsiTheme="majorHAnsi"/>
        </w:rPr>
        <w:t>,</w:t>
      </w:r>
      <w:r w:rsidRPr="001113A6">
        <w:rPr>
          <w:rFonts w:asciiTheme="majorHAnsi" w:hAnsiTheme="majorHAnsi"/>
        </w:rPr>
        <w:t xml:space="preserve"> </w:t>
      </w:r>
      <w:r w:rsidR="007A6E6D">
        <w:rPr>
          <w:rFonts w:asciiTheme="majorHAnsi" w:hAnsiTheme="majorHAnsi"/>
        </w:rPr>
        <w:t xml:space="preserve">there was </w:t>
      </w:r>
      <w:r w:rsidRPr="001113A6">
        <w:rPr>
          <w:rFonts w:asciiTheme="majorHAnsi" w:hAnsiTheme="majorHAnsi"/>
        </w:rPr>
        <w:t>an average of 17% amplification in the genome and 16% deletion</w:t>
      </w:r>
      <w:r>
        <w:rPr>
          <w:rFonts w:asciiTheme="majorHAnsi" w:hAnsiTheme="majorHAnsi"/>
        </w:rPr>
        <w:t xml:space="preserve"> </w:t>
      </w:r>
      <w:r>
        <w:rPr>
          <w:rFonts w:asciiTheme="majorHAnsi" w:hAnsiTheme="majorHAnsi"/>
        </w:rPr>
        <w:fldChar w:fldCharType="begin">
          <w:fldData xml:space="preserve">PEVuZE5vdGU+PENpdGU+PEF1dGhvcj5CZXJvdWtoaW08L0F1dGhvcj48WWVhcj4yMDEwPC9ZZWFy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PEVuZE5vdGU+PENpdGU+PEF1dGhvcj5CZXJvdWtoaW08L0F1dGhvcj48WWVhcj4yMDEwPC9ZZWFy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(Beroukhim et al., 2010)</w:t>
      </w:r>
      <w:r>
        <w:rPr>
          <w:rFonts w:asciiTheme="majorHAnsi" w:hAnsiTheme="majorHAnsi"/>
        </w:rPr>
        <w:fldChar w:fldCharType="end"/>
      </w:r>
      <w:r w:rsidRPr="001113A6">
        <w:rPr>
          <w:rFonts w:asciiTheme="majorHAnsi" w:hAnsiTheme="majorHAnsi"/>
        </w:rPr>
        <w:t xml:space="preserve">. This a significant increase when compared with 0.35% and &lt;0.1% respectively in normal </w:t>
      </w:r>
      <w:r w:rsidR="00AD06B1">
        <w:rPr>
          <w:rFonts w:asciiTheme="majorHAnsi" w:hAnsiTheme="majorHAnsi"/>
        </w:rPr>
        <w:t xml:space="preserve">tissue </w:t>
      </w:r>
      <w:r w:rsidRPr="001113A6">
        <w:rPr>
          <w:rFonts w:asciiTheme="majorHAnsi" w:hAnsiTheme="majorHAnsi"/>
        </w:rPr>
        <w:t xml:space="preserve">samples. Beroukhim </w:t>
      </w:r>
      <w:r>
        <w:rPr>
          <w:rFonts w:asciiTheme="majorHAnsi" w:hAnsiTheme="majorHAnsi"/>
        </w:rPr>
        <w:t xml:space="preserve">et al. </w:t>
      </w:r>
      <w:r w:rsidRPr="001113A6">
        <w:rPr>
          <w:rFonts w:asciiTheme="majorHAnsi" w:hAnsiTheme="majorHAnsi"/>
        </w:rPr>
        <w:t xml:space="preserve">also </w:t>
      </w:r>
      <w:r>
        <w:rPr>
          <w:rFonts w:asciiTheme="majorHAnsi" w:hAnsiTheme="majorHAnsi"/>
        </w:rPr>
        <w:t xml:space="preserve">attempted to identify </w:t>
      </w:r>
      <w:r w:rsidRPr="001113A6">
        <w:rPr>
          <w:rFonts w:asciiTheme="majorHAnsi" w:hAnsiTheme="majorHAnsi"/>
        </w:rPr>
        <w:t xml:space="preserve">relationships between the genes implicated within the somatic copy number aberrations (SCNAs). </w:t>
      </w:r>
      <w:r>
        <w:rPr>
          <w:rFonts w:asciiTheme="majorHAnsi" w:hAnsiTheme="majorHAnsi"/>
        </w:rPr>
        <w:t xml:space="preserve">Enriched pathways included: </w:t>
      </w:r>
      <w:r w:rsidRPr="001113A6">
        <w:rPr>
          <w:rFonts w:asciiTheme="majorHAnsi" w:hAnsiTheme="majorHAnsi"/>
        </w:rPr>
        <w:t>cell cyc</w:t>
      </w:r>
      <w:r>
        <w:rPr>
          <w:rFonts w:asciiTheme="majorHAnsi" w:hAnsiTheme="majorHAnsi"/>
        </w:rPr>
        <w:t xml:space="preserve">le </w:t>
      </w:r>
      <w:r w:rsidR="007A6E6D">
        <w:rPr>
          <w:rFonts w:asciiTheme="majorHAnsi" w:hAnsiTheme="majorHAnsi"/>
        </w:rPr>
        <w:t xml:space="preserve">and apoptosis </w:t>
      </w:r>
      <w:r>
        <w:rPr>
          <w:rFonts w:asciiTheme="majorHAnsi" w:hAnsiTheme="majorHAnsi"/>
        </w:rPr>
        <w:t>regulators, and MYC</w:t>
      </w:r>
      <w:r w:rsidRPr="001113A6">
        <w:rPr>
          <w:rFonts w:asciiTheme="majorHAnsi" w:hAnsiTheme="majorHAnsi"/>
        </w:rPr>
        <w:t xml:space="preserve"> and NF-</w:t>
      </w:r>
      <w:r w:rsidRPr="001113A6">
        <w:rPr>
          <w:rFonts w:ascii="STIXGeneral-Italic" w:hAnsi="STIXGeneral-Italic" w:cs="STIXGeneral-Italic"/>
          <w:i/>
        </w:rPr>
        <w:t>𝜅</w:t>
      </w:r>
      <w:r w:rsidRPr="001113A6">
        <w:rPr>
          <w:rFonts w:asciiTheme="majorHAnsi" w:hAnsiTheme="majorHAnsi"/>
        </w:rPr>
        <w:t xml:space="preserve">B family members. </w:t>
      </w:r>
      <w:r w:rsidR="00D60314">
        <w:rPr>
          <w:rFonts w:asciiTheme="majorHAnsi" w:hAnsiTheme="majorHAnsi"/>
        </w:rPr>
        <w:t xml:space="preserve">Interestingly out of 158 regions of SCNA, 122 did not contain a known cancer driver gene, </w:t>
      </w:r>
      <w:r>
        <w:rPr>
          <w:rFonts w:asciiTheme="majorHAnsi" w:hAnsiTheme="majorHAnsi"/>
        </w:rPr>
        <w:t>i</w:t>
      </w:r>
      <w:r w:rsidRPr="001113A6">
        <w:rPr>
          <w:rFonts w:asciiTheme="majorHAnsi" w:hAnsiTheme="majorHAnsi"/>
        </w:rPr>
        <w:t xml:space="preserve">ndicating </w:t>
      </w:r>
      <w:r w:rsidR="00D60314">
        <w:rPr>
          <w:rFonts w:asciiTheme="majorHAnsi" w:hAnsiTheme="majorHAnsi"/>
        </w:rPr>
        <w:t xml:space="preserve">that there may be </w:t>
      </w:r>
      <w:r>
        <w:rPr>
          <w:rFonts w:asciiTheme="majorHAnsi" w:hAnsiTheme="majorHAnsi"/>
        </w:rPr>
        <w:t>a</w:t>
      </w:r>
      <w:r w:rsidRPr="001113A6">
        <w:rPr>
          <w:rFonts w:asciiTheme="majorHAnsi" w:hAnsiTheme="majorHAnsi"/>
        </w:rPr>
        <w:t xml:space="preserve"> large </w:t>
      </w:r>
      <w:r w:rsidR="00AD06B1">
        <w:rPr>
          <w:rFonts w:asciiTheme="majorHAnsi" w:hAnsiTheme="majorHAnsi"/>
        </w:rPr>
        <w:t>number</w:t>
      </w:r>
      <w:r w:rsidRPr="001113A6">
        <w:rPr>
          <w:rFonts w:asciiTheme="majorHAnsi" w:hAnsiTheme="majorHAnsi"/>
        </w:rPr>
        <w:t xml:space="preserve"> of </w:t>
      </w:r>
      <w:r w:rsidR="00D60314">
        <w:rPr>
          <w:rFonts w:asciiTheme="majorHAnsi" w:hAnsiTheme="majorHAnsi"/>
        </w:rPr>
        <w:t xml:space="preserve">undiscovered </w:t>
      </w:r>
      <w:r w:rsidRPr="001113A6">
        <w:rPr>
          <w:rFonts w:asciiTheme="majorHAnsi" w:hAnsiTheme="majorHAnsi"/>
        </w:rPr>
        <w:t xml:space="preserve">driver genes present within the cancer genome and therefore </w:t>
      </w:r>
      <w:r w:rsidR="00AD06B1">
        <w:rPr>
          <w:rFonts w:asciiTheme="majorHAnsi" w:hAnsiTheme="majorHAnsi"/>
        </w:rPr>
        <w:t>many</w:t>
      </w:r>
      <w:r w:rsidRPr="001113A6">
        <w:rPr>
          <w:rFonts w:asciiTheme="majorHAnsi" w:hAnsiTheme="majorHAnsi"/>
        </w:rPr>
        <w:t xml:space="preserve"> therapeutic possibilities still to be explored</w:t>
      </w:r>
      <w:r>
        <w:rPr>
          <w:rFonts w:asciiTheme="majorHAnsi" w:hAnsiTheme="majorHAnsi"/>
        </w:rPr>
        <w:t>.</w:t>
      </w:r>
    </w:p>
    <w:p w14:paraId="513DFBC8" w14:textId="77777777" w:rsidR="00B15A35" w:rsidRDefault="00B15A35" w:rsidP="00B15A35">
      <w:pPr>
        <w:spacing w:line="360" w:lineRule="auto"/>
        <w:jc w:val="both"/>
        <w:rPr>
          <w:rFonts w:asciiTheme="majorHAnsi" w:hAnsiTheme="majorHAnsi"/>
        </w:rPr>
      </w:pPr>
    </w:p>
    <w:p w14:paraId="51F101B8" w14:textId="77777777" w:rsidR="00B15A35" w:rsidRDefault="00B15A35" w:rsidP="00B15A35">
      <w:pPr>
        <w:rPr>
          <w:rFonts w:asciiTheme="majorHAnsi" w:hAnsiTheme="majorHAnsi"/>
          <w:sz w:val="28"/>
          <w:szCs w:val="28"/>
          <w:u w:val="single"/>
        </w:rPr>
      </w:pPr>
      <w:r>
        <w:rPr>
          <w:rFonts w:asciiTheme="majorHAnsi" w:hAnsiTheme="majorHAnsi"/>
          <w:sz w:val="28"/>
          <w:szCs w:val="28"/>
          <w:u w:val="single"/>
        </w:rPr>
        <w:br w:type="page"/>
      </w:r>
    </w:p>
    <w:p w14:paraId="1A5DF652" w14:textId="77777777" w:rsidR="00EB3408" w:rsidRPr="00E82D3B" w:rsidRDefault="00EB3408">
      <w:pPr>
        <w:rPr>
          <w:rFonts w:asciiTheme="majorHAnsi" w:hAnsiTheme="majorHAnsi"/>
          <w:sz w:val="28"/>
          <w:szCs w:val="28"/>
          <w:u w:val="single"/>
        </w:rPr>
      </w:pPr>
      <w:r w:rsidRPr="00E82D3B">
        <w:rPr>
          <w:rFonts w:asciiTheme="majorHAnsi" w:hAnsiTheme="majorHAnsi"/>
          <w:sz w:val="28"/>
          <w:szCs w:val="28"/>
          <w:u w:val="single"/>
        </w:rPr>
        <w:t>1.2 DNA Damage and the Repair Pathways</w:t>
      </w:r>
    </w:p>
    <w:p w14:paraId="4872CAF7" w14:textId="77777777" w:rsidR="00EB3408" w:rsidRPr="00E82D3B" w:rsidRDefault="00EB3408">
      <w:pPr>
        <w:rPr>
          <w:rFonts w:asciiTheme="majorHAnsi" w:hAnsiTheme="majorHAnsi"/>
          <w:sz w:val="28"/>
          <w:szCs w:val="28"/>
          <w:u w:val="single"/>
        </w:rPr>
      </w:pPr>
    </w:p>
    <w:p w14:paraId="0428784A" w14:textId="29E8B71D" w:rsidR="0052760F" w:rsidRPr="00E82D3B" w:rsidRDefault="00EB3408" w:rsidP="0052760F">
      <w:pPr>
        <w:pStyle w:val="ListParagraph"/>
        <w:numPr>
          <w:ilvl w:val="0"/>
          <w:numId w:val="48"/>
        </w:numPr>
        <w:spacing w:line="360" w:lineRule="auto"/>
        <w:rPr>
          <w:rFonts w:asciiTheme="majorHAnsi" w:hAnsiTheme="majorHAnsi"/>
          <w:b/>
          <w:i/>
        </w:rPr>
      </w:pPr>
      <w:r w:rsidRPr="00E82D3B">
        <w:rPr>
          <w:rFonts w:asciiTheme="majorHAnsi" w:hAnsiTheme="majorHAnsi"/>
          <w:b/>
          <w:i/>
        </w:rPr>
        <w:t>Causes</w:t>
      </w:r>
    </w:p>
    <w:p w14:paraId="3A380DDA" w14:textId="10EED192" w:rsidR="0052760F" w:rsidRPr="0052760F" w:rsidRDefault="0052760F" w:rsidP="0052760F">
      <w:pPr>
        <w:spacing w:line="360" w:lineRule="auto"/>
        <w:jc w:val="both"/>
        <w:rPr>
          <w:rFonts w:asciiTheme="majorHAnsi" w:hAnsiTheme="majorHAnsi"/>
          <w:szCs w:val="28"/>
        </w:rPr>
      </w:pPr>
      <w:r w:rsidRPr="0052760F">
        <w:rPr>
          <w:rFonts w:asciiTheme="majorHAnsi" w:hAnsiTheme="majorHAnsi"/>
          <w:szCs w:val="28"/>
        </w:rPr>
        <w:t xml:space="preserve">DNA damage is constantly </w:t>
      </w:r>
      <w:r>
        <w:rPr>
          <w:rFonts w:asciiTheme="majorHAnsi" w:hAnsiTheme="majorHAnsi"/>
          <w:szCs w:val="28"/>
        </w:rPr>
        <w:t>occurring in the human body due to both exogenous</w:t>
      </w:r>
      <w:r w:rsidR="00973126">
        <w:rPr>
          <w:rFonts w:asciiTheme="majorHAnsi" w:hAnsiTheme="majorHAnsi"/>
          <w:szCs w:val="28"/>
        </w:rPr>
        <w:t xml:space="preserve"> factors</w:t>
      </w:r>
      <w:r w:rsidR="002410C8">
        <w:rPr>
          <w:rFonts w:asciiTheme="majorHAnsi" w:hAnsiTheme="majorHAnsi"/>
          <w:szCs w:val="28"/>
        </w:rPr>
        <w:t>, such as ionizing radiation</w:t>
      </w:r>
      <w:r w:rsidR="007B6CE8">
        <w:rPr>
          <w:rFonts w:asciiTheme="majorHAnsi" w:hAnsiTheme="majorHAnsi"/>
          <w:szCs w:val="28"/>
        </w:rPr>
        <w:t>, mutagenic chemicals</w:t>
      </w:r>
      <w:r w:rsidR="002410C8">
        <w:rPr>
          <w:rFonts w:asciiTheme="majorHAnsi" w:hAnsiTheme="majorHAnsi"/>
          <w:szCs w:val="28"/>
        </w:rPr>
        <w:t xml:space="preserve"> and UV</w:t>
      </w:r>
      <w:r w:rsidR="007B6CE8">
        <w:rPr>
          <w:rFonts w:asciiTheme="majorHAnsi" w:hAnsiTheme="majorHAnsi"/>
          <w:szCs w:val="28"/>
        </w:rPr>
        <w:t>,</w:t>
      </w:r>
      <w:r>
        <w:rPr>
          <w:rFonts w:asciiTheme="majorHAnsi" w:hAnsiTheme="majorHAnsi"/>
          <w:szCs w:val="28"/>
        </w:rPr>
        <w:t xml:space="preserve"> and e</w:t>
      </w:r>
      <w:r w:rsidR="002410C8">
        <w:rPr>
          <w:rFonts w:asciiTheme="majorHAnsi" w:hAnsiTheme="majorHAnsi"/>
          <w:szCs w:val="28"/>
        </w:rPr>
        <w:t>ndogenous factors, such as spontaneous hydrolysis of nucleotides</w:t>
      </w:r>
      <w:r w:rsidR="007B6CE8">
        <w:rPr>
          <w:rFonts w:asciiTheme="majorHAnsi" w:hAnsiTheme="majorHAnsi"/>
          <w:szCs w:val="28"/>
        </w:rPr>
        <w:t>, replication errors</w:t>
      </w:r>
      <w:r w:rsidR="002410C8">
        <w:rPr>
          <w:rFonts w:asciiTheme="majorHAnsi" w:hAnsiTheme="majorHAnsi"/>
          <w:szCs w:val="28"/>
        </w:rPr>
        <w:t xml:space="preserve"> and reactive oxygen species. In fact</w:t>
      </w:r>
      <w:r w:rsidR="007B6CE8">
        <w:rPr>
          <w:rFonts w:asciiTheme="majorHAnsi" w:hAnsiTheme="majorHAnsi"/>
          <w:szCs w:val="28"/>
        </w:rPr>
        <w:t>,</w:t>
      </w:r>
      <w:r w:rsidR="002410C8">
        <w:rPr>
          <w:rFonts w:asciiTheme="majorHAnsi" w:hAnsiTheme="majorHAnsi"/>
          <w:szCs w:val="28"/>
        </w:rPr>
        <w:t xml:space="preserve"> it is calculated that each cell has 10</w:t>
      </w:r>
      <w:r w:rsidR="002410C8" w:rsidRPr="002410C8">
        <w:rPr>
          <w:rFonts w:asciiTheme="majorHAnsi" w:hAnsiTheme="majorHAnsi"/>
          <w:szCs w:val="28"/>
          <w:vertAlign w:val="superscript"/>
        </w:rPr>
        <w:t>4</w:t>
      </w:r>
      <w:r w:rsidR="002410C8">
        <w:rPr>
          <w:rFonts w:asciiTheme="majorHAnsi" w:hAnsiTheme="majorHAnsi"/>
          <w:szCs w:val="28"/>
        </w:rPr>
        <w:t>-10</w:t>
      </w:r>
      <w:r w:rsidR="002410C8" w:rsidRPr="002410C8">
        <w:rPr>
          <w:rFonts w:asciiTheme="majorHAnsi" w:hAnsiTheme="majorHAnsi"/>
          <w:szCs w:val="28"/>
          <w:vertAlign w:val="superscript"/>
        </w:rPr>
        <w:t>5</w:t>
      </w:r>
      <w:r w:rsidR="002410C8">
        <w:rPr>
          <w:rFonts w:asciiTheme="majorHAnsi" w:hAnsiTheme="majorHAnsi"/>
          <w:szCs w:val="28"/>
          <w:vertAlign w:val="superscript"/>
        </w:rPr>
        <w:t xml:space="preserve"> </w:t>
      </w:r>
      <w:r w:rsidR="002410C8">
        <w:rPr>
          <w:rFonts w:asciiTheme="majorHAnsi" w:hAnsiTheme="majorHAnsi"/>
          <w:szCs w:val="28"/>
        </w:rPr>
        <w:t xml:space="preserve">lesions per day. Therefore it is essential that there are DNA </w:t>
      </w:r>
      <w:r w:rsidR="00653928">
        <w:rPr>
          <w:rFonts w:asciiTheme="majorHAnsi" w:hAnsiTheme="majorHAnsi"/>
          <w:szCs w:val="28"/>
        </w:rPr>
        <w:t xml:space="preserve">damage </w:t>
      </w:r>
      <w:r w:rsidR="002410C8">
        <w:rPr>
          <w:rFonts w:asciiTheme="majorHAnsi" w:hAnsiTheme="majorHAnsi"/>
          <w:szCs w:val="28"/>
        </w:rPr>
        <w:t xml:space="preserve">repair </w:t>
      </w:r>
      <w:r w:rsidR="00653928">
        <w:rPr>
          <w:rFonts w:asciiTheme="majorHAnsi" w:hAnsiTheme="majorHAnsi"/>
          <w:szCs w:val="28"/>
        </w:rPr>
        <w:t xml:space="preserve">(DDR) </w:t>
      </w:r>
      <w:r w:rsidR="002410C8">
        <w:rPr>
          <w:rFonts w:asciiTheme="majorHAnsi" w:hAnsiTheme="majorHAnsi"/>
          <w:szCs w:val="28"/>
        </w:rPr>
        <w:t>pathways in place to ensure the</w:t>
      </w:r>
      <w:r>
        <w:rPr>
          <w:rFonts w:asciiTheme="majorHAnsi" w:hAnsiTheme="majorHAnsi"/>
          <w:szCs w:val="28"/>
        </w:rPr>
        <w:t xml:space="preserve"> </w:t>
      </w:r>
      <w:r w:rsidR="00E209DB">
        <w:rPr>
          <w:rFonts w:asciiTheme="majorHAnsi" w:hAnsiTheme="majorHAnsi"/>
          <w:szCs w:val="28"/>
        </w:rPr>
        <w:t>propagation of</w:t>
      </w:r>
      <w:r w:rsidR="0099143F">
        <w:rPr>
          <w:rFonts w:asciiTheme="majorHAnsi" w:hAnsiTheme="majorHAnsi"/>
          <w:szCs w:val="28"/>
        </w:rPr>
        <w:t xml:space="preserve"> correct</w:t>
      </w:r>
      <w:r w:rsidR="00E209DB">
        <w:rPr>
          <w:rFonts w:asciiTheme="majorHAnsi" w:hAnsiTheme="majorHAnsi"/>
          <w:szCs w:val="28"/>
        </w:rPr>
        <w:t xml:space="preserve"> genetic material</w:t>
      </w:r>
      <w:r w:rsidR="002410C8">
        <w:rPr>
          <w:rFonts w:asciiTheme="majorHAnsi" w:hAnsiTheme="majorHAnsi"/>
          <w:szCs w:val="28"/>
        </w:rPr>
        <w:t xml:space="preserve"> during </w:t>
      </w:r>
      <w:r w:rsidR="0099143F">
        <w:rPr>
          <w:rFonts w:asciiTheme="majorHAnsi" w:hAnsiTheme="majorHAnsi"/>
          <w:szCs w:val="28"/>
        </w:rPr>
        <w:t xml:space="preserve">DNA </w:t>
      </w:r>
      <w:r w:rsidR="002410C8">
        <w:rPr>
          <w:rFonts w:asciiTheme="majorHAnsi" w:hAnsiTheme="majorHAnsi"/>
          <w:szCs w:val="28"/>
        </w:rPr>
        <w:t xml:space="preserve">synthesis, replication and </w:t>
      </w:r>
      <w:r w:rsidR="007B6CE8">
        <w:rPr>
          <w:rFonts w:asciiTheme="majorHAnsi" w:hAnsiTheme="majorHAnsi"/>
          <w:szCs w:val="28"/>
        </w:rPr>
        <w:t>transcription</w:t>
      </w:r>
      <w:r w:rsidR="0099143F">
        <w:rPr>
          <w:rFonts w:asciiTheme="majorHAnsi" w:hAnsiTheme="majorHAnsi"/>
          <w:szCs w:val="28"/>
        </w:rPr>
        <w:t>. I</w:t>
      </w:r>
      <w:r w:rsidR="00E209DB">
        <w:rPr>
          <w:rFonts w:asciiTheme="majorHAnsi" w:hAnsiTheme="majorHAnsi"/>
          <w:szCs w:val="28"/>
        </w:rPr>
        <w:t>f this is not conducted correctly then mutations can be passed onto daughter cells</w:t>
      </w:r>
      <w:r w:rsidR="0099143F">
        <w:rPr>
          <w:rFonts w:asciiTheme="majorHAnsi" w:hAnsiTheme="majorHAnsi"/>
          <w:szCs w:val="28"/>
        </w:rPr>
        <w:t>,</w:t>
      </w:r>
      <w:r w:rsidR="00E209DB">
        <w:rPr>
          <w:rFonts w:asciiTheme="majorHAnsi" w:hAnsiTheme="majorHAnsi"/>
          <w:szCs w:val="28"/>
        </w:rPr>
        <w:t xml:space="preserve"> and ultimately cancer can ensue</w:t>
      </w:r>
      <w:r w:rsidR="007B6CE8">
        <w:rPr>
          <w:rFonts w:asciiTheme="majorHAnsi" w:hAnsiTheme="majorHAnsi"/>
          <w:szCs w:val="28"/>
        </w:rPr>
        <w:t xml:space="preserve"> if the mutation creates an unregulated proliferative state</w:t>
      </w:r>
      <w:r w:rsidR="00E209DB">
        <w:rPr>
          <w:rFonts w:asciiTheme="majorHAnsi" w:hAnsiTheme="majorHAnsi"/>
          <w:szCs w:val="28"/>
        </w:rPr>
        <w:t xml:space="preserve">. </w:t>
      </w:r>
      <w:r w:rsidR="007B6CE8">
        <w:rPr>
          <w:rFonts w:asciiTheme="majorHAnsi" w:hAnsiTheme="majorHAnsi"/>
          <w:szCs w:val="28"/>
        </w:rPr>
        <w:t xml:space="preserve">Lesions can also cause cells to enter senescence or undergo apoptosis to a greater extent than normal if they are not properly repaired, </w:t>
      </w:r>
      <w:r w:rsidR="0099143F">
        <w:rPr>
          <w:rFonts w:asciiTheme="majorHAnsi" w:hAnsiTheme="majorHAnsi"/>
          <w:szCs w:val="28"/>
        </w:rPr>
        <w:t xml:space="preserve">and </w:t>
      </w:r>
      <w:r w:rsidR="007B6CE8">
        <w:rPr>
          <w:rFonts w:asciiTheme="majorHAnsi" w:hAnsiTheme="majorHAnsi"/>
          <w:szCs w:val="28"/>
        </w:rPr>
        <w:t>this can result in a damage-associated accelerated aging</w:t>
      </w:r>
      <w:r w:rsidR="00653928">
        <w:rPr>
          <w:rFonts w:asciiTheme="majorHAnsi" w:hAnsiTheme="majorHAnsi"/>
          <w:szCs w:val="28"/>
        </w:rPr>
        <w:t xml:space="preserve"> phenotype</w:t>
      </w:r>
      <w:r w:rsidR="007B6CE8">
        <w:rPr>
          <w:rFonts w:asciiTheme="majorHAnsi" w:hAnsiTheme="majorHAnsi"/>
          <w:szCs w:val="28"/>
        </w:rPr>
        <w:t xml:space="preserve">. </w:t>
      </w:r>
      <w:r w:rsidR="006006FD">
        <w:rPr>
          <w:rFonts w:asciiTheme="majorHAnsi" w:hAnsiTheme="majorHAnsi"/>
          <w:szCs w:val="28"/>
        </w:rPr>
        <w:t>Damage can be in the form of base alkylation and oxidation, bulky adducts and/or single or double stranded breaks</w:t>
      </w:r>
      <w:r w:rsidR="00653928">
        <w:rPr>
          <w:rFonts w:asciiTheme="majorHAnsi" w:hAnsiTheme="majorHAnsi"/>
          <w:szCs w:val="28"/>
        </w:rPr>
        <w:t>, and these are repaired by several DDR system</w:t>
      </w:r>
      <w:r w:rsidR="0099143F">
        <w:rPr>
          <w:rFonts w:asciiTheme="majorHAnsi" w:hAnsiTheme="majorHAnsi"/>
          <w:szCs w:val="28"/>
        </w:rPr>
        <w:t>s</w:t>
      </w:r>
      <w:r w:rsidR="00653928">
        <w:rPr>
          <w:rFonts w:asciiTheme="majorHAnsi" w:hAnsiTheme="majorHAnsi"/>
          <w:szCs w:val="28"/>
        </w:rPr>
        <w:t xml:space="preserve"> within eukaryotes</w:t>
      </w:r>
      <w:r w:rsidR="001D570A">
        <w:rPr>
          <w:rFonts w:asciiTheme="majorHAnsi" w:hAnsiTheme="majorHAnsi"/>
          <w:szCs w:val="28"/>
        </w:rPr>
        <w:t>.</w:t>
      </w:r>
      <w:r w:rsidR="006006FD">
        <w:rPr>
          <w:rFonts w:asciiTheme="majorHAnsi" w:hAnsiTheme="majorHAnsi"/>
          <w:szCs w:val="28"/>
        </w:rPr>
        <w:t xml:space="preserve"> </w:t>
      </w:r>
      <w:r w:rsidR="001D570A">
        <w:rPr>
          <w:rFonts w:asciiTheme="majorHAnsi" w:hAnsiTheme="majorHAnsi"/>
          <w:szCs w:val="28"/>
        </w:rPr>
        <w:t xml:space="preserve">Mutations to many DDR proteins are </w:t>
      </w:r>
      <w:r w:rsidR="0099143F">
        <w:rPr>
          <w:rFonts w:asciiTheme="majorHAnsi" w:hAnsiTheme="majorHAnsi"/>
          <w:szCs w:val="28"/>
        </w:rPr>
        <w:t>frequent</w:t>
      </w:r>
      <w:r w:rsidR="001D570A">
        <w:rPr>
          <w:rFonts w:asciiTheme="majorHAnsi" w:hAnsiTheme="majorHAnsi"/>
          <w:szCs w:val="28"/>
        </w:rPr>
        <w:t xml:space="preserve"> in cancer, </w:t>
      </w:r>
      <w:r w:rsidR="0099143F">
        <w:rPr>
          <w:rFonts w:asciiTheme="majorHAnsi" w:hAnsiTheme="majorHAnsi"/>
          <w:szCs w:val="28"/>
        </w:rPr>
        <w:t xml:space="preserve">and thee have become targets for recent anti-cancer drugs, for example the </w:t>
      </w:r>
      <w:r w:rsidR="001D570A">
        <w:rPr>
          <w:rFonts w:asciiTheme="majorHAnsi" w:hAnsiTheme="majorHAnsi"/>
          <w:szCs w:val="28"/>
        </w:rPr>
        <w:t>BRCA1</w:t>
      </w:r>
      <w:r w:rsidR="0099143F">
        <w:rPr>
          <w:rFonts w:asciiTheme="majorHAnsi" w:hAnsiTheme="majorHAnsi"/>
          <w:szCs w:val="28"/>
        </w:rPr>
        <w:t xml:space="preserve"> gene</w:t>
      </w:r>
      <w:r w:rsidR="001D570A">
        <w:rPr>
          <w:rFonts w:asciiTheme="majorHAnsi" w:hAnsiTheme="majorHAnsi"/>
          <w:szCs w:val="28"/>
        </w:rPr>
        <w:t xml:space="preserve"> </w:t>
      </w:r>
      <w:r w:rsidR="006006FD">
        <w:rPr>
          <w:rFonts w:asciiTheme="majorHAnsi" w:hAnsiTheme="majorHAnsi"/>
          <w:szCs w:val="28"/>
        </w:rPr>
        <w:fldChar w:fldCharType="begin"/>
      </w:r>
      <w:r w:rsidR="00914635">
        <w:rPr>
          <w:rFonts w:asciiTheme="majorHAnsi" w:hAnsiTheme="majorHAnsi"/>
          <w:szCs w:val="28"/>
        </w:rPr>
        <w:instrText xml:space="preserve"> ADDIN EN.CITE &lt;EndNote&gt;&lt;Cite&gt;&lt;Author&gt;Giglia-Mari&lt;/Author&gt;&lt;Year&gt;2011&lt;/Year&gt;&lt;IDText&gt;DNA damage response&lt;/IDText&gt;&lt;DisplayText&gt;(Giglia-Mari et al., 2011)&lt;/DisplayText&gt;&lt;record&gt;&lt;dates&gt;&lt;pub-dates&gt;&lt;date&gt;Jan&lt;/date&gt;&lt;/pub-dates&gt;&lt;year&gt;2011&lt;/year&gt;&lt;/dates&gt;&lt;keywords&gt;&lt;keyword&gt;Animals&lt;/keyword&gt;&lt;keyword&gt;Chromatin&lt;/keyword&gt;&lt;keyword&gt;DNA Damage&lt;/keyword&gt;&lt;keyword&gt;DNA Repair&lt;/keyword&gt;&lt;keyword&gt;Genes, cdc&lt;/keyword&gt;&lt;keyword&gt;Genomic Instability&lt;/keyword&gt;&lt;keyword&gt;Histones&lt;/keyword&gt;&lt;keyword&gt;Humans&lt;/keyword&gt;&lt;keyword&gt;Models, Biological&lt;/keyword&gt;&lt;keyword&gt;Phosphorylation&lt;/keyword&gt;&lt;keyword&gt;Signal Transduction&lt;/keyword&gt;&lt;/keywords&gt;&lt;urls&gt;&lt;related-urls&gt;&lt;url&gt;https://www.ncbi.nlm.nih.gov/pubmed/20980439&lt;/url&gt;&lt;/related-urls&gt;&lt;/urls&gt;&lt;isbn&gt;1943-0264&lt;/isbn&gt;&lt;custom2&gt;PMC3003462&lt;/custom2&gt;&lt;titles&gt;&lt;title&gt;DNA damage response&lt;/title&gt;&lt;secondary-title&gt;Cold Spring Harb Perspect Biol&lt;/secondary-title&gt;&lt;/titles&gt;&lt;pages&gt;a000745&lt;/pages&gt;&lt;number&gt;1&lt;/number&gt;&lt;contributors&gt;&lt;authors&gt;&lt;author&gt;Giglia-Mari, G.&lt;/author&gt;&lt;author&gt;Zotter, A.&lt;/author&gt;&lt;author&gt;Vermeulen, W.&lt;/author&gt;&lt;/authors&gt;&lt;/contributors&gt;&lt;edition&gt;2011/01/01&lt;/edition&gt;&lt;language&gt;eng&lt;/language&gt;&lt;added-date format="utc"&gt;1523883850&lt;/added-date&gt;&lt;ref-type name="Journal Article"&gt;17&lt;/ref-type&gt;&lt;rec-number&gt;408&lt;/rec-number&gt;&lt;last-updated-date format="utc"&gt;1523883850&lt;/last-updated-date&gt;&lt;accession-num&gt;20980439&lt;/accession-num&gt;&lt;electronic-resource-num&gt;10.1101/cshperspect.a000745&lt;/electronic-resource-num&gt;&lt;volume&gt;3&lt;/volume&gt;&lt;/record&gt;&lt;/Cite&gt;&lt;/EndNote&gt;</w:instrText>
      </w:r>
      <w:r w:rsidR="006006FD">
        <w:rPr>
          <w:rFonts w:asciiTheme="majorHAnsi" w:hAnsiTheme="majorHAnsi"/>
          <w:szCs w:val="28"/>
        </w:rPr>
        <w:fldChar w:fldCharType="separate"/>
      </w:r>
      <w:r w:rsidR="00914635">
        <w:rPr>
          <w:rFonts w:asciiTheme="majorHAnsi" w:hAnsiTheme="majorHAnsi"/>
          <w:noProof/>
          <w:szCs w:val="28"/>
        </w:rPr>
        <w:t>(Giglia-Mari et al., 2011)</w:t>
      </w:r>
      <w:r w:rsidR="006006FD">
        <w:rPr>
          <w:rFonts w:asciiTheme="majorHAnsi" w:hAnsiTheme="majorHAnsi"/>
          <w:szCs w:val="28"/>
        </w:rPr>
        <w:fldChar w:fldCharType="end"/>
      </w:r>
      <w:r w:rsidR="006006FD">
        <w:rPr>
          <w:rFonts w:asciiTheme="majorHAnsi" w:hAnsiTheme="majorHAnsi"/>
          <w:szCs w:val="28"/>
        </w:rPr>
        <w:t xml:space="preserve">. </w:t>
      </w:r>
    </w:p>
    <w:p w14:paraId="59F72F49" w14:textId="77777777" w:rsidR="00EB3408" w:rsidRPr="00EB3408" w:rsidRDefault="00EB3408" w:rsidP="00914635">
      <w:pPr>
        <w:spacing w:line="360" w:lineRule="auto"/>
        <w:jc w:val="both"/>
        <w:rPr>
          <w:rFonts w:asciiTheme="majorHAnsi" w:hAnsiTheme="majorHAnsi"/>
          <w:b/>
          <w:i/>
          <w:szCs w:val="28"/>
        </w:rPr>
      </w:pPr>
    </w:p>
    <w:p w14:paraId="559AA596" w14:textId="77777777" w:rsidR="002410C8" w:rsidRPr="00E82D3B" w:rsidRDefault="002410C8" w:rsidP="00914635">
      <w:pPr>
        <w:pStyle w:val="ListParagraph"/>
        <w:numPr>
          <w:ilvl w:val="0"/>
          <w:numId w:val="48"/>
        </w:numPr>
        <w:spacing w:line="360" w:lineRule="auto"/>
        <w:jc w:val="both"/>
        <w:rPr>
          <w:rFonts w:asciiTheme="majorHAnsi" w:hAnsiTheme="majorHAnsi"/>
          <w:b/>
          <w:i/>
          <w:szCs w:val="28"/>
        </w:rPr>
      </w:pPr>
      <w:r w:rsidRPr="00E82D3B">
        <w:rPr>
          <w:rFonts w:asciiTheme="majorHAnsi" w:hAnsiTheme="majorHAnsi"/>
          <w:b/>
          <w:i/>
          <w:szCs w:val="28"/>
        </w:rPr>
        <w:t>Base excision repair and nucleotide excision repair</w:t>
      </w:r>
    </w:p>
    <w:p w14:paraId="678FDB3C" w14:textId="545588EA" w:rsidR="00914635" w:rsidRDefault="00914635" w:rsidP="00914635">
      <w:pPr>
        <w:spacing w:line="360" w:lineRule="auto"/>
        <w:jc w:val="both"/>
        <w:rPr>
          <w:rFonts w:asciiTheme="majorHAnsi" w:hAnsiTheme="majorHAnsi"/>
          <w:szCs w:val="28"/>
        </w:rPr>
      </w:pPr>
      <w:r>
        <w:rPr>
          <w:rFonts w:asciiTheme="majorHAnsi" w:hAnsiTheme="majorHAnsi"/>
          <w:szCs w:val="28"/>
        </w:rPr>
        <w:t xml:space="preserve">These DNA repair mechanisms occur when only one strand of DNA is affected or there is </w:t>
      </w:r>
      <w:proofErr w:type="gramStart"/>
      <w:r>
        <w:rPr>
          <w:rFonts w:asciiTheme="majorHAnsi" w:hAnsiTheme="majorHAnsi"/>
          <w:szCs w:val="28"/>
        </w:rPr>
        <w:t>a</w:t>
      </w:r>
      <w:proofErr w:type="gramEnd"/>
      <w:r>
        <w:rPr>
          <w:rFonts w:asciiTheme="majorHAnsi" w:hAnsiTheme="majorHAnsi"/>
          <w:szCs w:val="28"/>
        </w:rPr>
        <w:t xml:space="preserve"> ssDNA break</w:t>
      </w:r>
      <w:r w:rsidR="0099143F">
        <w:rPr>
          <w:rFonts w:asciiTheme="majorHAnsi" w:hAnsiTheme="majorHAnsi"/>
          <w:szCs w:val="28"/>
        </w:rPr>
        <w:t>,</w:t>
      </w:r>
      <w:r>
        <w:rPr>
          <w:rFonts w:asciiTheme="majorHAnsi" w:hAnsiTheme="majorHAnsi"/>
          <w:szCs w:val="28"/>
        </w:rPr>
        <w:t xml:space="preserve"> and therefore the other </w:t>
      </w:r>
      <w:r w:rsidR="00E74EAC">
        <w:rPr>
          <w:rFonts w:asciiTheme="majorHAnsi" w:hAnsiTheme="majorHAnsi"/>
          <w:szCs w:val="28"/>
        </w:rPr>
        <w:t xml:space="preserve">strand </w:t>
      </w:r>
      <w:r>
        <w:rPr>
          <w:rFonts w:asciiTheme="majorHAnsi" w:hAnsiTheme="majorHAnsi"/>
          <w:szCs w:val="28"/>
        </w:rPr>
        <w:t xml:space="preserve">can be used as a template, through excision of </w:t>
      </w:r>
      <w:r w:rsidR="0099143F">
        <w:rPr>
          <w:rFonts w:asciiTheme="majorHAnsi" w:hAnsiTheme="majorHAnsi"/>
          <w:szCs w:val="28"/>
        </w:rPr>
        <w:t xml:space="preserve">the </w:t>
      </w:r>
      <w:r>
        <w:rPr>
          <w:rFonts w:asciiTheme="majorHAnsi" w:hAnsiTheme="majorHAnsi"/>
          <w:szCs w:val="28"/>
        </w:rPr>
        <w:t xml:space="preserve">damage and incorporation of </w:t>
      </w:r>
      <w:r w:rsidR="0099143F">
        <w:rPr>
          <w:rFonts w:asciiTheme="majorHAnsi" w:hAnsiTheme="majorHAnsi"/>
          <w:szCs w:val="28"/>
        </w:rPr>
        <w:t>correct</w:t>
      </w:r>
      <w:r>
        <w:rPr>
          <w:rFonts w:asciiTheme="majorHAnsi" w:hAnsiTheme="majorHAnsi"/>
          <w:szCs w:val="28"/>
        </w:rPr>
        <w:t xml:space="preserve"> bases. Base excision repair (BER) occurs when the damage is small and does not distort the helical structure of DNA</w:t>
      </w:r>
      <w:r w:rsidR="00117B26">
        <w:rPr>
          <w:rFonts w:asciiTheme="majorHAnsi" w:hAnsiTheme="majorHAnsi"/>
          <w:szCs w:val="28"/>
        </w:rPr>
        <w:t>, for example base oxidation or alkylation</w:t>
      </w:r>
      <w:r>
        <w:rPr>
          <w:rFonts w:asciiTheme="majorHAnsi" w:hAnsiTheme="majorHAnsi"/>
          <w:szCs w:val="28"/>
        </w:rPr>
        <w:t>. DNA glycosylases recognise and excise the incorrect base, leaving an apurinic/apyrimidinic base (AP site). AP endonucleases then nick the DNA backbone at these AP sites and DNA polymerase incorporates the homologous base,</w:t>
      </w:r>
      <w:r w:rsidR="00E74EAC">
        <w:rPr>
          <w:rFonts w:asciiTheme="majorHAnsi" w:hAnsiTheme="majorHAnsi"/>
          <w:szCs w:val="28"/>
        </w:rPr>
        <w:t xml:space="preserve"> whilst a complex of XRCC1 and l</w:t>
      </w:r>
      <w:r>
        <w:rPr>
          <w:rFonts w:asciiTheme="majorHAnsi" w:hAnsiTheme="majorHAnsi"/>
          <w:szCs w:val="28"/>
        </w:rPr>
        <w:t>igase III seals the nick</w:t>
      </w:r>
      <w:r w:rsidR="00EC54E0">
        <w:rPr>
          <w:rFonts w:asciiTheme="majorHAnsi" w:hAnsiTheme="majorHAnsi"/>
          <w:szCs w:val="28"/>
        </w:rPr>
        <w:t xml:space="preserve"> </w:t>
      </w:r>
      <w:r w:rsidR="00EC54E0">
        <w:rPr>
          <w:rFonts w:asciiTheme="majorHAnsi" w:hAnsiTheme="majorHAnsi"/>
          <w:szCs w:val="28"/>
        </w:rPr>
        <w:fldChar w:fldCharType="begin"/>
      </w:r>
      <w:r w:rsidR="00EC54E0">
        <w:rPr>
          <w:rFonts w:asciiTheme="majorHAnsi" w:hAnsiTheme="majorHAnsi"/>
          <w:szCs w:val="28"/>
        </w:rPr>
        <w:instrText xml:space="preserve"> ADDIN EN.CITE &lt;EndNote&gt;&lt;Cite&gt;&lt;Author&gt;Robertson&lt;/Author&gt;&lt;Year&gt;2009&lt;/Year&gt;&lt;IDText&gt;DNA repair in mammalian cells: Base excision repair: the long and short of it&lt;/IDText&gt;&lt;DisplayText&gt;(Robertson et al., 2009)&lt;/DisplayText&gt;&lt;record&gt;&lt;dates&gt;&lt;pub-dates&gt;&lt;date&gt;Mar&lt;/date&gt;&lt;/pub-dates&gt;&lt;year&gt;2009&lt;/year&gt;&lt;/dates&gt;&lt;keywords&gt;&lt;keyword&gt;Alkylation&lt;/keyword&gt;&lt;keyword&gt;Amino Acid Sequence&lt;/keyword&gt;&lt;keyword&gt;Animals&lt;/keyword&gt;&lt;keyword&gt;Bacterial Proteins&lt;/keyword&gt;&lt;keyword&gt;DNA Breaks, Single-Stranded&lt;/keyword&gt;&lt;keyword&gt;DNA Damage&lt;/keyword&gt;&lt;keyword&gt;DNA Glycosylases&lt;/keyword&gt;&lt;keyword&gt;DNA Repair&lt;/keyword&gt;&lt;keyword&gt;DNA Repair Enzymes&lt;/keyword&gt;&lt;keyword&gt;Fungal Proteins&lt;/keyword&gt;&lt;keyword&gt;Humans&lt;/keyword&gt;&lt;keyword&gt;Models, Molecular&lt;/keyword&gt;&lt;keyword&gt;Molecular Sequence Data&lt;/keyword&gt;&lt;keyword&gt;Oxidation-Reduction&lt;/keyword&gt;&lt;keyword&gt;Protein Conformation&lt;/keyword&gt;&lt;/keywords&gt;&lt;urls&gt;&lt;related-urls&gt;&lt;url&gt;https://www.ncbi.nlm.nih.gov/pubmed/19153658&lt;/url&gt;&lt;/related-urls&gt;&lt;/urls&gt;&lt;isbn&gt;1420-9071&lt;/isbn&gt;&lt;titles&gt;&lt;title&gt;DNA repair in mammalian cells: Base excision repair: the long and short of it&lt;/title&gt;&lt;secondary-title&gt;Cell Mol Life Sci&lt;/secondary-title&gt;&lt;/titles&gt;&lt;pages&gt;981-93&lt;/pages&gt;&lt;number&gt;6&lt;/number&gt;&lt;contributors&gt;&lt;authors&gt;&lt;author&gt;Robertson, A. B.&lt;/author&gt;&lt;author&gt;Klungland, A.&lt;/author&gt;&lt;author&gt;Rognes, T.&lt;/author&gt;&lt;author&gt;Leiros, I.&lt;/author&gt;&lt;/authors&gt;&lt;/contributors&gt;&lt;language&gt;eng&lt;/language&gt;&lt;added-date format="utc"&gt;1524035088&lt;/added-date&gt;&lt;ref-type name="Journal Article"&gt;17&lt;/ref-type&gt;&lt;rec-number&gt;411&lt;/rec-number&gt;&lt;last-updated-date format="utc"&gt;1524035088&lt;/last-updated-date&gt;&lt;accession-num&gt;19153658&lt;/accession-num&gt;&lt;electronic-resource-num&gt;10.1007/s00018-009-8736-z&lt;/electronic-resource-num&gt;&lt;volume&gt;66&lt;/volume&gt;&lt;/record&gt;&lt;/Cite&gt;&lt;/EndNote&gt;</w:instrText>
      </w:r>
      <w:r w:rsidR="00EC54E0">
        <w:rPr>
          <w:rFonts w:asciiTheme="majorHAnsi" w:hAnsiTheme="majorHAnsi"/>
          <w:szCs w:val="28"/>
        </w:rPr>
        <w:fldChar w:fldCharType="separate"/>
      </w:r>
      <w:r w:rsidR="00EC54E0">
        <w:rPr>
          <w:rFonts w:asciiTheme="majorHAnsi" w:hAnsiTheme="majorHAnsi"/>
          <w:noProof/>
          <w:szCs w:val="28"/>
        </w:rPr>
        <w:t>(Robertson et al., 2009)</w:t>
      </w:r>
      <w:r w:rsidR="00EC54E0">
        <w:rPr>
          <w:rFonts w:asciiTheme="majorHAnsi" w:hAnsiTheme="majorHAnsi"/>
          <w:szCs w:val="28"/>
        </w:rPr>
        <w:fldChar w:fldCharType="end"/>
      </w:r>
      <w:r>
        <w:rPr>
          <w:rFonts w:asciiTheme="majorHAnsi" w:hAnsiTheme="majorHAnsi"/>
          <w:szCs w:val="28"/>
        </w:rPr>
        <w:t xml:space="preserve">. </w:t>
      </w:r>
      <w:r w:rsidR="001D570A">
        <w:rPr>
          <w:rFonts w:asciiTheme="majorHAnsi" w:hAnsiTheme="majorHAnsi"/>
          <w:szCs w:val="28"/>
        </w:rPr>
        <w:t>PARP (poly ADP-ribose polymerase) plays a role within BER by recognising single strand DNA nicks, and when bound to the DNA through its zinc finger structure</w:t>
      </w:r>
      <w:r w:rsidR="0099143F">
        <w:rPr>
          <w:rFonts w:asciiTheme="majorHAnsi" w:hAnsiTheme="majorHAnsi"/>
          <w:szCs w:val="28"/>
        </w:rPr>
        <w:t>,</w:t>
      </w:r>
      <w:r w:rsidR="001D570A">
        <w:rPr>
          <w:rFonts w:asciiTheme="majorHAnsi" w:hAnsiTheme="majorHAnsi"/>
          <w:szCs w:val="28"/>
        </w:rPr>
        <w:t xml:space="preserve"> </w:t>
      </w:r>
      <w:r w:rsidR="0099143F">
        <w:rPr>
          <w:rFonts w:asciiTheme="majorHAnsi" w:hAnsiTheme="majorHAnsi"/>
          <w:szCs w:val="28"/>
        </w:rPr>
        <w:t>begins</w:t>
      </w:r>
      <w:r w:rsidR="001D570A">
        <w:rPr>
          <w:rFonts w:asciiTheme="majorHAnsi" w:hAnsiTheme="majorHAnsi"/>
          <w:szCs w:val="28"/>
        </w:rPr>
        <w:t xml:space="preserve"> the formation of PAR chains (polymeric adenosine </w:t>
      </w:r>
      <w:proofErr w:type="spellStart"/>
      <w:r w:rsidR="001D570A">
        <w:rPr>
          <w:rFonts w:asciiTheme="majorHAnsi" w:hAnsiTheme="majorHAnsi"/>
          <w:szCs w:val="28"/>
        </w:rPr>
        <w:t>dephosphate</w:t>
      </w:r>
      <w:proofErr w:type="spellEnd"/>
      <w:r w:rsidR="001D570A">
        <w:rPr>
          <w:rFonts w:asciiTheme="majorHAnsi" w:hAnsiTheme="majorHAnsi"/>
          <w:szCs w:val="28"/>
        </w:rPr>
        <w:t xml:space="preserve"> ribose). These chains are a signal for repair factors </w:t>
      </w:r>
      <w:r w:rsidR="0099143F">
        <w:rPr>
          <w:rFonts w:asciiTheme="majorHAnsi" w:hAnsiTheme="majorHAnsi"/>
          <w:szCs w:val="28"/>
        </w:rPr>
        <w:t>complexes including</w:t>
      </w:r>
      <w:r w:rsidR="001D570A">
        <w:rPr>
          <w:rFonts w:asciiTheme="majorHAnsi" w:hAnsiTheme="majorHAnsi"/>
          <w:szCs w:val="28"/>
        </w:rPr>
        <w:t xml:space="preserve"> ligase and polymerase to form at the break</w:t>
      </w:r>
      <w:r w:rsidR="00276C93">
        <w:rPr>
          <w:rFonts w:asciiTheme="majorHAnsi" w:hAnsiTheme="majorHAnsi"/>
          <w:szCs w:val="28"/>
        </w:rPr>
        <w:t xml:space="preserve"> </w:t>
      </w:r>
      <w:r w:rsidR="00276C93">
        <w:rPr>
          <w:rFonts w:asciiTheme="majorHAnsi" w:hAnsiTheme="majorHAnsi"/>
          <w:szCs w:val="28"/>
        </w:rPr>
        <w:fldChar w:fldCharType="begin"/>
      </w:r>
      <w:r w:rsidR="00276C93">
        <w:rPr>
          <w:rFonts w:asciiTheme="majorHAnsi" w:hAnsiTheme="majorHAnsi"/>
          <w:szCs w:val="28"/>
        </w:rPr>
        <w:instrText xml:space="preserve"> ADDIN EN.CITE &lt;EndNote&gt;&lt;Cite&gt;&lt;Author&gt;Bryant&lt;/Author&gt;&lt;Year&gt;2005&lt;/Year&gt;&lt;IDText&gt;Specific killing of BRCA2-deficient tumours with inhibitors of poly(ADP-ribose) polymerase&lt;/IDText&gt;&lt;DisplayText&gt;(Bryant et al., 2005)&lt;/DisplayText&gt;&lt;record&gt;&lt;dates&gt;&lt;pub-dates&gt;&lt;date&gt;Apr&lt;/date&gt;&lt;/pub-dates&gt;&lt;year&gt;2005&lt;/year&gt;&lt;/dates&gt;&lt;keywords&gt;&lt;keyword&gt;Animals&lt;/keyword&gt;&lt;keyword&gt;Antineoplastic Agents&lt;/keyword&gt;&lt;keyword&gt;Azulenes&lt;/keyword&gt;&lt;keyword&gt;BRCA2 Protein&lt;/keyword&gt;&lt;keyword&gt;Benzodiazepines&lt;/keyword&gt;&lt;keyword&gt;Cell Line, Tumor&lt;/keyword&gt;&lt;keyword&gt;DNA Damage&lt;/keyword&gt;&lt;keyword&gt;DNA Repair&lt;/keyword&gt;&lt;keyword&gt;DNA Replication&lt;/keyword&gt;&lt;keyword&gt;Genes, BRCA2&lt;/keyword&gt;&lt;keyword&gt;Mice&lt;/keyword&gt;&lt;keyword&gt;Mice, Nude&lt;/keyword&gt;&lt;keyword&gt;Neoplasms&lt;/keyword&gt;&lt;keyword&gt;Poly(ADP-ribose) Polymerase Inhibitors&lt;/keyword&gt;&lt;keyword&gt;Poly(ADP-ribose) Polymerases&lt;/keyword&gt;&lt;keyword&gt;Xenograft Model Antitumor Assays&lt;/keyword&gt;&lt;/keywords&gt;&lt;urls&gt;&lt;related-urls&gt;&lt;url&gt;https://www.ncbi.nlm.nih.gov/pubmed/15829966&lt;/url&gt;&lt;/related-urls&gt;&lt;/urls&gt;&lt;isbn&gt;1476-4687&lt;/isbn&gt;&lt;titles&gt;&lt;title&gt;Specific killing of BRCA2-deficient tumours with inhibitors of poly(ADP-ribose) polymerase&lt;/title&gt;&lt;secondary-title&gt;Nature&lt;/secondary-title&gt;&lt;/titles&gt;&lt;pages&gt;913-7&lt;/pages&gt;&lt;number&gt;7035&lt;/number&gt;&lt;contributors&gt;&lt;authors&gt;&lt;author&gt;Bryant, H. E.&lt;/author&gt;&lt;author&gt;Schultz, N.&lt;/author&gt;&lt;author&gt;Thomas, H. D.&lt;/author&gt;&lt;author&gt;Parker, K. M.&lt;/author&gt;&lt;author&gt;Flower, D.&lt;/author&gt;&lt;author&gt;Lopez, E.&lt;/author&gt;&lt;author&gt;Kyle, S.&lt;/author&gt;&lt;author&gt;Meuth, M.&lt;/author&gt;&lt;author&gt;Curtin, N. J.&lt;/author&gt;&lt;author&gt;Helleday, T.&lt;/author&gt;&lt;/authors&gt;&lt;/contributors&gt;&lt;language&gt;eng&lt;/language&gt;&lt;added-date format="utc"&gt;1523976084&lt;/added-date&gt;&lt;ref-type name="Journal Article"&gt;17&lt;/ref-type&gt;&lt;rec-number&gt;410&lt;/rec-number&gt;&lt;last-updated-date format="utc"&gt;1523976084&lt;/last-updated-date&gt;&lt;accession-num&gt;15829966&lt;/accession-num&gt;&lt;electronic-resource-num&gt;10.1038/nature03443&lt;/electronic-resource-num&gt;&lt;volume&gt;434&lt;/volume&gt;&lt;/record&gt;&lt;/Cite&gt;&lt;/EndNote&gt;</w:instrText>
      </w:r>
      <w:r w:rsidR="00276C93">
        <w:rPr>
          <w:rFonts w:asciiTheme="majorHAnsi" w:hAnsiTheme="majorHAnsi"/>
          <w:szCs w:val="28"/>
        </w:rPr>
        <w:fldChar w:fldCharType="separate"/>
      </w:r>
      <w:r w:rsidR="00276C93">
        <w:rPr>
          <w:rFonts w:asciiTheme="majorHAnsi" w:hAnsiTheme="majorHAnsi"/>
          <w:noProof/>
          <w:szCs w:val="28"/>
        </w:rPr>
        <w:t>(Bryant et al., 2005)</w:t>
      </w:r>
      <w:r w:rsidR="00276C93">
        <w:rPr>
          <w:rFonts w:asciiTheme="majorHAnsi" w:hAnsiTheme="majorHAnsi"/>
          <w:szCs w:val="28"/>
        </w:rPr>
        <w:fldChar w:fldCharType="end"/>
      </w:r>
      <w:r w:rsidR="001D570A">
        <w:rPr>
          <w:rFonts w:asciiTheme="majorHAnsi" w:hAnsiTheme="majorHAnsi"/>
          <w:szCs w:val="28"/>
        </w:rPr>
        <w:t xml:space="preserve"> </w:t>
      </w:r>
    </w:p>
    <w:p w14:paraId="59F4E6AD" w14:textId="77777777" w:rsidR="00914635" w:rsidRDefault="00914635" w:rsidP="00914635">
      <w:pPr>
        <w:spacing w:line="360" w:lineRule="auto"/>
        <w:jc w:val="both"/>
        <w:rPr>
          <w:rFonts w:asciiTheme="majorHAnsi" w:hAnsiTheme="majorHAnsi"/>
          <w:szCs w:val="28"/>
        </w:rPr>
      </w:pPr>
    </w:p>
    <w:p w14:paraId="46FC0477" w14:textId="17F7C080" w:rsidR="00914635" w:rsidRDefault="00914635" w:rsidP="00914635">
      <w:pPr>
        <w:spacing w:line="360" w:lineRule="auto"/>
        <w:jc w:val="both"/>
        <w:rPr>
          <w:rFonts w:asciiTheme="majorHAnsi" w:hAnsiTheme="majorHAnsi"/>
          <w:szCs w:val="28"/>
        </w:rPr>
      </w:pPr>
      <w:r>
        <w:rPr>
          <w:rFonts w:asciiTheme="majorHAnsi" w:hAnsiTheme="majorHAnsi"/>
          <w:szCs w:val="28"/>
        </w:rPr>
        <w:t xml:space="preserve">Nucleotide excision repair (NER) is activated when there </w:t>
      </w:r>
      <w:r w:rsidR="00790DD1">
        <w:rPr>
          <w:rFonts w:asciiTheme="majorHAnsi" w:hAnsiTheme="majorHAnsi"/>
          <w:szCs w:val="28"/>
        </w:rPr>
        <w:t>is</w:t>
      </w:r>
      <w:r>
        <w:rPr>
          <w:rFonts w:asciiTheme="majorHAnsi" w:hAnsiTheme="majorHAnsi"/>
          <w:szCs w:val="28"/>
        </w:rPr>
        <w:t xml:space="preserve"> larger helical-destabilising damage</w:t>
      </w:r>
      <w:r w:rsidR="00F46D74">
        <w:rPr>
          <w:rFonts w:asciiTheme="majorHAnsi" w:hAnsiTheme="majorHAnsi"/>
          <w:szCs w:val="28"/>
        </w:rPr>
        <w:t>, such as crosslinking or bulky adducts caused by UV</w:t>
      </w:r>
      <w:r w:rsidR="00E74EAC">
        <w:rPr>
          <w:rFonts w:asciiTheme="majorHAnsi" w:hAnsiTheme="majorHAnsi"/>
          <w:szCs w:val="28"/>
        </w:rPr>
        <w:t xml:space="preserve">. </w:t>
      </w:r>
      <w:r w:rsidR="00790DD1">
        <w:rPr>
          <w:rFonts w:asciiTheme="majorHAnsi" w:hAnsiTheme="majorHAnsi"/>
          <w:szCs w:val="28"/>
        </w:rPr>
        <w:t xml:space="preserve">Firstly helicase TFIIH unwinds the DNA for approximately 30 nucleotides and this is stabilised by RPA and XPA. Then XPG and ERCC1-XPF endonucleases cut out the damaged area of bases, leaving a single strand gap. This is filled with nucleotides </w:t>
      </w:r>
      <w:r w:rsidR="0099143F">
        <w:rPr>
          <w:rFonts w:asciiTheme="majorHAnsi" w:hAnsiTheme="majorHAnsi"/>
          <w:szCs w:val="28"/>
        </w:rPr>
        <w:t xml:space="preserve">pairing </w:t>
      </w:r>
      <w:r w:rsidR="00790DD1">
        <w:rPr>
          <w:rFonts w:asciiTheme="majorHAnsi" w:hAnsiTheme="majorHAnsi"/>
          <w:szCs w:val="28"/>
        </w:rPr>
        <w:t>to the template strand by DNA polymerase</w:t>
      </w:r>
      <w:r w:rsidR="0099143F">
        <w:rPr>
          <w:rFonts w:asciiTheme="majorHAnsi" w:hAnsiTheme="majorHAnsi"/>
          <w:szCs w:val="28"/>
        </w:rPr>
        <w:t>,</w:t>
      </w:r>
      <w:r w:rsidR="00790DD1">
        <w:rPr>
          <w:rFonts w:asciiTheme="majorHAnsi" w:hAnsiTheme="majorHAnsi"/>
          <w:szCs w:val="28"/>
        </w:rPr>
        <w:t xml:space="preserve"> and ligated by ligase I or III. </w:t>
      </w:r>
      <w:r w:rsidR="00F46D74">
        <w:rPr>
          <w:rFonts w:asciiTheme="majorHAnsi" w:hAnsiTheme="majorHAnsi"/>
          <w:szCs w:val="28"/>
        </w:rPr>
        <w:t xml:space="preserve">RPA </w:t>
      </w:r>
      <w:r w:rsidR="00E74EAC">
        <w:rPr>
          <w:rFonts w:asciiTheme="majorHAnsi" w:hAnsiTheme="majorHAnsi"/>
          <w:szCs w:val="28"/>
        </w:rPr>
        <w:t xml:space="preserve">in this system </w:t>
      </w:r>
      <w:r w:rsidR="00F46D74">
        <w:rPr>
          <w:rFonts w:asciiTheme="majorHAnsi" w:hAnsiTheme="majorHAnsi"/>
          <w:szCs w:val="28"/>
        </w:rPr>
        <w:t>also acts to activate ATM and rad3-related (ATR) kinase, as this creates a phosphorylation cascade to arrest the cell cycle and prevent damage from being propagated until the repair has been finished</w:t>
      </w:r>
      <w:r w:rsidR="00EC54E0">
        <w:rPr>
          <w:rFonts w:asciiTheme="majorHAnsi" w:hAnsiTheme="majorHAnsi"/>
          <w:szCs w:val="28"/>
        </w:rPr>
        <w:t xml:space="preserve"> </w:t>
      </w:r>
      <w:r w:rsidR="00EC54E0">
        <w:rPr>
          <w:rFonts w:asciiTheme="majorHAnsi" w:hAnsiTheme="majorHAnsi"/>
          <w:szCs w:val="28"/>
        </w:rPr>
        <w:fldChar w:fldCharType="begin"/>
      </w:r>
      <w:r w:rsidR="00EC54E0">
        <w:rPr>
          <w:rFonts w:asciiTheme="majorHAnsi" w:hAnsiTheme="majorHAnsi"/>
          <w:szCs w:val="28"/>
        </w:rPr>
        <w:instrText xml:space="preserve"> ADDIN EN.CITE &lt;EndNote&gt;&lt;Cite&gt;&lt;Author&gt;Shuck&lt;/Author&gt;&lt;Year&gt;2008&lt;/Year&gt;&lt;IDText&gt;Eukaryotic nucleotide excision repair: from understanding mechanisms to influencing biology&lt;/IDText&gt;&lt;DisplayText&gt;(Shuck et al., 2008)&lt;/DisplayText&gt;&lt;record&gt;&lt;dates&gt;&lt;pub-dates&gt;&lt;date&gt;Jan&lt;/date&gt;&lt;/pub-dates&gt;&lt;year&gt;2008&lt;/year&gt;&lt;/dates&gt;&lt;keywords&gt;&lt;keyword&gt;Animals&lt;/keyword&gt;&lt;keyword&gt;DNA Damage&lt;/keyword&gt;&lt;keyword&gt;DNA Repair&lt;/keyword&gt;&lt;keyword&gt;DNA Repair Enzymes&lt;/keyword&gt;&lt;keyword&gt;Drug Resistance, Neoplasm&lt;/keyword&gt;&lt;keyword&gt;Eukaryotic Cells&lt;/keyword&gt;&lt;keyword&gt;Genetic Predisposition to Disease&lt;/keyword&gt;&lt;keyword&gt;Humans&lt;/keyword&gt;&lt;keyword&gt;Models, Biological&lt;/keyword&gt;&lt;keyword&gt;Neoplasms&lt;/keyword&gt;&lt;keyword&gt;Nucleic Acid Conformation&lt;/keyword&gt;&lt;keyword&gt;Polymorphism, Genetic&lt;/keyword&gt;&lt;keyword&gt;Protein Binding&lt;/keyword&gt;&lt;keyword&gt;Protein Processing, Post-Translational&lt;/keyword&gt;&lt;keyword&gt;Xeroderma Pigmentosum&lt;/keyword&gt;&lt;/keywords&gt;&lt;urls&gt;&lt;related-urls&gt;&lt;url&gt;https://www.ncbi.nlm.nih.gov/pubmed/18166981&lt;/url&gt;&lt;/related-urls&gt;&lt;/urls&gt;&lt;isbn&gt;1748-7838&lt;/isbn&gt;&lt;custom2&gt;PMC2432112&lt;/custom2&gt;&lt;titles&gt;&lt;title&gt;Eukaryotic nucleotide excision repair: from understanding mechanisms to influencing biology&lt;/title&gt;&lt;secondary-title&gt;Cell Res&lt;/secondary-title&gt;&lt;/titles&gt;&lt;pages&gt;64-72&lt;/pages&gt;&lt;number&gt;1&lt;/number&gt;&lt;contributors&gt;&lt;authors&gt;&lt;author&gt;Shuck, S. C.&lt;/author&gt;&lt;author&gt;Short, E. A.&lt;/author&gt;&lt;author&gt;Turchi, J. J.&lt;/author&gt;&lt;/authors&gt;&lt;/contributors&gt;&lt;language&gt;eng&lt;/language&gt;&lt;added-date format="utc"&gt;1524035297&lt;/added-date&gt;&lt;ref-type name="Journal Article"&gt;17&lt;/ref-type&gt;&lt;rec-number&gt;413&lt;/rec-number&gt;&lt;last-updated-date format="utc"&gt;1524035297&lt;/last-updated-date&gt;&lt;accession-num&gt;18166981&lt;/accession-num&gt;&lt;electronic-resource-num&gt;10.1038/cr.2008.2&lt;/electronic-resource-num&gt;&lt;volume&gt;18&lt;/volume&gt;&lt;/record&gt;&lt;/Cite&gt;&lt;/EndNote&gt;</w:instrText>
      </w:r>
      <w:r w:rsidR="00EC54E0">
        <w:rPr>
          <w:rFonts w:asciiTheme="majorHAnsi" w:hAnsiTheme="majorHAnsi"/>
          <w:szCs w:val="28"/>
        </w:rPr>
        <w:fldChar w:fldCharType="separate"/>
      </w:r>
      <w:r w:rsidR="00EC54E0">
        <w:rPr>
          <w:rFonts w:asciiTheme="majorHAnsi" w:hAnsiTheme="majorHAnsi"/>
          <w:noProof/>
          <w:szCs w:val="28"/>
        </w:rPr>
        <w:t>(Shuck et al., 2008)</w:t>
      </w:r>
      <w:r w:rsidR="00EC54E0">
        <w:rPr>
          <w:rFonts w:asciiTheme="majorHAnsi" w:hAnsiTheme="majorHAnsi"/>
          <w:szCs w:val="28"/>
        </w:rPr>
        <w:fldChar w:fldCharType="end"/>
      </w:r>
      <w:r w:rsidR="00F46D74">
        <w:rPr>
          <w:rFonts w:asciiTheme="majorHAnsi" w:hAnsiTheme="majorHAnsi"/>
          <w:szCs w:val="28"/>
        </w:rPr>
        <w:t xml:space="preserve">. </w:t>
      </w:r>
    </w:p>
    <w:p w14:paraId="6FAB2F82" w14:textId="77777777" w:rsidR="00383CBF" w:rsidRDefault="00383CBF" w:rsidP="00914635">
      <w:pPr>
        <w:spacing w:line="360" w:lineRule="auto"/>
        <w:jc w:val="both"/>
        <w:rPr>
          <w:rFonts w:asciiTheme="majorHAnsi" w:hAnsiTheme="majorHAnsi"/>
          <w:szCs w:val="28"/>
        </w:rPr>
      </w:pPr>
    </w:p>
    <w:p w14:paraId="154A81EB" w14:textId="1AB9DCEB" w:rsidR="00383CBF" w:rsidRPr="00914635" w:rsidRDefault="00383CBF" w:rsidP="00914635">
      <w:pPr>
        <w:spacing w:line="360" w:lineRule="auto"/>
        <w:jc w:val="both"/>
        <w:rPr>
          <w:rFonts w:asciiTheme="majorHAnsi" w:hAnsiTheme="majorHAnsi"/>
          <w:szCs w:val="28"/>
        </w:rPr>
      </w:pPr>
      <w:r>
        <w:rPr>
          <w:rFonts w:asciiTheme="majorHAnsi" w:hAnsiTheme="majorHAnsi"/>
          <w:szCs w:val="28"/>
        </w:rPr>
        <w:t>In addition to BER and NER to repair single strand DNA aberrations there is also the mismatch repair (MMR) response</w:t>
      </w:r>
      <w:r w:rsidR="00117B26">
        <w:rPr>
          <w:rFonts w:asciiTheme="majorHAnsi" w:hAnsiTheme="majorHAnsi"/>
          <w:szCs w:val="28"/>
        </w:rPr>
        <w:t xml:space="preserve">, which </w:t>
      </w:r>
      <w:r w:rsidR="00F46D74">
        <w:rPr>
          <w:rFonts w:asciiTheme="majorHAnsi" w:hAnsiTheme="majorHAnsi"/>
          <w:szCs w:val="28"/>
        </w:rPr>
        <w:t>is involved in correcting base-base mismatches or insertion deletion loops</w:t>
      </w:r>
      <w:r w:rsidR="00EC54E0">
        <w:rPr>
          <w:rFonts w:asciiTheme="majorHAnsi" w:hAnsiTheme="majorHAnsi"/>
          <w:szCs w:val="28"/>
        </w:rPr>
        <w:t xml:space="preserve"> </w:t>
      </w:r>
      <w:r w:rsidR="00EC54E0">
        <w:rPr>
          <w:rFonts w:asciiTheme="majorHAnsi" w:hAnsiTheme="majorHAnsi"/>
          <w:szCs w:val="28"/>
        </w:rPr>
        <w:fldChar w:fldCharType="begin"/>
      </w:r>
      <w:r w:rsidR="00EC54E0">
        <w:rPr>
          <w:rFonts w:asciiTheme="majorHAnsi" w:hAnsiTheme="majorHAnsi"/>
          <w:szCs w:val="28"/>
        </w:rPr>
        <w:instrText xml:space="preserve"> ADDIN EN.CITE &lt;EndNote&gt;&lt;Cite&gt;&lt;Author&gt;Kelley&lt;/Author&gt;&lt;Year&gt;2014&lt;/Year&gt;&lt;IDText&gt;Targeting DNA repair pathways for cancer treatment: what&amp;apos;s new?&lt;/IDText&gt;&lt;DisplayText&gt;(Kelley et al., 2014)&lt;/DisplayText&gt;&lt;record&gt;&lt;dates&gt;&lt;pub-dates&gt;&lt;date&gt;May&lt;/date&gt;&lt;/pub-dates&gt;&lt;year&gt;2014&lt;/year&gt;&lt;/dates&gt;&lt;keywords&gt;&lt;keyword&gt;Animals&lt;/keyword&gt;&lt;keyword&gt;Antineoplastic Agents&lt;/keyword&gt;&lt;keyword&gt;DNA Repair&lt;/keyword&gt;&lt;keyword&gt;Humans&lt;/keyword&gt;&lt;keyword&gt;Neoplasms&lt;/keyword&gt;&lt;keyword&gt;Signal Transduction&lt;/keyword&gt;&lt;keyword&gt;DNA repair inhibition&lt;/keyword&gt;&lt;keyword&gt;DNA repair pathways&lt;/keyword&gt;&lt;keyword&gt;DNA repair targets&lt;/keyword&gt;&lt;keyword&gt;clinical trials&lt;/keyword&gt;&lt;keyword&gt;small-molecule inhibitors&lt;/keyword&gt;&lt;/keywords&gt;&lt;urls&gt;&lt;related-urls&gt;&lt;url&gt;https://www.ncbi.nlm.nih.gov/pubmed/24947262&lt;/url&gt;&lt;/related-urls&gt;&lt;/urls&gt;&lt;isbn&gt;1744-8301&lt;/isbn&gt;&lt;custom2&gt;PMC4125008&lt;/custom2&gt;&lt;titles&gt;&lt;title&gt;Targeting DNA repair pathways for cancer treatment: what&amp;apos;s new?&lt;/title&gt;&lt;secondary-title&gt;Future Oncol&lt;/secondary-title&gt;&lt;/titles&gt;&lt;pages&gt;1215-37&lt;/pages&gt;&lt;number&gt;7&lt;/number&gt;&lt;contributors&gt;&lt;authors&gt;&lt;author&gt;Kelley, M. R.&lt;/author&gt;&lt;author&gt;Logsdon, D.&lt;/author&gt;&lt;author&gt;Fishel, M. L.&lt;/author&gt;&lt;/authors&gt;&lt;/contributors&gt;&lt;language&gt;eng&lt;/language&gt;&lt;added-date format="utc"&gt;1524035223&lt;/added-date&gt;&lt;ref-type name="Journal Article"&gt;17&lt;/ref-type&gt;&lt;rec-number&gt;412&lt;/rec-number&gt;&lt;last-updated-date format="utc"&gt;1524035223&lt;/last-updated-date&gt;&lt;accession-num&gt;24947262&lt;/accession-num&gt;&lt;electronic-resource-num&gt;10.2217/fon.14.60&lt;/electronic-resource-num&gt;&lt;volume&gt;10&lt;/volume&gt;&lt;/record&gt;&lt;/Cite&gt;&lt;/EndNote&gt;</w:instrText>
      </w:r>
      <w:r w:rsidR="00EC54E0">
        <w:rPr>
          <w:rFonts w:asciiTheme="majorHAnsi" w:hAnsiTheme="majorHAnsi"/>
          <w:szCs w:val="28"/>
        </w:rPr>
        <w:fldChar w:fldCharType="separate"/>
      </w:r>
      <w:r w:rsidR="00EC54E0">
        <w:rPr>
          <w:rFonts w:asciiTheme="majorHAnsi" w:hAnsiTheme="majorHAnsi"/>
          <w:noProof/>
          <w:szCs w:val="28"/>
        </w:rPr>
        <w:t>(Kelley et al., 2014)</w:t>
      </w:r>
      <w:r w:rsidR="00EC54E0">
        <w:rPr>
          <w:rFonts w:asciiTheme="majorHAnsi" w:hAnsiTheme="majorHAnsi"/>
          <w:szCs w:val="28"/>
        </w:rPr>
        <w:fldChar w:fldCharType="end"/>
      </w:r>
      <w:r>
        <w:rPr>
          <w:rFonts w:asciiTheme="majorHAnsi" w:hAnsiTheme="majorHAnsi"/>
          <w:szCs w:val="28"/>
        </w:rPr>
        <w:t xml:space="preserve">, this will be later discussed within its role in colorectal cancer in section 1.3.III and figure 1.3. </w:t>
      </w:r>
    </w:p>
    <w:p w14:paraId="3943C82C" w14:textId="77777777" w:rsidR="00EB3408" w:rsidRPr="00EB3408" w:rsidRDefault="00EB3408" w:rsidP="0052760F">
      <w:pPr>
        <w:spacing w:line="360" w:lineRule="auto"/>
        <w:rPr>
          <w:rFonts w:asciiTheme="majorHAnsi" w:hAnsiTheme="majorHAnsi"/>
          <w:b/>
          <w:i/>
          <w:szCs w:val="28"/>
        </w:rPr>
      </w:pPr>
    </w:p>
    <w:p w14:paraId="71274944" w14:textId="6212C5F2" w:rsidR="0052760F" w:rsidRPr="00E82D3B" w:rsidRDefault="002410C8" w:rsidP="0052760F">
      <w:pPr>
        <w:pStyle w:val="ListParagraph"/>
        <w:numPr>
          <w:ilvl w:val="0"/>
          <w:numId w:val="48"/>
        </w:numPr>
        <w:spacing w:line="360" w:lineRule="auto"/>
        <w:rPr>
          <w:rFonts w:asciiTheme="majorHAnsi" w:hAnsiTheme="majorHAnsi"/>
          <w:b/>
          <w:i/>
          <w:sz w:val="28"/>
          <w:szCs w:val="28"/>
        </w:rPr>
      </w:pPr>
      <w:r w:rsidRPr="00E82D3B">
        <w:rPr>
          <w:rFonts w:asciiTheme="majorHAnsi" w:hAnsiTheme="majorHAnsi"/>
          <w:b/>
          <w:i/>
          <w:szCs w:val="28"/>
        </w:rPr>
        <w:t xml:space="preserve">Non-homologous end joining and homologous </w:t>
      </w:r>
      <w:r w:rsidR="00EC54E0" w:rsidRPr="00E82D3B">
        <w:rPr>
          <w:rFonts w:asciiTheme="majorHAnsi" w:hAnsiTheme="majorHAnsi"/>
          <w:b/>
          <w:i/>
          <w:szCs w:val="28"/>
        </w:rPr>
        <w:t>recombination</w:t>
      </w:r>
    </w:p>
    <w:p w14:paraId="3210FDBD" w14:textId="722B594B" w:rsidR="00E209DB" w:rsidRDefault="0052760F" w:rsidP="0052760F">
      <w:pPr>
        <w:spacing w:line="360" w:lineRule="auto"/>
        <w:jc w:val="both"/>
        <w:rPr>
          <w:rFonts w:asciiTheme="majorHAnsi" w:hAnsiTheme="majorHAnsi"/>
          <w:szCs w:val="28"/>
        </w:rPr>
      </w:pPr>
      <w:r>
        <w:rPr>
          <w:rFonts w:asciiTheme="majorHAnsi" w:hAnsiTheme="majorHAnsi"/>
          <w:szCs w:val="28"/>
        </w:rPr>
        <w:t>The most cytotoxic lesion</w:t>
      </w:r>
      <w:r w:rsidR="00F632C0">
        <w:rPr>
          <w:rFonts w:asciiTheme="majorHAnsi" w:hAnsiTheme="majorHAnsi"/>
          <w:szCs w:val="28"/>
        </w:rPr>
        <w:t>s</w:t>
      </w:r>
      <w:r>
        <w:rPr>
          <w:rFonts w:asciiTheme="majorHAnsi" w:hAnsiTheme="majorHAnsi"/>
          <w:szCs w:val="28"/>
        </w:rPr>
        <w:t xml:space="preserve"> are double strand breaks</w:t>
      </w:r>
      <w:r w:rsidR="00E209DB">
        <w:rPr>
          <w:rFonts w:asciiTheme="majorHAnsi" w:hAnsiTheme="majorHAnsi"/>
          <w:szCs w:val="28"/>
        </w:rPr>
        <w:t xml:space="preserve"> (DSBs</w:t>
      </w:r>
      <w:r w:rsidR="00E82D3B">
        <w:rPr>
          <w:rFonts w:asciiTheme="majorHAnsi" w:hAnsiTheme="majorHAnsi"/>
          <w:szCs w:val="28"/>
        </w:rPr>
        <w:t>),</w:t>
      </w:r>
      <w:r w:rsidR="00AC7232">
        <w:rPr>
          <w:rFonts w:asciiTheme="majorHAnsi" w:hAnsiTheme="majorHAnsi"/>
          <w:szCs w:val="28"/>
        </w:rPr>
        <w:t xml:space="preserve"> as they cannot rely on the other strand to be a repair template</w:t>
      </w:r>
      <w:r w:rsidR="0099143F">
        <w:rPr>
          <w:rFonts w:asciiTheme="majorHAnsi" w:hAnsiTheme="majorHAnsi"/>
          <w:szCs w:val="28"/>
        </w:rPr>
        <w:t>;</w:t>
      </w:r>
      <w:r>
        <w:rPr>
          <w:rFonts w:asciiTheme="majorHAnsi" w:hAnsiTheme="majorHAnsi"/>
          <w:szCs w:val="28"/>
        </w:rPr>
        <w:t xml:space="preserve"> these can occur naturally during </w:t>
      </w:r>
      <w:r w:rsidR="00E209DB">
        <w:rPr>
          <w:rFonts w:asciiTheme="majorHAnsi" w:hAnsiTheme="majorHAnsi"/>
          <w:szCs w:val="28"/>
        </w:rPr>
        <w:t>DNA replication</w:t>
      </w:r>
      <w:r w:rsidR="00E74EAC">
        <w:rPr>
          <w:rFonts w:asciiTheme="majorHAnsi" w:hAnsiTheme="majorHAnsi"/>
          <w:szCs w:val="28"/>
        </w:rPr>
        <w:t xml:space="preserve"> and replication fork collapse or</w:t>
      </w:r>
      <w:r w:rsidR="00E209DB">
        <w:rPr>
          <w:rFonts w:asciiTheme="majorHAnsi" w:hAnsiTheme="majorHAnsi"/>
          <w:szCs w:val="28"/>
        </w:rPr>
        <w:t xml:space="preserve"> through </w:t>
      </w:r>
      <w:r w:rsidR="00F632C0">
        <w:rPr>
          <w:rFonts w:asciiTheme="majorHAnsi" w:hAnsiTheme="majorHAnsi"/>
          <w:szCs w:val="28"/>
        </w:rPr>
        <w:t>cyto</w:t>
      </w:r>
      <w:r w:rsidR="00E209DB">
        <w:rPr>
          <w:rFonts w:asciiTheme="majorHAnsi" w:hAnsiTheme="majorHAnsi"/>
          <w:szCs w:val="28"/>
        </w:rPr>
        <w:t xml:space="preserve">toxic DNA damaging agents. There are two pathways that repair DSBs- non-homologous end joining </w:t>
      </w:r>
      <w:r w:rsidR="00352872">
        <w:rPr>
          <w:rFonts w:asciiTheme="majorHAnsi" w:hAnsiTheme="majorHAnsi"/>
          <w:szCs w:val="28"/>
        </w:rPr>
        <w:t xml:space="preserve">(NHEJ) </w:t>
      </w:r>
      <w:r w:rsidR="00E209DB">
        <w:rPr>
          <w:rFonts w:asciiTheme="majorHAnsi" w:hAnsiTheme="majorHAnsi"/>
          <w:szCs w:val="28"/>
        </w:rPr>
        <w:t>and homologous recombination</w:t>
      </w:r>
      <w:r w:rsidR="00352872">
        <w:rPr>
          <w:rFonts w:asciiTheme="majorHAnsi" w:hAnsiTheme="majorHAnsi"/>
          <w:szCs w:val="28"/>
        </w:rPr>
        <w:t xml:space="preserve"> (HR</w:t>
      </w:r>
      <w:r w:rsidR="003E73B7">
        <w:rPr>
          <w:rFonts w:asciiTheme="majorHAnsi" w:hAnsiTheme="majorHAnsi"/>
          <w:szCs w:val="28"/>
        </w:rPr>
        <w:t xml:space="preserve">) </w:t>
      </w:r>
      <w:r w:rsidR="003E73B7">
        <w:rPr>
          <w:rFonts w:asciiTheme="majorHAnsi" w:hAnsiTheme="majorHAnsi"/>
          <w:szCs w:val="28"/>
        </w:rPr>
        <w:fldChar w:fldCharType="begin"/>
      </w:r>
      <w:r w:rsidR="003E73B7">
        <w:rPr>
          <w:rFonts w:asciiTheme="majorHAnsi" w:hAnsiTheme="majorHAnsi"/>
          <w:szCs w:val="28"/>
        </w:rPr>
        <w:instrText xml:space="preserve"> ADDIN EN.CITE &lt;EndNote&gt;&lt;Cite&gt;&lt;Author&gt;Kass&lt;/Author&gt;&lt;Year&gt;2010&lt;/Year&gt;&lt;IDText&gt;Collaboration and competition between DNA double-strand break repair pathways&lt;/IDText&gt;&lt;DisplayText&gt;(Kass and Jasin, 2010)&lt;/DisplayText&gt;&lt;record&gt;&lt;dates&gt;&lt;pub-dates&gt;&lt;date&gt;Sep&lt;/date&gt;&lt;/pub-dates&gt;&lt;year&gt;2010&lt;/year&gt;&lt;/dates&gt;&lt;keywords&gt;&lt;keyword&gt;Animals&lt;/keyword&gt;&lt;keyword&gt;Base Sequence&lt;/keyword&gt;&lt;keyword&gt;Brain&lt;/keyword&gt;&lt;keyword&gt;Cell Cycle&lt;/keyword&gt;&lt;keyword&gt;Conserved Sequence&lt;/keyword&gt;&lt;keyword&gt;DNA Breaks, Double-Stranded&lt;/keyword&gt;&lt;keyword&gt;DNA Damage&lt;/keyword&gt;&lt;keyword&gt;DNA Repair&lt;/keyword&gt;&lt;keyword&gt;DNA Replication&lt;/keyword&gt;&lt;keyword&gt;Fanconi Anemia&lt;/keyword&gt;&lt;keyword&gt;Genes, BRCA1&lt;/keyword&gt;&lt;keyword&gt;Genes, BRCA2&lt;/keyword&gt;&lt;keyword&gt;Homeostasis&lt;/keyword&gt;&lt;keyword&gt;Humans&lt;/keyword&gt;&lt;keyword&gt;Mutation&lt;/keyword&gt;&lt;keyword&gt;Recombination, Genetic&lt;/keyword&gt;&lt;keyword&gt;Saccharomyces cerevisiae&lt;/keyword&gt;&lt;/keywords&gt;&lt;urls&gt;&lt;related-urls&gt;&lt;url&gt;https://www.ncbi.nlm.nih.gov/pubmed/20691183&lt;/url&gt;&lt;/related-urls&gt;&lt;/urls&gt;&lt;isbn&gt;1873-3468&lt;/isbn&gt;&lt;custom2&gt;PMC3954739&lt;/custom2&gt;&lt;titles&gt;&lt;title&gt;Collaboration and competition between DNA double-strand break repair pathways&lt;/title&gt;&lt;secondary-title&gt;FEBS Lett&lt;/secondary-title&gt;&lt;/titles&gt;&lt;pages&gt;3703-8&lt;/pages&gt;&lt;number&gt;17&lt;/number&gt;&lt;contributors&gt;&lt;authors&gt;&lt;author&gt;Kass, E. M.&lt;/author&gt;&lt;author&gt;Jasin, M.&lt;/author&gt;&lt;/authors&gt;&lt;/contributors&gt;&lt;edition&gt;2010/08/05&lt;/edition&gt;&lt;language&gt;eng&lt;/language&gt;&lt;added-date format="utc"&gt;1524035850&lt;/added-date&gt;&lt;ref-type name="Journal Article"&gt;17&lt;/ref-type&gt;&lt;rec-number&gt;416&lt;/rec-number&gt;&lt;last-updated-date format="utc"&gt;1524035850&lt;/last-updated-date&gt;&lt;accession-num&gt;20691183&lt;/accession-num&gt;&lt;electronic-resource-num&gt;10.1016/j.febslet.2010.07.057&lt;/electronic-resource-num&gt;&lt;volume&gt;584&lt;/volume&gt;&lt;/record&gt;&lt;/Cite&gt;&lt;/EndNote&gt;</w:instrText>
      </w:r>
      <w:r w:rsidR="003E73B7">
        <w:rPr>
          <w:rFonts w:asciiTheme="majorHAnsi" w:hAnsiTheme="majorHAnsi"/>
          <w:szCs w:val="28"/>
        </w:rPr>
        <w:fldChar w:fldCharType="separate"/>
      </w:r>
      <w:r w:rsidR="003E73B7">
        <w:rPr>
          <w:rFonts w:asciiTheme="majorHAnsi" w:hAnsiTheme="majorHAnsi"/>
          <w:noProof/>
          <w:szCs w:val="28"/>
        </w:rPr>
        <w:t>(Kass and Jasin, 2010)</w:t>
      </w:r>
      <w:r w:rsidR="003E73B7">
        <w:rPr>
          <w:rFonts w:asciiTheme="majorHAnsi" w:hAnsiTheme="majorHAnsi"/>
          <w:szCs w:val="28"/>
        </w:rPr>
        <w:fldChar w:fldCharType="end"/>
      </w:r>
      <w:r w:rsidR="00E209DB">
        <w:rPr>
          <w:rFonts w:asciiTheme="majorHAnsi" w:hAnsiTheme="majorHAnsi"/>
          <w:szCs w:val="28"/>
        </w:rPr>
        <w:t xml:space="preserve">. </w:t>
      </w:r>
    </w:p>
    <w:p w14:paraId="2EE58D67" w14:textId="77777777" w:rsidR="00E209DB" w:rsidRDefault="00E209DB" w:rsidP="0052760F">
      <w:pPr>
        <w:spacing w:line="360" w:lineRule="auto"/>
        <w:jc w:val="both"/>
        <w:rPr>
          <w:rFonts w:asciiTheme="majorHAnsi" w:hAnsiTheme="majorHAnsi"/>
          <w:szCs w:val="28"/>
        </w:rPr>
      </w:pPr>
    </w:p>
    <w:p w14:paraId="536FD14B" w14:textId="205A3698" w:rsidR="003F73C9" w:rsidRDefault="00352872" w:rsidP="0052760F">
      <w:pPr>
        <w:spacing w:line="360" w:lineRule="auto"/>
        <w:jc w:val="both"/>
        <w:rPr>
          <w:rFonts w:asciiTheme="majorHAnsi" w:hAnsiTheme="majorHAnsi"/>
          <w:szCs w:val="28"/>
        </w:rPr>
      </w:pPr>
      <w:r>
        <w:rPr>
          <w:rFonts w:asciiTheme="majorHAnsi" w:hAnsiTheme="majorHAnsi"/>
          <w:szCs w:val="28"/>
        </w:rPr>
        <w:t xml:space="preserve">NHEJ </w:t>
      </w:r>
      <w:r w:rsidR="00E209DB">
        <w:rPr>
          <w:rFonts w:asciiTheme="majorHAnsi" w:hAnsiTheme="majorHAnsi"/>
          <w:szCs w:val="28"/>
        </w:rPr>
        <w:t xml:space="preserve">is not cell cycle specific and so can join two DNA ends at any point within the cell </w:t>
      </w:r>
      <w:r>
        <w:rPr>
          <w:rFonts w:asciiTheme="majorHAnsi" w:hAnsiTheme="majorHAnsi"/>
          <w:szCs w:val="28"/>
        </w:rPr>
        <w:t>cycle</w:t>
      </w:r>
      <w:r w:rsidR="00AC7232">
        <w:rPr>
          <w:rFonts w:asciiTheme="majorHAnsi" w:hAnsiTheme="majorHAnsi"/>
          <w:szCs w:val="28"/>
        </w:rPr>
        <w:t>, usually without much end processing</w:t>
      </w:r>
      <w:r>
        <w:rPr>
          <w:rFonts w:asciiTheme="majorHAnsi" w:hAnsiTheme="majorHAnsi"/>
          <w:szCs w:val="28"/>
        </w:rPr>
        <w:t>. Firstly Ku70/80 interact</w:t>
      </w:r>
      <w:r w:rsidR="00AC7232">
        <w:rPr>
          <w:rFonts w:asciiTheme="majorHAnsi" w:hAnsiTheme="majorHAnsi"/>
          <w:szCs w:val="28"/>
        </w:rPr>
        <w:t>s with DNA-PK</w:t>
      </w:r>
      <w:r>
        <w:rPr>
          <w:rFonts w:asciiTheme="majorHAnsi" w:hAnsiTheme="majorHAnsi"/>
          <w:szCs w:val="28"/>
        </w:rPr>
        <w:t xml:space="preserve"> to </w:t>
      </w:r>
      <w:r w:rsidR="0099143F">
        <w:rPr>
          <w:rFonts w:asciiTheme="majorHAnsi" w:hAnsiTheme="majorHAnsi"/>
          <w:szCs w:val="28"/>
        </w:rPr>
        <w:t>join</w:t>
      </w:r>
      <w:r>
        <w:rPr>
          <w:rFonts w:asciiTheme="majorHAnsi" w:hAnsiTheme="majorHAnsi"/>
          <w:szCs w:val="28"/>
        </w:rPr>
        <w:t xml:space="preserve"> the two ends of DNA at a DSB. The break is then sealed using the complex of DNA ligase IV and XRCC4, the latter of which helps to stabilise and enhance the ligation process. NHEJ does not only repair blunt ended breaks, as the system can also interact with </w:t>
      </w:r>
      <w:r w:rsidR="003F73C9">
        <w:rPr>
          <w:rFonts w:asciiTheme="majorHAnsi" w:hAnsiTheme="majorHAnsi"/>
          <w:szCs w:val="28"/>
        </w:rPr>
        <w:t xml:space="preserve">Artemis to cleave any damaged overhanging bases, with any gaps being filled in by polymerase </w:t>
      </w:r>
      <w:r w:rsidR="003F73C9">
        <w:rPr>
          <w:rFonts w:ascii="Calibri" w:hAnsi="Calibri"/>
          <w:szCs w:val="28"/>
        </w:rPr>
        <w:t>μ or λ</w:t>
      </w:r>
      <w:r w:rsidR="003F73C9">
        <w:rPr>
          <w:rFonts w:asciiTheme="majorHAnsi" w:hAnsiTheme="majorHAnsi"/>
          <w:szCs w:val="28"/>
        </w:rPr>
        <w:t xml:space="preserve">. </w:t>
      </w:r>
      <w:r w:rsidR="00AC7232">
        <w:rPr>
          <w:rFonts w:asciiTheme="majorHAnsi" w:hAnsiTheme="majorHAnsi"/>
          <w:szCs w:val="28"/>
        </w:rPr>
        <w:t>Although NHEJ is rapid and protects against DNA damage, this is error-prone</w:t>
      </w:r>
      <w:r w:rsidR="00E74EAC">
        <w:rPr>
          <w:rFonts w:asciiTheme="majorHAnsi" w:hAnsiTheme="majorHAnsi"/>
          <w:szCs w:val="28"/>
        </w:rPr>
        <w:t>,</w:t>
      </w:r>
      <w:r w:rsidR="00AC7232">
        <w:rPr>
          <w:rFonts w:asciiTheme="majorHAnsi" w:hAnsiTheme="majorHAnsi"/>
          <w:szCs w:val="28"/>
        </w:rPr>
        <w:t xml:space="preserve"> due to a repair template not being in place and </w:t>
      </w:r>
      <w:r w:rsidR="001C7002">
        <w:rPr>
          <w:rFonts w:asciiTheme="majorHAnsi" w:hAnsiTheme="majorHAnsi"/>
          <w:szCs w:val="28"/>
        </w:rPr>
        <w:t>nucleotides</w:t>
      </w:r>
      <w:r w:rsidR="00AC7232">
        <w:rPr>
          <w:rFonts w:asciiTheme="majorHAnsi" w:hAnsiTheme="majorHAnsi"/>
          <w:szCs w:val="28"/>
        </w:rPr>
        <w:t xml:space="preserve"> can </w:t>
      </w:r>
      <w:r w:rsidR="0099143F">
        <w:rPr>
          <w:rFonts w:asciiTheme="majorHAnsi" w:hAnsiTheme="majorHAnsi"/>
          <w:szCs w:val="28"/>
        </w:rPr>
        <w:t xml:space="preserve">easily </w:t>
      </w:r>
      <w:r w:rsidR="00AC7232">
        <w:rPr>
          <w:rFonts w:asciiTheme="majorHAnsi" w:hAnsiTheme="majorHAnsi"/>
          <w:szCs w:val="28"/>
        </w:rPr>
        <w:t>be l</w:t>
      </w:r>
      <w:r w:rsidR="001C7002">
        <w:rPr>
          <w:rFonts w:asciiTheme="majorHAnsi" w:hAnsiTheme="majorHAnsi"/>
          <w:szCs w:val="28"/>
        </w:rPr>
        <w:t>ost or gained from the</w:t>
      </w:r>
      <w:r w:rsidR="00E74EAC">
        <w:rPr>
          <w:rFonts w:asciiTheme="majorHAnsi" w:hAnsiTheme="majorHAnsi"/>
          <w:szCs w:val="28"/>
        </w:rPr>
        <w:t xml:space="preserve"> fragile</w:t>
      </w:r>
      <w:r w:rsidR="001C7002">
        <w:rPr>
          <w:rFonts w:asciiTheme="majorHAnsi" w:hAnsiTheme="majorHAnsi"/>
          <w:szCs w:val="28"/>
        </w:rPr>
        <w:t xml:space="preserve"> DNA ends</w:t>
      </w:r>
      <w:r w:rsidR="00EC54E0">
        <w:rPr>
          <w:rFonts w:asciiTheme="majorHAnsi" w:hAnsiTheme="majorHAnsi"/>
          <w:szCs w:val="28"/>
        </w:rPr>
        <w:t xml:space="preserve"> </w:t>
      </w:r>
      <w:r w:rsidR="00EC54E0">
        <w:rPr>
          <w:rFonts w:asciiTheme="majorHAnsi" w:hAnsiTheme="majorHAnsi"/>
          <w:szCs w:val="28"/>
        </w:rPr>
        <w:fldChar w:fldCharType="begin"/>
      </w:r>
      <w:r w:rsidR="00EC54E0">
        <w:rPr>
          <w:rFonts w:asciiTheme="majorHAnsi" w:hAnsiTheme="majorHAnsi"/>
          <w:szCs w:val="28"/>
        </w:rPr>
        <w:instrText xml:space="preserve"> ADDIN EN.CITE &lt;EndNote&gt;&lt;Cite&gt;&lt;Author&gt;Weterings&lt;/Author&gt;&lt;Year&gt;2008&lt;/Year&gt;&lt;IDText&gt;The endless tale of non-homologous end-joining&lt;/IDText&gt;&lt;DisplayText&gt;(Weterings and Chen, 2008)&lt;/DisplayText&gt;&lt;record&gt;&lt;dates&gt;&lt;pub-dates&gt;&lt;date&gt;Jan&lt;/date&gt;&lt;/pub-dates&gt;&lt;year&gt;2008&lt;/year&gt;&lt;/dates&gt;&lt;keywords&gt;&lt;keyword&gt;Animals&lt;/keyword&gt;&lt;keyword&gt;DNA Breaks, Double-Stranded&lt;/keyword&gt;&lt;keyword&gt;DNA Repair&lt;/keyword&gt;&lt;keyword&gt;Gene Rearrangement&lt;/keyword&gt;&lt;keyword&gt;Humans&lt;/keyword&gt;&lt;keyword&gt;Models, Biological&lt;/keyword&gt;&lt;keyword&gt;Recombination, Genetic&lt;/keyword&gt;&lt;keyword&gt;VDJ Exons&lt;/keyword&gt;&lt;/keywords&gt;&lt;urls&gt;&lt;related-urls&gt;&lt;url&gt;https://www.ncbi.nlm.nih.gov/pubmed/18166980&lt;/url&gt;&lt;/related-urls&gt;&lt;/urls&gt;&lt;isbn&gt;1748-7838&lt;/isbn&gt;&lt;titles&gt;&lt;title&gt;The endless tale of non-homologous end-joining&lt;/title&gt;&lt;secondary-title&gt;Cell Res&lt;/secondary-title&gt;&lt;/titles&gt;&lt;pages&gt;114-24&lt;/pages&gt;&lt;number&gt;1&lt;/number&gt;&lt;contributors&gt;&lt;authors&gt;&lt;author&gt;Weterings, E.&lt;/author&gt;&lt;author&gt;Chen, D. J.&lt;/author&gt;&lt;/authors&gt;&lt;/contributors&gt;&lt;language&gt;eng&lt;/language&gt;&lt;added-date format="utc"&gt;1524035600&lt;/added-date&gt;&lt;ref-type name="Journal Article"&gt;17&lt;/ref-type&gt;&lt;rec-number&gt;415&lt;/rec-number&gt;&lt;last-updated-date format="utc"&gt;1524035600&lt;/last-updated-date&gt;&lt;accession-num&gt;18166980&lt;/accession-num&gt;&lt;electronic-resource-num&gt;10.1038/cr.2008.3&lt;/electronic-resource-num&gt;&lt;volume&gt;18&lt;/volume&gt;&lt;/record&gt;&lt;/Cite&gt;&lt;/EndNote&gt;</w:instrText>
      </w:r>
      <w:r w:rsidR="00EC54E0">
        <w:rPr>
          <w:rFonts w:asciiTheme="majorHAnsi" w:hAnsiTheme="majorHAnsi"/>
          <w:szCs w:val="28"/>
        </w:rPr>
        <w:fldChar w:fldCharType="separate"/>
      </w:r>
      <w:r w:rsidR="00EC54E0">
        <w:rPr>
          <w:rFonts w:asciiTheme="majorHAnsi" w:hAnsiTheme="majorHAnsi"/>
          <w:noProof/>
          <w:szCs w:val="28"/>
        </w:rPr>
        <w:t>(Weterings and Chen, 2008)</w:t>
      </w:r>
      <w:r w:rsidR="00EC54E0">
        <w:rPr>
          <w:rFonts w:asciiTheme="majorHAnsi" w:hAnsiTheme="majorHAnsi"/>
          <w:szCs w:val="28"/>
        </w:rPr>
        <w:fldChar w:fldCharType="end"/>
      </w:r>
      <w:r w:rsidR="001C7002">
        <w:rPr>
          <w:rFonts w:asciiTheme="majorHAnsi" w:hAnsiTheme="majorHAnsi"/>
          <w:szCs w:val="28"/>
        </w:rPr>
        <w:t xml:space="preserve">. </w:t>
      </w:r>
    </w:p>
    <w:p w14:paraId="0774B919" w14:textId="77777777" w:rsidR="003F73C9" w:rsidRDefault="003F73C9" w:rsidP="0052760F">
      <w:pPr>
        <w:spacing w:line="360" w:lineRule="auto"/>
        <w:jc w:val="both"/>
        <w:rPr>
          <w:rFonts w:asciiTheme="majorHAnsi" w:hAnsiTheme="majorHAnsi"/>
          <w:szCs w:val="28"/>
        </w:rPr>
      </w:pPr>
    </w:p>
    <w:p w14:paraId="7475B565" w14:textId="684D2FC5" w:rsidR="00290CF6" w:rsidRDefault="003F73C9" w:rsidP="00B15A35">
      <w:pPr>
        <w:spacing w:line="360" w:lineRule="auto"/>
        <w:jc w:val="both"/>
        <w:rPr>
          <w:rFonts w:asciiTheme="majorHAnsi" w:hAnsiTheme="majorHAnsi"/>
          <w:szCs w:val="28"/>
        </w:rPr>
      </w:pPr>
      <w:r>
        <w:rPr>
          <w:rFonts w:asciiTheme="majorHAnsi" w:hAnsiTheme="majorHAnsi"/>
          <w:szCs w:val="28"/>
        </w:rPr>
        <w:t>HR utilises recognition and end resection proteins such as the MRN (MRE11, RAD50 and NBS1) complex and CtIP, BRCA1 and EXO1 to create 3’ single stranded DNA</w:t>
      </w:r>
      <w:r w:rsidR="00290CF6">
        <w:rPr>
          <w:rFonts w:asciiTheme="majorHAnsi" w:hAnsiTheme="majorHAnsi"/>
          <w:szCs w:val="28"/>
        </w:rPr>
        <w:t xml:space="preserve"> (ssDNA)</w:t>
      </w:r>
      <w:r>
        <w:rPr>
          <w:rFonts w:asciiTheme="majorHAnsi" w:hAnsiTheme="majorHAnsi"/>
          <w:szCs w:val="28"/>
        </w:rPr>
        <w:t xml:space="preserve"> overhangs at DSBs</w:t>
      </w:r>
      <w:r w:rsidR="00290CF6">
        <w:rPr>
          <w:rFonts w:asciiTheme="majorHAnsi" w:hAnsiTheme="majorHAnsi"/>
          <w:szCs w:val="28"/>
        </w:rPr>
        <w:t>, during late S and G2</w:t>
      </w:r>
      <w:r>
        <w:rPr>
          <w:rFonts w:asciiTheme="majorHAnsi" w:hAnsiTheme="majorHAnsi"/>
          <w:szCs w:val="28"/>
        </w:rPr>
        <w:t xml:space="preserve">. </w:t>
      </w:r>
      <w:r w:rsidR="00A26761">
        <w:rPr>
          <w:rFonts w:asciiTheme="majorHAnsi" w:hAnsiTheme="majorHAnsi"/>
          <w:szCs w:val="28"/>
        </w:rPr>
        <w:t xml:space="preserve">This is initiated by cyclin dependent kinases (CDKs) and their subsequent phosphorylation action. </w:t>
      </w:r>
      <w:r w:rsidR="00290CF6">
        <w:rPr>
          <w:rFonts w:asciiTheme="majorHAnsi" w:hAnsiTheme="majorHAnsi"/>
          <w:szCs w:val="28"/>
        </w:rPr>
        <w:t>The ssDNA is bound by RPA, which signals for other HR proteins to be recruited such as RAD51. RAD51 is the catalyst behind the strand invasion of homologous DNA to be used as a repair template</w:t>
      </w:r>
      <w:r w:rsidR="00A26761">
        <w:rPr>
          <w:rFonts w:asciiTheme="majorHAnsi" w:hAnsiTheme="majorHAnsi"/>
          <w:szCs w:val="28"/>
        </w:rPr>
        <w:t>, usually the sister chromatid</w:t>
      </w:r>
      <w:r w:rsidR="00C011EA">
        <w:rPr>
          <w:rFonts w:asciiTheme="majorHAnsi" w:hAnsiTheme="majorHAnsi"/>
          <w:szCs w:val="28"/>
        </w:rPr>
        <w:t>, forming a structure called a D-loop</w:t>
      </w:r>
      <w:r w:rsidR="00F46D74">
        <w:rPr>
          <w:rFonts w:asciiTheme="majorHAnsi" w:hAnsiTheme="majorHAnsi"/>
          <w:szCs w:val="28"/>
        </w:rPr>
        <w:t xml:space="preserve"> (DNA heteroduplex)</w:t>
      </w:r>
      <w:r w:rsidR="0099143F">
        <w:rPr>
          <w:rFonts w:asciiTheme="majorHAnsi" w:hAnsiTheme="majorHAnsi"/>
          <w:szCs w:val="28"/>
        </w:rPr>
        <w:t xml:space="preserve">. Hence, </w:t>
      </w:r>
      <w:r w:rsidR="00A26761">
        <w:rPr>
          <w:rFonts w:asciiTheme="majorHAnsi" w:hAnsiTheme="majorHAnsi"/>
          <w:szCs w:val="28"/>
        </w:rPr>
        <w:t xml:space="preserve">this pathway is primarily </w:t>
      </w:r>
      <w:r w:rsidR="0099143F">
        <w:rPr>
          <w:rFonts w:asciiTheme="majorHAnsi" w:hAnsiTheme="majorHAnsi"/>
          <w:szCs w:val="28"/>
        </w:rPr>
        <w:t>active</w:t>
      </w:r>
      <w:r w:rsidR="00A26761">
        <w:rPr>
          <w:rFonts w:asciiTheme="majorHAnsi" w:hAnsiTheme="majorHAnsi"/>
          <w:szCs w:val="28"/>
        </w:rPr>
        <w:t xml:space="preserve"> in S/G2 as there is a sister chromatid present</w:t>
      </w:r>
      <w:r w:rsidR="0099143F">
        <w:rPr>
          <w:rFonts w:asciiTheme="majorHAnsi" w:hAnsiTheme="majorHAnsi"/>
          <w:szCs w:val="28"/>
        </w:rPr>
        <w:t xml:space="preserve"> at that stage of the cell cycle</w:t>
      </w:r>
      <w:r w:rsidR="001C7002">
        <w:rPr>
          <w:rFonts w:asciiTheme="majorHAnsi" w:hAnsiTheme="majorHAnsi"/>
          <w:szCs w:val="28"/>
        </w:rPr>
        <w:t xml:space="preserve">, and this process is considered more robust </w:t>
      </w:r>
      <w:r w:rsidR="0099143F">
        <w:rPr>
          <w:rFonts w:asciiTheme="majorHAnsi" w:hAnsiTheme="majorHAnsi"/>
          <w:szCs w:val="28"/>
        </w:rPr>
        <w:t xml:space="preserve">than NHEJ </w:t>
      </w:r>
      <w:r w:rsidR="001C7002">
        <w:rPr>
          <w:rFonts w:asciiTheme="majorHAnsi" w:hAnsiTheme="majorHAnsi"/>
          <w:szCs w:val="28"/>
        </w:rPr>
        <w:t>and less likely to incur errors.</w:t>
      </w:r>
      <w:r w:rsidR="00C011EA">
        <w:rPr>
          <w:rFonts w:asciiTheme="majorHAnsi" w:hAnsiTheme="majorHAnsi"/>
          <w:szCs w:val="28"/>
        </w:rPr>
        <w:t xml:space="preserve"> </w:t>
      </w:r>
      <w:r w:rsidR="00383CBF">
        <w:rPr>
          <w:rFonts w:asciiTheme="majorHAnsi" w:hAnsiTheme="majorHAnsi"/>
          <w:szCs w:val="28"/>
        </w:rPr>
        <w:t>Following the strand invasion</w:t>
      </w:r>
      <w:r w:rsidR="0099143F">
        <w:rPr>
          <w:rFonts w:asciiTheme="majorHAnsi" w:hAnsiTheme="majorHAnsi"/>
          <w:szCs w:val="28"/>
        </w:rPr>
        <w:t>,</w:t>
      </w:r>
      <w:r w:rsidR="00383CBF">
        <w:rPr>
          <w:rFonts w:asciiTheme="majorHAnsi" w:hAnsiTheme="majorHAnsi"/>
          <w:szCs w:val="28"/>
        </w:rPr>
        <w:t xml:space="preserve"> DNA polymerases ext</w:t>
      </w:r>
      <w:r w:rsidR="00F46D74">
        <w:rPr>
          <w:rFonts w:asciiTheme="majorHAnsi" w:hAnsiTheme="majorHAnsi"/>
          <w:szCs w:val="28"/>
        </w:rPr>
        <w:t>end the damaged strand to form H</w:t>
      </w:r>
      <w:r w:rsidR="00383CBF">
        <w:rPr>
          <w:rFonts w:asciiTheme="majorHAnsi" w:hAnsiTheme="majorHAnsi"/>
          <w:szCs w:val="28"/>
        </w:rPr>
        <w:t>ol</w:t>
      </w:r>
      <w:r w:rsidR="00F46D74">
        <w:rPr>
          <w:rFonts w:asciiTheme="majorHAnsi" w:hAnsiTheme="majorHAnsi"/>
          <w:szCs w:val="28"/>
        </w:rPr>
        <w:t>l</w:t>
      </w:r>
      <w:r w:rsidR="00383CBF">
        <w:rPr>
          <w:rFonts w:asciiTheme="majorHAnsi" w:hAnsiTheme="majorHAnsi"/>
          <w:szCs w:val="28"/>
        </w:rPr>
        <w:t>iday junctions</w:t>
      </w:r>
      <w:r w:rsidR="00F46D74">
        <w:rPr>
          <w:rFonts w:asciiTheme="majorHAnsi" w:hAnsiTheme="majorHAnsi"/>
          <w:szCs w:val="28"/>
        </w:rPr>
        <w:t>, these are resolved</w:t>
      </w:r>
      <w:r w:rsidR="00383CBF">
        <w:rPr>
          <w:rFonts w:asciiTheme="majorHAnsi" w:hAnsiTheme="majorHAnsi"/>
          <w:szCs w:val="28"/>
        </w:rPr>
        <w:t xml:space="preserve"> and the remaining nicks are sealed by ligases</w:t>
      </w:r>
      <w:r w:rsidR="00EC54E0">
        <w:rPr>
          <w:rFonts w:asciiTheme="majorHAnsi" w:hAnsiTheme="majorHAnsi"/>
          <w:szCs w:val="28"/>
        </w:rPr>
        <w:t xml:space="preserve"> </w:t>
      </w:r>
      <w:r w:rsidR="00EC54E0">
        <w:rPr>
          <w:rFonts w:asciiTheme="majorHAnsi" w:hAnsiTheme="majorHAnsi"/>
          <w:szCs w:val="28"/>
        </w:rPr>
        <w:fldChar w:fldCharType="begin"/>
      </w:r>
      <w:r w:rsidR="00EC54E0">
        <w:rPr>
          <w:rFonts w:asciiTheme="majorHAnsi" w:hAnsiTheme="majorHAnsi"/>
          <w:szCs w:val="28"/>
        </w:rPr>
        <w:instrText xml:space="preserve"> ADDIN EN.CITE &lt;EndNote&gt;&lt;Cite&gt;&lt;Author&gt;Krejci&lt;/Author&gt;&lt;Year&gt;2012&lt;/Year&gt;&lt;IDText&gt;Homologous recombination and its regulation&lt;/IDText&gt;&lt;DisplayText&gt;(Krejci et al., 2012)&lt;/DisplayText&gt;&lt;record&gt;&lt;dates&gt;&lt;pub-dates&gt;&lt;date&gt;Jul&lt;/date&gt;&lt;/pub-dates&gt;&lt;year&gt;2012&lt;/year&gt;&lt;/dates&gt;&lt;keywords&gt;&lt;keyword&gt;Animals&lt;/keyword&gt;&lt;keyword&gt;Disease&lt;/keyword&gt;&lt;keyword&gt;Homologous Recombination&lt;/keyword&gt;&lt;keyword&gt;Humans&lt;/keyword&gt;&lt;keyword&gt;Meiosis&lt;/keyword&gt;&lt;keyword&gt;Neoplasms&lt;/keyword&gt;&lt;keyword&gt;Protein Processing, Post-Translational&lt;/keyword&gt;&lt;keyword&gt;Rad51 Recombinase&lt;/keyword&gt;&lt;keyword&gt;Replication Protein A&lt;/keyword&gt;&lt;/keywords&gt;&lt;urls&gt;&lt;related-urls&gt;&lt;url&gt;https://www.ncbi.nlm.nih.gov/pubmed/22467216&lt;/url&gt;&lt;/related-urls&gt;&lt;/urls&gt;&lt;isbn&gt;1362-4962&lt;/isbn&gt;&lt;custom2&gt;PMC3401455&lt;/custom2&gt;&lt;titles&gt;&lt;title&gt;Homologous recombination and its regulation&lt;/title&gt;&lt;secondary-title&gt;Nucleic Acids Res&lt;/secondary-title&gt;&lt;/titles&gt;&lt;pages&gt;5795-818&lt;/pages&gt;&lt;number&gt;13&lt;/number&gt;&lt;contributors&gt;&lt;authors&gt;&lt;author&gt;Krejci, L.&lt;/author&gt;&lt;author&gt;Altmannova, V.&lt;/author&gt;&lt;author&gt;Spirek, M.&lt;/author&gt;&lt;author&gt;Zhao, X.&lt;/author&gt;&lt;/authors&gt;&lt;/contributors&gt;&lt;edition&gt;2012/03/30&lt;/edition&gt;&lt;language&gt;eng&lt;/language&gt;&lt;added-date format="utc"&gt;1524035440&lt;/added-date&gt;&lt;ref-type name="Journal Article"&gt;17&lt;/ref-type&gt;&lt;rec-number&gt;414&lt;/rec-number&gt;&lt;last-updated-date format="utc"&gt;1524035440&lt;/last-updated-date&gt;&lt;accession-num&gt;22467216&lt;/accession-num&gt;&lt;electronic-resource-num&gt;10.1093/nar/gks270&lt;/electronic-resource-num&gt;&lt;volume&gt;40&lt;/volume&gt;&lt;/record&gt;&lt;/Cite&gt;&lt;/EndNote&gt;</w:instrText>
      </w:r>
      <w:r w:rsidR="00EC54E0">
        <w:rPr>
          <w:rFonts w:asciiTheme="majorHAnsi" w:hAnsiTheme="majorHAnsi"/>
          <w:szCs w:val="28"/>
        </w:rPr>
        <w:fldChar w:fldCharType="separate"/>
      </w:r>
      <w:r w:rsidR="00EC54E0">
        <w:rPr>
          <w:rFonts w:asciiTheme="majorHAnsi" w:hAnsiTheme="majorHAnsi"/>
          <w:noProof/>
          <w:szCs w:val="28"/>
        </w:rPr>
        <w:t>(Krejci et al., 2012)</w:t>
      </w:r>
      <w:r w:rsidR="00EC54E0">
        <w:rPr>
          <w:rFonts w:asciiTheme="majorHAnsi" w:hAnsiTheme="majorHAnsi"/>
          <w:szCs w:val="28"/>
        </w:rPr>
        <w:fldChar w:fldCharType="end"/>
      </w:r>
      <w:r w:rsidR="00383CBF">
        <w:rPr>
          <w:rFonts w:asciiTheme="majorHAnsi" w:hAnsiTheme="majorHAnsi"/>
          <w:szCs w:val="28"/>
        </w:rPr>
        <w:t xml:space="preserve">. </w:t>
      </w:r>
    </w:p>
    <w:p w14:paraId="6FE85DD7" w14:textId="77777777" w:rsidR="00383CBF" w:rsidRDefault="00383CBF" w:rsidP="00B15A35">
      <w:pPr>
        <w:spacing w:line="360" w:lineRule="auto"/>
        <w:jc w:val="both"/>
        <w:rPr>
          <w:rFonts w:asciiTheme="majorHAnsi" w:hAnsiTheme="majorHAnsi"/>
          <w:szCs w:val="28"/>
        </w:rPr>
      </w:pPr>
    </w:p>
    <w:p w14:paraId="4E6A54C9" w14:textId="33E3F848" w:rsidR="00F50674" w:rsidRPr="00F50674" w:rsidRDefault="00383CBF" w:rsidP="00B15A35">
      <w:pPr>
        <w:spacing w:line="360" w:lineRule="auto"/>
        <w:jc w:val="both"/>
        <w:rPr>
          <w:rFonts w:asciiTheme="majorHAnsi" w:hAnsiTheme="majorHAnsi"/>
          <w:szCs w:val="28"/>
        </w:rPr>
      </w:pPr>
      <w:r>
        <w:rPr>
          <w:rFonts w:asciiTheme="majorHAnsi" w:hAnsiTheme="majorHAnsi"/>
          <w:szCs w:val="28"/>
        </w:rPr>
        <w:t xml:space="preserve">The DNA damage response at DSBs is regulated by a phosphorylation cascade, primarily starting with either ataxia telangiectasia (ATM) or </w:t>
      </w:r>
      <w:r w:rsidR="00F46D74">
        <w:rPr>
          <w:rFonts w:asciiTheme="majorHAnsi" w:hAnsiTheme="majorHAnsi"/>
          <w:szCs w:val="28"/>
        </w:rPr>
        <w:t>ATR kinase</w:t>
      </w:r>
      <w:r>
        <w:rPr>
          <w:rFonts w:asciiTheme="majorHAnsi" w:hAnsiTheme="majorHAnsi"/>
          <w:szCs w:val="28"/>
        </w:rPr>
        <w:t xml:space="preserve"> </w:t>
      </w:r>
      <w:r w:rsidR="0099143F">
        <w:rPr>
          <w:rFonts w:asciiTheme="majorHAnsi" w:hAnsiTheme="majorHAnsi"/>
          <w:szCs w:val="28"/>
        </w:rPr>
        <w:t xml:space="preserve">activation </w:t>
      </w:r>
      <w:r>
        <w:rPr>
          <w:rFonts w:asciiTheme="majorHAnsi" w:hAnsiTheme="majorHAnsi"/>
          <w:szCs w:val="28"/>
        </w:rPr>
        <w:t xml:space="preserve">in order to signal checkpoint activation and cell cycle arrest or apoptosis. MRN is the main activator of ATM and causes the phosphorylation of many down stream effectors such as Chk2, p53, BRCA1 and H2AX. </w:t>
      </w:r>
      <w:r w:rsidR="000348A3">
        <w:rPr>
          <w:rFonts w:asciiTheme="majorHAnsi" w:hAnsiTheme="majorHAnsi"/>
          <w:szCs w:val="28"/>
        </w:rPr>
        <w:t>These create a platform for the stabilisation and recruitment of repair factors</w:t>
      </w:r>
      <w:r w:rsidR="00F46D74">
        <w:rPr>
          <w:rFonts w:asciiTheme="majorHAnsi" w:hAnsiTheme="majorHAnsi"/>
          <w:szCs w:val="28"/>
        </w:rPr>
        <w:t xml:space="preserve"> and checkpoint activators</w:t>
      </w:r>
      <w:r w:rsidR="000348A3">
        <w:rPr>
          <w:rFonts w:asciiTheme="majorHAnsi" w:hAnsiTheme="majorHAnsi"/>
          <w:szCs w:val="28"/>
        </w:rPr>
        <w:t>. ATR</w:t>
      </w:r>
      <w:r w:rsidR="00F46D74">
        <w:rPr>
          <w:rFonts w:asciiTheme="majorHAnsi" w:hAnsiTheme="majorHAnsi"/>
          <w:szCs w:val="28"/>
        </w:rPr>
        <w:t>, as mentioned previously</w:t>
      </w:r>
      <w:r w:rsidR="000348A3">
        <w:rPr>
          <w:rFonts w:asciiTheme="majorHAnsi" w:hAnsiTheme="majorHAnsi"/>
          <w:szCs w:val="28"/>
        </w:rPr>
        <w:t xml:space="preserve"> is primarily activated by ssDNA and the subsequent binding of RPA through its binding partner ATRIP </w:t>
      </w:r>
      <w:r w:rsidR="000348A3">
        <w:rPr>
          <w:rFonts w:asciiTheme="majorHAnsi" w:hAnsiTheme="majorHAnsi"/>
          <w:szCs w:val="28"/>
        </w:rPr>
        <w:fldChar w:fldCharType="begin"/>
      </w:r>
      <w:r w:rsidR="000348A3">
        <w:rPr>
          <w:rFonts w:asciiTheme="majorHAnsi" w:hAnsiTheme="majorHAnsi"/>
          <w:szCs w:val="28"/>
        </w:rPr>
        <w:instrText xml:space="preserve"> ADDIN EN.CITE &lt;EndNote&gt;&lt;Cite&gt;&lt;Author&gt;Stadler&lt;/Author&gt;&lt;Year&gt;2017&lt;/Year&gt;&lt;IDText&gt;Regulation of DNA Repair Mechanisms: How the Chromatin Environment Regulates the DNA Damage Response&lt;/IDText&gt;&lt;DisplayText&gt;(Stadler and Richly, 2017)&lt;/DisplayText&gt;&lt;record&gt;&lt;dates&gt;&lt;pub-dates&gt;&lt;date&gt;Aug&lt;/date&gt;&lt;/pub-dates&gt;&lt;year&gt;2017&lt;/year&gt;&lt;/dates&gt;&lt;keywords&gt;&lt;keyword&gt;DNA repair&lt;/keyword&gt;&lt;keyword&gt;DSB repair&lt;/keyword&gt;&lt;keyword&gt;chromatin&lt;/keyword&gt;&lt;keyword&gt;histone marks&lt;/keyword&gt;&lt;keyword&gt;nucleotide excision repair (NER)&lt;/keyword&gt;&lt;keyword&gt;ubiquitin&lt;/keyword&gt;&lt;/keywords&gt;&lt;urls&gt;&lt;related-urls&gt;&lt;url&gt;https://www.ncbi.nlm.nih.gov/pubmed/28783053&lt;/url&gt;&lt;/related-urls&gt;&lt;/urls&gt;&lt;isbn&gt;1422-0067&lt;/isbn&gt;&lt;custom2&gt;PMC5578105&lt;/custom2&gt;&lt;titles&gt;&lt;title&gt;Regulation of DNA Repair Mechanisms: How the Chromatin Environment Regulates the DNA Damage Response&lt;/title&gt;&lt;secondary-title&gt;Int J Mol Sci&lt;/secondary-title&gt;&lt;/titles&gt;&lt;number&gt;8&lt;/number&gt;&lt;contributors&gt;&lt;authors&gt;&lt;author&gt;Stadler, J.&lt;/author&gt;&lt;author&gt;Richly, H.&lt;/author&gt;&lt;/authors&gt;&lt;/contributors&gt;&lt;edition&gt;2017/08/05&lt;/edition&gt;&lt;language&gt;eng&lt;/language&gt;&lt;added-date format="utc"&gt;1523973204&lt;/added-date&gt;&lt;ref-type name="Journal Article"&gt;17&lt;/ref-type&gt;&lt;rec-number&gt;409&lt;/rec-number&gt;&lt;last-updated-date format="utc"&gt;1523973204&lt;/last-updated-date&gt;&lt;accession-num&gt;28783053&lt;/accession-num&gt;&lt;electronic-resource-num&gt;10.3390/ijms18081715&lt;/electronic-resource-num&gt;&lt;volume&gt;18&lt;/volume&gt;&lt;/record&gt;&lt;/Cite&gt;&lt;/EndNote&gt;</w:instrText>
      </w:r>
      <w:r w:rsidR="000348A3">
        <w:rPr>
          <w:rFonts w:asciiTheme="majorHAnsi" w:hAnsiTheme="majorHAnsi"/>
          <w:szCs w:val="28"/>
        </w:rPr>
        <w:fldChar w:fldCharType="separate"/>
      </w:r>
      <w:r w:rsidR="000348A3">
        <w:rPr>
          <w:rFonts w:asciiTheme="majorHAnsi" w:hAnsiTheme="majorHAnsi"/>
          <w:noProof/>
          <w:szCs w:val="28"/>
        </w:rPr>
        <w:t>(Stadler and Richly, 2017)</w:t>
      </w:r>
      <w:r w:rsidR="000348A3">
        <w:rPr>
          <w:rFonts w:asciiTheme="majorHAnsi" w:hAnsiTheme="majorHAnsi"/>
          <w:szCs w:val="28"/>
        </w:rPr>
        <w:fldChar w:fldCharType="end"/>
      </w:r>
      <w:r w:rsidR="000348A3">
        <w:rPr>
          <w:rFonts w:asciiTheme="majorHAnsi" w:hAnsiTheme="majorHAnsi"/>
          <w:szCs w:val="28"/>
        </w:rPr>
        <w:t xml:space="preserve">. </w:t>
      </w:r>
    </w:p>
    <w:p w14:paraId="7FA2C66C" w14:textId="77777777" w:rsidR="00290CF6" w:rsidRDefault="00290CF6" w:rsidP="00B15A35">
      <w:pPr>
        <w:spacing w:line="360" w:lineRule="auto"/>
        <w:jc w:val="both"/>
        <w:rPr>
          <w:rFonts w:asciiTheme="majorHAnsi" w:hAnsiTheme="majorHAnsi"/>
          <w:b/>
          <w:i/>
          <w:sz w:val="28"/>
          <w:szCs w:val="28"/>
        </w:rPr>
      </w:pPr>
    </w:p>
    <w:p w14:paraId="25DBD66C" w14:textId="62BCCA1E" w:rsidR="00B15A35" w:rsidRPr="00290CF6" w:rsidRDefault="00EB3408" w:rsidP="00B15A35">
      <w:pPr>
        <w:spacing w:line="360" w:lineRule="auto"/>
        <w:jc w:val="both"/>
        <w:rPr>
          <w:rFonts w:asciiTheme="majorHAnsi" w:hAnsiTheme="majorHAnsi"/>
          <w:b/>
          <w:i/>
          <w:sz w:val="28"/>
          <w:szCs w:val="28"/>
        </w:rPr>
      </w:pPr>
      <w:r>
        <w:rPr>
          <w:rFonts w:asciiTheme="majorHAnsi" w:hAnsiTheme="majorHAnsi"/>
          <w:sz w:val="28"/>
          <w:szCs w:val="28"/>
          <w:u w:val="single"/>
        </w:rPr>
        <w:t>1.3</w:t>
      </w:r>
      <w:r w:rsidR="00B15A35">
        <w:rPr>
          <w:rFonts w:asciiTheme="majorHAnsi" w:hAnsiTheme="majorHAnsi"/>
          <w:sz w:val="28"/>
          <w:szCs w:val="28"/>
          <w:u w:val="single"/>
        </w:rPr>
        <w:t xml:space="preserve"> Colorectal Cancer</w:t>
      </w:r>
    </w:p>
    <w:p w14:paraId="7DBDBA42" w14:textId="77777777" w:rsidR="00B15A35" w:rsidRDefault="00B15A35" w:rsidP="00B15A35">
      <w:pPr>
        <w:spacing w:line="360" w:lineRule="auto"/>
        <w:jc w:val="both"/>
        <w:rPr>
          <w:rFonts w:asciiTheme="majorHAnsi" w:hAnsiTheme="majorHAnsi"/>
          <w:sz w:val="28"/>
          <w:szCs w:val="28"/>
        </w:rPr>
      </w:pPr>
    </w:p>
    <w:p w14:paraId="729F6BB0" w14:textId="77777777" w:rsidR="00B15A35" w:rsidRDefault="00B15A35" w:rsidP="002F41C6">
      <w:pPr>
        <w:pStyle w:val="ListParagraph"/>
        <w:numPr>
          <w:ilvl w:val="0"/>
          <w:numId w:val="34"/>
        </w:numPr>
        <w:spacing w:line="360" w:lineRule="auto"/>
        <w:jc w:val="both"/>
        <w:rPr>
          <w:rFonts w:asciiTheme="majorHAnsi" w:hAnsiTheme="majorHAnsi"/>
          <w:b/>
          <w:i/>
        </w:rPr>
      </w:pPr>
      <w:r w:rsidRPr="004E2D72">
        <w:rPr>
          <w:rFonts w:asciiTheme="majorHAnsi" w:hAnsiTheme="majorHAnsi"/>
          <w:b/>
          <w:i/>
        </w:rPr>
        <w:t>Prevalence and Progression</w:t>
      </w:r>
    </w:p>
    <w:p w14:paraId="68F32690" w14:textId="040D9081" w:rsidR="00B15A35" w:rsidRPr="004E2D72" w:rsidRDefault="00B15A35" w:rsidP="00B15A35">
      <w:pPr>
        <w:pStyle w:val="NoSpacing"/>
        <w:spacing w:line="360" w:lineRule="auto"/>
        <w:jc w:val="both"/>
        <w:rPr>
          <w:rFonts w:asciiTheme="majorHAnsi" w:hAnsiTheme="majorHAnsi"/>
        </w:rPr>
      </w:pPr>
      <w:r w:rsidRPr="004E2D72">
        <w:rPr>
          <w:rFonts w:asciiTheme="majorHAnsi" w:hAnsiTheme="majorHAnsi"/>
        </w:rPr>
        <w:t xml:space="preserve">Around </w:t>
      </w:r>
      <w:r>
        <w:rPr>
          <w:rFonts w:asciiTheme="majorHAnsi" w:hAnsiTheme="majorHAnsi"/>
        </w:rPr>
        <w:t>35,000</w:t>
      </w:r>
      <w:r w:rsidRPr="004E2D72">
        <w:rPr>
          <w:rFonts w:asciiTheme="majorHAnsi" w:hAnsiTheme="majorHAnsi"/>
        </w:rPr>
        <w:t xml:space="preserve"> people </w:t>
      </w:r>
      <w:r>
        <w:rPr>
          <w:rFonts w:asciiTheme="majorHAnsi" w:hAnsiTheme="majorHAnsi"/>
        </w:rPr>
        <w:t>were diagnosed with</w:t>
      </w:r>
      <w:r w:rsidRPr="004E2D72">
        <w:rPr>
          <w:rFonts w:asciiTheme="majorHAnsi" w:hAnsiTheme="majorHAnsi"/>
        </w:rPr>
        <w:t xml:space="preserve"> colorectal</w:t>
      </w:r>
      <w:r>
        <w:rPr>
          <w:rFonts w:asciiTheme="majorHAnsi" w:hAnsiTheme="majorHAnsi"/>
        </w:rPr>
        <w:t xml:space="preserve"> cancer (CRC) in England in 2015</w:t>
      </w:r>
      <w:proofErr w:type="gramStart"/>
      <w:r w:rsidRPr="004E2D72">
        <w:rPr>
          <w:rFonts w:asciiTheme="majorHAnsi" w:hAnsiTheme="majorHAnsi"/>
        </w:rPr>
        <w:t>;</w:t>
      </w:r>
      <w:proofErr w:type="gramEnd"/>
      <w:r>
        <w:rPr>
          <w:rFonts w:asciiTheme="majorHAnsi" w:hAnsiTheme="majorHAnsi"/>
        </w:rPr>
        <w:t xml:space="preserve"> making</w:t>
      </w:r>
      <w:r w:rsidRPr="004E2D72">
        <w:rPr>
          <w:rFonts w:asciiTheme="majorHAnsi" w:hAnsiTheme="majorHAnsi"/>
        </w:rPr>
        <w:t xml:space="preserve"> it the third most common cancer</w:t>
      </w:r>
      <w:r>
        <w:rPr>
          <w:rFonts w:asciiTheme="majorHAnsi" w:hAnsiTheme="majorHAnsi"/>
        </w:rPr>
        <w:t xml:space="preserve">. The 2015 Office for National Statistics report shows that although advancements have been made </w:t>
      </w:r>
      <w:r w:rsidR="00AD06B1">
        <w:rPr>
          <w:rFonts w:asciiTheme="majorHAnsi" w:hAnsiTheme="majorHAnsi"/>
        </w:rPr>
        <w:t>in</w:t>
      </w:r>
      <w:r>
        <w:rPr>
          <w:rFonts w:asciiTheme="majorHAnsi" w:hAnsiTheme="majorHAnsi"/>
        </w:rPr>
        <w:t xml:space="preserve"> screening and treatment regimes since 1995, the incidence rates have stayed consistent in this time frame, and mortality rate</w:t>
      </w:r>
      <w:r w:rsidR="007A6E6D">
        <w:rPr>
          <w:rFonts w:asciiTheme="majorHAnsi" w:hAnsiTheme="majorHAnsi"/>
        </w:rPr>
        <w:t>s</w:t>
      </w:r>
      <w:r>
        <w:rPr>
          <w:rFonts w:asciiTheme="majorHAnsi" w:hAnsiTheme="majorHAnsi"/>
        </w:rPr>
        <w:t xml:space="preserve"> have exhibited only a modest </w:t>
      </w:r>
      <w:r w:rsidRPr="00E82D3B">
        <w:rPr>
          <w:rFonts w:asciiTheme="majorHAnsi" w:hAnsiTheme="majorHAnsi"/>
        </w:rPr>
        <w:t>decrease</w:t>
      </w:r>
      <w:r w:rsidR="00D564E0" w:rsidRPr="00E82D3B">
        <w:rPr>
          <w:rFonts w:asciiTheme="majorHAnsi" w:hAnsiTheme="majorHAnsi"/>
        </w:rPr>
        <w:t xml:space="preserve"> (Office for National Statistics,</w:t>
      </w:r>
      <w:r w:rsidR="0070038F" w:rsidRPr="00E82D3B">
        <w:rPr>
          <w:rFonts w:asciiTheme="majorHAnsi" w:hAnsiTheme="majorHAnsi"/>
        </w:rPr>
        <w:t xml:space="preserve"> </w:t>
      </w:r>
      <w:r w:rsidR="0070038F" w:rsidRPr="00E82D3B">
        <w:rPr>
          <w:rFonts w:asciiTheme="majorHAnsi" w:hAnsiTheme="majorHAnsi"/>
        </w:rPr>
        <w:fldChar w:fldCharType="begin"/>
      </w:r>
      <w:r w:rsidR="009A2238" w:rsidRPr="00E82D3B">
        <w:rPr>
          <w:rFonts w:asciiTheme="majorHAnsi" w:hAnsiTheme="majorHAnsi"/>
        </w:rPr>
        <w:instrText xml:space="preserve"> ADDIN EN.CITE &lt;EndNote&gt;&lt;Cite ExcludeAuth="1"&gt;&lt;Author&gt;OfficeforNationalStatistics&lt;/Author&gt;&lt;Year&gt;2015&lt;/Year&gt;&lt;IDText&gt;Cancer Registration Statistics, England: 2015&lt;/IDText&gt;&lt;DisplayText&gt;(2015)&lt;/DisplayText&gt;&lt;record&gt;&lt;urls&gt;&lt;related-urls&gt;&lt;url&gt;https://www.ons.gov.uk/peoplepopulationandcommunity/healthandsocialcare/conditionsanddiseases/bulletins/cancerregistrationstatisticsengland/2015&lt;/url&gt;&lt;/related-urls&gt;&lt;/urls&gt;&lt;titles&gt;&lt;title&gt;Cancer Registration Statistics, England: 2015&lt;/title&gt;&lt;/titles&gt;&lt;contributors&gt;&lt;authors&gt;&lt;author&gt;OfficeforNationalStatistics&lt;/author&gt;&lt;/authors&gt;&lt;/contributors&gt;&lt;added-date format="utc"&gt;1508932537&lt;/added-date&gt;&lt;ref-type name="Generic"&gt;13&lt;/ref-type&gt;&lt;dates&gt;&lt;year&gt;2015&lt;/year&gt;&lt;/dates&gt;&lt;rec-number&gt;301&lt;/rec-number&gt;&lt;last-updated-date format="utc"&gt;1515417893&lt;/last-updated-date&gt;&lt;/record&gt;&lt;/Cite&gt;&lt;/EndNote&gt;</w:instrText>
      </w:r>
      <w:r w:rsidR="0070038F" w:rsidRPr="00E82D3B">
        <w:rPr>
          <w:rFonts w:asciiTheme="majorHAnsi" w:hAnsiTheme="majorHAnsi"/>
        </w:rPr>
        <w:fldChar w:fldCharType="separate"/>
      </w:r>
      <w:r w:rsidR="009A2238" w:rsidRPr="00E82D3B">
        <w:rPr>
          <w:rFonts w:asciiTheme="majorHAnsi" w:hAnsiTheme="majorHAnsi"/>
          <w:noProof/>
        </w:rPr>
        <w:t>2015)</w:t>
      </w:r>
      <w:r w:rsidR="0070038F" w:rsidRPr="00E82D3B">
        <w:rPr>
          <w:rFonts w:asciiTheme="majorHAnsi" w:hAnsiTheme="majorHAnsi"/>
        </w:rPr>
        <w:fldChar w:fldCharType="end"/>
      </w:r>
      <w:r w:rsidRPr="00E82D3B">
        <w:rPr>
          <w:rFonts w:asciiTheme="majorHAnsi" w:hAnsiTheme="majorHAnsi"/>
        </w:rPr>
        <w:t>.</w:t>
      </w:r>
      <w:r>
        <w:rPr>
          <w:rFonts w:asciiTheme="majorHAnsi" w:hAnsiTheme="majorHAnsi"/>
        </w:rPr>
        <w:t xml:space="preserve"> </w:t>
      </w:r>
      <w:r w:rsidRPr="004E2D72">
        <w:rPr>
          <w:rFonts w:asciiTheme="majorHAnsi" w:hAnsiTheme="majorHAnsi"/>
        </w:rPr>
        <w:t>When research into the genetics behind CRC began to emerge, what was once thought of as a single disease became a group of heterogeneous diseases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&lt;EndNote&gt;&lt;Cite&gt;&lt;Author&gt;Ogino&lt;/Author&gt;&lt;Year&gt;2008&lt;/Year&gt;&lt;IDText&gt;Molecular classification and correlates in colorectal cancer&lt;/IDText&gt;&lt;DisplayText&gt;(Ogino and Goel, 2008)&lt;/DisplayText&gt;&lt;record&gt;&lt;dates&gt;&lt;pub-dates&gt;&lt;date&gt;Jan&lt;/date&gt;&lt;/pub-dates&gt;&lt;year&gt;2008&lt;/year&gt;&lt;/dates&gt;&lt;keywords&gt;&lt;keyword&gt;Animals&lt;/keyword&gt;&lt;keyword&gt;Biomarkers, Tumor&lt;/keyword&gt;&lt;keyword&gt;Colorectal Neoplasms&lt;/keyword&gt;&lt;keyword&gt;Genetic Predisposition to Disease&lt;/keyword&gt;&lt;keyword&gt;Humans&lt;/keyword&gt;&lt;/keywords&gt;&lt;urls&gt;&lt;related-urls&gt;&lt;url&gt;http://www.ncbi.nlm.nih.gov/pubmed/18165277&lt;/url&gt;&lt;/related-urls&gt;&lt;/urls&gt;&lt;isbn&gt;1525-1578&lt;/isbn&gt;&lt;custom2&gt;PMC2175539&lt;/custom2&gt;&lt;titles&gt;&lt;title&gt;Molecular classification and correlates in colorectal cancer&lt;/title&gt;&lt;secondary-title&gt;J Mol Diagn&lt;/secondary-title&gt;&lt;/titles&gt;&lt;pages&gt;13-27&lt;/pages&gt;&lt;number&gt;1&lt;/number&gt;&lt;contributors&gt;&lt;authors&gt;&lt;author&gt;Ogino, S.&lt;/author&gt;&lt;author&gt;Goel, A.&lt;/author&gt;&lt;/authors&gt;&lt;/contributors&gt;&lt;language&gt;eng&lt;/language&gt;&lt;added-date format="utc"&gt;1460650114&lt;/added-date&gt;&lt;ref-type name="Journal Article"&gt;17&lt;/ref-type&gt;&lt;rec-number&gt;156&lt;/rec-number&gt;&lt;last-updated-date format="utc"&gt;1460650114&lt;/last-updated-date&gt;&lt;accession-num&gt;18165277&lt;/accession-num&gt;&lt;electronic-resource-num&gt;10.2353/jmoldx.2008.070082&lt;/electronic-resource-num&gt;&lt;volume&gt;10&lt;/volume&gt;&lt;/record&gt;&lt;/Cite&gt;&lt;/EndNote&gt;</w:instrText>
      </w:r>
      <w:r>
        <w:rPr>
          <w:rFonts w:asciiTheme="majorHAnsi" w:hAnsiTheme="majorHAnsi"/>
        </w:rPr>
        <w:fldChar w:fldCharType="separate"/>
      </w:r>
      <w:r>
        <w:rPr>
          <w:rFonts w:asciiTheme="majorHAnsi" w:hAnsiTheme="majorHAnsi"/>
          <w:noProof/>
        </w:rPr>
        <w:t>(Ogino and Goel, 2008)</w:t>
      </w:r>
      <w:r>
        <w:rPr>
          <w:rFonts w:asciiTheme="majorHAnsi" w:hAnsiTheme="majorHAnsi"/>
        </w:rPr>
        <w:fldChar w:fldCharType="end"/>
      </w:r>
      <w:r>
        <w:rPr>
          <w:rFonts w:asciiTheme="majorHAnsi" w:hAnsiTheme="majorHAnsi"/>
        </w:rPr>
        <w:t>.</w:t>
      </w:r>
      <w:r w:rsidRPr="004E2D72">
        <w:rPr>
          <w:rFonts w:asciiTheme="majorHAnsi" w:hAnsiTheme="majorHAnsi"/>
        </w:rPr>
        <w:t xml:space="preserve"> Not only does CRC have a high incidence and mortality rate, it is also second in heritability tables </w:t>
      </w:r>
      <w:r>
        <w:rPr>
          <w:rFonts w:asciiTheme="majorHAnsi" w:hAnsiTheme="majorHAnsi"/>
        </w:rPr>
        <w:fldChar w:fldCharType="begin"/>
      </w:r>
      <w:r>
        <w:rPr>
          <w:rFonts w:asciiTheme="majorHAnsi" w:hAnsiTheme="majorHAnsi"/>
        </w:rPr>
        <w:instrText xml:space="preserve"> ADDIN EN.CITE &lt;EndNote&gt;&lt;Cite&gt;&lt;Author&gt;de la Chapelle&lt;/Author&gt;&lt;Year&gt;2004&lt;/Year&gt;&lt;IDText&gt;Genetic predisposition to colorectal cancer&lt;/IDText&gt;&lt;DisplayText&gt;(de la Chapelle, 2004)&lt;/DisplayText&gt;&lt;record&gt;&lt;dates&gt;&lt;pub-dates&gt;&lt;date&gt;Oct&lt;/date&gt;&lt;/pub-dates&gt;&lt;year&gt;2004&lt;/year&gt;&lt;/dates&gt;&lt;keywords&gt;&lt;keyword&gt;Adenomatous Polyposis Coli&lt;/keyword&gt;&lt;keyword&gt;Base Pair Mismatch&lt;/keyword&gt;&lt;keyword&gt;Colorectal Neoplasms&lt;/keyword&gt;&lt;keyword&gt;Colorectal Neoplasms, Hereditary Nonpolyposis&lt;/keyword&gt;&lt;keyword&gt;DNA Repair&lt;/keyword&gt;&lt;keyword&gt;Genes, APC&lt;/keyword&gt;&lt;keyword&gt;Genes, DCC&lt;/keyword&gt;&lt;keyword&gt;Genetic Predisposition to Disease&lt;/keyword&gt;&lt;keyword&gt;Humans&lt;/keyword&gt;&lt;keyword&gt;Mutation&lt;/keyword&gt;&lt;keyword&gt;Neoplastic Syndromes, Hereditary&lt;/keyword&gt;&lt;keyword&gt;Organ Specificity&lt;/keyword&gt;&lt;keyword&gt;Penetrance&lt;/keyword&gt;&lt;keyword&gt;Risk Factors&lt;/keyword&gt;&lt;/keywords&gt;&lt;urls&gt;&lt;related-urls&gt;&lt;url&gt;http://www.ncbi.nlm.nih.gov/pubmed/15510158&lt;/url&gt;&lt;/related-urls&gt;&lt;/urls&gt;&lt;isbn&gt;1474-175X&lt;/isbn&gt;&lt;titles&gt;&lt;title&gt;Genetic predisposition to colorectal cancer&lt;/title&gt;&lt;secondary-title&gt;Nat Rev Cancer&lt;/secondary-title&gt;&lt;/titles&gt;&lt;pages&gt;769-80&lt;/pages&gt;&lt;number&gt;10&lt;/number&gt;&lt;contributors&gt;&lt;authors&gt;&lt;author&gt;de la Chapelle, A.&lt;/author&gt;&lt;/authors&gt;&lt;/contributors&gt;&lt;language&gt;eng&lt;/language&gt;&lt;added-date format="utc"&gt;1459957876&lt;/added-date&gt;&lt;ref-type name="Journal Article"&gt;17&lt;/ref-type&gt;&lt;rec-number&gt;148&lt;/rec-number&gt;&lt;last-updated-date format="utc"&gt;1459957876&lt;/last-updated-date&gt;&lt;accession-num&gt;15510158&lt;/accession-num&gt;&lt;electronic-resource-num&gt;10.1038/nrc1453&lt;/electronic-resource-num&gt;&lt;volume&gt;4&lt;/volume&gt;&lt;/record&gt;&lt;/Cite&gt;&lt;/EndNote&gt;</w:instrText>
      </w:r>
      <w:r>
        <w:rPr>
          <w:rFonts w:asciiTheme="majorHAnsi" w:hAnsiTheme="majorHAnsi"/>
        </w:rPr>
        <w:fldChar w:fldCharType="separate"/>
      </w:r>
      <w:r>
        <w:rPr>
          <w:rFonts w:asciiTheme="majorHAnsi" w:hAnsiTheme="majorHAnsi"/>
          <w:noProof/>
        </w:rPr>
        <w:t>(de la Chapelle, 2004)</w:t>
      </w:r>
      <w:r>
        <w:rPr>
          <w:rFonts w:asciiTheme="majorHAnsi" w:hAnsiTheme="majorHAnsi"/>
        </w:rPr>
        <w:fldChar w:fldCharType="end"/>
      </w:r>
      <w:r w:rsidR="00AD06B1">
        <w:rPr>
          <w:rFonts w:asciiTheme="majorHAnsi" w:hAnsiTheme="majorHAnsi"/>
        </w:rPr>
        <w:t>;</w:t>
      </w:r>
      <w:r w:rsidRPr="004E2D72">
        <w:rPr>
          <w:rFonts w:asciiTheme="majorHAnsi" w:hAnsiTheme="majorHAnsi"/>
        </w:rPr>
        <w:t xml:space="preserve"> 25% of cases of CRC are familial or due to a hereditary syndrome, with the other 75% being sporadic cancers </w:t>
      </w:r>
      <w:r>
        <w:rPr>
          <w:rFonts w:asciiTheme="majorHAnsi" w:hAnsiTheme="majorHAnsi"/>
        </w:rPr>
        <w:fldChar w:fldCharType="begin"/>
      </w:r>
      <w:r>
        <w:rPr>
          <w:rFonts w:asciiTheme="majorHAnsi" w:hAnsiTheme="majorHAnsi"/>
        </w:rPr>
        <w:instrText xml:space="preserve"> ADDIN EN.CITE &lt;EndNote&gt;&lt;Cite&gt;&lt;Author&gt;Souglakos&lt;/Author&gt;&lt;Year&gt;2007&lt;/Year&gt;&lt;IDText&gt;Genetic alterations in sporadic and hereditary colorectal cancer: implementations for screening and follow-up&lt;/IDText&gt;&lt;DisplayText&gt;(Souglakos, 2007)&lt;/DisplayText&gt;&lt;record&gt;&lt;keywords&gt;&lt;keyword&gt;Adenomatous Polyposis Coli&lt;/keyword&gt;&lt;keyword&gt;Colorectal Neoplasms, Hereditary Nonpolyposis&lt;/keyword&gt;&lt;keyword&gt;Follow-Up Studies&lt;/keyword&gt;&lt;keyword&gt;Genetic Testing&lt;/keyword&gt;&lt;keyword&gt;Humans&lt;/keyword&gt;&lt;keyword&gt;Peutz-Jeghers Syndrome&lt;/keyword&gt;&lt;/keywords&gt;&lt;urls&gt;&lt;related-urls&gt;&lt;url&gt;http://www.ncbi.nlm.nih.gov/pubmed/17384504&lt;/url&gt;&lt;/related-urls&gt;&lt;/urls&gt;&lt;isbn&gt;0257-2753&lt;/isbn&gt;&lt;titles&gt;&lt;title&gt;Genetic alterations in sporadic and hereditary colorectal cancer: implementations for screening and follow-up&lt;/title&gt;&lt;secondary-title&gt;Dig Dis&lt;/secondary-title&gt;&lt;/titles&gt;&lt;pages&gt;9-19&lt;/pages&gt;&lt;number&gt;1&lt;/number&gt;&lt;contributors&gt;&lt;authors&gt;&lt;author&gt;Souglakos, J.&lt;/author&gt;&lt;/authors&gt;&lt;/contributors&gt;&lt;language&gt;eng&lt;/language&gt;&lt;added-date format="utc"&gt;1426003317&lt;/added-date&gt;&lt;ref-type name="Journal Article"&gt;17&lt;/ref-type&gt;&lt;dates&gt;&lt;year&gt;2007&lt;/year&gt;&lt;/dates&gt;&lt;rec-number&gt;113&lt;/rec-number&gt;&lt;last-updated-date format="utc"&gt;1447344304&lt;/last-updated-date&gt;&lt;accession-num&gt;17384504&lt;/accession-num&gt;&lt;electronic-resource-num&gt;10.1159/000099166&lt;/electronic-resource-num&gt;&lt;volume&gt;25&lt;/volume&gt;&lt;/record&gt;&lt;/Cite&gt;&lt;/EndNote&gt;</w:instrText>
      </w:r>
      <w:r>
        <w:rPr>
          <w:rFonts w:asciiTheme="majorHAnsi" w:hAnsiTheme="majorHAnsi"/>
        </w:rPr>
        <w:fldChar w:fldCharType="separate"/>
      </w:r>
      <w:r>
        <w:rPr>
          <w:rFonts w:asciiTheme="majorHAnsi" w:hAnsiTheme="majorHAnsi"/>
          <w:noProof/>
        </w:rPr>
        <w:t>(Souglakos, 2007)</w:t>
      </w:r>
      <w:r>
        <w:rPr>
          <w:rFonts w:asciiTheme="majorHAnsi" w:hAnsiTheme="majorHAnsi"/>
        </w:rPr>
        <w:fldChar w:fldCharType="end"/>
      </w:r>
      <w:r>
        <w:rPr>
          <w:rFonts w:asciiTheme="majorHAnsi" w:hAnsiTheme="majorHAnsi"/>
        </w:rPr>
        <w:t xml:space="preserve">. </w:t>
      </w:r>
      <w:r w:rsidRPr="004E2D72">
        <w:rPr>
          <w:rFonts w:asciiTheme="majorHAnsi" w:hAnsiTheme="majorHAnsi"/>
        </w:rPr>
        <w:t xml:space="preserve">Although studies </w:t>
      </w:r>
      <w:r>
        <w:rPr>
          <w:rFonts w:asciiTheme="majorHAnsi" w:hAnsiTheme="majorHAnsi"/>
        </w:rPr>
        <w:t xml:space="preserve">several </w:t>
      </w:r>
      <w:r w:rsidRPr="004E2D72">
        <w:rPr>
          <w:rFonts w:asciiTheme="majorHAnsi" w:hAnsiTheme="majorHAnsi"/>
        </w:rPr>
        <w:t>decades ago uncovered well-known driver genes of CRC tumour progression, suc</w:t>
      </w:r>
      <w:r w:rsidR="007A6E6D">
        <w:rPr>
          <w:rFonts w:asciiTheme="majorHAnsi" w:hAnsiTheme="majorHAnsi"/>
        </w:rPr>
        <w:t xml:space="preserve">h as the </w:t>
      </w:r>
      <w:r w:rsidR="00AD06B1">
        <w:rPr>
          <w:rFonts w:asciiTheme="majorHAnsi" w:hAnsiTheme="majorHAnsi"/>
        </w:rPr>
        <w:t xml:space="preserve">tumour </w:t>
      </w:r>
      <w:r w:rsidR="007A6E6D">
        <w:rPr>
          <w:rFonts w:asciiTheme="majorHAnsi" w:hAnsiTheme="majorHAnsi"/>
        </w:rPr>
        <w:t>over</w:t>
      </w:r>
      <w:r w:rsidR="00327AA2">
        <w:rPr>
          <w:rFonts w:asciiTheme="majorHAnsi" w:hAnsiTheme="majorHAnsi"/>
        </w:rPr>
        <w:t>-</w:t>
      </w:r>
      <w:r w:rsidR="007A6E6D">
        <w:rPr>
          <w:rFonts w:asciiTheme="majorHAnsi" w:hAnsiTheme="majorHAnsi"/>
        </w:rPr>
        <w:t>expression of c-MYC</w:t>
      </w:r>
      <w:r w:rsidRPr="004E2D72">
        <w:rPr>
          <w:rFonts w:asciiTheme="majorHAnsi" w:hAnsiTheme="majorHAnsi"/>
        </w:rPr>
        <w:t xml:space="preserve"> and the </w:t>
      </w:r>
      <w:r w:rsidR="00AD06B1">
        <w:rPr>
          <w:rFonts w:asciiTheme="majorHAnsi" w:hAnsiTheme="majorHAnsi"/>
        </w:rPr>
        <w:t xml:space="preserve">somatic </w:t>
      </w:r>
      <w:r w:rsidRPr="004E2D72">
        <w:rPr>
          <w:rFonts w:asciiTheme="majorHAnsi" w:hAnsiTheme="majorHAnsi"/>
        </w:rPr>
        <w:t xml:space="preserve">loss of </w:t>
      </w:r>
      <w:r w:rsidR="00AD06B1">
        <w:rPr>
          <w:rFonts w:asciiTheme="majorHAnsi" w:hAnsiTheme="majorHAnsi"/>
        </w:rPr>
        <w:t xml:space="preserve">the </w:t>
      </w:r>
      <w:r w:rsidRPr="004E2D72">
        <w:rPr>
          <w:rFonts w:asciiTheme="majorHAnsi" w:hAnsiTheme="majorHAnsi"/>
        </w:rPr>
        <w:t>adenomatous polyposis coli (</w:t>
      </w:r>
      <w:r w:rsidRPr="00AD06B1">
        <w:rPr>
          <w:rFonts w:asciiTheme="majorHAnsi" w:hAnsiTheme="majorHAnsi"/>
          <w:i/>
        </w:rPr>
        <w:t>APC</w:t>
      </w:r>
      <w:r w:rsidRPr="004E2D72">
        <w:rPr>
          <w:rFonts w:asciiTheme="majorHAnsi" w:hAnsiTheme="majorHAnsi"/>
        </w:rPr>
        <w:t xml:space="preserve">) tumour suppressor gene, </w:t>
      </w:r>
      <w:r w:rsidR="00AD06B1">
        <w:rPr>
          <w:rFonts w:asciiTheme="majorHAnsi" w:hAnsiTheme="majorHAnsi"/>
        </w:rPr>
        <w:t xml:space="preserve">inherited polymorphic variation also contributes to sporadic CRC </w:t>
      </w:r>
      <w:r>
        <w:rPr>
          <w:rFonts w:asciiTheme="majorHAnsi" w:hAnsiTheme="majorHAnsi"/>
        </w:rPr>
        <w:fldChar w:fldCharType="begin"/>
      </w:r>
      <w:r>
        <w:rPr>
          <w:rFonts w:asciiTheme="majorHAnsi" w:hAnsiTheme="majorHAnsi"/>
        </w:rPr>
        <w:instrText xml:space="preserve"> ADDIN EN.CITE &lt;EndNote&gt;&lt;Cite&gt;&lt;Author&gt;Erisman&lt;/Author&gt;&lt;Year&gt;1989&lt;/Year&gt;&lt;IDText&gt;Evidence that the familial adenomatous polyposis gene is involved in a subset of colon cancers with a complementable defect in c-myc regulation&lt;/IDText&gt;&lt;DisplayText&gt;(Erisman et al., 1989)&lt;/DisplayText&gt;&lt;record&gt;&lt;dates&gt;&lt;pub-dates&gt;&lt;date&gt;Jun&lt;/date&gt;&lt;/pub-dates&gt;&lt;year&gt;1989&lt;/year&gt;&lt;/dates&gt;&lt;keywords&gt;&lt;keyword&gt;Adenomatous Polyposis Coli&lt;/keyword&gt;&lt;keyword&gt;Alleles&lt;/keyword&gt;&lt;keyword&gt;Cell Line&lt;/keyword&gt;&lt;keyword&gt;Chromosomes, Human, Pair 5&lt;/keyword&gt;&lt;keyword&gt;Colonic Neoplasms&lt;/keyword&gt;&lt;keyword&gt;Gene Expression Regulation&lt;/keyword&gt;&lt;keyword&gt;Humans&lt;/keyword&gt;&lt;keyword&gt;Kinetics&lt;/keyword&gt;&lt;keyword&gt;Proto-Oncogene Proteins&lt;/keyword&gt;&lt;keyword&gt;Proto-Oncogene Proteins c-myc&lt;/keyword&gt;&lt;keyword&gt;Proto-Oncogenes&lt;/keyword&gt;&lt;keyword&gt;RNA, Messenger&lt;/keyword&gt;&lt;keyword&gt;Transcription, Genetic&lt;/keyword&gt;&lt;/keywords&gt;&lt;urls&gt;&lt;related-urls&gt;&lt;url&gt;https://www.ncbi.nlm.nih.gov/pubmed/2542967&lt;/url&gt;&lt;/related-urls&gt;&lt;/urls&gt;&lt;isbn&gt;0027-8424&lt;/isbn&gt;&lt;custom2&gt;PMC287431&lt;/custom2&gt;&lt;titles&gt;&lt;title&gt;Evidence that the familial adenomatous polyposis gene is involved in a subset of colon cancers with a complementable defect in c-myc regulation&lt;/title&gt;&lt;secondary-title&gt;Proc Natl Acad Sci U S A&lt;/secondary-title&gt;&lt;/titles&gt;&lt;pages&gt;4264-8&lt;/pages&gt;&lt;number&gt;11&lt;/number&gt;&lt;contributors&gt;&lt;authors&gt;&lt;author&gt;Erisman, M. D.&lt;/author&gt;&lt;author&gt;Scott, J. K.&lt;/author&gt;&lt;author&gt;Astrin, S. M.&lt;/author&gt;&lt;/authors&gt;&lt;/contributors&gt;&lt;language&gt;eng&lt;/language&gt;&lt;added-date format="utc"&gt;1498744017&lt;/added-date&gt;&lt;ref-type name="Journal Article"&gt;17&lt;/ref-type&gt;&lt;rec-number&gt;192&lt;/rec-number&gt;&lt;last-updated-date format="utc"&gt;1498744017&lt;/last-updated-date&gt;&lt;accession-num&gt;2542967&lt;/accession-num&gt;&lt;volume&gt;86&lt;/volume&gt;&lt;/record&gt;&lt;/Cite&gt;&lt;/EndNote&gt;</w:instrText>
      </w:r>
      <w:r>
        <w:rPr>
          <w:rFonts w:asciiTheme="majorHAnsi" w:hAnsiTheme="majorHAnsi"/>
        </w:rPr>
        <w:fldChar w:fldCharType="separate"/>
      </w:r>
      <w:r>
        <w:rPr>
          <w:rFonts w:asciiTheme="majorHAnsi" w:hAnsiTheme="majorHAnsi"/>
          <w:noProof/>
        </w:rPr>
        <w:t>(Erisman et al., 1989)</w:t>
      </w:r>
      <w:r>
        <w:rPr>
          <w:rFonts w:asciiTheme="majorHAnsi" w:hAnsiTheme="majorHAnsi"/>
        </w:rPr>
        <w:fldChar w:fldCharType="end"/>
      </w:r>
      <w:r>
        <w:rPr>
          <w:rFonts w:asciiTheme="majorHAnsi" w:hAnsiTheme="majorHAnsi"/>
        </w:rPr>
        <w:t>.</w:t>
      </w:r>
      <w:r w:rsidRPr="004E2D72">
        <w:rPr>
          <w:rFonts w:asciiTheme="majorHAnsi" w:hAnsiTheme="majorHAnsi"/>
        </w:rPr>
        <w:t xml:space="preserve"> Genome wide association studies in more recent years have uncovered low-penetrance </w:t>
      </w:r>
      <w:r w:rsidR="00AD06B1">
        <w:rPr>
          <w:rFonts w:asciiTheme="majorHAnsi" w:hAnsiTheme="majorHAnsi"/>
        </w:rPr>
        <w:t xml:space="preserve">allelic variation </w:t>
      </w:r>
      <w:r w:rsidRPr="004E2D72">
        <w:rPr>
          <w:rFonts w:asciiTheme="majorHAnsi" w:hAnsiTheme="majorHAnsi"/>
        </w:rPr>
        <w:t>that increase people’s risk of developing familial forms of CRC, and contribute</w:t>
      </w:r>
      <w:r w:rsidR="00AD06B1">
        <w:rPr>
          <w:rFonts w:asciiTheme="majorHAnsi" w:hAnsiTheme="majorHAnsi"/>
        </w:rPr>
        <w:t>s</w:t>
      </w:r>
      <w:r w:rsidRPr="004E2D72">
        <w:rPr>
          <w:rFonts w:asciiTheme="majorHAnsi" w:hAnsiTheme="majorHAnsi"/>
        </w:rPr>
        <w:t xml:space="preserve"> towards susceptibility of sporadic cancer </w:t>
      </w:r>
      <w:r>
        <w:rPr>
          <w:rFonts w:asciiTheme="majorHAnsi" w:hAnsiTheme="majorHAnsi"/>
        </w:rPr>
        <w:fldChar w:fldCharType="begin">
          <w:fldData xml:space="preserve">PEVuZE5vdGU+PENpdGU+PEF1dGhvcj5QZXRlcnM8L0F1dGhvcj48WWVhcj4yMDEyPC9ZZWFyPjxJ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==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PEVuZE5vdGU+PENpdGU+PEF1dGhvcj5QZXRlcnM8L0F1dGhvcj48WWVhcj4yMDEyPC9ZZWFyPjxJ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==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(Peters et al., 2012)</w:t>
      </w:r>
      <w:r>
        <w:rPr>
          <w:rFonts w:asciiTheme="majorHAnsi" w:hAnsiTheme="majorHAnsi"/>
        </w:rPr>
        <w:fldChar w:fldCharType="end"/>
      </w:r>
      <w:r>
        <w:rPr>
          <w:rFonts w:asciiTheme="majorHAnsi" w:hAnsiTheme="majorHAnsi"/>
        </w:rPr>
        <w:t>.</w:t>
      </w:r>
    </w:p>
    <w:p w14:paraId="531B443E" w14:textId="77777777" w:rsidR="00B15A35" w:rsidRPr="004E2D72" w:rsidRDefault="00B15A35" w:rsidP="00B15A35">
      <w:pPr>
        <w:pStyle w:val="NoSpacing"/>
        <w:spacing w:line="360" w:lineRule="auto"/>
        <w:jc w:val="both"/>
        <w:rPr>
          <w:rFonts w:asciiTheme="majorHAnsi" w:hAnsiTheme="majorHAnsi"/>
        </w:rPr>
      </w:pPr>
    </w:p>
    <w:p w14:paraId="5815E7DF" w14:textId="19CE28D7" w:rsidR="00B15A35" w:rsidRPr="004E2D72" w:rsidRDefault="00B15A35" w:rsidP="00B15A35">
      <w:pPr>
        <w:pStyle w:val="NoSpacing"/>
        <w:spacing w:line="360" w:lineRule="auto"/>
        <w:jc w:val="both"/>
        <w:rPr>
          <w:rFonts w:asciiTheme="majorHAnsi" w:hAnsiTheme="majorHAnsi"/>
        </w:rPr>
      </w:pPr>
      <w:r w:rsidRPr="004E2D72">
        <w:rPr>
          <w:rFonts w:asciiTheme="majorHAnsi" w:hAnsiTheme="majorHAnsi"/>
        </w:rPr>
        <w:t>CRC progression follows the multistage clonal expansion model, in which normal epithelial cells develop mutations during mitotic divisions, which cause differentiation into adenomatous polyps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&lt;EndNote&gt;&lt;Cite&gt;&lt;Author&gt;Fearon&lt;/Author&gt;&lt;Year&gt;1990&lt;/Year&gt;&lt;IDText&gt;A genetic model for colorectal tumorigenesis&lt;/IDText&gt;&lt;DisplayText&gt;(Fearon and Vogelstein, 1990)&lt;/DisplayText&gt;&lt;record&gt;&lt;dates&gt;&lt;pub-dates&gt;&lt;date&gt;Jun&lt;/date&gt;&lt;/pub-dates&gt;&lt;year&gt;1990&lt;/year&gt;&lt;/dates&gt;&lt;keywords&gt;&lt;keyword&gt;Alleles&lt;/keyword&gt;&lt;keyword&gt;Chromosome Deletion&lt;/keyword&gt;&lt;keyword&gt;Colorectal Neoplasms&lt;/keyword&gt;&lt;keyword&gt;Heterozygote&lt;/keyword&gt;&lt;keyword&gt;Humans&lt;/keyword&gt;&lt;keyword&gt;Models, Genetic&lt;/keyword&gt;&lt;keyword&gt;Mutation&lt;/keyword&gt;&lt;keyword&gt;Oncogenes&lt;/keyword&gt;&lt;keyword&gt;Suppression, Genetic&lt;/keyword&gt;&lt;/keywords&gt;&lt;urls&gt;&lt;related-urls&gt;&lt;url&gt;http://www.ncbi.nlm.nih.gov/pubmed/2188735&lt;/url&gt;&lt;/related-urls&gt;&lt;/urls&gt;&lt;isbn&gt;0092-8674&lt;/isbn&gt;&lt;titles&gt;&lt;title&gt;A genetic model for colorectal tumorigenesis&lt;/title&gt;&lt;secondary-title&gt;Cell&lt;/secondary-title&gt;&lt;/titles&gt;&lt;pages&gt;759-67&lt;/pages&gt;&lt;number&gt;5&lt;/number&gt;&lt;contributors&gt;&lt;authors&gt;&lt;author&gt;Fearon, E. R.&lt;/author&gt;&lt;author&gt;Vogelstein, B.&lt;/author&gt;&lt;/authors&gt;&lt;/contributors&gt;&lt;language&gt;eng&lt;/language&gt;&lt;added-date format="utc"&gt;1425981548&lt;/added-date&gt;&lt;ref-type name="Journal Article"&gt;17&lt;/ref-type&gt;&lt;rec-number&gt;33&lt;/rec-number&gt;&lt;last-updated-date format="utc"&gt;1447344549&lt;/last-updated-date&gt;&lt;accession-num&gt;2188735&lt;/accession-num&gt;&lt;volume&gt;61&lt;/volume&gt;&lt;/record&gt;&lt;/Cite&gt;&lt;/EndNote&gt;</w:instrText>
      </w:r>
      <w:r>
        <w:rPr>
          <w:rFonts w:asciiTheme="majorHAnsi" w:hAnsiTheme="majorHAnsi"/>
        </w:rPr>
        <w:fldChar w:fldCharType="separate"/>
      </w:r>
      <w:r>
        <w:rPr>
          <w:rFonts w:asciiTheme="majorHAnsi" w:hAnsiTheme="majorHAnsi"/>
          <w:noProof/>
        </w:rPr>
        <w:t>(Fearon and Vogelstein, 1990)</w:t>
      </w:r>
      <w:r>
        <w:rPr>
          <w:rFonts w:asciiTheme="majorHAnsi" w:hAnsiTheme="majorHAnsi"/>
        </w:rPr>
        <w:fldChar w:fldCharType="end"/>
      </w:r>
      <w:r w:rsidRPr="004E2D72">
        <w:rPr>
          <w:rFonts w:asciiTheme="majorHAnsi" w:hAnsiTheme="majorHAnsi"/>
        </w:rPr>
        <w:t>. These are benign growths that contain an inactivation of the APC gene</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&lt;EndNote&gt;&lt;Cite&gt;&lt;Author&gt;Groden&lt;/Author&gt;&lt;Year&gt;1991&lt;/Year&gt;&lt;IDText&gt;Identification and characterization of the familial adenomatous polyposis coli gene&lt;/IDText&gt;&lt;DisplayText&gt;(Groden et al., 1991)&lt;/DisplayText&gt;&lt;record&gt;&lt;dates&gt;&lt;pub-dates&gt;&lt;date&gt;Aug&lt;/date&gt;&lt;/pub-dates&gt;&lt;year&gt;1991&lt;/year&gt;&lt;/dates&gt;&lt;keywords&gt;&lt;keyword&gt;Adenomatous Polyposis Coli&lt;/keyword&gt;&lt;keyword&gt;Amino Acid Sequence&lt;/keyword&gt;&lt;keyword&gt;Base Sequence&lt;/keyword&gt;&lt;keyword&gt;Chromosome Deletion&lt;/keyword&gt;&lt;keyword&gt;DNA&lt;/keyword&gt;&lt;keyword&gt;Exons&lt;/keyword&gt;&lt;keyword&gt;Genes&lt;/keyword&gt;&lt;keyword&gt;Humans&lt;/keyword&gt;&lt;keyword&gt;Molecular Sequence Data&lt;/keyword&gt;&lt;keyword&gt;Mutation&lt;/keyword&gt;&lt;keyword&gt;Oligonucleotides&lt;/keyword&gt;&lt;keyword&gt;Pedigree&lt;/keyword&gt;&lt;keyword&gt;Polymerase Chain Reaction&lt;/keyword&gt;&lt;keyword&gt;Polymorphism, Genetic&lt;/keyword&gt;&lt;keyword&gt;Restriction Mapping&lt;/keyword&gt;&lt;/keywords&gt;&lt;urls&gt;&lt;related-urls&gt;&lt;url&gt;http://www.ncbi.nlm.nih.gov/pubmed/1651174&lt;/url&gt;&lt;/related-urls&gt;&lt;/urls&gt;&lt;isbn&gt;0092-8674&lt;/isbn&gt;&lt;titles&gt;&lt;title&gt;Identification and characterization of the familial adenomatous polyposis coli gene&lt;/title&gt;&lt;secondary-title&gt;Cell&lt;/secondary-title&gt;&lt;/titles&gt;&lt;pages&gt;589-600&lt;/pages&gt;&lt;number&gt;3&lt;/number&gt;&lt;contributors&gt;&lt;authors&gt;&lt;author&gt;Groden, J.&lt;/author&gt;&lt;author&gt;Thliveris, A.&lt;/author&gt;&lt;author&gt;Samowitz, W.&lt;/author&gt;&lt;author&gt;Carlson, M.&lt;/author&gt;&lt;author&gt;Gelbert, L.&lt;/author&gt;&lt;author&gt;Albertsen, H.&lt;/author&gt;&lt;author&gt;Joslyn, G.&lt;/author&gt;&lt;author&gt;Stevens, J.&lt;/author&gt;&lt;author&gt;Spirio, L.&lt;/author&gt;&lt;author&gt;Robertson, M.&lt;/author&gt;&lt;/authors&gt;&lt;/contributors&gt;&lt;language&gt;eng&lt;/language&gt;&lt;added-date format="utc"&gt;1425982458&lt;/added-date&gt;&lt;ref-type name="Journal Article"&gt;17&lt;/ref-type&gt;&lt;rec-number&gt;45&lt;/rec-number&gt;&lt;last-updated-date format="utc"&gt;1447343963&lt;/last-updated-date&gt;&lt;accession-num&gt;1651174&lt;/accession-num&gt;&lt;volume&gt;66&lt;/volume&gt;&lt;/record&gt;&lt;/Cite&gt;&lt;/EndNote&gt;</w:instrText>
      </w:r>
      <w:r>
        <w:rPr>
          <w:rFonts w:asciiTheme="majorHAnsi" w:hAnsiTheme="majorHAnsi"/>
        </w:rPr>
        <w:fldChar w:fldCharType="separate"/>
      </w:r>
      <w:r>
        <w:rPr>
          <w:rFonts w:asciiTheme="majorHAnsi" w:hAnsiTheme="majorHAnsi"/>
          <w:noProof/>
        </w:rPr>
        <w:t>(Groden et al., 1991)</w:t>
      </w:r>
      <w:r>
        <w:rPr>
          <w:rFonts w:asciiTheme="majorHAnsi" w:hAnsiTheme="majorHAnsi"/>
        </w:rPr>
        <w:fldChar w:fldCharType="end"/>
      </w:r>
      <w:r w:rsidRPr="004E2D72">
        <w:rPr>
          <w:rFonts w:asciiTheme="majorHAnsi" w:hAnsiTheme="majorHAnsi"/>
        </w:rPr>
        <w:t xml:space="preserve">. The resulting decrease in APC allows </w:t>
      </w:r>
      <m:oMath>
        <m:r>
          <w:rPr>
            <w:rFonts w:ascii="Cambria Math" w:hAnsi="Cambria Math"/>
          </w:rPr>
          <m:t>β</m:t>
        </m:r>
      </m:oMath>
      <w:r w:rsidRPr="004E2D72">
        <w:rPr>
          <w:rFonts w:asciiTheme="majorHAnsi" w:hAnsiTheme="majorHAnsi"/>
        </w:rPr>
        <w:t>-catenin accumulation within the nucleus</w:t>
      </w:r>
      <w:r w:rsidR="00AD06B1">
        <w:rPr>
          <w:rFonts w:asciiTheme="majorHAnsi" w:hAnsiTheme="majorHAnsi"/>
        </w:rPr>
        <w:t>,</w:t>
      </w:r>
      <w:r w:rsidRPr="004E2D72">
        <w:rPr>
          <w:rFonts w:asciiTheme="majorHAnsi" w:hAnsiTheme="majorHAnsi"/>
        </w:rPr>
        <w:t xml:space="preserve"> and </w:t>
      </w:r>
      <w:r w:rsidR="00AD06B1">
        <w:rPr>
          <w:rFonts w:asciiTheme="majorHAnsi" w:hAnsiTheme="majorHAnsi"/>
        </w:rPr>
        <w:t>thus</w:t>
      </w:r>
      <w:r w:rsidRPr="004E2D72">
        <w:rPr>
          <w:rFonts w:asciiTheme="majorHAnsi" w:hAnsiTheme="majorHAnsi"/>
        </w:rPr>
        <w:t xml:space="preserve"> up</w:t>
      </w:r>
      <w:r w:rsidR="00AD06B1">
        <w:rPr>
          <w:rFonts w:asciiTheme="majorHAnsi" w:hAnsiTheme="majorHAnsi"/>
        </w:rPr>
        <w:t>-</w:t>
      </w:r>
      <w:r w:rsidR="00642915">
        <w:rPr>
          <w:rFonts w:asciiTheme="majorHAnsi" w:hAnsiTheme="majorHAnsi"/>
        </w:rPr>
        <w:t>regulation of the WNT</w:t>
      </w:r>
      <w:r w:rsidRPr="004E2D72">
        <w:rPr>
          <w:rFonts w:asciiTheme="majorHAnsi" w:hAnsiTheme="majorHAnsi"/>
        </w:rPr>
        <w:t xml:space="preserve"> signaling pathway, which switches on proliferation</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&lt;EndNote&gt;&lt;Cite&gt;&lt;Author&gt;Abdelmaksoud-Damak&lt;/Author&gt;&lt;Year&gt;2015&lt;/Year&gt;&lt;IDText&gt;Expression and Mutation Pattern of β-Catenin and Adenomatous Polyposis Coli in Colorectal Cancer Patients&lt;/IDText&gt;&lt;DisplayText&gt;(Abdelmaksoud-Damak et al., 2015)&lt;/DisplayText&gt;&lt;record&gt;&lt;dates&gt;&lt;pub-dates&gt;&lt;date&gt;Feb&lt;/date&gt;&lt;/pub-dates&gt;&lt;year&gt;2015&lt;/year&gt;&lt;/dates&gt;&lt;urls&gt;&lt;related-urls&gt;&lt;url&gt;http://www.ncbi.nlm.nih.gov/pubmed/25660336&lt;/url&gt;&lt;/related-urls&gt;&lt;/urls&gt;&lt;isbn&gt;1873-5487&lt;/isbn&gt;&lt;titles&gt;&lt;title&gt;Expression and Mutation Pattern of β-Catenin and Adenomatous Polyposis Coli in Colorectal Cancer Patients&lt;/title&gt;&lt;secondary-title&gt;Arch Med Res&lt;/secondary-title&gt;&lt;/titles&gt;&lt;contributors&gt;&lt;authors&gt;&lt;author&gt;Abdelmaksoud-Damak, R.&lt;/author&gt;&lt;author&gt;Miladi-Abdennadher, I.&lt;/author&gt;&lt;author&gt;Triki, M.&lt;/author&gt;&lt;author&gt;Khabir, A.&lt;/author&gt;&lt;author&gt;Charfi, S.&lt;/author&gt;&lt;author&gt;Ayadi, L.&lt;/author&gt;&lt;author&gt;Frikha, M.&lt;/author&gt;&lt;author&gt;Sellami-Boudawara, T.&lt;/author&gt;&lt;author&gt;Mokdad-Gargouri, R.&lt;/author&gt;&lt;/authors&gt;&lt;/contributors&gt;&lt;language&gt;ENG&lt;/language&gt;&lt;added-date format="utc"&gt;1425911676&lt;/added-date&gt;&lt;ref-type name="Journal Article"&gt;17&lt;/ref-type&gt;&lt;rec-number&gt;7&lt;/rec-number&gt;&lt;last-updated-date format="utc"&gt;1447343583&lt;/last-updated-date&gt;&lt;accession-num&gt;25660336&lt;/accession-num&gt;&lt;electronic-resource-num&gt;10.1016/j.arcmed.2015.01.001&lt;/electronic-resource-num&gt;&lt;/record&gt;&lt;/Cite&gt;&lt;/EndNote&gt;</w:instrText>
      </w:r>
      <w:r>
        <w:rPr>
          <w:rFonts w:asciiTheme="majorHAnsi" w:hAnsiTheme="majorHAnsi"/>
        </w:rPr>
        <w:fldChar w:fldCharType="separate"/>
      </w:r>
      <w:r>
        <w:rPr>
          <w:rFonts w:asciiTheme="majorHAnsi" w:hAnsiTheme="majorHAnsi"/>
          <w:noProof/>
        </w:rPr>
        <w:t>(Abdelmaksoud-Damak et al., 2015)</w:t>
      </w:r>
      <w:r>
        <w:rPr>
          <w:rFonts w:asciiTheme="majorHAnsi" w:hAnsiTheme="majorHAnsi"/>
        </w:rPr>
        <w:fldChar w:fldCharType="end"/>
      </w:r>
      <w:r>
        <w:rPr>
          <w:rFonts w:asciiTheme="majorHAnsi" w:hAnsiTheme="majorHAnsi"/>
        </w:rPr>
        <w:t>.</w:t>
      </w:r>
      <w:r w:rsidRPr="004E2D72">
        <w:rPr>
          <w:rFonts w:asciiTheme="majorHAnsi" w:hAnsiTheme="majorHAnsi"/>
        </w:rPr>
        <w:t xml:space="preserve">  The polyps can then acquire more mutations and progress through low, intermediate and high-risk polyps before becoming malignant tumours </w:t>
      </w:r>
      <w:r>
        <w:rPr>
          <w:rFonts w:asciiTheme="majorHAnsi" w:hAnsiTheme="majorHAnsi"/>
        </w:rPr>
        <w:fldChar w:fldCharType="begin"/>
      </w:r>
      <w:r>
        <w:rPr>
          <w:rFonts w:asciiTheme="majorHAnsi" w:hAnsiTheme="majorHAnsi"/>
        </w:rPr>
        <w:instrText xml:space="preserve"> ADDIN EN.CITE &lt;EndNote&gt;&lt;Cite&gt;&lt;Author&gt;Kushnir&lt;/Author&gt;&lt;Year&gt;2014&lt;/Year&gt;&lt;IDText&gt;Advanced Colorectal Adenomas in Patients Under 45 Years of Age Are Mostly Sporadic&lt;/IDText&gt;&lt;DisplayText&gt;(Kushnir et al., 2014)&lt;/DisplayText&gt;&lt;record&gt;&lt;keywords&gt;&lt;keyword&gt;Colonic Polyps&lt;/keyword&gt;&lt;keyword&gt;Colonoscopy&lt;/keyword&gt;&lt;keyword&gt;Colorectal Neoplasms&lt;/keyword&gt;&lt;keyword&gt;Hereditary Nonpolyposis&lt;/keyword&gt;&lt;keyword&gt;Immunohistochemistry&lt;/keyword&gt;&lt;keyword&gt;Microsatellite Instability&lt;/keyword&gt;&lt;/keywords&gt;&lt;isbn&gt;01632116&lt;/isbn&gt;&lt;titles&gt;&lt;title&gt;Advanced Colorectal Adenomas in Patients Under 45 Years of Age Are Mostly Sporadic&lt;/title&gt;&lt;secondary-title&gt;Digestive Diseases and Sciences&lt;/secondary-title&gt;&lt;/titles&gt;&lt;contributors&gt;&lt;authors&gt;&lt;author&gt;Kushnir, Vladimir M.&lt;/author&gt;&lt;author&gt;Goodwin, Jonathan&lt;/author&gt;&lt;author&gt;Safar, Elyas&lt;/author&gt;&lt;author&gt;Chokshi, Reena V.&lt;/author&gt;&lt;author&gt;Azar, Riad R.&lt;/author&gt;&lt;author&gt;Davidson, Nicholas O.&lt;/author&gt;&lt;author&gt;Watson, Rao&lt;/author&gt;&lt;/authors&gt;&lt;/contributors&gt;&lt;added-date format="utc"&gt;1425983690&lt;/added-date&gt;&lt;ref-type name="Journal Article"&gt;17&lt;/ref-type&gt;&lt;dates&gt;&lt;year&gt;2014&lt;/year&gt;&lt;/dates&gt;&lt;rec-number&gt;61&lt;/rec-number&gt;&lt;last-updated-date format="utc"&gt;1447344165&lt;/last-updated-date&gt;&lt;electronic-resource-num&gt;10.1007/s10620-014-3245-9&lt;/electronic-resource-num&gt;&lt;/record&gt;&lt;/Cite&gt;&lt;/EndNote&gt;</w:instrText>
      </w:r>
      <w:r>
        <w:rPr>
          <w:rFonts w:asciiTheme="majorHAnsi" w:hAnsiTheme="majorHAnsi"/>
        </w:rPr>
        <w:fldChar w:fldCharType="separate"/>
      </w:r>
      <w:r>
        <w:rPr>
          <w:rFonts w:asciiTheme="majorHAnsi" w:hAnsiTheme="majorHAnsi"/>
          <w:noProof/>
        </w:rPr>
        <w:t>(Kushnir et al., 2014)</w:t>
      </w:r>
      <w:r>
        <w:rPr>
          <w:rFonts w:asciiTheme="majorHAnsi" w:hAnsiTheme="majorHAnsi"/>
        </w:rPr>
        <w:fldChar w:fldCharType="end"/>
      </w:r>
      <w:r>
        <w:rPr>
          <w:rFonts w:asciiTheme="majorHAnsi" w:hAnsiTheme="majorHAnsi"/>
        </w:rPr>
        <w:t xml:space="preserve"> (Figure 1.2</w:t>
      </w:r>
      <w:r w:rsidRPr="004E2D72">
        <w:rPr>
          <w:rFonts w:asciiTheme="majorHAnsi" w:hAnsiTheme="majorHAnsi"/>
        </w:rPr>
        <w:t xml:space="preserve">). It is suggested that patients may have adenomas for many years before a genetic instability event triggers cancerous progression </w:t>
      </w:r>
      <w:r>
        <w:rPr>
          <w:rFonts w:asciiTheme="majorHAnsi" w:hAnsiTheme="majorHAnsi"/>
        </w:rPr>
        <w:fldChar w:fldCharType="begin"/>
      </w:r>
      <w:r>
        <w:rPr>
          <w:rFonts w:asciiTheme="majorHAnsi" w:hAnsiTheme="majorHAnsi"/>
        </w:rPr>
        <w:instrText xml:space="preserve"> ADDIN EN.CITE &lt;EndNote&gt;&lt;Cite&gt;&lt;Author&gt;Jones&lt;/Author&gt;&lt;Year&gt;2008&lt;/Year&gt;&lt;IDText&gt;Comparative lesion sequencing provides insights into tumor evolution&lt;/IDText&gt;&lt;DisplayText&gt;(Jones et al., 2008)&lt;/DisplayText&gt;&lt;record&gt;&lt;keywords&gt;&lt;keyword&gt;Cancer Genetics&lt;/keyword&gt;&lt;keyword&gt;Colorectal Cancer&lt;/keyword&gt;&lt;keyword&gt;Metastasis&lt;/keyword&gt;&lt;keyword&gt;Stem Cells&lt;/keyword&gt;&lt;/keywords&gt;&lt;isbn&gt;00278424&lt;/isbn&gt;&lt;titles&gt;&lt;title&gt;Comparative lesion sequencing provides insights into tumor evolution&lt;/title&gt;&lt;secondary-title&gt;Proceedings of the National Academy of Sciences of the United States of America&lt;/secondary-title&gt;&lt;/titles&gt;&lt;pages&gt;4283-4288&lt;/pages&gt;&lt;number&gt;11&lt;/number&gt;&lt;contributors&gt;&lt;authors&gt;&lt;author&gt;Jones, Siân&lt;/author&gt;&lt;author&gt;Parmigiani, Giovanni&lt;/author&gt;&lt;author&gt;Diehl, Frank&lt;/author&gt;&lt;author&gt;Velculescu, Victor E.&lt;/author&gt;&lt;author&gt;Kinzler, Kenneth W.&lt;/author&gt;&lt;author&gt;Vogelstein, Bert&lt;/author&gt;&lt;author&gt;Chen, Wei-Dong&lt;/author&gt;&lt;author&gt;Markowitz, Sanford D.&lt;/author&gt;&lt;author&gt;Willis, Joseph&lt;/author&gt;&lt;author&gt;Siegel, Christopher&lt;/author&gt;&lt;author&gt;Beerenwinkel, Niko&lt;/author&gt;&lt;author&gt;Traulsen, Arne&lt;/author&gt;&lt;author&gt;Antal, Tibor&lt;/author&gt;&lt;author&gt;Nowak, Martin A.&lt;/author&gt;&lt;/authors&gt;&lt;/contributors&gt;&lt;added-date format="utc"&gt;1425983525&lt;/added-date&gt;&lt;ref-type name="Journal Article"&gt;17&lt;/ref-type&gt;&lt;dates&gt;&lt;year&gt;2008&lt;/year&gt;&lt;/dates&gt;&lt;rec-number&gt;57&lt;/rec-number&gt;&lt;last-updated-date format="utc"&gt;1447344165&lt;/last-updated-date&gt;&lt;electronic-resource-num&gt;10.1073/pnas.0712345105&lt;/electronic-resource-num&gt;&lt;volume&gt;105&lt;/volume&gt;&lt;/record&gt;&lt;/Cite&gt;&lt;/EndNote&gt;</w:instrText>
      </w:r>
      <w:r>
        <w:rPr>
          <w:rFonts w:asciiTheme="majorHAnsi" w:hAnsiTheme="majorHAnsi"/>
        </w:rPr>
        <w:fldChar w:fldCharType="separate"/>
      </w:r>
      <w:r>
        <w:rPr>
          <w:rFonts w:asciiTheme="majorHAnsi" w:hAnsiTheme="majorHAnsi"/>
          <w:noProof/>
        </w:rPr>
        <w:t>(Jones et al., 2008)</w:t>
      </w:r>
      <w:r>
        <w:rPr>
          <w:rFonts w:asciiTheme="majorHAnsi" w:hAnsiTheme="majorHAnsi"/>
        </w:rPr>
        <w:fldChar w:fldCharType="end"/>
      </w:r>
      <w:r>
        <w:rPr>
          <w:rFonts w:asciiTheme="majorHAnsi" w:hAnsiTheme="majorHAnsi"/>
        </w:rPr>
        <w:t>.</w:t>
      </w:r>
      <w:r w:rsidRPr="004E2D72">
        <w:rPr>
          <w:rFonts w:asciiTheme="majorHAnsi" w:hAnsiTheme="majorHAnsi"/>
        </w:rPr>
        <w:t xml:space="preserve"> In fact 30% of over 50s present with colorectal adenomas, however, only a small proportion (5%) of these patients will go on to develop colorectal cancer. Therefore it is vital that a screening method is developed which is able to distinguish between high-risk adenomas and those that </w:t>
      </w:r>
      <w:r w:rsidR="00AD06B1">
        <w:rPr>
          <w:rFonts w:asciiTheme="majorHAnsi" w:hAnsiTheme="majorHAnsi"/>
        </w:rPr>
        <w:t>will not</w:t>
      </w:r>
      <w:r w:rsidRPr="004E2D72">
        <w:rPr>
          <w:rFonts w:asciiTheme="majorHAnsi" w:hAnsiTheme="majorHAnsi"/>
        </w:rPr>
        <w:t xml:space="preserve"> progress to malignancy </w:t>
      </w:r>
      <w:r>
        <w:rPr>
          <w:rFonts w:asciiTheme="majorHAnsi" w:hAnsiTheme="majorHAnsi"/>
        </w:rPr>
        <w:fldChar w:fldCharType="begin"/>
      </w:r>
      <w:r>
        <w:rPr>
          <w:rFonts w:asciiTheme="majorHAnsi" w:hAnsiTheme="majorHAnsi"/>
        </w:rPr>
        <w:instrText xml:space="preserve"> ADDIN EN.CITE &lt;EndNote&gt;&lt;Cite&gt;&lt;Author&gt;Eshghi&lt;/Author&gt;&lt;Year&gt;2011&lt;/Year&gt;&lt;IDText&gt;A retrospective study of patients with colorectal polyps&lt;/IDText&gt;&lt;DisplayText&gt;(Eshghi et al., 2011)&lt;/DisplayText&gt;&lt;record&gt;&lt;urls&gt;&lt;related-urls&gt;&lt;url&gt;https://www.ncbi.nlm.nih.gov/pubmed/24834150&lt;/url&gt;&lt;/related-urls&gt;&lt;/urls&gt;&lt;isbn&gt;2008-2258&lt;/isbn&gt;&lt;custom2&gt;PMC4017400&lt;/custom2&gt;&lt;titles&gt;&lt;title&gt;A retrospective study of patients with colorectal polyps&lt;/title&gt;&lt;secondary-title&gt;Gastroenterol Hepatol Bed Bench&lt;/secondary-title&gt;&lt;/titles&gt;&lt;pages&gt;17-22&lt;/pages&gt;&lt;number&gt;1&lt;/number&gt;&lt;contributors&gt;&lt;authors&gt;&lt;author&gt;Eshghi, M. J.&lt;/author&gt;&lt;author&gt;Fatemi, R.&lt;/author&gt;&lt;author&gt;Hashemy, A.&lt;/author&gt;&lt;author&gt;Aldulaimi, D.&lt;/author&gt;&lt;author&gt;Khodadoostan, M.&lt;/author&gt;&lt;/authors&gt;&lt;/contributors&gt;&lt;language&gt;eng&lt;/language&gt;&lt;added-date format="utc"&gt;1498744982&lt;/added-date&gt;&lt;ref-type name="Journal Article"&gt;17&lt;/ref-type&gt;&lt;dates&gt;&lt;year&gt;2011&lt;/year&gt;&lt;/dates&gt;&lt;rec-number&gt;193&lt;/rec-number&gt;&lt;last-updated-date format="utc"&gt;1498744982&lt;/last-updated-date&gt;&lt;accession-num&gt;24834150&lt;/accession-num&gt;&lt;volume&gt;4&lt;/volume&gt;&lt;/record&gt;&lt;/Cite&gt;&lt;/EndNote&gt;</w:instrText>
      </w:r>
      <w:r>
        <w:rPr>
          <w:rFonts w:asciiTheme="majorHAnsi" w:hAnsiTheme="majorHAnsi"/>
        </w:rPr>
        <w:fldChar w:fldCharType="separate"/>
      </w:r>
      <w:r>
        <w:rPr>
          <w:rFonts w:asciiTheme="majorHAnsi" w:hAnsiTheme="majorHAnsi"/>
          <w:noProof/>
        </w:rPr>
        <w:t>(Eshghi et al., 2011)</w:t>
      </w:r>
      <w:r>
        <w:rPr>
          <w:rFonts w:asciiTheme="majorHAnsi" w:hAnsiTheme="majorHAnsi"/>
        </w:rPr>
        <w:fldChar w:fldCharType="end"/>
      </w:r>
      <w:r>
        <w:rPr>
          <w:rFonts w:asciiTheme="majorHAnsi" w:hAnsiTheme="majorHAnsi"/>
        </w:rPr>
        <w:t>.</w:t>
      </w:r>
    </w:p>
    <w:p w14:paraId="5B6D3EAF" w14:textId="77777777" w:rsidR="00B15A35" w:rsidRPr="004E2D72" w:rsidRDefault="00B15A35" w:rsidP="00B15A35">
      <w:pPr>
        <w:spacing w:line="360" w:lineRule="auto"/>
        <w:jc w:val="both"/>
        <w:rPr>
          <w:rFonts w:asciiTheme="majorHAnsi" w:hAnsiTheme="majorHAnsi"/>
        </w:rPr>
      </w:pPr>
    </w:p>
    <w:p w14:paraId="090AB644" w14:textId="763732F4" w:rsidR="00B15A35" w:rsidRDefault="00B15A35" w:rsidP="00B15A35">
      <w:pPr>
        <w:spacing w:line="360" w:lineRule="auto"/>
        <w:jc w:val="both"/>
        <w:rPr>
          <w:rFonts w:asciiTheme="majorHAnsi" w:hAnsiTheme="majorHAnsi"/>
        </w:rPr>
      </w:pPr>
      <w:r w:rsidRPr="00BD146C">
        <w:rPr>
          <w:noProof/>
          <w:lang w:val="en-US"/>
        </w:rPr>
        <mc:AlternateContent>
          <mc:Choice Requires="wps">
            <w:drawing>
              <wp:anchor distT="0" distB="0" distL="114300" distR="114300" simplePos="0" relativeHeight="252125184" behindDoc="0" locked="0" layoutInCell="1" allowOverlap="1" wp14:anchorId="68B96C95" wp14:editId="2C877DFA">
                <wp:simplePos x="0" y="0"/>
                <wp:positionH relativeFrom="column">
                  <wp:posOffset>-114300</wp:posOffset>
                </wp:positionH>
                <wp:positionV relativeFrom="paragraph">
                  <wp:posOffset>1525905</wp:posOffset>
                </wp:positionV>
                <wp:extent cx="5600700" cy="1600200"/>
                <wp:effectExtent l="0" t="0" r="0" b="0"/>
                <wp:wrapSquare wrapText="bothSides"/>
                <wp:docPr id="296" name="Text Box 296"/>
                <wp:cNvGraphicFramePr/>
                <a:graphic xmlns:a="http://schemas.openxmlformats.org/drawingml/2006/main">
                  <a:graphicData uri="http://schemas.microsoft.com/office/word/2010/wordprocessingShape">
                    <wps:wsp>
                      <wps:cNvSpPr txBox="1"/>
                      <wps:spPr>
                        <a:xfrm>
                          <a:off x="0" y="0"/>
                          <a:ext cx="56007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7BA1E9" w14:textId="77777777" w:rsidR="00E82D3B" w:rsidRDefault="00E82D3B" w:rsidP="00B15A35">
                            <w:pPr>
                              <w:jc w:val="both"/>
                              <w:rPr>
                                <w:b/>
                                <w:i/>
                                <w:sz w:val="22"/>
                              </w:rPr>
                            </w:pPr>
                            <w:r w:rsidRPr="006D5624">
                              <w:rPr>
                                <w:b/>
                                <w:i/>
                                <w:sz w:val="22"/>
                              </w:rPr>
                              <w:t>F</w:t>
                            </w:r>
                            <w:r>
                              <w:rPr>
                                <w:b/>
                                <w:i/>
                                <w:sz w:val="22"/>
                              </w:rPr>
                              <w:t>igure 1.2</w:t>
                            </w:r>
                            <w:r w:rsidRPr="006D5624">
                              <w:rPr>
                                <w:b/>
                                <w:i/>
                                <w:sz w:val="22"/>
                              </w:rPr>
                              <w:t xml:space="preserve">. </w:t>
                            </w:r>
                            <w:proofErr w:type="gramStart"/>
                            <w:r w:rsidRPr="006D5624">
                              <w:rPr>
                                <w:b/>
                                <w:i/>
                                <w:sz w:val="22"/>
                              </w:rPr>
                              <w:t>The Multistep Colorectal Cancer Model.</w:t>
                            </w:r>
                            <w:proofErr w:type="gramEnd"/>
                            <w:r w:rsidRPr="006D5624">
                              <w:rPr>
                                <w:b/>
                                <w:i/>
                                <w:sz w:val="22"/>
                              </w:rPr>
                              <w:t xml:space="preserve">  </w:t>
                            </w:r>
                          </w:p>
                          <w:p w14:paraId="7BFF350B" w14:textId="19D11741" w:rsidR="00E82D3B" w:rsidRPr="006D5624" w:rsidRDefault="00E82D3B" w:rsidP="00B15A35">
                            <w:pPr>
                              <w:jc w:val="both"/>
                              <w:rPr>
                                <w:i/>
                                <w:sz w:val="22"/>
                              </w:rPr>
                            </w:pPr>
                            <w:r w:rsidRPr="006D5624">
                              <w:rPr>
                                <w:i/>
                                <w:sz w:val="22"/>
                              </w:rPr>
                              <w:t>Colorectal epithelial tissue moves through a series of steps before it becomes cancerous. These steps are initiated by the accumulation of mutations. The ge</w:t>
                            </w:r>
                            <w:r>
                              <w:rPr>
                                <w:i/>
                                <w:sz w:val="22"/>
                              </w:rPr>
                              <w:t>nes in the figure above are</w:t>
                            </w:r>
                            <w:r w:rsidRPr="006D5624">
                              <w:rPr>
                                <w:i/>
                                <w:sz w:val="22"/>
                              </w:rPr>
                              <w:t xml:space="preserve"> examples of possible mutation pathways and it is beli</w:t>
                            </w:r>
                            <w:r>
                              <w:rPr>
                                <w:i/>
                                <w:sz w:val="22"/>
                              </w:rPr>
                              <w:t>eved to be the build up of such mutations</w:t>
                            </w:r>
                            <w:r w:rsidRPr="006D5624">
                              <w:rPr>
                                <w:i/>
                                <w:sz w:val="22"/>
                              </w:rPr>
                              <w:t>, which are important</w:t>
                            </w:r>
                            <w:r>
                              <w:rPr>
                                <w:i/>
                                <w:sz w:val="22"/>
                              </w:rPr>
                              <w:t>, rather than</w:t>
                            </w:r>
                            <w:r w:rsidRPr="006D5624">
                              <w:rPr>
                                <w:i/>
                                <w:sz w:val="22"/>
                              </w:rPr>
                              <w:t xml:space="preserve"> the series in whi</w:t>
                            </w:r>
                            <w:r>
                              <w:rPr>
                                <w:i/>
                                <w:sz w:val="22"/>
                              </w:rPr>
                              <w:t>ch they are acquired. Mutation</w:t>
                            </w:r>
                            <w:r w:rsidRPr="006D5624">
                              <w:rPr>
                                <w:i/>
                                <w:sz w:val="22"/>
                              </w:rPr>
                              <w:t xml:space="preserve"> to APC is</w:t>
                            </w:r>
                            <w:r>
                              <w:rPr>
                                <w:i/>
                                <w:sz w:val="22"/>
                              </w:rPr>
                              <w:t>,</w:t>
                            </w:r>
                            <w:r w:rsidRPr="006D5624">
                              <w:rPr>
                                <w:i/>
                                <w:sz w:val="22"/>
                              </w:rPr>
                              <w:t xml:space="preserve"> more often than not</w:t>
                            </w:r>
                            <w:r>
                              <w:rPr>
                                <w:i/>
                                <w:sz w:val="22"/>
                              </w:rPr>
                              <w:t xml:space="preserve">, </w:t>
                            </w:r>
                            <w:r w:rsidRPr="006D5624">
                              <w:rPr>
                                <w:i/>
                                <w:sz w:val="22"/>
                              </w:rPr>
                              <w:t>one of the only mutations seen in the early stages of polyp formation suggesting this is crucial in the progression from normal to aberrant</w:t>
                            </w:r>
                            <w:r>
                              <w:rPr>
                                <w:i/>
                                <w:sz w:val="22"/>
                              </w:rPr>
                              <w:t xml:space="preserve"> epithelium (</w:t>
                            </w:r>
                            <w:r w:rsidRPr="00E66C72">
                              <w:rPr>
                                <w:i/>
                                <w:sz w:val="22"/>
                                <w:szCs w:val="22"/>
                              </w:rPr>
                              <w:t>Adapted and modified with permission</w:t>
                            </w:r>
                            <w:r>
                              <w:rPr>
                                <w:i/>
                                <w:sz w:val="22"/>
                              </w:rPr>
                              <w:t xml:space="preserve"> from </w:t>
                            </w:r>
                            <w:proofErr w:type="spellStart"/>
                            <w:r>
                              <w:rPr>
                                <w:i/>
                                <w:sz w:val="22"/>
                              </w:rPr>
                              <w:t>Fearon</w:t>
                            </w:r>
                            <w:proofErr w:type="spellEnd"/>
                            <w:r>
                              <w:rPr>
                                <w:i/>
                                <w:sz w:val="22"/>
                              </w:rPr>
                              <w:t xml:space="preserve"> and Vogelstein 1990).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28" type="#_x0000_t202" style="position:absolute;left:0;text-align:left;margin-left:-8.95pt;margin-top:120.15pt;width:441pt;height:126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" filled="f" stroked="f">
                <v:textbox>
                  <w:txbxContent>
                    <w:p w14:paraId="227BA1E9" w14:textId="77777777" w:rsidR="000A1E0D" w:rsidRDefault="000A1E0D" w:rsidP="00B15A35">
                      <w:pPr>
                        <w:jc w:val="both"/>
                        <w:rPr>
                          <w:b/>
                          <w:i/>
                          <w:sz w:val="22"/>
                        </w:rPr>
                      </w:pPr>
                      <w:r w:rsidRPr="006D5624">
                        <w:rPr>
                          <w:b/>
                          <w:i/>
                          <w:sz w:val="22"/>
                        </w:rPr>
                        <w:t>F</w:t>
                      </w:r>
                      <w:r>
                        <w:rPr>
                          <w:b/>
                          <w:i/>
                          <w:sz w:val="22"/>
                        </w:rPr>
                        <w:t>igure 1.2</w:t>
                      </w:r>
                      <w:r w:rsidRPr="006D5624">
                        <w:rPr>
                          <w:b/>
                          <w:i/>
                          <w:sz w:val="22"/>
                        </w:rPr>
                        <w:t xml:space="preserve">. </w:t>
                      </w:r>
                      <w:proofErr w:type="gramStart"/>
                      <w:r w:rsidRPr="006D5624">
                        <w:rPr>
                          <w:b/>
                          <w:i/>
                          <w:sz w:val="22"/>
                        </w:rPr>
                        <w:t>The Multistep Colorectal Cancer Model.</w:t>
                      </w:r>
                      <w:proofErr w:type="gramEnd"/>
                      <w:r w:rsidRPr="006D5624">
                        <w:rPr>
                          <w:b/>
                          <w:i/>
                          <w:sz w:val="22"/>
                        </w:rPr>
                        <w:t xml:space="preserve">  </w:t>
                      </w:r>
                    </w:p>
                    <w:p w14:paraId="7BFF350B" w14:textId="19D11741" w:rsidR="000A1E0D" w:rsidRPr="006D5624" w:rsidRDefault="000A1E0D" w:rsidP="00B15A35">
                      <w:pPr>
                        <w:jc w:val="both"/>
                        <w:rPr>
                          <w:i/>
                          <w:sz w:val="22"/>
                        </w:rPr>
                      </w:pPr>
                      <w:r w:rsidRPr="006D5624">
                        <w:rPr>
                          <w:i/>
                          <w:sz w:val="22"/>
                        </w:rPr>
                        <w:t>Colorectal epithelial tissue moves through a series of steps before it becomes cancerous. These steps are initiated by the accumulation of mutations. The ge</w:t>
                      </w:r>
                      <w:r>
                        <w:rPr>
                          <w:i/>
                          <w:sz w:val="22"/>
                        </w:rPr>
                        <w:t>nes in the figure above are</w:t>
                      </w:r>
                      <w:r w:rsidRPr="006D5624">
                        <w:rPr>
                          <w:i/>
                          <w:sz w:val="22"/>
                        </w:rPr>
                        <w:t xml:space="preserve"> examples of possible mutation pathways and it is beli</w:t>
                      </w:r>
                      <w:r>
                        <w:rPr>
                          <w:i/>
                          <w:sz w:val="22"/>
                        </w:rPr>
                        <w:t>eved to be the build up of such mutations</w:t>
                      </w:r>
                      <w:r w:rsidRPr="006D5624">
                        <w:rPr>
                          <w:i/>
                          <w:sz w:val="22"/>
                        </w:rPr>
                        <w:t>, which are important</w:t>
                      </w:r>
                      <w:r>
                        <w:rPr>
                          <w:i/>
                          <w:sz w:val="22"/>
                        </w:rPr>
                        <w:t>, rather than</w:t>
                      </w:r>
                      <w:r w:rsidRPr="006D5624">
                        <w:rPr>
                          <w:i/>
                          <w:sz w:val="22"/>
                        </w:rPr>
                        <w:t xml:space="preserve"> the series in whi</w:t>
                      </w:r>
                      <w:r>
                        <w:rPr>
                          <w:i/>
                          <w:sz w:val="22"/>
                        </w:rPr>
                        <w:t>ch they are acquired. Mutation</w:t>
                      </w:r>
                      <w:r w:rsidRPr="006D5624">
                        <w:rPr>
                          <w:i/>
                          <w:sz w:val="22"/>
                        </w:rPr>
                        <w:t xml:space="preserve"> to APC is</w:t>
                      </w:r>
                      <w:r>
                        <w:rPr>
                          <w:i/>
                          <w:sz w:val="22"/>
                        </w:rPr>
                        <w:t>,</w:t>
                      </w:r>
                      <w:r w:rsidRPr="006D5624">
                        <w:rPr>
                          <w:i/>
                          <w:sz w:val="22"/>
                        </w:rPr>
                        <w:t xml:space="preserve"> more often than not</w:t>
                      </w:r>
                      <w:r>
                        <w:rPr>
                          <w:i/>
                          <w:sz w:val="22"/>
                        </w:rPr>
                        <w:t xml:space="preserve">, </w:t>
                      </w:r>
                      <w:r w:rsidRPr="006D5624">
                        <w:rPr>
                          <w:i/>
                          <w:sz w:val="22"/>
                        </w:rPr>
                        <w:t>one of the only mutations seen in the early stages of polyp formation suggesting this is crucial in the progression from normal to aberrant</w:t>
                      </w:r>
                      <w:r>
                        <w:rPr>
                          <w:i/>
                          <w:sz w:val="22"/>
                        </w:rPr>
                        <w:t xml:space="preserve"> epithelium (</w:t>
                      </w:r>
                      <w:r w:rsidRPr="00E66C72">
                        <w:rPr>
                          <w:i/>
                          <w:sz w:val="22"/>
                          <w:szCs w:val="22"/>
                        </w:rPr>
                        <w:t>Adapted and modified with permission</w:t>
                      </w:r>
                      <w:r>
                        <w:rPr>
                          <w:i/>
                          <w:sz w:val="22"/>
                        </w:rPr>
                        <w:t xml:space="preserve"> from </w:t>
                      </w:r>
                      <w:proofErr w:type="spellStart"/>
                      <w:r>
                        <w:rPr>
                          <w:i/>
                          <w:sz w:val="22"/>
                        </w:rPr>
                        <w:t>Fearon</w:t>
                      </w:r>
                      <w:proofErr w:type="spellEnd"/>
                      <w:r>
                        <w:rPr>
                          <w:i/>
                          <w:sz w:val="22"/>
                        </w:rPr>
                        <w:t xml:space="preserve"> and Vogelstein 1990).</w:t>
                      </w:r>
                    </w:p>
                  </w:txbxContent>
                </v:textbox>
                <w10:wrap type="square"/>
              </v:shape>
            </w:pict>
          </mc:Fallback>
        </mc:AlternateContent>
      </w:r>
      <w:r>
        <w:rPr>
          <w:rFonts w:asciiTheme="majorHAnsi" w:hAnsiTheme="majorHAnsi"/>
          <w:noProof/>
          <w:lang w:val="en-US"/>
        </w:rPr>
        <w:drawing>
          <wp:anchor distT="0" distB="0" distL="114300" distR="114300" simplePos="0" relativeHeight="252127232" behindDoc="0" locked="0" layoutInCell="1" allowOverlap="1" wp14:anchorId="64F89E3C" wp14:editId="30DB4967">
            <wp:simplePos x="0" y="0"/>
            <wp:positionH relativeFrom="column">
              <wp:posOffset>0</wp:posOffset>
            </wp:positionH>
            <wp:positionV relativeFrom="paragraph">
              <wp:posOffset>40005</wp:posOffset>
            </wp:positionV>
            <wp:extent cx="5389245" cy="1399540"/>
            <wp:effectExtent l="0" t="0" r="0" b="0"/>
            <wp:wrapSquare wrapText="bothSides"/>
            <wp:docPr id="372" name="Picture 372" descr="Macintosh HD:Users:ClairFellows:Desktop:Screen Shot 2017-11-02 at 10.5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irFellows:Desktop:Screen Shot 2017-11-02 at 10.58.3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9245" cy="13995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4E2D72">
        <w:rPr>
          <w:rFonts w:asciiTheme="majorHAnsi" w:hAnsiTheme="majorHAnsi"/>
        </w:rPr>
        <w:t>Fearon</w:t>
      </w:r>
      <w:proofErr w:type="spellEnd"/>
      <w:r w:rsidRPr="004E2D72">
        <w:rPr>
          <w:rFonts w:asciiTheme="majorHAnsi" w:hAnsiTheme="majorHAnsi"/>
        </w:rPr>
        <w:t xml:space="preserve"> and Vogelstein were the pioneers of the multistep tumourigenesis theory in CRC in the 1990s, and although the model they created was rudimentary, it is still used as a basis for cancer studies. Vogelstein believed that it was the </w:t>
      </w:r>
      <w:r>
        <w:rPr>
          <w:rFonts w:asciiTheme="majorHAnsi" w:hAnsiTheme="majorHAnsi"/>
        </w:rPr>
        <w:t xml:space="preserve">number of cumulative mutations (~4-5) that </w:t>
      </w:r>
      <w:r w:rsidRPr="004E2D72">
        <w:rPr>
          <w:rFonts w:asciiTheme="majorHAnsi" w:hAnsiTheme="majorHAnsi"/>
        </w:rPr>
        <w:t>was the driving factor towards tumourigenesis, and not the order</w:t>
      </w:r>
      <w:r>
        <w:rPr>
          <w:rFonts w:asciiTheme="majorHAnsi" w:hAnsiTheme="majorHAnsi"/>
        </w:rPr>
        <w:t xml:space="preserve"> in which they were accumulated </w:t>
      </w:r>
      <w:r>
        <w:rPr>
          <w:rFonts w:asciiTheme="majorHAnsi" w:hAnsiTheme="majorHAnsi"/>
        </w:rPr>
        <w:fldChar w:fldCharType="begin"/>
      </w:r>
      <w:r>
        <w:rPr>
          <w:rFonts w:asciiTheme="majorHAnsi" w:hAnsiTheme="majorHAnsi"/>
        </w:rPr>
        <w:instrText xml:space="preserve"> ADDIN EN.CITE &lt;EndNote&gt;&lt;Cite&gt;&lt;Author&gt;Fearon&lt;/Author&gt;&lt;Year&gt;1990&lt;/Year&gt;&lt;IDText&gt;A genetic model for colorectal tumorigenesis&lt;/IDText&gt;&lt;DisplayText&gt;(Fearon and Vogelstein, 1990)&lt;/DisplayText&gt;&lt;record&gt;&lt;dates&gt;&lt;pub-dates&gt;&lt;date&gt;Jun&lt;/date&gt;&lt;/pub-dates&gt;&lt;year&gt;1990&lt;/year&gt;&lt;/dates&gt;&lt;keywords&gt;&lt;keyword&gt;Alleles&lt;/keyword&gt;&lt;keyword&gt;Chromosome Deletion&lt;/keyword&gt;&lt;keyword&gt;Colorectal Neoplasms&lt;/keyword&gt;&lt;keyword&gt;Heterozygote&lt;/keyword&gt;&lt;keyword&gt;Humans&lt;/keyword&gt;&lt;keyword&gt;Models, Genetic&lt;/keyword&gt;&lt;keyword&gt;Mutation&lt;/keyword&gt;&lt;keyword&gt;Oncogenes&lt;/keyword&gt;&lt;keyword&gt;Suppression, Genetic&lt;/keyword&gt;&lt;/keywords&gt;&lt;urls&gt;&lt;related-urls&gt;&lt;url&gt;http://www.ncbi.nlm.nih.gov/pubmed/2188735&lt;/url&gt;&lt;/related-urls&gt;&lt;/urls&gt;&lt;isbn&gt;0092-8674&lt;/isbn&gt;&lt;titles&gt;&lt;title&gt;A genetic model for colorectal tumorigenesis&lt;/title&gt;&lt;secondary-title&gt;Cell&lt;/secondary-title&gt;&lt;/titles&gt;&lt;pages&gt;759-67&lt;/pages&gt;&lt;number&gt;5&lt;/number&gt;&lt;contributors&gt;&lt;authors&gt;&lt;author&gt;Fearon, E. R.&lt;/author&gt;&lt;author&gt;Vogelstein, B.&lt;/author&gt;&lt;/authors&gt;&lt;/contributors&gt;&lt;language&gt;eng&lt;/language&gt;&lt;added-date format="utc"&gt;1425981548&lt;/added-date&gt;&lt;ref-type name="Journal Article"&gt;17&lt;/ref-type&gt;&lt;rec-number&gt;33&lt;/rec-number&gt;&lt;last-updated-date format="utc"&gt;1447344549&lt;/last-updated-date&gt;&lt;accession-num&gt;2188735&lt;/accession-num&gt;&lt;volume&gt;61&lt;/volume&gt;&lt;/record&gt;&lt;/Cite&gt;&lt;/EndNote&gt;</w:instrText>
      </w:r>
      <w:r>
        <w:rPr>
          <w:rFonts w:asciiTheme="majorHAnsi" w:hAnsiTheme="majorHAnsi"/>
        </w:rPr>
        <w:fldChar w:fldCharType="separate"/>
      </w:r>
      <w:r>
        <w:rPr>
          <w:rFonts w:asciiTheme="majorHAnsi" w:hAnsiTheme="majorHAnsi"/>
          <w:noProof/>
        </w:rPr>
        <w:t>(Fearon and Vogelstein, 1990)</w:t>
      </w:r>
      <w:r>
        <w:rPr>
          <w:rFonts w:asciiTheme="majorHAnsi" w:hAnsiTheme="majorHAnsi"/>
        </w:rPr>
        <w:fldChar w:fldCharType="end"/>
      </w:r>
      <w:r>
        <w:rPr>
          <w:rFonts w:asciiTheme="majorHAnsi" w:hAnsiTheme="majorHAnsi"/>
        </w:rPr>
        <w:t xml:space="preserve">. </w:t>
      </w:r>
      <w:r w:rsidRPr="004E2D72">
        <w:rPr>
          <w:rFonts w:asciiTheme="majorHAnsi" w:hAnsiTheme="majorHAnsi"/>
        </w:rPr>
        <w:t xml:space="preserve">In </w:t>
      </w:r>
      <w:r>
        <w:rPr>
          <w:rFonts w:asciiTheme="majorHAnsi" w:hAnsiTheme="majorHAnsi"/>
        </w:rPr>
        <w:t>one study</w:t>
      </w:r>
      <w:r w:rsidRPr="004E2D72">
        <w:rPr>
          <w:rFonts w:asciiTheme="majorHAnsi" w:hAnsiTheme="majorHAnsi"/>
        </w:rPr>
        <w:t xml:space="preserve"> they in</w:t>
      </w:r>
      <w:r w:rsidR="007A6E6D">
        <w:rPr>
          <w:rFonts w:asciiTheme="majorHAnsi" w:hAnsiTheme="majorHAnsi"/>
        </w:rPr>
        <w:t xml:space="preserve">vestigated the prevalence of </w:t>
      </w:r>
      <w:r w:rsidR="007A6E6D" w:rsidRPr="007A6E6D">
        <w:rPr>
          <w:rFonts w:asciiTheme="majorHAnsi" w:hAnsiTheme="majorHAnsi"/>
          <w:i/>
        </w:rPr>
        <w:t>RAS</w:t>
      </w:r>
      <w:r w:rsidRPr="004E2D72">
        <w:rPr>
          <w:rFonts w:asciiTheme="majorHAnsi" w:hAnsiTheme="majorHAnsi"/>
        </w:rPr>
        <w:t xml:space="preserve"> mutations in the literature and found that 50% of colorectal tumours have this aberration</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&lt;EndNote&gt;&lt;Cite&gt;&lt;Author&gt;Bos&lt;/Author&gt;&lt;Year&gt;1987&lt;/Year&gt;&lt;IDText&gt;Prevalence of ras gene mutations in human colorectal cancers&lt;/IDText&gt;&lt;DisplayText&gt;(Bos et al., 1987)&lt;/DisplayText&gt;&lt;record&gt;&lt;dates&gt;&lt;pub-dates&gt;&lt;date&gt;1987 May 28-Jun 3&lt;/date&gt;&lt;/pub-dates&gt;&lt;year&gt;1987&lt;/year&gt;&lt;/dates&gt;&lt;keywords&gt;&lt;keyword&gt;Adenoma&lt;/keyword&gt;&lt;keyword&gt;Carcinoma&lt;/keyword&gt;&lt;keyword&gt;Codon&lt;/keyword&gt;&lt;keyword&gt;Colonic Neoplasms&lt;/keyword&gt;&lt;keyword&gt;DNA&lt;/keyword&gt;&lt;keyword&gt;Humans&lt;/keyword&gt;&lt;keyword&gt;Mutation&lt;/keyword&gt;&lt;keyword&gt;Nucleic Acid Hybridization&lt;/keyword&gt;&lt;keyword&gt;Oncogenes&lt;/keyword&gt;&lt;keyword&gt;Rectal Neoplasms&lt;/keyword&gt;&lt;/keywords&gt;&lt;urls&gt;&lt;related-urls&gt;&lt;url&gt;http://www.ncbi.nlm.nih.gov/pubmed/3587348&lt;/url&gt;&lt;/related-urls&gt;&lt;/urls&gt;&lt;isbn&gt;0028-0836&lt;/isbn&gt;&lt;titles&gt;&lt;title&gt;Prevalence of ras gene mutations in human colorectal cancers&lt;/title&gt;&lt;secondary-title&gt;Nature&lt;/secondary-title&gt;&lt;/titles&gt;&lt;pages&gt;293-7&lt;/pages&gt;&lt;number&gt;6120&lt;/number&gt;&lt;contributors&gt;&lt;authors&gt;&lt;author&gt;Bos, J. L.&lt;/author&gt;&lt;author&gt;Fearon, E. R.&lt;/author&gt;&lt;author&gt;Hamilton, S. R.&lt;/author&gt;&lt;author&gt;Verlaan-de Vries, M.&lt;/author&gt;&lt;author&gt;van Boom, J. H.&lt;/author&gt;&lt;author&gt;van der Eb, A. J.&lt;/author&gt;&lt;author&gt;Vogelstein, B.&lt;/author&gt;&lt;/authors&gt;&lt;/contributors&gt;&lt;language&gt;eng&lt;/language&gt;&lt;added-date format="utc"&gt;1425918606&lt;/added-date&gt;&lt;ref-type name="Journal Article"&gt;17&lt;/ref-type&gt;&lt;rec-number&gt;19&lt;/rec-number&gt;&lt;last-updated-date format="utc"&gt;1447343623&lt;/last-updated-date&gt;&lt;accession-num&gt;3587348&lt;/accession-num&gt;&lt;electronic-resource-num&gt;10.1038/327293a0&lt;/electronic-resource-num&gt;&lt;volume&gt;327&lt;/volume&gt;&lt;/record&gt;&lt;/Cite&gt;&lt;/EndNote&gt;</w:instrText>
      </w:r>
      <w:r>
        <w:rPr>
          <w:rFonts w:asciiTheme="majorHAnsi" w:hAnsiTheme="majorHAnsi"/>
        </w:rPr>
        <w:fldChar w:fldCharType="separate"/>
      </w:r>
      <w:r>
        <w:rPr>
          <w:rFonts w:asciiTheme="majorHAnsi" w:hAnsiTheme="majorHAnsi"/>
          <w:noProof/>
        </w:rPr>
        <w:t>(Bos et al., 1987)</w:t>
      </w:r>
      <w:r>
        <w:rPr>
          <w:rFonts w:asciiTheme="majorHAnsi" w:hAnsiTheme="majorHAnsi"/>
        </w:rPr>
        <w:fldChar w:fldCharType="end"/>
      </w:r>
      <w:r w:rsidRPr="004E2D72">
        <w:rPr>
          <w:rFonts w:asciiTheme="majorHAnsi" w:hAnsiTheme="majorHAnsi"/>
        </w:rPr>
        <w:t>, as did high-risk poly</w:t>
      </w:r>
      <w:r w:rsidR="007A6E6D">
        <w:rPr>
          <w:rFonts w:asciiTheme="majorHAnsi" w:hAnsiTheme="majorHAnsi"/>
        </w:rPr>
        <w:t xml:space="preserve">ps, possibly implicating the </w:t>
      </w:r>
      <w:r w:rsidR="007A6E6D" w:rsidRPr="007A6E6D">
        <w:rPr>
          <w:rFonts w:asciiTheme="majorHAnsi" w:hAnsiTheme="majorHAnsi"/>
          <w:i/>
        </w:rPr>
        <w:t>RAS</w:t>
      </w:r>
      <w:r w:rsidRPr="004E2D72">
        <w:rPr>
          <w:rFonts w:asciiTheme="majorHAnsi" w:hAnsiTheme="majorHAnsi"/>
        </w:rPr>
        <w:t xml:space="preserve"> gene as a major malignancy driver </w:t>
      </w:r>
      <w:r>
        <w:rPr>
          <w:rFonts w:asciiTheme="majorHAnsi" w:hAnsiTheme="majorHAnsi"/>
        </w:rPr>
        <w:fldChar w:fldCharType="begin"/>
      </w:r>
      <w:r>
        <w:rPr>
          <w:rFonts w:asciiTheme="majorHAnsi" w:hAnsiTheme="majorHAnsi"/>
        </w:rPr>
        <w:instrText xml:space="preserve"> ADDIN EN.CITE &lt;EndNote&gt;&lt;Cite&gt;&lt;Author&gt;Vogelstein&lt;/Author&gt;&lt;Year&gt;1988&lt;/Year&gt;&lt;IDText&gt;Genetic alterations during colorectal-tumor development&lt;/IDText&gt;&lt;DisplayText&gt;(Vogelstein et al., 1988)&lt;/DisplayText&gt;&lt;record&gt;&lt;dates&gt;&lt;pub-dates&gt;&lt;date&gt;Sep&lt;/date&gt;&lt;/pub-dates&gt;&lt;year&gt;1988&lt;/year&gt;&lt;/dates&gt;&lt;keywords&gt;&lt;keyword&gt;Adenoma&lt;/keyword&gt;&lt;keyword&gt;Adenomatous Polyposis Coli&lt;/keyword&gt;&lt;keyword&gt;Adult&lt;/keyword&gt;&lt;keyword&gt;Aged&lt;/keyword&gt;&lt;keyword&gt;Aged, 80 and over&lt;/keyword&gt;&lt;keyword&gt;Alleles&lt;/keyword&gt;&lt;keyword&gt;Carcinoma&lt;/keyword&gt;&lt;keyword&gt;Chromosome Deletion&lt;/keyword&gt;&lt;keyword&gt;Chromosomes, Human, Pair 17&lt;/keyword&gt;&lt;keyword&gt;Chromosomes, Human, Pair 18&lt;/keyword&gt;&lt;keyword&gt;Chromosomes, Human, Pair 5&lt;/keyword&gt;&lt;keyword&gt;Colonic Neoplasms&lt;/keyword&gt;&lt;keyword&gt;Colorectal Neoplasms, Hereditary Nonpolyposis&lt;/keyword&gt;&lt;keyword&gt;Female&lt;/keyword&gt;&lt;keyword&gt;Genes, ras&lt;/keyword&gt;&lt;keyword&gt;Humans&lt;/keyword&gt;&lt;keyword&gt;Male&lt;/keyword&gt;&lt;keyword&gt;Middle Aged&lt;/keyword&gt;&lt;keyword&gt;Mutation&lt;/keyword&gt;&lt;keyword&gt;Rectal Neoplasms&lt;/keyword&gt;&lt;/keywords&gt;&lt;urls&gt;&lt;related-urls&gt;&lt;url&gt;http://www.ncbi.nlm.nih.gov/pubmed/2841597&lt;/url&gt;&lt;/related-urls&gt;&lt;/urls&gt;&lt;isbn&gt;0028-4793&lt;/isbn&gt;&lt;titles&gt;&lt;title&gt;Genetic alterations during colorectal-tumor development&lt;/title&gt;&lt;secondary-title&gt;N Engl J Med&lt;/secondary-title&gt;&lt;/titles&gt;&lt;pages&gt;525-32&lt;/pages&gt;&lt;number&gt;9&lt;/number&gt;&lt;contributors&gt;&lt;authors&gt;&lt;author&gt;Vogelstein, B.&lt;/author&gt;&lt;author&gt;Fearon, E. R.&lt;/author&gt;&lt;author&gt;Hamilton, S. R.&lt;/author&gt;&lt;author&gt;Kern, S. E.&lt;/author&gt;&lt;author&gt;Preisinger, A. C.&lt;/author&gt;&lt;author&gt;Leppert, M.&lt;/author&gt;&lt;author&gt;Nakamura, Y.&lt;/author&gt;&lt;author&gt;White, R.&lt;/author&gt;&lt;author&gt;Smits, A. M.&lt;/author&gt;&lt;author&gt;Bos, J. L.&lt;/author&gt;&lt;/authors&gt;&lt;/contributors&gt;&lt;language&gt;eng&lt;/language&gt;&lt;added-date format="utc"&gt;1425999657&lt;/added-date&gt;&lt;ref-type name="Journal Article"&gt;17&lt;/ref-type&gt;&lt;rec-number&gt;112&lt;/rec-number&gt;&lt;last-updated-date format="utc"&gt;1447344322&lt;/last-updated-date&gt;&lt;accession-num&gt;2841597&lt;/accession-num&gt;&lt;electronic-resource-num&gt;10.1056/NEJM198809013190901&lt;/electronic-resource-num&gt;&lt;volume&gt;319&lt;/volume&gt;&lt;/record&gt;&lt;/Cite&gt;&lt;/EndNote&gt;</w:instrText>
      </w:r>
      <w:r>
        <w:rPr>
          <w:rFonts w:asciiTheme="majorHAnsi" w:hAnsiTheme="majorHAnsi"/>
        </w:rPr>
        <w:fldChar w:fldCharType="separate"/>
      </w:r>
      <w:r>
        <w:rPr>
          <w:rFonts w:asciiTheme="majorHAnsi" w:hAnsiTheme="majorHAnsi"/>
          <w:noProof/>
        </w:rPr>
        <w:t>(Vogelstein et al., 1988)</w:t>
      </w:r>
      <w:r>
        <w:rPr>
          <w:rFonts w:asciiTheme="majorHAnsi" w:hAnsiTheme="majorHAnsi"/>
        </w:rPr>
        <w:fldChar w:fldCharType="end"/>
      </w:r>
      <w:r>
        <w:rPr>
          <w:rFonts w:asciiTheme="majorHAnsi" w:hAnsiTheme="majorHAnsi"/>
        </w:rPr>
        <w:t>.</w:t>
      </w:r>
    </w:p>
    <w:p w14:paraId="7AFEF763" w14:textId="77777777" w:rsidR="00B15A35" w:rsidRDefault="00B15A35" w:rsidP="00B15A35">
      <w:pPr>
        <w:spacing w:line="360" w:lineRule="auto"/>
        <w:jc w:val="both"/>
        <w:rPr>
          <w:rFonts w:asciiTheme="majorHAnsi" w:hAnsiTheme="majorHAnsi"/>
        </w:rPr>
      </w:pPr>
    </w:p>
    <w:p w14:paraId="2B5FA8E3" w14:textId="77777777" w:rsidR="00B15A35" w:rsidRPr="004E2D72" w:rsidRDefault="00B15A35" w:rsidP="002F41C6">
      <w:pPr>
        <w:pStyle w:val="ListParagraph"/>
        <w:numPr>
          <w:ilvl w:val="0"/>
          <w:numId w:val="34"/>
        </w:numPr>
        <w:spacing w:line="360" w:lineRule="auto"/>
        <w:jc w:val="both"/>
        <w:rPr>
          <w:rFonts w:asciiTheme="majorHAnsi" w:hAnsiTheme="majorHAnsi"/>
          <w:b/>
          <w:i/>
        </w:rPr>
      </w:pPr>
      <w:r w:rsidRPr="004E2D72">
        <w:rPr>
          <w:rFonts w:asciiTheme="majorHAnsi" w:hAnsiTheme="majorHAnsi"/>
          <w:b/>
          <w:i/>
        </w:rPr>
        <w:t>Sporadic Colorectal Cancer</w:t>
      </w:r>
    </w:p>
    <w:p w14:paraId="0FDED90B" w14:textId="66E4714A" w:rsidR="00B15A35" w:rsidRPr="004E2D72" w:rsidRDefault="00B15A35" w:rsidP="00B15A35">
      <w:pPr>
        <w:spacing w:line="360" w:lineRule="auto"/>
        <w:jc w:val="both"/>
        <w:rPr>
          <w:rFonts w:asciiTheme="majorHAnsi" w:hAnsiTheme="majorHAnsi"/>
        </w:rPr>
      </w:pPr>
      <w:r w:rsidRPr="004E2D72">
        <w:rPr>
          <w:rFonts w:asciiTheme="majorHAnsi" w:hAnsiTheme="majorHAnsi"/>
        </w:rPr>
        <w:t xml:space="preserve">Sporadic CRC is usually the result of accumulations of genetic aberrations over a number of decades turning a normal cell into a mutated cell with a specific phenotype </w:t>
      </w:r>
      <w:r>
        <w:rPr>
          <w:rFonts w:asciiTheme="majorHAnsi" w:hAnsiTheme="majorHAnsi"/>
        </w:rPr>
        <w:fldChar w:fldCharType="begin"/>
      </w:r>
      <w:r>
        <w:rPr>
          <w:rFonts w:asciiTheme="majorHAnsi" w:hAnsiTheme="majorHAnsi"/>
        </w:rPr>
        <w:instrText xml:space="preserve"> ADDIN EN.CITE &lt;EndNote&gt;&lt;Cite&gt;&lt;Author&gt;Fearon&lt;/Author&gt;&lt;Year&gt;1990&lt;/Year&gt;&lt;IDText&gt;A genetic model for colorectal tumorigenesis&lt;/IDText&gt;&lt;DisplayText&gt;(Fearon and Vogelstein, 1990)&lt;/DisplayText&gt;&lt;record&gt;&lt;dates&gt;&lt;pub-dates&gt;&lt;date&gt;Jun&lt;/date&gt;&lt;/pub-dates&gt;&lt;year&gt;1990&lt;/year&gt;&lt;/dates&gt;&lt;keywords&gt;&lt;keyword&gt;Alleles&lt;/keyword&gt;&lt;keyword&gt;Chromosome Deletion&lt;/keyword&gt;&lt;keyword&gt;Colorectal Neoplasms&lt;/keyword&gt;&lt;keyword&gt;Heterozygote&lt;/keyword&gt;&lt;keyword&gt;Humans&lt;/keyword&gt;&lt;keyword&gt;Models, Genetic&lt;/keyword&gt;&lt;keyword&gt;Mutation&lt;/keyword&gt;&lt;keyword&gt;Oncogenes&lt;/keyword&gt;&lt;keyword&gt;Suppression, Genetic&lt;/keyword&gt;&lt;/keywords&gt;&lt;urls&gt;&lt;related-urls&gt;&lt;url&gt;http://www.ncbi.nlm.nih.gov/pubmed/2188735&lt;/url&gt;&lt;/related-urls&gt;&lt;/urls&gt;&lt;isbn&gt;0092-8674&lt;/isbn&gt;&lt;titles&gt;&lt;title&gt;A genetic model for colorectal tumorigenesis&lt;/title&gt;&lt;secondary-title&gt;Cell&lt;/secondary-title&gt;&lt;/titles&gt;&lt;pages&gt;759-67&lt;/pages&gt;&lt;number&gt;5&lt;/number&gt;&lt;contributors&gt;&lt;authors&gt;&lt;author&gt;Fearon, E. R.&lt;/author&gt;&lt;author&gt;Vogelstein, B.&lt;/author&gt;&lt;/authors&gt;&lt;/contributors&gt;&lt;language&gt;eng&lt;/language&gt;&lt;added-date format="utc"&gt;1425981548&lt;/added-date&gt;&lt;ref-type name="Journal Article"&gt;17&lt;/ref-type&gt;&lt;rec-number&gt;33&lt;/rec-number&gt;&lt;last-updated-date format="utc"&gt;1447344549&lt;/last-updated-date&gt;&lt;accession-num&gt;2188735&lt;/accession-num&gt;&lt;volume&gt;61&lt;/volume&gt;&lt;/record&gt;&lt;/Cite&gt;&lt;/EndNote&gt;</w:instrText>
      </w:r>
      <w:r>
        <w:rPr>
          <w:rFonts w:asciiTheme="majorHAnsi" w:hAnsiTheme="majorHAnsi"/>
        </w:rPr>
        <w:fldChar w:fldCharType="separate"/>
      </w:r>
      <w:r>
        <w:rPr>
          <w:rFonts w:asciiTheme="majorHAnsi" w:hAnsiTheme="majorHAnsi"/>
          <w:noProof/>
        </w:rPr>
        <w:t>(Fearon and Vogelstein, 1990)</w:t>
      </w:r>
      <w:r>
        <w:rPr>
          <w:rFonts w:asciiTheme="majorHAnsi" w:hAnsiTheme="majorHAnsi"/>
        </w:rPr>
        <w:fldChar w:fldCharType="end"/>
      </w:r>
      <w:r>
        <w:rPr>
          <w:rFonts w:asciiTheme="majorHAnsi" w:hAnsiTheme="majorHAnsi"/>
        </w:rPr>
        <w:t xml:space="preserve">. </w:t>
      </w:r>
      <w:r w:rsidRPr="004E2D72">
        <w:rPr>
          <w:rFonts w:asciiTheme="majorHAnsi" w:hAnsiTheme="majorHAnsi"/>
        </w:rPr>
        <w:t xml:space="preserve">This is why older patients often present with a larger number of mutations, as they have had an increased time </w:t>
      </w:r>
      <w:r w:rsidR="00AD06B1">
        <w:rPr>
          <w:rFonts w:asciiTheme="majorHAnsi" w:hAnsiTheme="majorHAnsi"/>
        </w:rPr>
        <w:t>of exposure</w:t>
      </w:r>
      <w:r w:rsidRPr="004E2D72">
        <w:rPr>
          <w:rFonts w:asciiTheme="majorHAnsi" w:hAnsiTheme="majorHAnsi"/>
        </w:rPr>
        <w:t xml:space="preserve"> to environmental factors, as well as the increased likelihood of erroneous DNA repair</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&lt;EndNote&gt;&lt;Cite&gt;&lt;Author&gt;Boardman&lt;/Author&gt;&lt;Year&gt;2007&lt;/Year&gt;&lt;IDText&gt;Higher frequency of diploidy in young-onset microsatellite-stable colorectal cancer&lt;/IDText&gt;&lt;DisplayText&gt;(Boardman et al., 2007)&lt;/DisplayText&gt;&lt;record&gt;&lt;dates&gt;&lt;pub-dates&gt;&lt;date&gt;Apr&lt;/date&gt;&lt;/pub-dates&gt;&lt;year&gt;2007&lt;/year&gt;&lt;/dates&gt;&lt;keywords&gt;&lt;keyword&gt;Adult&lt;/keyword&gt;&lt;keyword&gt;Age of Onset&lt;/keyword&gt;&lt;keyword&gt;Aged&lt;/keyword&gt;&lt;keyword&gt;Allelic Imbalance&lt;/keyword&gt;&lt;keyword&gt;Colorectal Neoplasms&lt;/keyword&gt;&lt;keyword&gt;DNA&lt;/keyword&gt;&lt;keyword&gt;DNA, Neoplasm&lt;/keyword&gt;&lt;keyword&gt;Diploidy&lt;/keyword&gt;&lt;keyword&gt;Female&lt;/keyword&gt;&lt;keyword&gt;Flow Cytometry&lt;/keyword&gt;&lt;keyword&gt;Gene Frequency&lt;/keyword&gt;&lt;keyword&gt;Genetic Markers&lt;/keyword&gt;&lt;keyword&gt;Genomic Instability&lt;/keyword&gt;&lt;keyword&gt;Humans&lt;/keyword&gt;&lt;keyword&gt;Male&lt;/keyword&gt;&lt;keyword&gt;Middle Aged&lt;/keyword&gt;&lt;keyword&gt;Neoplasm Staging&lt;/keyword&gt;&lt;keyword&gt;Ploidies&lt;/keyword&gt;&lt;keyword&gt;Prospective Studies&lt;/keyword&gt;&lt;/keywords&gt;&lt;urls&gt;&lt;related-urls&gt;&lt;url&gt;http://www.ncbi.nlm.nih.gov/pubmed/17438090&lt;/url&gt;&lt;/related-urls&gt;&lt;/urls&gt;&lt;isbn&gt;1078-0432&lt;/isbn&gt;&lt;titles&gt;&lt;title&gt;Higher frequency of diploidy in young-onset microsatellite-stable colorectal cancer&lt;/title&gt;&lt;secondary-title&gt;Clin Cancer Res&lt;/secondary-title&gt;&lt;/titles&gt;&lt;pages&gt;2323-8&lt;/pages&gt;&lt;number&gt;8&lt;/number&gt;&lt;contributors&gt;&lt;authors&gt;&lt;author&gt;Boardman, L. A.&lt;/author&gt;&lt;author&gt;Johnson, R. A.&lt;/author&gt;&lt;author&gt;Petersen, G. M.&lt;/author&gt;&lt;author&gt;Oberg, A. L.&lt;/author&gt;&lt;author&gt;Kabat, B. F.&lt;/author&gt;&lt;author&gt;Slusser, J. P.&lt;/author&gt;&lt;author&gt;Wang, L.&lt;/author&gt;&lt;author&gt;Morlan, B. W.&lt;/author&gt;&lt;author&gt;French, A. J.&lt;/author&gt;&lt;author&gt;Smyrk, T. C.&lt;/author&gt;&lt;author&gt;Lindor, N. M.&lt;/author&gt;&lt;author&gt;Thibodeau, S. N.&lt;/author&gt;&lt;/authors&gt;&lt;/contributors&gt;&lt;language&gt;eng&lt;/language&gt;&lt;added-date format="utc"&gt;1425918460&lt;/added-date&gt;&lt;ref-type name="Journal Article"&gt;17&lt;/ref-type&gt;&lt;rec-number&gt;17&lt;/rec-number&gt;&lt;last-updated-date format="utc"&gt;1447343623&lt;/last-updated-date&gt;&lt;accession-num&gt;17438090&lt;/accession-num&gt;&lt;electronic-resource-num&gt;10.1158/1078-0432.CCR-06-2739&lt;/electronic-resource-num&gt;&lt;volume&gt;13&lt;/volume&gt;&lt;/record&gt;&lt;/Cite&gt;&lt;/EndNote&gt;</w:instrText>
      </w:r>
      <w:r>
        <w:rPr>
          <w:rFonts w:asciiTheme="majorHAnsi" w:hAnsiTheme="majorHAnsi"/>
        </w:rPr>
        <w:fldChar w:fldCharType="separate"/>
      </w:r>
      <w:r>
        <w:rPr>
          <w:rFonts w:asciiTheme="majorHAnsi" w:hAnsiTheme="majorHAnsi"/>
          <w:noProof/>
        </w:rPr>
        <w:t>(Boardman et al., 2007)</w:t>
      </w:r>
      <w:r>
        <w:rPr>
          <w:rFonts w:asciiTheme="majorHAnsi" w:hAnsiTheme="majorHAnsi"/>
        </w:rPr>
        <w:fldChar w:fldCharType="end"/>
      </w:r>
      <w:r w:rsidRPr="004E2D72">
        <w:rPr>
          <w:rFonts w:asciiTheme="majorHAnsi" w:hAnsiTheme="majorHAnsi"/>
        </w:rPr>
        <w:t>. As with many cancers, the environmental risk factors for CRC include smoking, obesity and alcohol consumption</w:t>
      </w:r>
      <w:r w:rsidR="00AD06B1">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&lt;EndNote&gt;&lt;Cite&gt;&lt;Author&gt;de la Chapelle&lt;/Author&gt;&lt;Year&gt;2004&lt;/Year&gt;&lt;IDText&gt;Genetic predisposition to colorectal cancer&lt;/IDText&gt;&lt;DisplayText&gt;(de la Chapelle, 2004)&lt;/DisplayText&gt;&lt;record&gt;&lt;dates&gt;&lt;pub-dates&gt;&lt;date&gt;Oct&lt;/date&gt;&lt;/pub-dates&gt;&lt;year&gt;2004&lt;/year&gt;&lt;/dates&gt;&lt;keywords&gt;&lt;keyword&gt;Adenomatous Polyposis Coli&lt;/keyword&gt;&lt;keyword&gt;Base Pair Mismatch&lt;/keyword&gt;&lt;keyword&gt;Colorectal Neoplasms&lt;/keyword&gt;&lt;keyword&gt;Colorectal Neoplasms, Hereditary Nonpolyposis&lt;/keyword&gt;&lt;keyword&gt;DNA Repair&lt;/keyword&gt;&lt;keyword&gt;Genes, APC&lt;/keyword&gt;&lt;keyword&gt;Genes, DCC&lt;/keyword&gt;&lt;keyword&gt;Genetic Predisposition to Disease&lt;/keyword&gt;&lt;keyword&gt;Humans&lt;/keyword&gt;&lt;keyword&gt;Mutation&lt;/keyword&gt;&lt;keyword&gt;Neoplastic Syndromes, Hereditary&lt;/keyword&gt;&lt;keyword&gt;Organ Specificity&lt;/keyword&gt;&lt;keyword&gt;Penetrance&lt;/keyword&gt;&lt;keyword&gt;Risk Factors&lt;/keyword&gt;&lt;/keywords&gt;&lt;urls&gt;&lt;related-urls&gt;&lt;url&gt;http://www.ncbi.nlm.nih.gov/pubmed/15510158&lt;/url&gt;&lt;/related-urls&gt;&lt;/urls&gt;&lt;isbn&gt;1474-175X&lt;/isbn&gt;&lt;titles&gt;&lt;title&gt;Genetic predisposition to colorectal cancer&lt;/title&gt;&lt;secondary-title&gt;Nat Rev Cancer&lt;/secondary-title&gt;&lt;/titles&gt;&lt;pages&gt;769-80&lt;/pages&gt;&lt;number&gt;10&lt;/number&gt;&lt;contributors&gt;&lt;authors&gt;&lt;author&gt;de la Chapelle, A.&lt;/author&gt;&lt;/authors&gt;&lt;/contributors&gt;&lt;language&gt;eng&lt;/language&gt;&lt;added-date format="utc"&gt;1459957876&lt;/added-date&gt;&lt;ref-type name="Journal Article"&gt;17&lt;/ref-type&gt;&lt;rec-number&gt;148&lt;/rec-number&gt;&lt;last-updated-date format="utc"&gt;1459957876&lt;/last-updated-date&gt;&lt;accession-num&gt;15510158&lt;/accession-num&gt;&lt;electronic-resource-num&gt;10.1038/nrc1453&lt;/electronic-resource-num&gt;&lt;volume&gt;4&lt;/volume&gt;&lt;/record&gt;&lt;/Cite&gt;&lt;/EndNote&gt;</w:instrText>
      </w:r>
      <w:r>
        <w:rPr>
          <w:rFonts w:asciiTheme="majorHAnsi" w:hAnsiTheme="majorHAnsi"/>
        </w:rPr>
        <w:fldChar w:fldCharType="separate"/>
      </w:r>
      <w:r>
        <w:rPr>
          <w:rFonts w:asciiTheme="majorHAnsi" w:hAnsiTheme="majorHAnsi"/>
          <w:noProof/>
        </w:rPr>
        <w:t>(de la Chapelle, 2004)</w:t>
      </w:r>
      <w:r>
        <w:rPr>
          <w:rFonts w:asciiTheme="majorHAnsi" w:hAnsiTheme="majorHAnsi"/>
        </w:rPr>
        <w:fldChar w:fldCharType="end"/>
      </w:r>
      <w:r w:rsidRPr="004E2D72">
        <w:rPr>
          <w:rFonts w:asciiTheme="majorHAnsi" w:hAnsiTheme="majorHAnsi"/>
        </w:rPr>
        <w:t>. However, much research has been conducted into how diet affects the colon and whether a high intake of red and processed meat can contribute to sporadic CRC. Recently the International Agency for Research on Cancer set up a working group to investigate the effect of red and processed meat on the colon and found a positive association between consumption and CRC</w:t>
      </w:r>
      <w:r>
        <w:rPr>
          <w:rFonts w:asciiTheme="majorHAnsi" w:hAnsiTheme="majorHAnsi"/>
        </w:rPr>
        <w:t xml:space="preserve"> </w:t>
      </w:r>
      <w:r w:rsidR="0070038F">
        <w:rPr>
          <w:rFonts w:asciiTheme="majorHAnsi" w:hAnsiTheme="majorHAnsi"/>
        </w:rPr>
        <w:fldChar w:fldCharType="begin"/>
      </w:r>
      <w:r w:rsidR="0070038F">
        <w:rPr>
          <w:rFonts w:asciiTheme="majorHAnsi" w:hAnsiTheme="majorHAnsi"/>
        </w:rPr>
        <w:instrText xml:space="preserve"> ADDIN EN.CITE &lt;EndNote&gt;&lt;Cite&gt;&lt;Author&gt;IARC&lt;/Author&gt;&lt;Year&gt;2015&lt;/Year&gt;&lt;IDText&gt;IARC Monographs evaluate consumption of red meat and processed meat&lt;/IDText&gt;&lt;DisplayText&gt;(IARC, 2015)&lt;/DisplayText&gt;&lt;record&gt;&lt;urls&gt;&lt;related-urls&gt;&lt;url&gt;https://www.iarc.fr/en/media-centre/pr/2015/pdfs/pr240_E.pdf&lt;/url&gt;&lt;/related-urls&gt;&lt;/urls&gt;&lt;titles&gt;&lt;title&gt;IARC Monographs evaluate consumption of red meat and processed meat&lt;/title&gt;&lt;secondary-title&gt;Press Release No. 240&lt;/secondary-title&gt;&lt;/titles&gt;&lt;number&gt;2&lt;/number&gt;&lt;access-date&gt;09/11/17&lt;/access-date&gt;&lt;contributors&gt;&lt;authors&gt;&lt;author&gt;IARC&lt;/author&gt;&lt;/authors&gt;&lt;/contributors&gt;&lt;language&gt;English&lt;/language&gt;&lt;added-date format="utc"&gt;1510241030&lt;/added-date&gt;&lt;ref-type name="Press Release"&gt;63&lt;/ref-type&gt;&lt;dates&gt;&lt;year&gt;2015&lt;/year&gt;&lt;/dates&gt;&lt;rec-number&gt;364&lt;/rec-number&gt;&lt;publisher&gt;World Health Organisation&lt;/publisher&gt;&lt;last-updated-date format="utc"&gt;1515418139&lt;/last-updated-date&gt;&lt;/record&gt;&lt;/Cite&gt;&lt;/EndNote&gt;</w:instrText>
      </w:r>
      <w:r w:rsidR="0070038F">
        <w:rPr>
          <w:rFonts w:asciiTheme="majorHAnsi" w:hAnsiTheme="majorHAnsi"/>
        </w:rPr>
        <w:fldChar w:fldCharType="separate"/>
      </w:r>
      <w:r w:rsidR="0070038F">
        <w:rPr>
          <w:rFonts w:asciiTheme="majorHAnsi" w:hAnsiTheme="majorHAnsi"/>
          <w:noProof/>
        </w:rPr>
        <w:t>(IARC, 2015)</w:t>
      </w:r>
      <w:r w:rsidR="0070038F">
        <w:rPr>
          <w:rFonts w:asciiTheme="majorHAnsi" w:hAnsiTheme="majorHAnsi"/>
        </w:rPr>
        <w:fldChar w:fldCharType="end"/>
      </w:r>
      <w:r w:rsidR="0070038F">
        <w:rPr>
          <w:rFonts w:asciiTheme="majorHAnsi" w:hAnsiTheme="majorHAnsi"/>
        </w:rPr>
        <w:t>.</w:t>
      </w:r>
      <w:r w:rsidR="00770EBD">
        <w:rPr>
          <w:rFonts w:asciiTheme="majorHAnsi" w:hAnsiTheme="majorHAnsi"/>
        </w:rPr>
        <w:t xml:space="preserve"> </w:t>
      </w:r>
      <w:r w:rsidRPr="004E2D72">
        <w:rPr>
          <w:rFonts w:asciiTheme="majorHAnsi" w:hAnsiTheme="majorHAnsi"/>
        </w:rPr>
        <w:t>This may be, in part, to do with N-</w:t>
      </w:r>
      <w:proofErr w:type="spellStart"/>
      <w:r w:rsidRPr="004E2D72">
        <w:rPr>
          <w:rFonts w:asciiTheme="majorHAnsi" w:hAnsiTheme="majorHAnsi"/>
        </w:rPr>
        <w:t>nitroso</w:t>
      </w:r>
      <w:proofErr w:type="spellEnd"/>
      <w:r w:rsidRPr="004E2D72">
        <w:rPr>
          <w:rFonts w:asciiTheme="majorHAnsi" w:hAnsiTheme="majorHAnsi"/>
        </w:rPr>
        <w:t xml:space="preserve">-compounds (NOC), chemicals found in meat after the curing process and also generated in the human colon during digestion of red meat. Although there is little evidence that increased levels of NOC can cause DNA damage </w:t>
      </w:r>
      <w:r>
        <w:rPr>
          <w:rFonts w:asciiTheme="majorHAnsi" w:hAnsiTheme="majorHAnsi"/>
        </w:rPr>
        <w:fldChar w:fldCharType="begin"/>
      </w:r>
      <w:r>
        <w:rPr>
          <w:rFonts w:asciiTheme="majorHAnsi" w:hAnsiTheme="majorHAnsi"/>
        </w:rPr>
        <w:instrText xml:space="preserve"> ADDIN EN.CITE &lt;EndNote&gt;&lt;Cite&gt;&lt;Author&gt;Bouvard&lt;/Author&gt;&lt;Year&gt;2015&lt;/Year&gt;&lt;IDText&gt;Carcinogenicity of consumption of red and processed meat&lt;/IDText&gt;&lt;DisplayText&gt;(Bouvard et al., 2015)&lt;/DisplayText&gt;&lt;record&gt;&lt;dates&gt;&lt;pub-dates&gt;&lt;date&gt;Oct&lt;/date&gt;&lt;/pub-dates&gt;&lt;year&gt;2015&lt;/year&gt;&lt;/dates&gt;&lt;urls&gt;&lt;related-urls&gt;&lt;url&gt;http://www.ncbi.nlm.nih.gov/pubmed/26514947&lt;/url&gt;&lt;/related-urls&gt;&lt;/urls&gt;&lt;isbn&gt;1474-5488&lt;/isbn&gt;&lt;titles&gt;&lt;title&gt;Carcinogenicity of consumption of red and processed meat&lt;/title&gt;&lt;secondary-title&gt;Lancet Oncol&lt;/secondary-title&gt;&lt;/titles&gt;&lt;contributors&gt;&lt;authors&gt;&lt;author&gt;Bouvard, V.&lt;/author&gt;&lt;author&gt;Loomis, D.&lt;/author&gt;&lt;author&gt;Guyton, K. Z.&lt;/author&gt;&lt;author&gt;Grosse, Y.&lt;/author&gt;&lt;author&gt;Ghissassi, F. E.&lt;/author&gt;&lt;author&gt;Benbrahim-Tallaa, L.&lt;/author&gt;&lt;author&gt;Guha, N.&lt;/author&gt;&lt;author&gt;Mattock, H.&lt;/author&gt;&lt;author&gt;Straif, K.&lt;/author&gt;&lt;author&gt;International Agency for Research on Cancer Monograph Working Group&lt;/author&gt;&lt;/authors&gt;&lt;/contributors&gt;&lt;language&gt;ENG&lt;/language&gt;&lt;added-date format="utc"&gt;1447344848&lt;/added-date&gt;&lt;ref-type name="Journal Article"&gt;17&lt;/ref-type&gt;&lt;rec-number&gt;131&lt;/rec-number&gt;&lt;last-updated-date format="utc"&gt;1447344848&lt;/last-updated-date&gt;&lt;accession-num&gt;26514947&lt;/accession-num&gt;&lt;electronic-resource-num&gt;10.1016/S1470-2045(15)00444-1&lt;/electronic-resource-num&gt;&lt;/record&gt;&lt;/Cite&gt;&lt;/EndNote&gt;</w:instrText>
      </w:r>
      <w:r>
        <w:rPr>
          <w:rFonts w:asciiTheme="majorHAnsi" w:hAnsiTheme="majorHAnsi"/>
        </w:rPr>
        <w:fldChar w:fldCharType="separate"/>
      </w:r>
      <w:r>
        <w:rPr>
          <w:rFonts w:asciiTheme="majorHAnsi" w:hAnsiTheme="majorHAnsi"/>
          <w:noProof/>
        </w:rPr>
        <w:t>(Bouvard et al., 2015)</w:t>
      </w:r>
      <w:r>
        <w:rPr>
          <w:rFonts w:asciiTheme="majorHAnsi" w:hAnsiTheme="majorHAnsi"/>
        </w:rPr>
        <w:fldChar w:fldCharType="end"/>
      </w:r>
      <w:r>
        <w:rPr>
          <w:rFonts w:asciiTheme="majorHAnsi" w:hAnsiTheme="majorHAnsi"/>
        </w:rPr>
        <w:t>.</w:t>
      </w:r>
    </w:p>
    <w:p w14:paraId="733946E5" w14:textId="77777777" w:rsidR="00B15A35" w:rsidRPr="004E2D72" w:rsidRDefault="00B15A35" w:rsidP="00B15A35">
      <w:pPr>
        <w:spacing w:line="360" w:lineRule="auto"/>
        <w:jc w:val="both"/>
        <w:rPr>
          <w:rFonts w:asciiTheme="majorHAnsi" w:hAnsiTheme="majorHAnsi"/>
        </w:rPr>
      </w:pPr>
    </w:p>
    <w:p w14:paraId="7761BF77" w14:textId="77777777" w:rsidR="00B15A35" w:rsidRPr="004E2D72" w:rsidRDefault="00B15A35" w:rsidP="002F41C6">
      <w:pPr>
        <w:pStyle w:val="NoSpacing"/>
        <w:numPr>
          <w:ilvl w:val="0"/>
          <w:numId w:val="34"/>
        </w:numPr>
        <w:spacing w:line="276" w:lineRule="auto"/>
        <w:jc w:val="both"/>
        <w:rPr>
          <w:rFonts w:asciiTheme="majorHAnsi" w:hAnsiTheme="majorHAnsi"/>
          <w:b/>
          <w:i/>
        </w:rPr>
      </w:pPr>
      <w:r w:rsidRPr="004E2D72">
        <w:rPr>
          <w:rFonts w:asciiTheme="majorHAnsi" w:hAnsiTheme="majorHAnsi"/>
          <w:b/>
          <w:i/>
        </w:rPr>
        <w:t>Hereditary Colorectal Cancer</w:t>
      </w:r>
    </w:p>
    <w:p w14:paraId="7BFB373B" w14:textId="1A115B25" w:rsidR="00B15A35" w:rsidRPr="004E2D72" w:rsidRDefault="00B15A35" w:rsidP="00B15A35">
      <w:pPr>
        <w:pStyle w:val="NoSpacing"/>
        <w:spacing w:line="360" w:lineRule="auto"/>
        <w:jc w:val="both"/>
        <w:rPr>
          <w:rFonts w:asciiTheme="majorHAnsi" w:hAnsiTheme="majorHAnsi"/>
        </w:rPr>
      </w:pPr>
      <w:r w:rsidRPr="004E2D72">
        <w:rPr>
          <w:rFonts w:asciiTheme="majorHAnsi" w:hAnsiTheme="majorHAnsi"/>
        </w:rPr>
        <w:t>Out of the 25% of CRC patients who exhibit a family history</w:t>
      </w:r>
      <w:r>
        <w:rPr>
          <w:rFonts w:asciiTheme="majorHAnsi" w:hAnsiTheme="majorHAnsi"/>
        </w:rPr>
        <w:t>,</w:t>
      </w:r>
      <w:r w:rsidRPr="004E2D72">
        <w:rPr>
          <w:rFonts w:asciiTheme="majorHAnsi" w:hAnsiTheme="majorHAnsi"/>
        </w:rPr>
        <w:t xml:space="preserve"> only 5-6% of these </w:t>
      </w:r>
      <w:r w:rsidR="00AD06B1">
        <w:rPr>
          <w:rFonts w:asciiTheme="majorHAnsi" w:hAnsiTheme="majorHAnsi"/>
        </w:rPr>
        <w:t xml:space="preserve">cases are </w:t>
      </w:r>
      <w:r>
        <w:rPr>
          <w:rFonts w:asciiTheme="majorHAnsi" w:hAnsiTheme="majorHAnsi"/>
        </w:rPr>
        <w:t>due</w:t>
      </w:r>
      <w:r w:rsidRPr="004E2D72">
        <w:rPr>
          <w:rFonts w:asciiTheme="majorHAnsi" w:hAnsiTheme="majorHAnsi"/>
        </w:rPr>
        <w:t xml:space="preserve"> </w:t>
      </w:r>
      <w:r>
        <w:rPr>
          <w:rFonts w:asciiTheme="majorHAnsi" w:hAnsiTheme="majorHAnsi"/>
        </w:rPr>
        <w:t>to an inherited mutation, w</w:t>
      </w:r>
      <w:r w:rsidRPr="004E2D72">
        <w:rPr>
          <w:rFonts w:asciiTheme="majorHAnsi" w:hAnsiTheme="majorHAnsi"/>
        </w:rPr>
        <w:t>hile the remaining patients probably have</w:t>
      </w:r>
      <w:r w:rsidR="00AD06B1">
        <w:rPr>
          <w:rFonts w:asciiTheme="majorHAnsi" w:hAnsiTheme="majorHAnsi"/>
        </w:rPr>
        <w:t xml:space="preserve"> inherited combinations of</w:t>
      </w:r>
      <w:r w:rsidRPr="004E2D72">
        <w:rPr>
          <w:rFonts w:asciiTheme="majorHAnsi" w:hAnsiTheme="majorHAnsi"/>
        </w:rPr>
        <w:t xml:space="preserve"> low penetrance </w:t>
      </w:r>
      <w:r w:rsidR="00AD06B1">
        <w:rPr>
          <w:rFonts w:asciiTheme="majorHAnsi" w:hAnsiTheme="majorHAnsi"/>
        </w:rPr>
        <w:t>risk alleles</w:t>
      </w:r>
      <w:r w:rsidRPr="004E2D72">
        <w:rPr>
          <w:rFonts w:asciiTheme="majorHAnsi" w:hAnsiTheme="majorHAnsi"/>
        </w:rPr>
        <w:t xml:space="preserve"> with exogenous factor interaction such as diet and environment. If patients ar</w:t>
      </w:r>
      <w:r w:rsidR="00AD06B1">
        <w:rPr>
          <w:rFonts w:asciiTheme="majorHAnsi" w:hAnsiTheme="majorHAnsi"/>
        </w:rPr>
        <w:t>en’t diagnosed with one of the</w:t>
      </w:r>
      <w:r w:rsidRPr="004E2D72">
        <w:rPr>
          <w:rFonts w:asciiTheme="majorHAnsi" w:hAnsiTheme="majorHAnsi"/>
        </w:rPr>
        <w:t xml:space="preserve"> hereditary forms of CRC, but appear to have a familial link then they are termed familial colorectal cancer (FCC) sufferers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&lt;EndNote&gt;&lt;Cite&gt;&lt;Author&gt;Migliore&lt;/Author&gt;&lt;Year&gt;2011&lt;/Year&gt;&lt;IDText&gt;Genetics, cytogenetics, and epigenetics of colorectal cancer&lt;/IDText&gt;&lt;DisplayText&gt;(Migliore et al., 2011)&lt;/DisplayText&gt;&lt;record&gt;&lt;keywords&gt;&lt;keyword&gt;Aneuploidy&lt;/keyword&gt;&lt;keyword&gt;Chromosomal Instability&lt;/keyword&gt;&lt;keyword&gt;Colorectal Neoplasms&lt;/keyword&gt;&lt;keyword&gt;DNA Methylation&lt;/keyword&gt;&lt;keyword&gt;Epigenesis, Genetic&lt;/keyword&gt;&lt;keyword&gt;Gene Expression Regulation, Neoplastic&lt;/keyword&gt;&lt;keyword&gt;Humans&lt;/keyword&gt;&lt;keyword&gt;Loss of Heterozygosity&lt;/keyword&gt;&lt;keyword&gt;Microsatellite Instability&lt;/keyword&gt;&lt;keyword&gt;Mutation&lt;/keyword&gt;&lt;/keywords&gt;&lt;urls&gt;&lt;related-urls&gt;&lt;url&gt;http://www.ncbi.nlm.nih.gov/pubmed/21490705&lt;/url&gt;&lt;/related-urls&gt;&lt;/urls&gt;&lt;isbn&gt;1110-7251&lt;/isbn&gt;&lt;custom2&gt;PMC3070260&lt;/custom2&gt;&lt;titles&gt;&lt;title&gt;Genetics, cytogenetics, and epigenetics of colorectal cancer&lt;/title&gt;&lt;secondary-title&gt;J Biomed Biotechnol&lt;/secondary-title&gt;&lt;/titles&gt;&lt;pages&gt;792362&lt;/pages&gt;&lt;contributors&gt;&lt;authors&gt;&lt;author&gt;Migliore, L.&lt;/author&gt;&lt;author&gt;Migheli, F.&lt;/author&gt;&lt;author&gt;Spisni, R.&lt;/author&gt;&lt;author&gt;Coppedè, F.&lt;/author&gt;&lt;/authors&gt;&lt;/contributors&gt;&lt;language&gt;eng&lt;/language&gt;&lt;added-date format="utc"&gt;1459957974&lt;/added-date&gt;&lt;ref-type name="Journal Article"&gt;17&lt;/ref-type&gt;&lt;dates&gt;&lt;year&gt;2011&lt;/year&gt;&lt;/dates&gt;&lt;rec-number&gt;149&lt;/rec-number&gt;&lt;last-updated-date format="utc"&gt;1459957974&lt;/last-updated-date&gt;&lt;accession-num&gt;21490705&lt;/accession-num&gt;&lt;electronic-resource-num&gt;10.1155/2011/792362&lt;/electronic-resource-num&gt;&lt;volume&gt;2011&lt;/volume&gt;&lt;/record&gt;&lt;/Cite&gt;&lt;/EndNote&gt;</w:instrText>
      </w:r>
      <w:r>
        <w:rPr>
          <w:rFonts w:asciiTheme="majorHAnsi" w:hAnsiTheme="majorHAnsi"/>
        </w:rPr>
        <w:fldChar w:fldCharType="separate"/>
      </w:r>
      <w:r>
        <w:rPr>
          <w:rFonts w:asciiTheme="majorHAnsi" w:hAnsiTheme="majorHAnsi"/>
          <w:noProof/>
        </w:rPr>
        <w:t>(Migliore et al., 2011)</w:t>
      </w:r>
      <w:r>
        <w:rPr>
          <w:rFonts w:asciiTheme="majorHAnsi" w:hAnsiTheme="majorHAnsi"/>
        </w:rPr>
        <w:fldChar w:fldCharType="end"/>
      </w:r>
      <w:r w:rsidRPr="004E2D72">
        <w:rPr>
          <w:rFonts w:asciiTheme="majorHAnsi" w:hAnsiTheme="majorHAnsi"/>
        </w:rPr>
        <w:t>.</w:t>
      </w:r>
    </w:p>
    <w:p w14:paraId="6F82CE23" w14:textId="77777777" w:rsidR="00B15A35" w:rsidRPr="004E2D72" w:rsidRDefault="00B15A35" w:rsidP="00B15A35">
      <w:pPr>
        <w:pStyle w:val="NoSpacing"/>
        <w:spacing w:line="360" w:lineRule="auto"/>
        <w:jc w:val="both"/>
        <w:rPr>
          <w:rFonts w:asciiTheme="majorHAnsi" w:hAnsiTheme="majorHAnsi"/>
        </w:rPr>
      </w:pPr>
    </w:p>
    <w:p w14:paraId="082B10BA" w14:textId="7573B903" w:rsidR="00B15A35" w:rsidRPr="004E2D72" w:rsidRDefault="00B15A35" w:rsidP="00B15A35">
      <w:pPr>
        <w:pStyle w:val="NoSpacing"/>
        <w:spacing w:line="360" w:lineRule="auto"/>
        <w:jc w:val="both"/>
        <w:rPr>
          <w:rFonts w:asciiTheme="majorHAnsi" w:hAnsiTheme="majorHAnsi"/>
          <w:lang w:val="en-GB"/>
        </w:rPr>
      </w:pPr>
      <w:r w:rsidRPr="004E2D72">
        <w:rPr>
          <w:rFonts w:asciiTheme="majorHAnsi" w:hAnsiTheme="majorHAnsi"/>
        </w:rPr>
        <w:t>Familial Adenomatous Polyposis (FAP) is an autosomal dominant disease that accounts for 1% of CRC cases. Inheriting an APC mutation on one allele causes the disease, with prevalence in the population of around 1 in 8000</w:t>
      </w:r>
      <w:r w:rsidR="00AA599E">
        <w:rPr>
          <w:rFonts w:asciiTheme="majorHAnsi" w:hAnsiTheme="majorHAnsi"/>
        </w:rPr>
        <w:t>, but does not necessarily mean the patient develops colorectal cancer</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&lt;EndNote&gt;&lt;Cite&gt;&lt;Author&gt;Half&lt;/Author&gt;&lt;Year&gt;2009&lt;/Year&gt;&lt;IDText&gt;Familial adenomatous polyposis&lt;/IDText&gt;&lt;DisplayText&gt;(Half et al., 2009)&lt;/DisplayText&gt;&lt;record&gt;&lt;keywords&gt;&lt;keyword&gt;Adenomatous Polyposis Coli&lt;/keyword&gt;&lt;keyword&gt;Animals&lt;/keyword&gt;&lt;keyword&gt;Female&lt;/keyword&gt;&lt;keyword&gt;Humans&lt;/keyword&gt;&lt;keyword&gt;Male&lt;/keyword&gt;&lt;/keywords&gt;&lt;urls&gt;&lt;related-urls&gt;&lt;url&gt;http://www.ncbi.nlm.nih.gov/pubmed/19822006&lt;/url&gt;&lt;/related-urls&gt;&lt;/urls&gt;&lt;isbn&gt;1750-1172&lt;/isbn&gt;&lt;custom2&gt;PMC2772987&lt;/custom2&gt;&lt;titles&gt;&lt;title&gt;Familial adenomatous polyposis&lt;/title&gt;&lt;secondary-title&gt;Orphanet J Rare Dis&lt;/secondary-title&gt;&lt;/titles&gt;&lt;pages&gt;22&lt;/pages&gt;&lt;contributors&gt;&lt;authors&gt;&lt;author&gt;Half, E.&lt;/author&gt;&lt;author&gt;Bercovich, D.&lt;/author&gt;&lt;author&gt;Rozen, P.&lt;/author&gt;&lt;/authors&gt;&lt;/contributors&gt;&lt;language&gt;eng&lt;/language&gt;&lt;added-date format="utc"&gt;1427975183&lt;/added-date&gt;&lt;ref-type name="Journal Article"&gt;17&lt;/ref-type&gt;&lt;dates&gt;&lt;year&gt;2009&lt;/year&gt;&lt;/dates&gt;&lt;rec-number&gt;122&lt;/rec-number&gt;&lt;last-updated-date format="utc"&gt;1447343920&lt;/last-updated-date&gt;&lt;accession-num&gt;19822006&lt;/accession-num&gt;&lt;electronic-resource-num&gt;10.1186/1750-1172-4-22&lt;/electronic-resource-num&gt;&lt;volume&gt;4&lt;/volume&gt;&lt;/record&gt;&lt;/Cite&gt;&lt;/EndNote&gt;</w:instrText>
      </w:r>
      <w:r>
        <w:rPr>
          <w:rFonts w:asciiTheme="majorHAnsi" w:hAnsiTheme="majorHAnsi"/>
        </w:rPr>
        <w:fldChar w:fldCharType="separate"/>
      </w:r>
      <w:r>
        <w:rPr>
          <w:rFonts w:asciiTheme="majorHAnsi" w:hAnsiTheme="majorHAnsi"/>
          <w:noProof/>
        </w:rPr>
        <w:t>(Half et al., 2009)</w:t>
      </w:r>
      <w:r>
        <w:rPr>
          <w:rFonts w:asciiTheme="majorHAnsi" w:hAnsiTheme="majorHAnsi"/>
        </w:rPr>
        <w:fldChar w:fldCharType="end"/>
      </w:r>
      <w:r w:rsidRPr="004E2D72">
        <w:rPr>
          <w:rFonts w:asciiTheme="majorHAnsi" w:hAnsiTheme="majorHAnsi"/>
        </w:rPr>
        <w:t xml:space="preserve">. As described earlier, </w:t>
      </w:r>
      <w:r w:rsidR="00AD06B1">
        <w:rPr>
          <w:rFonts w:asciiTheme="majorHAnsi" w:hAnsiTheme="majorHAnsi"/>
        </w:rPr>
        <w:t>loss of APC</w:t>
      </w:r>
      <w:r w:rsidR="00642915">
        <w:rPr>
          <w:rFonts w:asciiTheme="majorHAnsi" w:hAnsiTheme="majorHAnsi"/>
        </w:rPr>
        <w:t xml:space="preserve"> leads to activation of the WNT</w:t>
      </w:r>
      <w:r w:rsidRPr="004E2D72">
        <w:rPr>
          <w:rFonts w:asciiTheme="majorHAnsi" w:hAnsiTheme="majorHAnsi"/>
        </w:rPr>
        <w:t xml:space="preserve"> pathway, resulting in proliferation and adenoma formation. This </w:t>
      </w:r>
      <w:r w:rsidR="005A4565">
        <w:rPr>
          <w:rFonts w:asciiTheme="majorHAnsi" w:hAnsiTheme="majorHAnsi"/>
        </w:rPr>
        <w:t xml:space="preserve">therefore </w:t>
      </w:r>
      <w:r w:rsidRPr="004E2D72">
        <w:rPr>
          <w:rFonts w:asciiTheme="majorHAnsi" w:hAnsiTheme="majorHAnsi"/>
        </w:rPr>
        <w:t xml:space="preserve">confers a </w:t>
      </w:r>
      <w:r w:rsidR="00AD06B1">
        <w:rPr>
          <w:rFonts w:asciiTheme="majorHAnsi" w:hAnsiTheme="majorHAnsi"/>
        </w:rPr>
        <w:t>high risk</w:t>
      </w:r>
      <w:r w:rsidRPr="004E2D72">
        <w:rPr>
          <w:rFonts w:asciiTheme="majorHAnsi" w:hAnsiTheme="majorHAnsi"/>
        </w:rPr>
        <w:t xml:space="preserve"> of developing malignant growths from the hundreds of adenomas that form along the colon wall</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&lt;EndNote&gt;&lt;Cite&gt;&lt;Author&gt;Lal&lt;/Author&gt;&lt;Year&gt;2000&lt;/Year&gt;&lt;IDText&gt;Familial adenomatous polyposis&lt;/IDText&gt;&lt;DisplayText&gt;(Lal and Gallinger, 2000)&lt;/DisplayText&gt;&lt;record&gt;&lt;dates&gt;&lt;pub-dates&gt;&lt;date&gt;Jun&lt;/date&gt;&lt;/pub-dates&gt;&lt;year&gt;2000&lt;/year&gt;&lt;/dates&gt;&lt;keywords&gt;&lt;keyword&gt;Adenomatous Polyposis Coli&lt;/keyword&gt;&lt;keyword&gt;Diagnosis, Differential&lt;/keyword&gt;&lt;keyword&gt;Genes, APC&lt;/keyword&gt;&lt;keyword&gt;Genetic Testing&lt;/keyword&gt;&lt;keyword&gt;Genotype&lt;/keyword&gt;&lt;keyword&gt;Humans&lt;/keyword&gt;&lt;keyword&gt;Pedigree&lt;/keyword&gt;&lt;keyword&gt;Phenotype&lt;/keyword&gt;&lt;keyword&gt;Polyps&lt;/keyword&gt;&lt;/keywords&gt;&lt;urls&gt;&lt;related-urls&gt;&lt;url&gt;http://www.ncbi.nlm.nih.gov/pubmed/10805953&lt;/url&gt;&lt;/related-urls&gt;&lt;/urls&gt;&lt;isbn&gt;8756-0437&lt;/isbn&gt;&lt;titles&gt;&lt;title&gt;Familial adenomatous polyposis&lt;/title&gt;&lt;secondary-title&gt;Semin Surg Oncol&lt;/secondary-title&gt;&lt;/titles&gt;&lt;pages&gt;314-23&lt;/pages&gt;&lt;number&gt;4&lt;/number&gt;&lt;contributors&gt;&lt;authors&gt;&lt;author&gt;Lal, G.&lt;/author&gt;&lt;author&gt;Gallinger, S.&lt;/author&gt;&lt;/authors&gt;&lt;/contributors&gt;&lt;language&gt;eng&lt;/language&gt;&lt;added-date format="utc"&gt;1425983917&lt;/added-date&gt;&lt;ref-type name="Journal Article"&gt;17&lt;/ref-type&gt;&lt;rec-number&gt;64&lt;/rec-number&gt;&lt;last-updated-date format="utc"&gt;1447344165&lt;/last-updated-date&gt;&lt;accession-num&gt;10805953&lt;/accession-num&gt;&lt;volume&gt;18&lt;/volume&gt;&lt;/record&gt;&lt;/Cite&gt;&lt;/EndNote&gt;</w:instrText>
      </w:r>
      <w:r>
        <w:rPr>
          <w:rFonts w:asciiTheme="majorHAnsi" w:hAnsiTheme="majorHAnsi"/>
        </w:rPr>
        <w:fldChar w:fldCharType="separate"/>
      </w:r>
      <w:r>
        <w:rPr>
          <w:rFonts w:asciiTheme="majorHAnsi" w:hAnsiTheme="majorHAnsi"/>
          <w:noProof/>
        </w:rPr>
        <w:t>(Lal and Gallinger, 2000)</w:t>
      </w:r>
      <w:r>
        <w:rPr>
          <w:rFonts w:asciiTheme="majorHAnsi" w:hAnsiTheme="majorHAnsi"/>
        </w:rPr>
        <w:fldChar w:fldCharType="end"/>
      </w:r>
      <w:r w:rsidRPr="004E2D72">
        <w:rPr>
          <w:rFonts w:asciiTheme="majorHAnsi" w:hAnsiTheme="majorHAnsi"/>
        </w:rPr>
        <w:t xml:space="preserve">. Malignancy </w:t>
      </w:r>
      <w:r>
        <w:rPr>
          <w:rFonts w:asciiTheme="majorHAnsi" w:hAnsiTheme="majorHAnsi"/>
        </w:rPr>
        <w:t>occurs</w:t>
      </w:r>
      <w:r w:rsidRPr="004E2D72">
        <w:rPr>
          <w:rFonts w:asciiTheme="majorHAnsi" w:hAnsiTheme="majorHAnsi"/>
        </w:rPr>
        <w:t xml:space="preserve"> in around 1 out of </w:t>
      </w:r>
      <w:r w:rsidR="005A4565">
        <w:rPr>
          <w:rFonts w:asciiTheme="majorHAnsi" w:hAnsiTheme="majorHAnsi"/>
        </w:rPr>
        <w:t xml:space="preserve">every </w:t>
      </w:r>
      <w:r w:rsidRPr="004E2D72">
        <w:rPr>
          <w:rFonts w:asciiTheme="majorHAnsi" w:hAnsiTheme="majorHAnsi"/>
        </w:rPr>
        <w:t>10</w:t>
      </w:r>
      <w:r w:rsidRPr="004E2D72">
        <w:rPr>
          <w:rFonts w:asciiTheme="majorHAnsi" w:hAnsiTheme="majorHAnsi"/>
          <w:vertAlign w:val="superscript"/>
        </w:rPr>
        <w:t xml:space="preserve">6 </w:t>
      </w:r>
      <w:r w:rsidRPr="004E2D72">
        <w:rPr>
          <w:rFonts w:asciiTheme="majorHAnsi" w:hAnsiTheme="majorHAnsi"/>
        </w:rPr>
        <w:t>colorectal epithelial</w:t>
      </w:r>
      <w:r w:rsidRPr="004E2D72">
        <w:rPr>
          <w:rFonts w:asciiTheme="majorHAnsi" w:hAnsiTheme="majorHAnsi"/>
          <w:vertAlign w:val="superscript"/>
        </w:rPr>
        <w:t xml:space="preserve"> </w:t>
      </w:r>
      <w:r w:rsidRPr="004E2D72">
        <w:rPr>
          <w:rFonts w:asciiTheme="majorHAnsi" w:hAnsiTheme="majorHAnsi"/>
        </w:rPr>
        <w:t>cells, if a somatic mutation occurs on the wild type allele of the other chromosome</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&lt;EndNote&gt;&lt;Cite&gt;&lt;Author&gt;Kinzler&lt;/Author&gt;&lt;Year&gt;1996&lt;/Year&gt;&lt;IDText&gt;Lessons from hereditary colorectal cancer&lt;/IDText&gt;&lt;DisplayText&gt;(Kinzler and Vogelstein, 1996)&lt;/DisplayText&gt;&lt;record&gt;&lt;dates&gt;&lt;pub-dates&gt;&lt;date&gt;Oct&lt;/date&gt;&lt;/pub-dates&gt;&lt;year&gt;1996&lt;/year&gt;&lt;/dates&gt;&lt;keywords&gt;&lt;keyword&gt;Adenoma&lt;/keyword&gt;&lt;keyword&gt;Adenomatous Polyposis Coli&lt;/keyword&gt;&lt;keyword&gt;Colorectal Neoplasms&lt;/keyword&gt;&lt;keyword&gt;Colorectal Neoplasms, Hereditary Nonpolyposis&lt;/keyword&gt;&lt;keyword&gt;Genes, APC&lt;/keyword&gt;&lt;keyword&gt;Humans&lt;/keyword&gt;&lt;keyword&gt;Hyperplasia&lt;/keyword&gt;&lt;keyword&gt;Oncogenes&lt;/keyword&gt;&lt;keyword&gt;Point Mutation&lt;/keyword&gt;&lt;/keywords&gt;&lt;urls&gt;&lt;related-urls&gt;&lt;url&gt;http://www.ncbi.nlm.nih.gov/pubmed/8861899&lt;/url&gt;&lt;/related-urls&gt;&lt;/urls&gt;&lt;isbn&gt;0092-8674&lt;/isbn&gt;&lt;titles&gt;&lt;title&gt;Lessons from hereditary colorectal cancer&lt;/title&gt;&lt;secondary-title&gt;Cell&lt;/secondary-title&gt;&lt;/titles&gt;&lt;pages&gt;159-70&lt;/pages&gt;&lt;number&gt;2&lt;/number&gt;&lt;contributors&gt;&lt;authors&gt;&lt;author&gt;Kinzler, K. W.&lt;/author&gt;&lt;author&gt;Vogelstein, B.&lt;/author&gt;&lt;/authors&gt;&lt;/contributors&gt;&lt;language&gt;eng&lt;/language&gt;&lt;added-date format="utc"&gt;1447344886&lt;/added-date&gt;&lt;ref-type name="Journal Article"&gt;17&lt;/ref-type&gt;&lt;rec-number&gt;132&lt;/rec-number&gt;&lt;last-updated-date format="utc"&gt;1447344886&lt;/last-updated-date&gt;&lt;accession-num&gt;8861899&lt;/accession-num&gt;&lt;volume&gt;87&lt;/volume&gt;&lt;/record&gt;&lt;/Cite&gt;&lt;/EndNote&gt;</w:instrText>
      </w:r>
      <w:r>
        <w:rPr>
          <w:rFonts w:asciiTheme="majorHAnsi" w:hAnsiTheme="majorHAnsi"/>
        </w:rPr>
        <w:fldChar w:fldCharType="separate"/>
      </w:r>
      <w:r>
        <w:rPr>
          <w:rFonts w:asciiTheme="majorHAnsi" w:hAnsiTheme="majorHAnsi"/>
          <w:noProof/>
        </w:rPr>
        <w:t>(Kinzler and Vogelstein, 1996)</w:t>
      </w:r>
      <w:r>
        <w:rPr>
          <w:rFonts w:asciiTheme="majorHAnsi" w:hAnsiTheme="majorHAnsi"/>
        </w:rPr>
        <w:fldChar w:fldCharType="end"/>
      </w:r>
      <w:r w:rsidRPr="004E2D72">
        <w:rPr>
          <w:rFonts w:asciiTheme="majorHAnsi" w:hAnsiTheme="majorHAnsi"/>
        </w:rPr>
        <w:t xml:space="preserve">. Surgery to remove the bowel is often </w:t>
      </w:r>
      <w:r w:rsidR="00AD06B1">
        <w:rPr>
          <w:rFonts w:asciiTheme="majorHAnsi" w:hAnsiTheme="majorHAnsi"/>
        </w:rPr>
        <w:t>carried out</w:t>
      </w:r>
      <w:r w:rsidRPr="004E2D72">
        <w:rPr>
          <w:rFonts w:asciiTheme="majorHAnsi" w:hAnsiTheme="majorHAnsi"/>
        </w:rPr>
        <w:t xml:space="preserve"> at an early age in FAP patients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&lt;EndNote&gt;&lt;Cite&gt;&lt;Author&gt;Buturovic&lt;/Author&gt;&lt;Year&gt;2014&lt;/Year&gt;&lt;IDText&gt;Multiple colon polyposis&lt;/IDText&gt;&lt;DisplayText&gt;(Buturovic, 2014)&lt;/DisplayText&gt;&lt;record&gt;&lt;dates&gt;&lt;pub-dates&gt;&lt;date&gt;Jun&lt;/date&gt;&lt;/pub-dates&gt;&lt;year&gt;2014&lt;/year&gt;&lt;/dates&gt;&lt;urls&gt;&lt;related-urls&gt;&lt;url&gt;http://www.ncbi.nlm.nih.gov/pubmed/25568540&lt;/url&gt;&lt;/related-urls&gt;&lt;/urls&gt;&lt;isbn&gt;0350-199X&lt;/isbn&gt;&lt;custom2&gt;PMC4240332&lt;/custom2&gt;&lt;titles&gt;&lt;title&gt;Multiple colon polyposis&lt;/title&gt;&lt;secondary-title&gt;Med Arch&lt;/secondary-title&gt;&lt;/titles&gt;&lt;pages&gt;221-2&lt;/pages&gt;&lt;number&gt;3&lt;/number&gt;&lt;contributors&gt;&lt;authors&gt;&lt;author&gt;Buturovic, S.&lt;/author&gt;&lt;/authors&gt;&lt;/contributors&gt;&lt;language&gt;eng&lt;/language&gt;&lt;added-date format="utc"&gt;1425918689&lt;/added-date&gt;&lt;ref-type name="Journal Article"&gt;17&lt;/ref-type&gt;&lt;rec-number&gt;21&lt;/rec-number&gt;&lt;last-updated-date format="utc"&gt;1447343679&lt;/last-updated-date&gt;&lt;accession-num&gt;25568540&lt;/accession-num&gt;&lt;electronic-resource-num&gt;10.5455/medarh.2014.68.221-222&lt;/electronic-resource-num&gt;&lt;volume&gt;68&lt;/volume&gt;&lt;/record&gt;&lt;/Cite&gt;&lt;/EndNote&gt;</w:instrText>
      </w:r>
      <w:r>
        <w:rPr>
          <w:rFonts w:asciiTheme="majorHAnsi" w:hAnsiTheme="majorHAnsi"/>
        </w:rPr>
        <w:fldChar w:fldCharType="separate"/>
      </w:r>
      <w:r>
        <w:rPr>
          <w:rFonts w:asciiTheme="majorHAnsi" w:hAnsiTheme="majorHAnsi"/>
          <w:noProof/>
        </w:rPr>
        <w:t>(Buturovic, 2014)</w:t>
      </w:r>
      <w:r>
        <w:rPr>
          <w:rFonts w:asciiTheme="majorHAnsi" w:hAnsiTheme="majorHAnsi"/>
        </w:rPr>
        <w:fldChar w:fldCharType="end"/>
      </w:r>
      <w:r w:rsidRPr="004E2D72">
        <w:rPr>
          <w:rFonts w:asciiTheme="majorHAnsi" w:hAnsiTheme="majorHAnsi"/>
        </w:rPr>
        <w:t xml:space="preserve">, due to the almost 100% probability that the patients will develop CRC in their 20s-30s </w:t>
      </w:r>
      <w:r>
        <w:rPr>
          <w:rFonts w:asciiTheme="majorHAnsi" w:hAnsiTheme="majorHAnsi"/>
        </w:rPr>
        <w:fldChar w:fldCharType="begin"/>
      </w:r>
      <w:r>
        <w:rPr>
          <w:rFonts w:asciiTheme="majorHAnsi" w:hAnsiTheme="majorHAnsi"/>
        </w:rPr>
        <w:instrText xml:space="preserve"> ADDIN EN.CITE &lt;EndNote&gt;&lt;Cite&gt;&lt;Author&gt;Schmoll&lt;/Author&gt;&lt;Year&gt;2012&lt;/Year&gt;&lt;IDText&gt;ESMO Consensus Guidelines for management of patients with colon and rectal cancer. A personalized approach to clinical decision making&lt;/IDText&gt;&lt;DisplayText&gt;(Schmoll et al., 2012)&lt;/DisplayText&gt;&lt;record&gt;&lt;isbn&gt;0923-7534&lt;/isbn&gt;&lt;titles&gt;&lt;title&gt;ESMO Consensus Guidelines for management of patients with colon and rectal cancer. A personalized approach to clinical decision making&lt;/title&gt;&lt;secondary-title&gt;Ann. Oncol.&lt;/secondary-title&gt;&lt;/titles&gt;&lt;pages&gt;2479-2516&lt;/pages&gt;&lt;number&gt;10&lt;/number&gt;&lt;contributors&gt;&lt;authors&gt;&lt;author&gt;Schmoll, Hj&lt;/author&gt;&lt;author&gt;Van Cutsem, E.&lt;/author&gt;&lt;author&gt;Stein, A.&lt;/author&gt;&lt;author&gt;Valentini, V.&lt;/author&gt;&lt;author&gt;Glimelius, B.&lt;/author&gt;&lt;author&gt;Haustermans, K.&lt;/author&gt;&lt;author&gt;Nordlinger, B.&lt;/author&gt;&lt;author&gt;van de Velde, C. J.&lt;/author&gt;&lt;author&gt;Balmana, J.&lt;/author&gt;&lt;author&gt;Regula, J.&lt;/author&gt;&lt;author&gt;Nagtegaal, Id&lt;/author&gt;&lt;author&gt;Beets-Tan, R. G.&lt;/author&gt;&lt;author&gt;Arnold, D.&lt;/author&gt;&lt;author&gt;Ciardiello, F.&lt;/author&gt;&lt;author&gt;Hoff, P.&lt;/author&gt;&lt;author&gt;Kerr, D.&lt;/author&gt;&lt;author&gt;Kohne, Ch&lt;/author&gt;&lt;author&gt;Labianca, R.&lt;/author&gt;&lt;author&gt;Price, T.&lt;/author&gt;&lt;author&gt;Scheithauer, W.&lt;/author&gt;&lt;author&gt;Sobrero, A.&lt;/author&gt;&lt;author&gt;Tabernero, J.&lt;/author&gt;&lt;author&gt;Aderka, D.&lt;/author&gt;&lt;author&gt;Barroso, S.&lt;/author&gt;&lt;author&gt;Bodoky, G.&lt;/author&gt;&lt;author&gt;Douillard, Jy&lt;/author&gt;&lt;author&gt;El Ghazaly, H.&lt;/author&gt;&lt;author&gt;Gallardo, J.&lt;/author&gt;&lt;author&gt;Garin, A.&lt;/author&gt;&lt;author&gt;Glynne-Jones, R.&lt;/author&gt;&lt;author&gt;Jordan, K.&lt;/author&gt;&lt;author&gt;Meshcheryakov, A.&lt;/author&gt;&lt;author&gt;Papamichail, D.&lt;/author&gt;&lt;author&gt;Pfeiffer, P.&lt;/author&gt;&lt;author&gt;Souglakos, I.&lt;/author&gt;&lt;author&gt;Turhal, S.&lt;/author&gt;&lt;author&gt;Cervantes, A.&lt;/author&gt;&lt;/authors&gt;&lt;/contributors&gt;&lt;added-date format="utc"&gt;1425998739&lt;/added-date&gt;&lt;ref-type name="Journal Article"&gt;17&lt;/ref-type&gt;&lt;dates&gt;&lt;year&gt;2012&lt;/year&gt;&lt;/dates&gt;&lt;rec-number&gt;95&lt;/rec-number&gt;&lt;last-updated-date format="utc"&gt;1447344322&lt;/last-updated-date&gt;&lt;electronic-resource-num&gt;10.1093/annonc/mds236&lt;/electronic-resource-num&gt;&lt;volume&gt;23&lt;/volume&gt;&lt;/record&gt;&lt;/Cite&gt;&lt;/EndNote&gt;</w:instrText>
      </w:r>
      <w:r>
        <w:rPr>
          <w:rFonts w:asciiTheme="majorHAnsi" w:hAnsiTheme="majorHAnsi"/>
        </w:rPr>
        <w:fldChar w:fldCharType="separate"/>
      </w:r>
      <w:r>
        <w:rPr>
          <w:rFonts w:asciiTheme="majorHAnsi" w:hAnsiTheme="majorHAnsi"/>
          <w:noProof/>
        </w:rPr>
        <w:t>(Schmoll et al., 2012)</w:t>
      </w:r>
      <w:r>
        <w:rPr>
          <w:rFonts w:asciiTheme="majorHAnsi" w:hAnsiTheme="majorHAnsi"/>
        </w:rPr>
        <w:fldChar w:fldCharType="end"/>
      </w:r>
      <w:r>
        <w:rPr>
          <w:rFonts w:asciiTheme="majorHAnsi" w:hAnsiTheme="majorHAnsi"/>
        </w:rPr>
        <w:t xml:space="preserve">. </w:t>
      </w:r>
      <w:r w:rsidRPr="004E2D72">
        <w:rPr>
          <w:rFonts w:asciiTheme="majorHAnsi" w:hAnsiTheme="majorHAnsi"/>
          <w:lang w:val="en-GB"/>
        </w:rPr>
        <w:t xml:space="preserve">There are less aggressive forms of FAP that are also a result of mutations in the </w:t>
      </w:r>
      <w:r w:rsidRPr="00E027CB">
        <w:rPr>
          <w:rFonts w:asciiTheme="majorHAnsi" w:hAnsiTheme="majorHAnsi"/>
          <w:i/>
          <w:lang w:val="en-GB"/>
        </w:rPr>
        <w:t>APC</w:t>
      </w:r>
      <w:r w:rsidR="00E33884">
        <w:rPr>
          <w:rFonts w:asciiTheme="majorHAnsi" w:hAnsiTheme="majorHAnsi"/>
          <w:lang w:val="en-GB"/>
        </w:rPr>
        <w:t xml:space="preserve"> gene;</w:t>
      </w:r>
      <w:r w:rsidRPr="004E2D72">
        <w:rPr>
          <w:rFonts w:asciiTheme="majorHAnsi" w:hAnsiTheme="majorHAnsi"/>
          <w:lang w:val="en-GB"/>
        </w:rPr>
        <w:t xml:space="preserve"> the different forms depend </w:t>
      </w:r>
      <w:r w:rsidR="00E33884">
        <w:rPr>
          <w:rFonts w:asciiTheme="majorHAnsi" w:hAnsiTheme="majorHAnsi"/>
          <w:lang w:val="en-GB"/>
        </w:rPr>
        <w:t xml:space="preserve">on </w:t>
      </w:r>
      <w:r w:rsidRPr="004E2D72">
        <w:rPr>
          <w:rFonts w:asciiTheme="majorHAnsi" w:hAnsiTheme="majorHAnsi"/>
          <w:lang w:val="en-GB"/>
        </w:rPr>
        <w:t>which codons the mutation occurs in. Therefore attenuated FAP (AFAP) patients have a reduced risk of CRC from 100% to 69%</w:t>
      </w:r>
      <w:r>
        <w:rPr>
          <w:rFonts w:asciiTheme="majorHAnsi" w:hAnsiTheme="majorHAnsi"/>
          <w:lang w:val="en-GB"/>
        </w:rPr>
        <w:t xml:space="preserve"> </w:t>
      </w:r>
      <w:r w:rsidRPr="004E2D72">
        <w:rPr>
          <w:rFonts w:asciiTheme="majorHAnsi" w:hAnsiTheme="majorHAnsi"/>
          <w:lang w:val="en-GB"/>
        </w:rPr>
        <w:fldChar w:fldCharType="begin"/>
      </w:r>
      <w:r w:rsidRPr="004E2D72">
        <w:rPr>
          <w:rFonts w:asciiTheme="majorHAnsi" w:hAnsiTheme="majorHAnsi"/>
          <w:lang w:val="en-GB"/>
        </w:rPr>
        <w:instrText xml:space="preserve"> ADDIN EN.CITE &lt;EndNote&gt;&lt;Cite&gt;&lt;Author&gt;Migliore&lt;/Author&gt;&lt;Year&gt;2011&lt;/Year&gt;&lt;IDText&gt;Genetics, cytogenetics, and epigenetics of colorectal cancer&lt;/IDText&gt;&lt;DisplayText&gt;(Migliore et al., 2011)&lt;/DisplayText&gt;&lt;record&gt;&lt;keywords&gt;&lt;keyword&gt;Aneuploidy&lt;/keyword&gt;&lt;keyword&gt;Chromosomal Instability&lt;/keyword&gt;&lt;keyword&gt;Colorectal Neoplasms&lt;/keyword&gt;&lt;keyword&gt;DNA Methylation&lt;/keyword&gt;&lt;keyword&gt;Epigenesis, Genetic&lt;/keyword&gt;&lt;keyword&gt;Gene Expression Regulation, Neoplastic&lt;/keyword&gt;&lt;keyword&gt;Humans&lt;/keyword&gt;&lt;keyword&gt;Loss of Heterozygosity&lt;/keyword&gt;&lt;keyword&gt;Microsatellite Instability&lt;/keyword&gt;&lt;keyword&gt;Mutation&lt;/keyword&gt;&lt;/keywords&gt;&lt;urls&gt;&lt;related-urls&gt;&lt;url&gt;http://www.ncbi.nlm.nih.gov/pubmed/21490705&lt;/url&gt;&lt;/related-urls&gt;&lt;/urls&gt;&lt;isbn&gt;1110-7251&lt;/isbn&gt;&lt;custom2&gt;PMC3070260&lt;/custom2&gt;&lt;titles&gt;&lt;title&gt;Genetics, cytogenetics, and epigenetics of colorectal cancer&lt;/title&gt;&lt;secondary-title&gt;J Biomed Biotechnol&lt;/secondary-title&gt;&lt;/titles&gt;&lt;pages&gt;792362&lt;/pages&gt;&lt;contributors&gt;&lt;authors&gt;&lt;author&gt;Migliore, L.&lt;/author&gt;&lt;author&gt;Migheli, F.&lt;/author&gt;&lt;author&gt;Spisni, R.&lt;/author&gt;&lt;author&gt;Coppedè, F.&lt;/author&gt;&lt;/authors&gt;&lt;/contributors&gt;&lt;language&gt;eng&lt;/language&gt;&lt;added-date format="utc"&gt;1459957974&lt;/added-date&gt;&lt;ref-type name="Journal Article"&gt;17&lt;/ref-type&gt;&lt;dates&gt;&lt;year&gt;2011&lt;/year&gt;&lt;/dates&gt;&lt;rec-number&gt;149&lt;/rec-number&gt;&lt;last-updated-date format="utc"&gt;1459957974&lt;/last-updated-date&gt;&lt;accession-num&gt;21490705&lt;/accession-num&gt;&lt;electronic-resource-num&gt;10.1155/2011/792362&lt;/electronic-resource-num&gt;&lt;volume&gt;2011&lt;/volume&gt;&lt;/record&gt;&lt;/Cite&gt;&lt;/EndNote&gt;</w:instrText>
      </w:r>
      <w:r w:rsidRPr="004E2D72">
        <w:rPr>
          <w:rFonts w:asciiTheme="majorHAnsi" w:hAnsiTheme="majorHAnsi"/>
          <w:lang w:val="en-GB"/>
        </w:rPr>
        <w:fldChar w:fldCharType="separate"/>
      </w:r>
      <w:r w:rsidRPr="004E2D72">
        <w:rPr>
          <w:rFonts w:asciiTheme="majorHAnsi" w:hAnsiTheme="majorHAnsi"/>
          <w:noProof/>
          <w:lang w:val="en-GB"/>
        </w:rPr>
        <w:t>(Migliore et al., 2011)</w:t>
      </w:r>
      <w:r w:rsidRPr="004E2D72">
        <w:rPr>
          <w:rFonts w:asciiTheme="majorHAnsi" w:hAnsiTheme="majorHAnsi"/>
          <w:lang w:val="en-GB"/>
        </w:rPr>
        <w:fldChar w:fldCharType="end"/>
      </w:r>
      <w:r w:rsidRPr="004E2D72">
        <w:rPr>
          <w:rFonts w:asciiTheme="majorHAnsi" w:hAnsiTheme="majorHAnsi"/>
          <w:lang w:val="en-GB"/>
        </w:rPr>
        <w:t xml:space="preserve">. </w:t>
      </w:r>
    </w:p>
    <w:p w14:paraId="772D545B" w14:textId="77777777" w:rsidR="00B15A35" w:rsidRPr="004E2D72" w:rsidRDefault="00B15A35" w:rsidP="00B15A35">
      <w:pPr>
        <w:pStyle w:val="NoSpacing"/>
        <w:spacing w:line="360" w:lineRule="auto"/>
        <w:jc w:val="both"/>
        <w:rPr>
          <w:rFonts w:asciiTheme="majorHAnsi" w:hAnsiTheme="majorHAnsi"/>
        </w:rPr>
      </w:pPr>
    </w:p>
    <w:p w14:paraId="210A2E62" w14:textId="0A888E05" w:rsidR="00B15A35" w:rsidRPr="004E2D72" w:rsidRDefault="00B15A35" w:rsidP="00B15A35">
      <w:pPr>
        <w:pStyle w:val="NoSpacing"/>
        <w:spacing w:line="360" w:lineRule="auto"/>
        <w:jc w:val="both"/>
        <w:rPr>
          <w:rFonts w:asciiTheme="majorHAnsi" w:hAnsiTheme="majorHAnsi"/>
          <w:lang w:val="en-GB"/>
        </w:rPr>
      </w:pPr>
      <w:r w:rsidRPr="004E2D72">
        <w:rPr>
          <w:rFonts w:asciiTheme="majorHAnsi" w:hAnsiTheme="majorHAnsi"/>
        </w:rPr>
        <w:t>Hereditary Non-Polyposis Colorectal Cancer (HNPCC)</w:t>
      </w:r>
      <w:r w:rsidR="00E33884">
        <w:rPr>
          <w:rFonts w:asciiTheme="majorHAnsi" w:hAnsiTheme="majorHAnsi"/>
        </w:rPr>
        <w:t xml:space="preserve"> is another autosomal dominant</w:t>
      </w:r>
      <w:r w:rsidRPr="004E2D72">
        <w:rPr>
          <w:rFonts w:asciiTheme="majorHAnsi" w:hAnsiTheme="majorHAnsi"/>
        </w:rPr>
        <w:t xml:space="preserve"> disease more prevalent than FAP, with 5% of CRC being linked to it </w:t>
      </w:r>
      <w:r>
        <w:rPr>
          <w:rFonts w:asciiTheme="majorHAnsi" w:hAnsiTheme="majorHAnsi"/>
        </w:rPr>
        <w:fldChar w:fldCharType="begin"/>
      </w:r>
      <w:r>
        <w:rPr>
          <w:rFonts w:asciiTheme="majorHAnsi" w:hAnsiTheme="majorHAnsi"/>
        </w:rPr>
        <w:instrText xml:space="preserve"> ADDIN EN.CITE &lt;EndNote&gt;&lt;Cite&gt;&lt;Author&gt;Guillem&lt;/Author&gt;&lt;Year&gt;1999&lt;/Year&gt;&lt;IDText&gt;Varying features of early age-of- onset &amp;amp;#039;sporadic&amp;amp;#039; and hereditary nonpolyposis colorectal cancer patients&lt;/IDText&gt;&lt;DisplayText&gt;(Guillem et al., 1999)&lt;/DisplayText&gt;&lt;record&gt;&lt;keywords&gt;&lt;keyword&gt;Early Age-of- Onset Colorectal Cancer&lt;/keyword&gt;&lt;keyword&gt;Family History&lt;/keyword&gt;&lt;keyword&gt;Hereditary Nonpolyposis Colorectal Cancer&lt;/keyword&gt;&lt;keyword&gt;Prophylactic Surgery&lt;/keyword&gt;&lt;/keywords&gt;&lt;isbn&gt;00123706&lt;/isbn&gt;&lt;titles&gt;&lt;title&gt;Varying features of early age-of- onset &amp;amp;#039;sporadic&amp;amp;#039; and hereditary nonpolyposis colorectal cancer patients&lt;/title&gt;&lt;/titles&gt;&lt;pages&gt;36-42&lt;/pages&gt;&lt;contributors&gt;&lt;authors&gt;&lt;author&gt;Guillem, Jose G.&lt;/author&gt;&lt;author&gt;Calle Jr, Jorge Puig-La&lt;/author&gt;&lt;author&gt;Cellini, Christina&lt;/author&gt;&lt;author&gt;Murray, Melissa&lt;/author&gt;&lt;author&gt;Ng, Jeremy&lt;/author&gt;&lt;author&gt;Paty, Philip B.&lt;/author&gt;&lt;author&gt;Quan, Stuart H. Q.&lt;/author&gt;&lt;author&gt;Wong, W. Douglas&lt;/author&gt;&lt;author&gt;Cohen, Alfred M.&lt;/author&gt;&lt;author&gt;Fazzari, Melissa&lt;/author&gt;&lt;/authors&gt;&lt;/contributors&gt;&lt;added-date format="utc"&gt;1425982807&lt;/added-date&gt;&lt;ref-type name="Generic"&gt;13&lt;/ref-type&gt;&lt;dates&gt;&lt;year&gt;1999&lt;/year&gt;&lt;/dates&gt;&lt;rec-number&gt;48&lt;/rec-number&gt;&lt;last-updated-date format="utc"&gt;1447343963&lt;/last-updated-date&gt;&lt;electronic-resource-num&gt;10.1007/BF02235180&lt;/electronic-resource-num&gt;&lt;volume&gt;42&lt;/volume&gt;&lt;/record&gt;&lt;/Cite&gt;&lt;/EndNote&gt;</w:instrText>
      </w:r>
      <w:r>
        <w:rPr>
          <w:rFonts w:asciiTheme="majorHAnsi" w:hAnsiTheme="majorHAnsi"/>
        </w:rPr>
        <w:fldChar w:fldCharType="separate"/>
      </w:r>
      <w:r>
        <w:rPr>
          <w:rFonts w:asciiTheme="majorHAnsi" w:hAnsiTheme="majorHAnsi"/>
          <w:noProof/>
        </w:rPr>
        <w:t>(Guillem et al., 1999)</w:t>
      </w:r>
      <w:r>
        <w:rPr>
          <w:rFonts w:asciiTheme="majorHAnsi" w:hAnsiTheme="majorHAnsi"/>
        </w:rPr>
        <w:fldChar w:fldCharType="end"/>
      </w:r>
      <w:r>
        <w:rPr>
          <w:rFonts w:asciiTheme="majorHAnsi" w:hAnsiTheme="majorHAnsi"/>
        </w:rPr>
        <w:t>.</w:t>
      </w:r>
      <w:r w:rsidRPr="004E2D72">
        <w:rPr>
          <w:rFonts w:asciiTheme="majorHAnsi" w:hAnsiTheme="majorHAnsi"/>
        </w:rPr>
        <w:t xml:space="preserve"> HNPCC patients having a higher susceptibility of malignant growths at an earlier age than in sporadic CRC due to </w:t>
      </w:r>
      <w:r w:rsidR="00E33884">
        <w:rPr>
          <w:rFonts w:asciiTheme="majorHAnsi" w:hAnsiTheme="majorHAnsi"/>
        </w:rPr>
        <w:t xml:space="preserve">inherited </w:t>
      </w:r>
      <w:r w:rsidRPr="004E2D72">
        <w:rPr>
          <w:rFonts w:asciiTheme="majorHAnsi" w:hAnsiTheme="majorHAnsi"/>
        </w:rPr>
        <w:t>mutations. Such mutations occur in genes responsible for the DNA mismatch repa</w:t>
      </w:r>
      <w:r>
        <w:rPr>
          <w:rFonts w:asciiTheme="majorHAnsi" w:hAnsiTheme="majorHAnsi"/>
        </w:rPr>
        <w:t xml:space="preserve">ir (MMR) mechanism e.g. </w:t>
      </w:r>
      <w:r w:rsidRPr="00E027CB">
        <w:rPr>
          <w:rFonts w:asciiTheme="majorHAnsi" w:hAnsiTheme="majorHAnsi"/>
          <w:i/>
        </w:rPr>
        <w:t xml:space="preserve">hMLH1, hMSH2, </w:t>
      </w:r>
      <w:proofErr w:type="gramStart"/>
      <w:r w:rsidRPr="00E027CB">
        <w:rPr>
          <w:rFonts w:asciiTheme="majorHAnsi" w:hAnsiTheme="majorHAnsi"/>
          <w:i/>
        </w:rPr>
        <w:t>hMSH6, PMS1</w:t>
      </w:r>
      <w:r>
        <w:rPr>
          <w:rFonts w:asciiTheme="majorHAnsi" w:hAnsiTheme="majorHAnsi"/>
        </w:rPr>
        <w:t xml:space="preserve"> or </w:t>
      </w:r>
      <w:r w:rsidRPr="00E027CB">
        <w:rPr>
          <w:rFonts w:asciiTheme="majorHAnsi" w:hAnsiTheme="majorHAnsi"/>
          <w:i/>
        </w:rPr>
        <w:t>PMS2</w:t>
      </w:r>
      <w:proofErr w:type="gramEnd"/>
      <w:r>
        <w:rPr>
          <w:rFonts w:asciiTheme="majorHAnsi" w:hAnsiTheme="majorHAnsi"/>
        </w:rPr>
        <w:t xml:space="preserve"> </w:t>
      </w:r>
      <w:r w:rsidRPr="004E2D72">
        <w:rPr>
          <w:rFonts w:asciiTheme="majorHAnsi" w:hAnsiTheme="majorHAnsi"/>
        </w:rPr>
        <w:t xml:space="preserve">(Figure </w:t>
      </w:r>
      <w:r>
        <w:rPr>
          <w:rFonts w:asciiTheme="majorHAnsi" w:hAnsiTheme="majorHAnsi"/>
        </w:rPr>
        <w:t>1.</w:t>
      </w:r>
      <w:r w:rsidRPr="004E2D72">
        <w:rPr>
          <w:rFonts w:asciiTheme="majorHAnsi" w:hAnsiTheme="majorHAnsi"/>
        </w:rPr>
        <w:t>3)</w:t>
      </w:r>
      <w:r w:rsidR="00E33884">
        <w:rPr>
          <w:rFonts w:asciiTheme="majorHAnsi" w:hAnsiTheme="majorHAnsi"/>
        </w:rPr>
        <w:t xml:space="preserve">. </w:t>
      </w:r>
      <w:r w:rsidR="00E33884">
        <w:rPr>
          <w:rFonts w:asciiTheme="majorHAnsi" w:hAnsiTheme="majorHAnsi"/>
          <w:lang w:val="en-GB"/>
        </w:rPr>
        <w:t>Loss of function of these genes causes microsatell</w:t>
      </w:r>
      <w:r w:rsidR="00EB3408">
        <w:rPr>
          <w:rFonts w:asciiTheme="majorHAnsi" w:hAnsiTheme="majorHAnsi"/>
          <w:lang w:val="en-GB"/>
        </w:rPr>
        <w:t>ite instability (see Section 1.4</w:t>
      </w:r>
      <w:r w:rsidR="00E33884">
        <w:rPr>
          <w:rFonts w:asciiTheme="majorHAnsi" w:hAnsiTheme="majorHAnsi"/>
          <w:lang w:val="en-GB"/>
        </w:rPr>
        <w:t>.II) and</w:t>
      </w:r>
      <w:r>
        <w:rPr>
          <w:rFonts w:asciiTheme="majorHAnsi" w:hAnsiTheme="majorHAnsi"/>
        </w:rPr>
        <w:t xml:space="preserve"> </w:t>
      </w:r>
      <w:r>
        <w:rPr>
          <w:rFonts w:asciiTheme="majorHAnsi" w:hAnsiTheme="majorHAnsi"/>
          <w:lang w:val="en-GB"/>
        </w:rPr>
        <w:t>contribute</w:t>
      </w:r>
      <w:r w:rsidR="00E33884">
        <w:rPr>
          <w:rFonts w:asciiTheme="majorHAnsi" w:hAnsiTheme="majorHAnsi"/>
          <w:lang w:val="en-GB"/>
        </w:rPr>
        <w:t>s</w:t>
      </w:r>
      <w:r>
        <w:rPr>
          <w:rFonts w:asciiTheme="majorHAnsi" w:hAnsiTheme="majorHAnsi"/>
          <w:lang w:val="en-GB"/>
        </w:rPr>
        <w:t xml:space="preserve"> to the successive accumulation of</w:t>
      </w:r>
      <w:r w:rsidR="00E33884">
        <w:rPr>
          <w:rFonts w:asciiTheme="majorHAnsi" w:hAnsiTheme="majorHAnsi"/>
          <w:lang w:val="en-GB"/>
        </w:rPr>
        <w:t xml:space="preserve"> point mutations and small insertions and deletions</w:t>
      </w:r>
      <w:r>
        <w:rPr>
          <w:rFonts w:asciiTheme="majorHAnsi" w:hAnsiTheme="majorHAnsi"/>
          <w:lang w:val="en-GB"/>
        </w:rPr>
        <w:t xml:space="preserve">, and thus </w:t>
      </w:r>
      <w:r w:rsidR="00E33884">
        <w:rPr>
          <w:rFonts w:asciiTheme="majorHAnsi" w:hAnsiTheme="majorHAnsi"/>
          <w:lang w:val="en-GB"/>
        </w:rPr>
        <w:t xml:space="preserve">to </w:t>
      </w:r>
      <w:r>
        <w:rPr>
          <w:rFonts w:asciiTheme="majorHAnsi" w:hAnsiTheme="majorHAnsi"/>
          <w:lang w:val="en-GB"/>
        </w:rPr>
        <w:t xml:space="preserve">the multi-step CRC progression </w:t>
      </w:r>
      <w:r w:rsidR="00E33884">
        <w:rPr>
          <w:rFonts w:asciiTheme="majorHAnsi" w:hAnsiTheme="majorHAnsi"/>
          <w:lang w:val="en-GB"/>
        </w:rPr>
        <w:t xml:space="preserve">process </w:t>
      </w:r>
      <w:r>
        <w:rPr>
          <w:rFonts w:asciiTheme="majorHAnsi" w:hAnsiTheme="majorHAnsi"/>
        </w:rPr>
        <w:fldChar w:fldCharType="begin"/>
      </w:r>
      <w:r>
        <w:rPr>
          <w:rFonts w:asciiTheme="majorHAnsi" w:hAnsiTheme="majorHAnsi"/>
        </w:rPr>
        <w:instrText xml:space="preserve"> ADDIN EN.CITE &lt;EndNote&gt;&lt;Cite&gt;&lt;Author&gt;Pinsky&lt;/Author&gt;&lt;Year&gt;2000&lt;/Year&gt;&lt;IDText&gt;Does Hereditary Nonpolyposis Colorectal Cancer Explain the Observed Excess Risk of Colorectal Cancer Associated with Family History?&lt;/IDText&gt;&lt;DisplayText&gt;(Pinsky, 2000)&lt;/DisplayText&gt;&lt;record&gt;&lt;isbn&gt;10443983&lt;/isbn&gt;&lt;titles&gt;&lt;title&gt;Does Hereditary Nonpolyposis Colorectal Cancer Explain the Observed Excess Risk of Colorectal Cancer Associated with Family History?&lt;/title&gt;&lt;secondary-title&gt;Epidemiology&lt;/secondary-title&gt;&lt;/titles&gt;&lt;pages&gt;297-303&lt;/pages&gt;&lt;number&gt;3&lt;/number&gt;&lt;contributors&gt;&lt;authors&gt;&lt;author&gt;Pinsky, Paul F.&lt;/author&gt;&lt;/authors&gt;&lt;/contributors&gt;&lt;added-date format="utc"&gt;1425997985&lt;/added-date&gt;&lt;ref-type name="Journal Article"&gt;17&lt;/ref-type&gt;&lt;dates&gt;&lt;year&gt;2000&lt;/year&gt;&lt;/dates&gt;&lt;rec-number&gt;84&lt;/rec-number&gt;&lt;last-updated-date format="utc"&gt;1447344215&lt;/last-updated-date&gt;&lt;volume&gt;11&lt;/volume&gt;&lt;/record&gt;&lt;/Cite&gt;&lt;/EndNote&gt;</w:instrText>
      </w:r>
      <w:r>
        <w:rPr>
          <w:rFonts w:asciiTheme="majorHAnsi" w:hAnsiTheme="majorHAnsi"/>
        </w:rPr>
        <w:fldChar w:fldCharType="separate"/>
      </w:r>
      <w:r>
        <w:rPr>
          <w:rFonts w:asciiTheme="majorHAnsi" w:hAnsiTheme="majorHAnsi"/>
          <w:noProof/>
        </w:rPr>
        <w:t>(Pinsky, 2000)</w:t>
      </w:r>
      <w:r>
        <w:rPr>
          <w:rFonts w:asciiTheme="majorHAnsi" w:hAnsiTheme="majorHAnsi"/>
        </w:rPr>
        <w:fldChar w:fldCharType="end"/>
      </w:r>
      <w:r w:rsidRPr="004E2D72">
        <w:rPr>
          <w:rFonts w:asciiTheme="majorHAnsi" w:hAnsiTheme="majorHAnsi"/>
        </w:rPr>
        <w:t xml:space="preserve">. </w:t>
      </w:r>
      <w:r w:rsidRPr="004E2D72">
        <w:rPr>
          <w:rFonts w:asciiTheme="majorHAnsi" w:hAnsiTheme="majorHAnsi"/>
          <w:lang w:val="en-GB"/>
        </w:rPr>
        <w:t>HNPCC not only causes CRC with a high penetrance of 80%</w:t>
      </w:r>
      <w:r w:rsidR="00E33884">
        <w:rPr>
          <w:rFonts w:asciiTheme="majorHAnsi" w:hAnsiTheme="majorHAnsi"/>
          <w:lang w:val="en-GB"/>
        </w:rPr>
        <w:t>,</w:t>
      </w:r>
      <w:r w:rsidRPr="004E2D72">
        <w:rPr>
          <w:rFonts w:asciiTheme="majorHAnsi" w:hAnsiTheme="majorHAnsi"/>
          <w:lang w:val="en-GB"/>
        </w:rPr>
        <w:t xml:space="preserve"> but also predisposes individuals to other cancers such as endometrial (60% penetrance) and many others (20% penetrance)</w:t>
      </w:r>
      <w:r>
        <w:rPr>
          <w:rFonts w:asciiTheme="majorHAnsi" w:hAnsiTheme="majorHAnsi"/>
          <w:lang w:val="en-GB"/>
        </w:rPr>
        <w:t xml:space="preserve">, </w:t>
      </w:r>
      <w:r w:rsidRPr="004E2D72">
        <w:rPr>
          <w:rFonts w:asciiTheme="majorHAnsi" w:hAnsiTheme="majorHAnsi"/>
          <w:lang w:val="en-GB"/>
        </w:rPr>
        <w:fldChar w:fldCharType="begin"/>
      </w:r>
      <w:r w:rsidRPr="004E2D72">
        <w:rPr>
          <w:rFonts w:asciiTheme="majorHAnsi" w:hAnsiTheme="majorHAnsi"/>
          <w:lang w:val="en-GB"/>
        </w:rPr>
        <w:instrText xml:space="preserve"> ADDIN EN.CITE &lt;EndNote&gt;&lt;Cite&gt;&lt;Author&gt;de la Chapelle&lt;/Author&gt;&lt;Year&gt;2004&lt;/Year&gt;&lt;IDText&gt;Genetic predisposition to colorectal cancer&lt;/IDText&gt;&lt;DisplayText&gt;(de la Chapelle, 2004)&lt;/DisplayText&gt;&lt;record&gt;&lt;dates&gt;&lt;pub-dates&gt;&lt;date&gt;Oct&lt;/date&gt;&lt;/pub-dates&gt;&lt;year&gt;2004&lt;/year&gt;&lt;/dates&gt;&lt;keywords&gt;&lt;keyword&gt;Adenomatous Polyposis Coli&lt;/keyword&gt;&lt;keyword&gt;Base Pair Mismatch&lt;/keyword&gt;&lt;keyword&gt;Colorectal Neoplasms&lt;/keyword&gt;&lt;keyword&gt;Colorectal Neoplasms, Hereditary Nonpolyposis&lt;/keyword&gt;&lt;keyword&gt;DNA Repair&lt;/keyword&gt;&lt;keyword&gt;Genes, APC&lt;/keyword&gt;&lt;keyword&gt;Genes, DCC&lt;/keyword&gt;&lt;keyword&gt;Genetic Predisposition to Disease&lt;/keyword&gt;&lt;keyword&gt;Humans&lt;/keyword&gt;&lt;keyword&gt;Mutation&lt;/keyword&gt;&lt;keyword&gt;Neoplastic Syndromes, Hereditary&lt;/keyword&gt;&lt;keyword&gt;Organ Specificity&lt;/keyword&gt;&lt;keyword&gt;Penetrance&lt;/keyword&gt;&lt;keyword&gt;Risk Factors&lt;/keyword&gt;&lt;/keywords&gt;&lt;urls&gt;&lt;related-urls&gt;&lt;url&gt;http://www.ncbi.nlm.nih.gov/pubmed/15510158&lt;/url&gt;&lt;/related-urls&gt;&lt;/urls&gt;&lt;isbn&gt;1474-175X&lt;/isbn&gt;&lt;titles&gt;&lt;title&gt;Genetic predisposition to colorectal cancer&lt;/title&gt;&lt;secondary-title&gt;Nat Rev Cancer&lt;/secondary-title&gt;&lt;/titles&gt;&lt;pages&gt;769-80&lt;/pages&gt;&lt;number&gt;10&lt;/number&gt;&lt;contributors&gt;&lt;authors&gt;&lt;author&gt;de la Chapelle, A.&lt;/author&gt;&lt;/authors&gt;&lt;/contributors&gt;&lt;language&gt;eng&lt;/language&gt;&lt;added-date format="utc"&gt;1459957876&lt;/added-date&gt;&lt;ref-type name="Journal Article"&gt;17&lt;/ref-type&gt;&lt;rec-number&gt;148&lt;/rec-number&gt;&lt;last-updated-date format="utc"&gt;1459957876&lt;/last-updated-date&gt;&lt;accession-num&gt;15510158&lt;/accession-num&gt;&lt;electronic-resource-num&gt;10.1038/nrc1453&lt;/electronic-resource-num&gt;&lt;volume&gt;4&lt;/volume&gt;&lt;/record&gt;&lt;/Cite&gt;&lt;/EndNote&gt;</w:instrText>
      </w:r>
      <w:r w:rsidRPr="004E2D72">
        <w:rPr>
          <w:rFonts w:asciiTheme="majorHAnsi" w:hAnsiTheme="majorHAnsi"/>
          <w:lang w:val="en-GB"/>
        </w:rPr>
        <w:fldChar w:fldCharType="separate"/>
      </w:r>
      <w:r w:rsidRPr="004E2D72">
        <w:rPr>
          <w:rFonts w:asciiTheme="majorHAnsi" w:hAnsiTheme="majorHAnsi"/>
          <w:noProof/>
          <w:lang w:val="en-GB"/>
        </w:rPr>
        <w:t>(de la Chapelle, 2004)</w:t>
      </w:r>
      <w:r w:rsidRPr="004E2D72">
        <w:rPr>
          <w:rFonts w:asciiTheme="majorHAnsi" w:hAnsiTheme="majorHAnsi"/>
          <w:lang w:val="en-GB"/>
        </w:rPr>
        <w:fldChar w:fldCharType="end"/>
      </w:r>
      <w:r w:rsidRPr="004E2D72">
        <w:rPr>
          <w:rFonts w:asciiTheme="majorHAnsi" w:hAnsiTheme="majorHAnsi"/>
          <w:lang w:val="en-GB"/>
        </w:rPr>
        <w:t>.</w:t>
      </w:r>
      <w:r>
        <w:rPr>
          <w:rFonts w:asciiTheme="majorHAnsi" w:hAnsiTheme="majorHAnsi"/>
          <w:lang w:val="en-GB"/>
        </w:rPr>
        <w:t xml:space="preserve"> </w:t>
      </w:r>
      <w:r>
        <w:rPr>
          <w:rFonts w:asciiTheme="majorHAnsi" w:hAnsiTheme="majorHAnsi"/>
        </w:rPr>
        <w:t xml:space="preserve">A common feature of HNPCC tumours is that they often display wild type </w:t>
      </w:r>
      <w:r w:rsidRPr="00E027CB">
        <w:rPr>
          <w:rFonts w:asciiTheme="majorHAnsi" w:hAnsiTheme="majorHAnsi"/>
          <w:i/>
        </w:rPr>
        <w:t>APC</w:t>
      </w:r>
      <w:r>
        <w:rPr>
          <w:rFonts w:asciiTheme="majorHAnsi" w:hAnsiTheme="majorHAnsi"/>
        </w:rPr>
        <w:t xml:space="preserve"> function, however, </w:t>
      </w:r>
      <w:r w:rsidR="00E33884">
        <w:rPr>
          <w:rFonts w:asciiTheme="majorHAnsi" w:hAnsiTheme="majorHAnsi"/>
        </w:rPr>
        <w:t xml:space="preserve">other </w:t>
      </w:r>
      <w:r w:rsidR="00642915">
        <w:rPr>
          <w:rFonts w:asciiTheme="majorHAnsi" w:hAnsiTheme="majorHAnsi"/>
        </w:rPr>
        <w:t>WNT</w:t>
      </w:r>
      <w:r>
        <w:rPr>
          <w:rFonts w:asciiTheme="majorHAnsi" w:hAnsiTheme="majorHAnsi"/>
        </w:rPr>
        <w:t xml:space="preserve"> pathway down stream targets are instead mutated such as </w:t>
      </w:r>
      <w:r>
        <w:rPr>
          <w:rFonts w:ascii="Calibri" w:hAnsi="Calibri"/>
        </w:rPr>
        <w:t>β</w:t>
      </w:r>
      <w:r>
        <w:rPr>
          <w:rFonts w:asciiTheme="majorHAnsi" w:hAnsiTheme="majorHAnsi"/>
        </w:rPr>
        <w:t>-catenin, which</w:t>
      </w:r>
      <w:r w:rsidR="00642915">
        <w:rPr>
          <w:rFonts w:asciiTheme="majorHAnsi" w:hAnsiTheme="majorHAnsi"/>
        </w:rPr>
        <w:t xml:space="preserve"> then continuously keeps the WNT</w:t>
      </w:r>
      <w:r>
        <w:rPr>
          <w:rFonts w:asciiTheme="majorHAnsi" w:hAnsiTheme="majorHAnsi"/>
        </w:rPr>
        <w:t xml:space="preserve"> pathway activated regardless of </w:t>
      </w:r>
      <w:r w:rsidRPr="00E027CB">
        <w:rPr>
          <w:rFonts w:asciiTheme="majorHAnsi" w:hAnsiTheme="majorHAnsi"/>
          <w:i/>
        </w:rPr>
        <w:t>APC</w:t>
      </w:r>
      <w:r>
        <w:rPr>
          <w:rFonts w:asciiTheme="majorHAnsi" w:hAnsiTheme="majorHAnsi"/>
        </w:rPr>
        <w:t xml:space="preserve"> status (Figure 1.4) </w:t>
      </w:r>
      <w:r>
        <w:rPr>
          <w:rFonts w:asciiTheme="majorHAnsi" w:hAnsiTheme="majorHAnsi"/>
        </w:rPr>
        <w:fldChar w:fldCharType="begin"/>
      </w:r>
      <w:r>
        <w:rPr>
          <w:rFonts w:asciiTheme="majorHAnsi" w:hAnsiTheme="majorHAnsi"/>
        </w:rPr>
        <w:instrText xml:space="preserve"> ADDIN EN.CITE &lt;EndNote&gt;&lt;Cite&gt;&lt;Author&gt;Miyaki&lt;/Author&gt;&lt;Year&gt;1999&lt;/Year&gt;&lt;IDText&gt;Frequent mutation of beta-catenin and APC genes in primary colorectal tumors from patients with hereditary nonpolyposis colorectal cancer&lt;/IDText&gt;&lt;DisplayText&gt;(Miyaki et al., 1999)&lt;/DisplayText&gt;&lt;record&gt;&lt;dates&gt;&lt;pub-dates&gt;&lt;date&gt;Sep&lt;/date&gt;&lt;/pub-dates&gt;&lt;year&gt;1999&lt;/year&gt;&lt;/dates&gt;&lt;keywords&gt;&lt;keyword&gt;Base Pair Mismatch&lt;/keyword&gt;&lt;keyword&gt;Cadherins&lt;/keyword&gt;&lt;keyword&gt;Colonic Polyps&lt;/keyword&gt;&lt;keyword&gt;Colorectal Neoplasms&lt;/keyword&gt;&lt;keyword&gt;Colorectal Neoplasms, Hereditary Nonpolyposis&lt;/keyword&gt;&lt;keyword&gt;Cytoskeletal Proteins&lt;/keyword&gt;&lt;keyword&gt;DNA-Binding Proteins&lt;/keyword&gt;&lt;keyword&gt;Genes, APC&lt;/keyword&gt;&lt;keyword&gt;Germ-Line Mutation&lt;/keyword&gt;&lt;keyword&gt;Humans&lt;/keyword&gt;&lt;keyword&gt;Japan&lt;/keyword&gt;&lt;keyword&gt;MutS Homolog 2 Protein&lt;/keyword&gt;&lt;keyword&gt;Mutation&lt;/keyword&gt;&lt;keyword&gt;Neoplasm Invasiveness&lt;/keyword&gt;&lt;keyword&gt;Proto-Oncogene Proteins&lt;/keyword&gt;&lt;keyword&gt;Trans-Activators&lt;/keyword&gt;&lt;keyword&gt;beta Catenin&lt;/keyword&gt;&lt;/keywords&gt;&lt;urls&gt;&lt;related-urls&gt;&lt;url&gt;https://www.ncbi.nlm.nih.gov/pubmed/10493496&lt;/url&gt;&lt;/related-urls&gt;&lt;/urls&gt;&lt;isbn&gt;0008-5472&lt;/isbn&gt;&lt;titles&gt;&lt;title&gt;Frequent mutation of beta-catenin and APC genes in primary colorectal tumors from patients with hereditary nonpolyposis colorectal cancer&lt;/title&gt;&lt;secondary-title&gt;Cancer Res&lt;/secondary-title&gt;&lt;/titles&gt;&lt;pages&gt;4506-9&lt;/pages&gt;&lt;number&gt;18&lt;/number&gt;&lt;contributors&gt;&lt;authors&gt;&lt;author&gt;Miyaki, M.&lt;/author&gt;&lt;author&gt;Iijima, T.&lt;/author&gt;&lt;author&gt;Kimura, J.&lt;/author&gt;&lt;author&gt;Yasuno, M.&lt;/author&gt;&lt;author&gt;Mori, T.&lt;/author&gt;&lt;author&gt;Hayashi, Y.&lt;/author&gt;&lt;author&gt;Koike, M.&lt;/author&gt;&lt;author&gt;Shitara, N.&lt;/author&gt;&lt;author&gt;Iwama, T.&lt;/author&gt;&lt;author&gt;Kuroki, T.&lt;/author&gt;&lt;/authors&gt;&lt;/contributors&gt;&lt;language&gt;eng&lt;/language&gt;&lt;added-date format="utc"&gt;1509365380&lt;/added-date&gt;&lt;ref-type name="Journal Article"&gt;17&lt;/ref-type&gt;&lt;rec-number&gt;315&lt;/rec-number&gt;&lt;last-updated-date format="utc"&gt;1509365380&lt;/last-updated-date&gt;&lt;accession-num&gt;10493496&lt;/accession-num&gt;&lt;volume&gt;59&lt;/volume&gt;&lt;/record&gt;&lt;/Cite&gt;&lt;/EndNote&gt;</w:instrText>
      </w:r>
      <w:r>
        <w:rPr>
          <w:rFonts w:asciiTheme="majorHAnsi" w:hAnsiTheme="majorHAnsi"/>
        </w:rPr>
        <w:fldChar w:fldCharType="separate"/>
      </w:r>
      <w:r>
        <w:rPr>
          <w:rFonts w:asciiTheme="majorHAnsi" w:hAnsiTheme="majorHAnsi"/>
          <w:noProof/>
        </w:rPr>
        <w:t>(Miyaki et al., 1999)</w:t>
      </w:r>
      <w:r>
        <w:rPr>
          <w:rFonts w:asciiTheme="majorHAnsi" w:hAnsiTheme="majorHAnsi"/>
        </w:rPr>
        <w:fldChar w:fldCharType="end"/>
      </w:r>
      <w:r>
        <w:rPr>
          <w:rFonts w:asciiTheme="majorHAnsi" w:hAnsiTheme="majorHAnsi"/>
        </w:rPr>
        <w:t>.</w:t>
      </w:r>
    </w:p>
    <w:p w14:paraId="1EA21AE1" w14:textId="77777777" w:rsidR="00B15A35" w:rsidRPr="004E2D72" w:rsidRDefault="00B15A35" w:rsidP="00B15A35">
      <w:pPr>
        <w:pStyle w:val="NoSpacing"/>
        <w:spacing w:line="360" w:lineRule="auto"/>
        <w:jc w:val="both"/>
        <w:rPr>
          <w:rFonts w:asciiTheme="majorHAnsi" w:hAnsiTheme="majorHAnsi"/>
        </w:rPr>
      </w:pPr>
    </w:p>
    <w:p w14:paraId="4BEDE2D5" w14:textId="3A5F40FD" w:rsidR="00B15A35" w:rsidRPr="004E2D72" w:rsidRDefault="00B15A35" w:rsidP="00B15A35">
      <w:pPr>
        <w:spacing w:line="360" w:lineRule="auto"/>
        <w:jc w:val="both"/>
        <w:rPr>
          <w:rFonts w:asciiTheme="majorHAnsi" w:hAnsiTheme="majorHAnsi"/>
        </w:rPr>
      </w:pPr>
      <w:r w:rsidRPr="004E2D72">
        <w:rPr>
          <w:rFonts w:asciiTheme="majorHAnsi" w:hAnsiTheme="majorHAnsi"/>
        </w:rPr>
        <w:t xml:space="preserve">HNPCC patients are assessed using the Amsterdam criteria, which states that the possibility of FAP must be excluded, patients must have at least three relatives across two generations that have had the disease, with one being a first degree relation, and have early onset (&lt;50 years old) </w:t>
      </w:r>
      <w:r>
        <w:rPr>
          <w:rFonts w:asciiTheme="majorHAnsi" w:hAnsiTheme="majorHAnsi"/>
        </w:rPr>
        <w:fldChar w:fldCharType="begin"/>
      </w:r>
      <w:r>
        <w:rPr>
          <w:rFonts w:asciiTheme="majorHAnsi" w:hAnsiTheme="majorHAnsi"/>
        </w:rPr>
        <w:instrText xml:space="preserve"> ADDIN EN.CITE &lt;EndNote&gt;&lt;Cite&gt;&lt;Author&gt;Vasen&lt;/Author&gt;&lt;Year&gt;1991&lt;/Year&gt;&lt;IDText&gt;THE INTERNATIONAL- COLLABORATIVE- GROUP-ON-HEREDITARY-NON-POLYPOSIS-COLORECTAL-CANCER (ICG-HNPCC)&lt;/IDText&gt;&lt;DisplayText&gt;(Vasen et al., 1991)&lt;/DisplayText&gt;&lt;record&gt;&lt;isbn&gt;0012-3706&lt;/isbn&gt;&lt;titles&gt;&lt;title&gt;THE INTERNATIONAL- COLLABORATIVE- GROUP-ON-HEREDITARY-NON-POLYPOSIS-COLORECTAL-CANCER (ICG-HNPCC)&lt;/title&gt;&lt;secondary-title&gt;Dis. Colon Rectum&lt;/secondary-title&gt;&lt;/titles&gt;&lt;pages&gt;424-425&lt;/pages&gt;&lt;number&gt;5&lt;/number&gt;&lt;contributors&gt;&lt;authors&gt;&lt;author&gt;Vasen, Hfa&lt;/author&gt;&lt;author&gt;Mecklin, J. P.&lt;/author&gt;&lt;author&gt;Khan, Pm&lt;/author&gt;&lt;author&gt;Lynch, Ht&lt;/author&gt;&lt;/authors&gt;&lt;/contributors&gt;&lt;added-date format="utc"&gt;1425999246&lt;/added-date&gt;&lt;ref-type name="Journal Article"&gt;17&lt;/ref-type&gt;&lt;dates&gt;&lt;year&gt;1991&lt;/year&gt;&lt;/dates&gt;&lt;rec-number&gt;104&lt;/rec-number&gt;&lt;last-updated-date format="utc"&gt;1447344338&lt;/last-updated-date&gt;&lt;volume&gt;34&lt;/volume&gt;&lt;/record&gt;&lt;/Cite&gt;&lt;/EndNote&gt;</w:instrText>
      </w:r>
      <w:r>
        <w:rPr>
          <w:rFonts w:asciiTheme="majorHAnsi" w:hAnsiTheme="majorHAnsi"/>
        </w:rPr>
        <w:fldChar w:fldCharType="separate"/>
      </w:r>
      <w:r>
        <w:rPr>
          <w:rFonts w:asciiTheme="majorHAnsi" w:hAnsiTheme="majorHAnsi"/>
          <w:noProof/>
        </w:rPr>
        <w:t>(Vasen et al., 1991)</w:t>
      </w:r>
      <w:r>
        <w:rPr>
          <w:rFonts w:asciiTheme="majorHAnsi" w:hAnsiTheme="majorHAnsi"/>
        </w:rPr>
        <w:fldChar w:fldCharType="end"/>
      </w:r>
      <w:r>
        <w:rPr>
          <w:rFonts w:asciiTheme="majorHAnsi" w:hAnsiTheme="majorHAnsi"/>
        </w:rPr>
        <w:t xml:space="preserve">. </w:t>
      </w:r>
      <w:r w:rsidRPr="004E2D72">
        <w:rPr>
          <w:rFonts w:asciiTheme="majorHAnsi" w:hAnsiTheme="majorHAnsi"/>
        </w:rPr>
        <w:t>However</w:t>
      </w:r>
      <w:r w:rsidR="00A41B6C">
        <w:rPr>
          <w:rFonts w:asciiTheme="majorHAnsi" w:hAnsiTheme="majorHAnsi"/>
        </w:rPr>
        <w:t>,</w:t>
      </w:r>
      <w:r w:rsidRPr="004E2D72">
        <w:rPr>
          <w:rFonts w:asciiTheme="majorHAnsi" w:hAnsiTheme="majorHAnsi"/>
        </w:rPr>
        <w:t xml:space="preserve"> there has been some debate over the years as to whether these criteria exclude too many patients with HPNCC and therefore underestimate the frequency. For example</w:t>
      </w:r>
      <w:r>
        <w:rPr>
          <w:rFonts w:asciiTheme="majorHAnsi" w:hAnsiTheme="majorHAnsi"/>
        </w:rPr>
        <w:t>,</w:t>
      </w:r>
      <w:r w:rsidRPr="004E2D72">
        <w:rPr>
          <w:rFonts w:asciiTheme="majorHAnsi" w:hAnsiTheme="majorHAnsi"/>
        </w:rPr>
        <w:t xml:space="preserve"> the above diagnosis dismisses </w:t>
      </w:r>
      <w:r w:rsidRPr="004E2D72">
        <w:rPr>
          <w:rFonts w:asciiTheme="majorHAnsi" w:hAnsiTheme="majorHAnsi"/>
          <w:i/>
        </w:rPr>
        <w:t xml:space="preserve">de novo </w:t>
      </w:r>
      <w:r w:rsidRPr="004E2D72">
        <w:rPr>
          <w:rFonts w:asciiTheme="majorHAnsi" w:hAnsiTheme="majorHAnsi"/>
        </w:rPr>
        <w:t xml:space="preserve">mutations where there </w:t>
      </w:r>
      <w:r w:rsidR="00E33884">
        <w:rPr>
          <w:rFonts w:asciiTheme="majorHAnsi" w:hAnsiTheme="majorHAnsi"/>
        </w:rPr>
        <w:t>is no</w:t>
      </w:r>
      <w:r w:rsidRPr="004E2D72">
        <w:rPr>
          <w:rFonts w:asciiTheme="majorHAnsi" w:hAnsiTheme="majorHAnsi"/>
        </w:rPr>
        <w:t xml:space="preserve"> family history</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&lt;EndNote&gt;&lt;Cite&gt;&lt;Author&gt;Lynch&lt;/Author&gt;&lt;Year&gt;1997&lt;/Year&gt;&lt;IDText&gt;An update of HNPCC (Lynch syndrome)&lt;/IDText&gt;&lt;DisplayText&gt;(Lynch et al., 1997)&lt;/DisplayText&gt;&lt;record&gt;&lt;dates&gt;&lt;pub-dates&gt;&lt;date&gt;Jan&lt;/date&gt;&lt;/pub-dates&gt;&lt;year&gt;1997&lt;/year&gt;&lt;/dates&gt;&lt;keywords&gt;&lt;keyword&gt;Adenomatous Polyposis Coli&lt;/keyword&gt;&lt;keyword&gt;Adult&lt;/keyword&gt;&lt;keyword&gt;Age of Onset&lt;/keyword&gt;&lt;keyword&gt;Aged&lt;/keyword&gt;&lt;keyword&gt;Chromosome Mapping&lt;/keyword&gt;&lt;keyword&gt;Colectomy&lt;/keyword&gt;&lt;keyword&gt;Colorectal Neoplasms, Hereditary Nonpolyposis&lt;/keyword&gt;&lt;keyword&gt;DNA Repair&lt;/keyword&gt;&lt;keyword&gt;Female&lt;/keyword&gt;&lt;keyword&gt;Genes, APC&lt;/keyword&gt;&lt;keyword&gt;Genetic Testing&lt;/keyword&gt;&lt;keyword&gt;Germ-Line Mutation&lt;/keyword&gt;&lt;keyword&gt;History, 19th Century&lt;/keyword&gt;&lt;keyword&gt;History, 20th Century&lt;/keyword&gt;&lt;keyword&gt;Humans&lt;/keyword&gt;&lt;keyword&gt;Male&lt;/keyword&gt;&lt;keyword&gt;Medical Oncology&lt;/keyword&gt;&lt;keyword&gt;Middle Aged&lt;/keyword&gt;&lt;keyword&gt;Pedigree&lt;/keyword&gt;&lt;keyword&gt;Societies, Medical&lt;/keyword&gt;&lt;/keywords&gt;&lt;urls&gt;&lt;related-urls&gt;&lt;url&gt;http://www.ncbi.nlm.nih.gov/pubmed/9062584&lt;/url&gt;&lt;/related-urls&gt;&lt;/urls&gt;&lt;isbn&gt;0165-4608&lt;/isbn&gt;&lt;titles&gt;&lt;title&gt;An update of HNPCC (Lynch syndrome)&lt;/title&gt;&lt;secondary-title&gt;Cancer Genet Cytogenet&lt;/secondary-title&gt;&lt;/titles&gt;&lt;pages&gt;84-99&lt;/pages&gt;&lt;number&gt;1&lt;/number&gt;&lt;contributors&gt;&lt;authors&gt;&lt;author&gt;Lynch, H. T.&lt;/author&gt;&lt;author&gt;Smyrk, T.&lt;/author&gt;&lt;author&gt;Lynch, J.&lt;/author&gt;&lt;/authors&gt;&lt;/contributors&gt;&lt;language&gt;eng&lt;/language&gt;&lt;added-date format="utc"&gt;1425997373&lt;/added-date&gt;&lt;ref-type name="Journal Article"&gt;17&lt;/ref-type&gt;&lt;rec-number&gt;75&lt;/rec-number&gt;&lt;last-updated-date format="utc"&gt;1447344165&lt;/last-updated-date&gt;&lt;accession-num&gt;9062584&lt;/accession-num&gt;&lt;volume&gt;93&lt;/volume&gt;&lt;/record&gt;&lt;/Cite&gt;&lt;/EndNote&gt;</w:instrText>
      </w:r>
      <w:r>
        <w:rPr>
          <w:rFonts w:asciiTheme="majorHAnsi" w:hAnsiTheme="majorHAnsi"/>
        </w:rPr>
        <w:fldChar w:fldCharType="separate"/>
      </w:r>
      <w:r>
        <w:rPr>
          <w:rFonts w:asciiTheme="majorHAnsi" w:hAnsiTheme="majorHAnsi"/>
          <w:noProof/>
        </w:rPr>
        <w:t>(Lynch et al., 1997)</w:t>
      </w:r>
      <w:r>
        <w:rPr>
          <w:rFonts w:asciiTheme="majorHAnsi" w:hAnsiTheme="majorHAnsi"/>
        </w:rPr>
        <w:fldChar w:fldCharType="end"/>
      </w:r>
      <w:r w:rsidRPr="004E2D72">
        <w:rPr>
          <w:rFonts w:asciiTheme="majorHAnsi" w:hAnsiTheme="majorHAnsi"/>
        </w:rPr>
        <w:t>. Tumours in HPNCC patients generally exhibit significantly fewer metastases and therefore this localized phenotype results in better patient survival</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&lt;EndNote&gt;&lt;Cite&gt;&lt;Author&gt;Sankila&lt;/Author&gt;&lt;Year&gt;1996&lt;/Year&gt;&lt;IDText&gt;Better survival rates in patients with MLH1-associated hereditary colorectal cancer&lt;/IDText&gt;&lt;DisplayText&gt;(Sankila et al., 1996)&lt;/DisplayText&gt;&lt;record&gt;&lt;dates&gt;&lt;pub-dates&gt;&lt;date&gt;Mar&lt;/date&gt;&lt;/pub-dates&gt;&lt;year&gt;1996&lt;/year&gt;&lt;/dates&gt;&lt;keywords&gt;&lt;keyword&gt;Adolescent&lt;/keyword&gt;&lt;keyword&gt;Adult&lt;/keyword&gt;&lt;keyword&gt;Chi-Square Distribution&lt;/keyword&gt;&lt;keyword&gt;Child&lt;/keyword&gt;&lt;keyword&gt;Child, Preschool&lt;/keyword&gt;&lt;keyword&gt;Colorectal Neoplasms&lt;/keyword&gt;&lt;keyword&gt;Colorectal Neoplasms, Hereditary Nonpolyposis&lt;/keyword&gt;&lt;keyword&gt;Female&lt;/keyword&gt;&lt;keyword&gt;Finland&lt;/keyword&gt;&lt;keyword&gt;Follow-Up Studies&lt;/keyword&gt;&lt;keyword&gt;Genes&lt;/keyword&gt;&lt;keyword&gt;Germ-Line Mutation&lt;/keyword&gt;&lt;keyword&gt;Humans&lt;/keyword&gt;&lt;keyword&gt;Infant&lt;/keyword&gt;&lt;keyword&gt;Logistic Models&lt;/keyword&gt;&lt;keyword&gt;Male&lt;/keyword&gt;&lt;keyword&gt;Middle Aged&lt;/keyword&gt;&lt;keyword&gt;Survival Rate&lt;/keyword&gt;&lt;/keywords&gt;&lt;urls&gt;&lt;related-urls&gt;&lt;url&gt;http://www.ncbi.nlm.nih.gov/pubmed/8608876&lt;/url&gt;&lt;/related-urls&gt;&lt;/urls&gt;&lt;isbn&gt;0016-5085&lt;/isbn&gt;&lt;titles&gt;&lt;title&gt;Better survival rates in patients with MLH1-associated hereditary colorectal cancer&lt;/title&gt;&lt;secondary-title&gt;Gastroenterology&lt;/secondary-title&gt;&lt;/titles&gt;&lt;pages&gt;682-7&lt;/pages&gt;&lt;number&gt;3&lt;/number&gt;&lt;contributors&gt;&lt;authors&gt;&lt;author&gt;Sankila, R.&lt;/author&gt;&lt;author&gt;Aaltonen, L. A.&lt;/author&gt;&lt;author&gt;Järvinen, H. J.&lt;/author&gt;&lt;author&gt;Mecklin, J. P.&lt;/author&gt;&lt;/authors&gt;&lt;/contributors&gt;&lt;language&gt;eng&lt;/language&gt;&lt;added-date format="utc"&gt;1425998674&lt;/added-date&gt;&lt;ref-type name="Journal Article"&gt;17&lt;/ref-type&gt;&lt;rec-number&gt;93&lt;/rec-number&gt;&lt;last-updated-date format="utc"&gt;1447344338&lt;/last-updated-date&gt;&lt;accession-num&gt;8608876&lt;/accession-num&gt;&lt;volume&gt;110&lt;/volume&gt;&lt;/record&gt;&lt;/Cite&gt;&lt;/EndNote&gt;</w:instrText>
      </w:r>
      <w:r>
        <w:rPr>
          <w:rFonts w:asciiTheme="majorHAnsi" w:hAnsiTheme="majorHAnsi"/>
        </w:rPr>
        <w:fldChar w:fldCharType="separate"/>
      </w:r>
      <w:r>
        <w:rPr>
          <w:rFonts w:asciiTheme="majorHAnsi" w:hAnsiTheme="majorHAnsi"/>
          <w:noProof/>
        </w:rPr>
        <w:t>(Sankila et al., 1996)</w:t>
      </w:r>
      <w:r>
        <w:rPr>
          <w:rFonts w:asciiTheme="majorHAnsi" w:hAnsiTheme="majorHAnsi"/>
        </w:rPr>
        <w:fldChar w:fldCharType="end"/>
      </w:r>
      <w:r>
        <w:rPr>
          <w:rFonts w:asciiTheme="majorHAnsi" w:hAnsiTheme="majorHAnsi"/>
        </w:rPr>
        <w:t>.</w:t>
      </w:r>
    </w:p>
    <w:p w14:paraId="0023EEF5" w14:textId="77777777" w:rsidR="00B15A35" w:rsidRDefault="00B15A35" w:rsidP="00B15A35">
      <w:pPr>
        <w:spacing w:line="360" w:lineRule="auto"/>
        <w:jc w:val="both"/>
        <w:rPr>
          <w:rFonts w:asciiTheme="majorHAnsi" w:hAnsiTheme="majorHAnsi"/>
        </w:rPr>
      </w:pPr>
    </w:p>
    <w:p w14:paraId="32FFF8B8" w14:textId="33C6F43F" w:rsidR="00D4130B" w:rsidRPr="00F50674" w:rsidRDefault="00B15A35" w:rsidP="00F50674">
      <w:pPr>
        <w:pStyle w:val="NoSpacing"/>
        <w:spacing w:line="360" w:lineRule="auto"/>
        <w:jc w:val="both"/>
        <w:rPr>
          <w:rFonts w:asciiTheme="majorHAnsi" w:hAnsiTheme="majorHAnsi"/>
          <w:b/>
          <w:i/>
        </w:rPr>
      </w:pPr>
      <w:r w:rsidRPr="00BD146C">
        <w:rPr>
          <w:noProof/>
        </w:rPr>
        <mc:AlternateContent>
          <mc:Choice Requires="wps">
            <w:drawing>
              <wp:anchor distT="0" distB="0" distL="114300" distR="114300" simplePos="0" relativeHeight="252126208" behindDoc="0" locked="0" layoutInCell="1" allowOverlap="1" wp14:anchorId="679BB395" wp14:editId="5B4539B0">
                <wp:simplePos x="0" y="0"/>
                <wp:positionH relativeFrom="column">
                  <wp:posOffset>0</wp:posOffset>
                </wp:positionH>
                <wp:positionV relativeFrom="paragraph">
                  <wp:posOffset>4827270</wp:posOffset>
                </wp:positionV>
                <wp:extent cx="5372100" cy="1943100"/>
                <wp:effectExtent l="0" t="0" r="0" b="12700"/>
                <wp:wrapTopAndBottom/>
                <wp:docPr id="297" name="Text Box 297"/>
                <wp:cNvGraphicFramePr/>
                <a:graphic xmlns:a="http://schemas.openxmlformats.org/drawingml/2006/main">
                  <a:graphicData uri="http://schemas.microsoft.com/office/word/2010/wordprocessingShape">
                    <wps:wsp>
                      <wps:cNvSpPr txBox="1"/>
                      <wps:spPr>
                        <a:xfrm>
                          <a:off x="0" y="0"/>
                          <a:ext cx="53721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72D961" w14:textId="77777777" w:rsidR="00E82D3B" w:rsidRDefault="00E82D3B" w:rsidP="00B15A35">
                            <w:pPr>
                              <w:jc w:val="both"/>
                              <w:rPr>
                                <w:b/>
                                <w:i/>
                                <w:sz w:val="22"/>
                              </w:rPr>
                            </w:pPr>
                            <w:r>
                              <w:rPr>
                                <w:b/>
                                <w:i/>
                                <w:sz w:val="22"/>
                              </w:rPr>
                              <w:t>Figure 1.3</w:t>
                            </w:r>
                            <w:r w:rsidRPr="006D5624">
                              <w:rPr>
                                <w:b/>
                                <w:i/>
                                <w:sz w:val="22"/>
                              </w:rPr>
                              <w:t xml:space="preserve">. </w:t>
                            </w:r>
                            <w:proofErr w:type="gramStart"/>
                            <w:r w:rsidRPr="006D5624">
                              <w:rPr>
                                <w:b/>
                                <w:i/>
                                <w:sz w:val="22"/>
                              </w:rPr>
                              <w:t>The</w:t>
                            </w:r>
                            <w:r>
                              <w:rPr>
                                <w:b/>
                                <w:i/>
                                <w:sz w:val="22"/>
                              </w:rPr>
                              <w:t xml:space="preserve"> Mismatch Repair Response</w:t>
                            </w:r>
                            <w:r w:rsidRPr="006D5624">
                              <w:rPr>
                                <w:b/>
                                <w:i/>
                                <w:sz w:val="22"/>
                              </w:rPr>
                              <w:t>.</w:t>
                            </w:r>
                            <w:proofErr w:type="gramEnd"/>
                            <w:r w:rsidRPr="006D5624">
                              <w:rPr>
                                <w:b/>
                                <w:i/>
                                <w:sz w:val="22"/>
                              </w:rPr>
                              <w:t xml:space="preserve"> </w:t>
                            </w:r>
                          </w:p>
                          <w:p w14:paraId="530A615D" w14:textId="1382F06B" w:rsidR="00E82D3B" w:rsidRPr="006D5624" w:rsidRDefault="00E82D3B" w:rsidP="00B15A35">
                            <w:pPr>
                              <w:jc w:val="both"/>
                              <w:rPr>
                                <w:i/>
                                <w:sz w:val="22"/>
                              </w:rPr>
                            </w:pPr>
                            <w:r w:rsidRPr="006D5624">
                              <w:rPr>
                                <w:b/>
                                <w:i/>
                                <w:sz w:val="22"/>
                              </w:rPr>
                              <w:t xml:space="preserve"> </w:t>
                            </w:r>
                            <w:r w:rsidRPr="006D5624">
                              <w:rPr>
                                <w:i/>
                                <w:sz w:val="22"/>
                              </w:rPr>
                              <w:t>This mechanism aims to restore genomic stability when base misincorporations have been included in the DNA during synthesis and haven’t been recognized by the proofreading ability of polymerase. This occurs through the dimerization of MSH2 with MSH6 to make the MUTS</w:t>
                            </w:r>
                            <m:oMath>
                              <m:r>
                                <w:rPr>
                                  <w:rFonts w:ascii="Cambria Math" w:hAnsi="Cambria Math"/>
                                  <w:sz w:val="22"/>
                                </w:rPr>
                                <m:t>α</m:t>
                              </m:r>
                            </m:oMath>
                            <w:r w:rsidRPr="006D5624">
                              <w:rPr>
                                <w:i/>
                                <w:sz w:val="22"/>
                              </w:rPr>
                              <w:t xml:space="preserve"> complex and the same with MLH1 and PMS2 to give MUTL</w:t>
                            </w:r>
                            <m:oMath>
                              <m:r>
                                <w:rPr>
                                  <w:rFonts w:ascii="Cambria Math" w:hAnsi="Cambria Math"/>
                                  <w:sz w:val="22"/>
                                </w:rPr>
                                <m:t>α</m:t>
                              </m:r>
                            </m:oMath>
                            <w:r w:rsidRPr="006D5624">
                              <w:rPr>
                                <w:i/>
                                <w:sz w:val="22"/>
                              </w:rPr>
                              <w:t xml:space="preserve">.  These are the active components that recognize the mismatch and recruit </w:t>
                            </w:r>
                            <w:r>
                              <w:rPr>
                                <w:i/>
                                <w:sz w:val="22"/>
                              </w:rPr>
                              <w:t>EXO1</w:t>
                            </w:r>
                            <w:r w:rsidRPr="006D5624">
                              <w:rPr>
                                <w:i/>
                                <w:sz w:val="22"/>
                              </w:rPr>
                              <w:t xml:space="preserve"> </w:t>
                            </w:r>
                            <w:r>
                              <w:rPr>
                                <w:i/>
                                <w:sz w:val="22"/>
                              </w:rPr>
                              <w:t>a</w:t>
                            </w:r>
                            <w:r w:rsidRPr="006D5624">
                              <w:rPr>
                                <w:i/>
                                <w:sz w:val="22"/>
                              </w:rPr>
                              <w:t>n exonucl</w:t>
                            </w:r>
                            <w:r>
                              <w:rPr>
                                <w:i/>
                                <w:sz w:val="22"/>
                              </w:rPr>
                              <w:t>ease that removes the wrong base and DNA</w:t>
                            </w:r>
                            <w:r w:rsidRPr="006D5624">
                              <w:rPr>
                                <w:i/>
                                <w:sz w:val="22"/>
                              </w:rPr>
                              <w:t xml:space="preserve"> polymerase follows behind to inco</w:t>
                            </w:r>
                            <w:r>
                              <w:rPr>
                                <w:i/>
                                <w:sz w:val="22"/>
                              </w:rPr>
                              <w:t>rporate the correct base along with Ligase I to re-anneal the strand. In HNPCC,</w:t>
                            </w:r>
                            <w:r w:rsidRPr="006D5624">
                              <w:rPr>
                                <w:i/>
                                <w:sz w:val="22"/>
                              </w:rPr>
                              <w:t xml:space="preserve"> mutations have been found in the complexes that initiate the </w:t>
                            </w:r>
                            <w:r>
                              <w:rPr>
                                <w:i/>
                                <w:sz w:val="22"/>
                              </w:rPr>
                              <w:t>process (usually MLH1 or MSH2)</w:t>
                            </w:r>
                            <w:r w:rsidRPr="006D5624">
                              <w:rPr>
                                <w:i/>
                                <w:sz w:val="22"/>
                              </w:rPr>
                              <w:t>, therefore allowing mismatches to be passed on to daughter cells without repair</w:t>
                            </w:r>
                            <w:r>
                              <w:rPr>
                                <w:i/>
                                <w:sz w:val="22"/>
                              </w:rPr>
                              <w:t xml:space="preserve"> (</w:t>
                            </w:r>
                            <w:r w:rsidRPr="00E66C72">
                              <w:rPr>
                                <w:i/>
                                <w:sz w:val="22"/>
                                <w:szCs w:val="22"/>
                              </w:rPr>
                              <w:t>Adapted and modified with permission</w:t>
                            </w:r>
                            <w:r>
                              <w:rPr>
                                <w:i/>
                                <w:sz w:val="22"/>
                              </w:rPr>
                              <w:t xml:space="preserve"> from</w:t>
                            </w:r>
                            <w:r>
                              <w:rPr>
                                <w:i/>
                                <w:sz w:val="22"/>
                              </w:rPr>
                              <w:fldChar w:fldCharType="begin"/>
                            </w:r>
                            <w:r>
                              <w:rPr>
                                <w:i/>
                                <w:sz w:val="22"/>
                              </w:rPr>
                              <w:instrText xml:space="preserve"> ADDIN EN.CITE &lt;EndNote&gt;&lt;Cite&gt;&lt;Author&gt;Guillotin&lt;/Author&gt;&lt;Year&gt;2014&lt;/Year&gt;&lt;IDText&gt;Exploiting DNA mismatch repair deficiency as a therapeutic strategy&lt;/IDText&gt;&lt;DisplayText&gt;(Guillotin and Martin, 2014)&lt;/DisplayText&gt;&lt;record&gt;&lt;dates&gt;&lt;pub-dates&gt;&lt;date&gt;Nov&lt;/date&gt;&lt;/pub-dates&gt;&lt;year&gt;2014&lt;/year&gt;&lt;/dates&gt;&lt;keywords&gt;&lt;keyword&gt;Animals&lt;/keyword&gt;&lt;keyword&gt;Antineoplastic Agents&lt;/keyword&gt;&lt;keyword&gt;DNA Mismatch Repair&lt;/keyword&gt;&lt;keyword&gt;DNA, Neoplasm&lt;/keyword&gt;&lt;keyword&gt;Humans&lt;/keyword&gt;&lt;keyword&gt;Neoplasms&lt;/keyword&gt;&lt;/keywords&gt;&lt;urls&gt;&lt;related-urls&gt;&lt;url&gt;https://www.ncbi.nlm.nih.gov/pubmed/25017099&lt;/url&gt;&lt;/related-urls&gt;&lt;/urls&gt;&lt;isbn&gt;1090-2422&lt;/isbn&gt;&lt;titles&gt;&lt;title&gt;Exploiting DNA mismatch repair deficiency as a therapeutic strategy&lt;/title&gt;&lt;secondary-title&gt;Exp Cell Res&lt;/secondary-title&gt;&lt;/titles&gt;&lt;pages&gt;110-5&lt;/pages&gt;&lt;number&gt;1&lt;/number&gt;&lt;contributors&gt;&lt;authors&gt;&lt;author&gt;Guillotin, D.&lt;/author&gt;&lt;author&gt;Martin, S. A.&lt;/author&gt;&lt;/authors&gt;&lt;/contributors&gt;&lt;edition&gt;2014/07/11&lt;/edition&gt;&lt;language&gt;eng&lt;/language&gt;&lt;added-date format="utc"&gt;1510065814&lt;/added-date&gt;&lt;ref-type name="Journal Article"&gt;17&lt;/ref-type&gt;&lt;rec-number&gt;355&lt;/rec-number&gt;&lt;last-updated-date format="utc"&gt;1510065814&lt;/last-updated-date&gt;&lt;accession-num&gt;25017099&lt;/accession-num&gt;&lt;electronic-resource-num&gt;10.1016/j.yexcr.2014.07.004&lt;/electronic-resource-num&gt;&lt;volume&gt;329&lt;/volume&gt;&lt;/record&gt;&lt;/Cite&gt;&lt;/EndNote&gt;</w:instrText>
                            </w:r>
                            <w:r>
                              <w:rPr>
                                <w:i/>
                                <w:sz w:val="22"/>
                              </w:rPr>
                              <w:fldChar w:fldCharType="separate"/>
                            </w:r>
                            <w:r>
                              <w:rPr>
                                <w:i/>
                                <w:noProof/>
                                <w:sz w:val="22"/>
                              </w:rPr>
                              <w:t>(Guillotin and Martin, 2014)</w:t>
                            </w:r>
                            <w:r>
                              <w:rPr>
                                <w:i/>
                                <w:sz w:val="22"/>
                              </w:rPr>
                              <w:fldChar w:fldCharType="end"/>
                            </w:r>
                            <w:r w:rsidRPr="006D5624">
                              <w:rPr>
                                <w:i/>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029" type="#_x0000_t202" style="position:absolute;left:0;text-align:left;margin-left:0;margin-top:380.1pt;width:423pt;height:153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" filled="f" stroked="f">
                <v:textbox>
                  <w:txbxContent>
                    <w:p w14:paraId="6A72D961" w14:textId="77777777" w:rsidR="000A1E0D" w:rsidRDefault="000A1E0D" w:rsidP="00B15A35">
                      <w:pPr>
                        <w:jc w:val="both"/>
                        <w:rPr>
                          <w:b/>
                          <w:i/>
                          <w:sz w:val="22"/>
                        </w:rPr>
                      </w:pPr>
                      <w:r>
                        <w:rPr>
                          <w:b/>
                          <w:i/>
                          <w:sz w:val="22"/>
                        </w:rPr>
                        <w:t>Figure 1.3</w:t>
                      </w:r>
                      <w:r w:rsidRPr="006D5624">
                        <w:rPr>
                          <w:b/>
                          <w:i/>
                          <w:sz w:val="22"/>
                        </w:rPr>
                        <w:t xml:space="preserve">. </w:t>
                      </w:r>
                      <w:proofErr w:type="gramStart"/>
                      <w:r w:rsidRPr="006D5624">
                        <w:rPr>
                          <w:b/>
                          <w:i/>
                          <w:sz w:val="22"/>
                        </w:rPr>
                        <w:t>The</w:t>
                      </w:r>
                      <w:r>
                        <w:rPr>
                          <w:b/>
                          <w:i/>
                          <w:sz w:val="22"/>
                        </w:rPr>
                        <w:t xml:space="preserve"> Mismatch Repair Response</w:t>
                      </w:r>
                      <w:r w:rsidRPr="006D5624">
                        <w:rPr>
                          <w:b/>
                          <w:i/>
                          <w:sz w:val="22"/>
                        </w:rPr>
                        <w:t>.</w:t>
                      </w:r>
                      <w:proofErr w:type="gramEnd"/>
                      <w:r w:rsidRPr="006D5624">
                        <w:rPr>
                          <w:b/>
                          <w:i/>
                          <w:sz w:val="22"/>
                        </w:rPr>
                        <w:t xml:space="preserve"> </w:t>
                      </w:r>
                    </w:p>
                    <w:p w14:paraId="530A615D" w14:textId="1382F06B" w:rsidR="000A1E0D" w:rsidRPr="006D5624" w:rsidRDefault="000A1E0D" w:rsidP="00B15A35">
                      <w:pPr>
                        <w:jc w:val="both"/>
                        <w:rPr>
                          <w:i/>
                          <w:sz w:val="22"/>
                        </w:rPr>
                      </w:pPr>
                      <w:r w:rsidRPr="006D5624">
                        <w:rPr>
                          <w:b/>
                          <w:i/>
                          <w:sz w:val="22"/>
                        </w:rPr>
                        <w:t xml:space="preserve"> </w:t>
                      </w:r>
                      <w:r w:rsidRPr="006D5624">
                        <w:rPr>
                          <w:i/>
                          <w:sz w:val="22"/>
                        </w:rPr>
                        <w:t>This mechanism aims to restore genomic stability when base misincorporations have been included in the DNA during synthesis and haven’t been recognized by the proofreading ability of polymerase. This occurs through the dimerization of MSH2 with MSH6 to make the MUTS</w:t>
                      </w:r>
                      <m:oMath>
                        <m:r>
                          <w:rPr>
                            <w:rFonts w:ascii="Cambria Math" w:hAnsi="Cambria Math"/>
                            <w:sz w:val="22"/>
                          </w:rPr>
                          <m:t>α</m:t>
                        </m:r>
                      </m:oMath>
                      <w:r w:rsidRPr="006D5624">
                        <w:rPr>
                          <w:i/>
                          <w:sz w:val="22"/>
                        </w:rPr>
                        <w:t xml:space="preserve"> complex and the same with MLH1 and PMS2 to give MUTL</w:t>
                      </w:r>
                      <m:oMath>
                        <m:r>
                          <w:rPr>
                            <w:rFonts w:ascii="Cambria Math" w:hAnsi="Cambria Math"/>
                            <w:sz w:val="22"/>
                          </w:rPr>
                          <m:t>α</m:t>
                        </m:r>
                      </m:oMath>
                      <w:r w:rsidRPr="006D5624">
                        <w:rPr>
                          <w:i/>
                          <w:sz w:val="22"/>
                        </w:rPr>
                        <w:t>.  These are the active componen</w:t>
                      </w:r>
                      <w:proofErr w:type="spellStart"/>
                      <w:r w:rsidRPr="006D5624">
                        <w:rPr>
                          <w:i/>
                          <w:sz w:val="22"/>
                        </w:rPr>
                        <w:t>ts</w:t>
                      </w:r>
                      <w:proofErr w:type="spellEnd"/>
                      <w:r w:rsidRPr="006D5624">
                        <w:rPr>
                          <w:i/>
                          <w:sz w:val="22"/>
                        </w:rPr>
                        <w:t xml:space="preserve"> that recognize the mismatch and recruit </w:t>
                      </w:r>
                      <w:r>
                        <w:rPr>
                          <w:i/>
                          <w:sz w:val="22"/>
                        </w:rPr>
                        <w:t>EXO1</w:t>
                      </w:r>
                      <w:r w:rsidRPr="006D5624">
                        <w:rPr>
                          <w:i/>
                          <w:sz w:val="22"/>
                        </w:rPr>
                        <w:t xml:space="preserve"> </w:t>
                      </w:r>
                      <w:r>
                        <w:rPr>
                          <w:i/>
                          <w:sz w:val="22"/>
                        </w:rPr>
                        <w:t>a</w:t>
                      </w:r>
                      <w:r w:rsidRPr="006D5624">
                        <w:rPr>
                          <w:i/>
                          <w:sz w:val="22"/>
                        </w:rPr>
                        <w:t>n exonucl</w:t>
                      </w:r>
                      <w:r>
                        <w:rPr>
                          <w:i/>
                          <w:sz w:val="22"/>
                        </w:rPr>
                        <w:t>ease that removes the wrong base and DNA</w:t>
                      </w:r>
                      <w:r w:rsidRPr="006D5624">
                        <w:rPr>
                          <w:i/>
                          <w:sz w:val="22"/>
                        </w:rPr>
                        <w:t xml:space="preserve"> polymerase follows behind to inco</w:t>
                      </w:r>
                      <w:r>
                        <w:rPr>
                          <w:i/>
                          <w:sz w:val="22"/>
                        </w:rPr>
                        <w:t>rporate the correct base along with Ligase I to re-anneal the strand. In HNPCC,</w:t>
                      </w:r>
                      <w:r w:rsidRPr="006D5624">
                        <w:rPr>
                          <w:i/>
                          <w:sz w:val="22"/>
                        </w:rPr>
                        <w:t xml:space="preserve"> mutations have been found in the complexes that initiate the </w:t>
                      </w:r>
                      <w:r>
                        <w:rPr>
                          <w:i/>
                          <w:sz w:val="22"/>
                        </w:rPr>
                        <w:t>process (usually MLH1 or MSH2)</w:t>
                      </w:r>
                      <w:r w:rsidRPr="006D5624">
                        <w:rPr>
                          <w:i/>
                          <w:sz w:val="22"/>
                        </w:rPr>
                        <w:t>, therefore allowing mismatches to be passed on to daughter cells without repair</w:t>
                      </w:r>
                      <w:r>
                        <w:rPr>
                          <w:i/>
                          <w:sz w:val="22"/>
                        </w:rPr>
                        <w:t xml:space="preserve"> (</w:t>
                      </w:r>
                      <w:r w:rsidRPr="00E66C72">
                        <w:rPr>
                          <w:i/>
                          <w:sz w:val="22"/>
                          <w:szCs w:val="22"/>
                        </w:rPr>
                        <w:t>Adapted and modified with permission</w:t>
                      </w:r>
                      <w:r>
                        <w:rPr>
                          <w:i/>
                          <w:sz w:val="22"/>
                        </w:rPr>
                        <w:t xml:space="preserve"> from</w:t>
                      </w:r>
                      <w:r>
                        <w:rPr>
                          <w:i/>
                          <w:sz w:val="22"/>
                        </w:rPr>
                        <w:fldChar w:fldCharType="begin"/>
                      </w:r>
                      <w:r>
                        <w:rPr>
                          <w:i/>
                          <w:sz w:val="22"/>
                        </w:rPr>
                        <w:instrText xml:space="preserve"> ADDIN EN.CITE &lt;EndNote&gt;&lt;Cite&gt;&lt;Author&gt;Guillotin&lt;/Author&gt;&lt;Year&gt;2014&lt;/Year&gt;&lt;IDText&gt;Exploiting DNA mismatch repair deficiency as a therapeutic strategy&lt;/IDText&gt;&lt;DisplayText&gt;(Guillotin and Martin, 2014)&lt;/DisplayText&gt;&lt;record&gt;&lt;dates&gt;&lt;pub-dates&gt;&lt;date&gt;Nov&lt;/date&gt;&lt;/pub-dates&gt;&lt;year&gt;2014&lt;/year&gt;&lt;/dates&gt;&lt;keywords&gt;&lt;keyword&gt;Animals&lt;/keyword&gt;&lt;keyword&gt;Antineoplastic Agents&lt;/keyword&gt;&lt;keyword&gt;DNA Mismatch Repair&lt;/keyword&gt;&lt;keyword&gt;DNA, Neoplasm&lt;/keyword&gt;&lt;keyword&gt;Humans&lt;/keyword&gt;&lt;keyword&gt;Neoplasms&lt;/keyword&gt;&lt;/keywords&gt;&lt;urls&gt;&lt;related-urls&gt;&lt;url&gt;https://www.ncbi.nlm.nih.gov/pubmed/25017099&lt;/url&gt;&lt;/related-urls&gt;&lt;/urls&gt;&lt;isbn&gt;1090-2422&lt;/isbn&gt;&lt;titles&gt;&lt;title&gt;Exploiting DNA mismatch repair deficiency as a therapeutic strategy&lt;/title&gt;&lt;secondary-title&gt;Exp Cell Res&lt;/secondary-title&gt;&lt;/titles&gt;&lt;pages&gt;110-5&lt;/pages&gt;&lt;number&gt;1&lt;/number&gt;&lt;contributors&gt;&lt;authors&gt;&lt;author&gt;Guillotin, D.&lt;/author&gt;&lt;author&gt;Martin, S. A.&lt;/author&gt;&lt;/authors&gt;&lt;/contributors&gt;&lt;edition&gt;2014/07/11&lt;/edition&gt;&lt;language&gt;eng&lt;/language&gt;&lt;added-date format="utc"&gt;1510065814&lt;/added-date&gt;&lt;ref-type name="Journal Article"&gt;17&lt;/ref-type&gt;&lt;rec-number&gt;355&lt;/rec-number&gt;&lt;last-updated-date format="utc"&gt;1510065814&lt;/last-updated-date&gt;&lt;accession-num&gt;25017099&lt;/accession-num&gt;&lt;electronic-resource-num&gt;10.1016/j.yexcr.2014.07.004&lt;/electronic-resource-num&gt;&lt;volume&gt;329&lt;/volume&gt;&lt;/record&gt;&lt;/Cite&gt;&lt;/EndNote&gt;</w:instrText>
                      </w:r>
                      <w:r>
                        <w:rPr>
                          <w:i/>
                          <w:sz w:val="22"/>
                        </w:rPr>
                        <w:fldChar w:fldCharType="separate"/>
                      </w:r>
                      <w:r>
                        <w:rPr>
                          <w:i/>
                          <w:noProof/>
                          <w:sz w:val="22"/>
                        </w:rPr>
                        <w:t>(Guillotin and Martin, 2014)</w:t>
                      </w:r>
                      <w:r>
                        <w:rPr>
                          <w:i/>
                          <w:sz w:val="22"/>
                        </w:rPr>
                        <w:fldChar w:fldCharType="end"/>
                      </w:r>
                      <w:r w:rsidRPr="006D5624">
                        <w:rPr>
                          <w:i/>
                          <w:sz w:val="22"/>
                        </w:rPr>
                        <w:t>.</w:t>
                      </w:r>
                    </w:p>
                  </w:txbxContent>
                </v:textbox>
                <w10:wrap type="topAndBottom"/>
              </v:shape>
            </w:pict>
          </mc:Fallback>
        </mc:AlternateContent>
      </w:r>
      <w:r>
        <w:rPr>
          <w:rFonts w:asciiTheme="majorHAnsi" w:hAnsiTheme="majorHAnsi"/>
          <w:noProof/>
        </w:rPr>
        <w:drawing>
          <wp:anchor distT="0" distB="0" distL="114300" distR="114300" simplePos="0" relativeHeight="252128256" behindDoc="0" locked="0" layoutInCell="1" allowOverlap="1" wp14:anchorId="09C2F79F" wp14:editId="17A24AB5">
            <wp:simplePos x="0" y="0"/>
            <wp:positionH relativeFrom="column">
              <wp:posOffset>342900</wp:posOffset>
            </wp:positionH>
            <wp:positionV relativeFrom="paragraph">
              <wp:posOffset>140970</wp:posOffset>
            </wp:positionV>
            <wp:extent cx="4447540" cy="4641215"/>
            <wp:effectExtent l="0" t="0" r="0" b="6985"/>
            <wp:wrapTopAndBottom/>
            <wp:docPr id="373" name="Picture 373" descr="Macintosh HD:Users:ClairFellows:Desktop:Screen Shot 2017-11-02 at 11.2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irFellows:Desktop:Screen Shot 2017-11-02 at 11.28.3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47540" cy="4641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92C21" w14:textId="4DFB16E2" w:rsidR="00F50674" w:rsidRPr="00F50674" w:rsidRDefault="00F50674" w:rsidP="00F50674">
      <w:pPr>
        <w:spacing w:line="360" w:lineRule="auto"/>
        <w:jc w:val="both"/>
        <w:rPr>
          <w:rFonts w:asciiTheme="majorHAnsi" w:hAnsiTheme="majorHAnsi"/>
          <w:szCs w:val="28"/>
        </w:rPr>
      </w:pPr>
      <w:r w:rsidRPr="00E82D3B">
        <w:rPr>
          <w:rFonts w:asciiTheme="majorHAnsi" w:hAnsiTheme="majorHAnsi"/>
          <w:szCs w:val="28"/>
        </w:rPr>
        <w:t>Not only is the mismatch repair response its own individual pathway of repair</w:t>
      </w:r>
      <w:r w:rsidR="00E605BE" w:rsidRPr="00E82D3B">
        <w:rPr>
          <w:rFonts w:asciiTheme="majorHAnsi" w:hAnsiTheme="majorHAnsi"/>
          <w:szCs w:val="28"/>
        </w:rPr>
        <w:t>,</w:t>
      </w:r>
      <w:r w:rsidRPr="00E82D3B">
        <w:rPr>
          <w:rFonts w:asciiTheme="majorHAnsi" w:hAnsiTheme="majorHAnsi"/>
          <w:szCs w:val="28"/>
        </w:rPr>
        <w:t xml:space="preserve"> </w:t>
      </w:r>
      <w:proofErr w:type="gramStart"/>
      <w:r w:rsidRPr="00E82D3B">
        <w:rPr>
          <w:rFonts w:asciiTheme="majorHAnsi" w:hAnsiTheme="majorHAnsi"/>
          <w:szCs w:val="28"/>
        </w:rPr>
        <w:t>but</w:t>
      </w:r>
      <w:proofErr w:type="gramEnd"/>
      <w:r w:rsidRPr="00E82D3B">
        <w:rPr>
          <w:rFonts w:asciiTheme="majorHAnsi" w:hAnsiTheme="majorHAnsi"/>
          <w:szCs w:val="28"/>
        </w:rPr>
        <w:t xml:space="preserve"> evidence has shown that it interacts with other DDR systems (outlined in 1.2), and so creates a much more complex and highly functioning repair system to prevent mutations from occurring. For example during NHEJ there can be the accidental annealing of mismatching bases due to incorrect end processing and the loss or gain of bases. The MMR repair </w:t>
      </w:r>
      <w:r w:rsidR="00E605BE" w:rsidRPr="00E82D3B">
        <w:rPr>
          <w:rFonts w:asciiTheme="majorHAnsi" w:hAnsiTheme="majorHAnsi"/>
          <w:szCs w:val="28"/>
        </w:rPr>
        <w:t xml:space="preserve">pathway then plays a role in correcting these aberrations. There is also evidence that MSH2 is involved in the NER pathway when UV damage is detected in order to remove the bulky adduct that is created </w:t>
      </w:r>
      <w:r w:rsidR="006D4689" w:rsidRPr="00E82D3B">
        <w:rPr>
          <w:rFonts w:asciiTheme="majorHAnsi" w:hAnsiTheme="majorHAnsi"/>
          <w:szCs w:val="28"/>
        </w:rPr>
        <w:fldChar w:fldCharType="begin"/>
      </w:r>
      <w:r w:rsidR="006D4689" w:rsidRPr="00E82D3B">
        <w:rPr>
          <w:rFonts w:asciiTheme="majorHAnsi" w:hAnsiTheme="majorHAnsi"/>
          <w:szCs w:val="28"/>
        </w:rPr>
        <w:instrText xml:space="preserve"> ADDIN EN.CITE &lt;EndNote&gt;&lt;Cite&gt;&lt;Author&gt;Liu&lt;/Author&gt;&lt;Year&gt;2017&lt;/Year&gt;&lt;IDText&gt;DNA mismatch repair and its many roles in eukaryotic cells&lt;/IDText&gt;&lt;DisplayText&gt;(Liu et al., 2017)&lt;/DisplayText&gt;&lt;record&gt;&lt;dates&gt;&lt;pub-dates&gt;&lt;date&gt;Jul&lt;/date&gt;&lt;/pub-dates&gt;&lt;year&gt;2017&lt;/year&gt;&lt;/dates&gt;&lt;keywords&gt;&lt;keyword&gt;Animals&lt;/keyword&gt;&lt;keyword&gt;DNA Mismatch Repair&lt;/keyword&gt;&lt;keyword&gt;DNA Replication&lt;/keyword&gt;&lt;keyword&gt;Eukaryotic Cells&lt;/keyword&gt;&lt;keyword&gt;Genomic Instability&lt;/keyword&gt;&lt;keyword&gt;Humans&lt;/keyword&gt;&lt;keyword&gt;Mutation&lt;/keyword&gt;&lt;keyword&gt;Sequence Analysis, DNA&lt;/keyword&gt;&lt;keyword&gt;DNA polymerase&lt;/keyword&gt;&lt;keyword&gt;DNA replication&lt;/keyword&gt;&lt;keyword&gt;Genomic stability&lt;/keyword&gt;&lt;keyword&gt;MMR&lt;/keyword&gt;&lt;keyword&gt;Microsatellite instability&lt;/keyword&gt;&lt;keyword&gt;Mutagenesis&lt;/keyword&gt;&lt;/keywords&gt;&lt;urls&gt;&lt;related-urls&gt;&lt;url&gt;https://www.ncbi.nlm.nih.gov/pubmed/28927527&lt;/url&gt;&lt;/related-urls&gt;&lt;/urls&gt;&lt;isbn&gt;1873-135X&lt;/isbn&gt;&lt;titles&gt;&lt;title&gt;DNA mismatch repair and its many roles in eukaryotic cells&lt;/title&gt;&lt;secondary-title&gt;Mutat Res&lt;/secondary-title&gt;&lt;/titles&gt;&lt;pages&gt;174-187&lt;/pages&gt;&lt;contributors&gt;&lt;authors&gt;&lt;author&gt;Liu, D.&lt;/author&gt;&lt;author&gt;Keijzers, G.&lt;/author&gt;&lt;author&gt;Rasmussen, L. J.&lt;/author&gt;&lt;/authors&gt;&lt;/contributors&gt;&lt;edition&gt;2017/07/09&lt;/edition&gt;&lt;language&gt;eng&lt;/language&gt;&lt;added-date format="utc"&gt;1524040200&lt;/added-date&gt;&lt;ref-type name="Journal Article"&gt;17&lt;/ref-type&gt;&lt;rec-number&gt;417&lt;/rec-number&gt;&lt;last-updated-date format="utc"&gt;1524040200&lt;/last-updated-date&gt;&lt;accession-num&gt;28927527&lt;/accession-num&gt;&lt;electronic-resource-num&gt;10.1016/j.mrrev.2017.07.001&lt;/electronic-resource-num&gt;&lt;volume&gt;773&lt;/volume&gt;&lt;/record&gt;&lt;/Cite&gt;&lt;/EndNote&gt;</w:instrText>
      </w:r>
      <w:r w:rsidR="006D4689" w:rsidRPr="00E82D3B">
        <w:rPr>
          <w:rFonts w:asciiTheme="majorHAnsi" w:hAnsiTheme="majorHAnsi"/>
          <w:szCs w:val="28"/>
        </w:rPr>
        <w:fldChar w:fldCharType="separate"/>
      </w:r>
      <w:r w:rsidR="006D4689" w:rsidRPr="00E82D3B">
        <w:rPr>
          <w:rFonts w:asciiTheme="majorHAnsi" w:hAnsiTheme="majorHAnsi"/>
          <w:noProof/>
          <w:szCs w:val="28"/>
        </w:rPr>
        <w:t>(Liu et al., 2017)</w:t>
      </w:r>
      <w:r w:rsidR="006D4689" w:rsidRPr="00E82D3B">
        <w:rPr>
          <w:rFonts w:asciiTheme="majorHAnsi" w:hAnsiTheme="majorHAnsi"/>
          <w:szCs w:val="28"/>
        </w:rPr>
        <w:fldChar w:fldCharType="end"/>
      </w:r>
      <w:r w:rsidR="00E605BE" w:rsidRPr="00E82D3B">
        <w:rPr>
          <w:rFonts w:asciiTheme="majorHAnsi" w:hAnsiTheme="majorHAnsi"/>
          <w:szCs w:val="28"/>
        </w:rPr>
        <w:t>. Further to this, MMR proteins are functionally involved in the repair of inter</w:t>
      </w:r>
      <w:r w:rsidR="00A57C28" w:rsidRPr="00E82D3B">
        <w:rPr>
          <w:rFonts w:asciiTheme="majorHAnsi" w:hAnsiTheme="majorHAnsi"/>
          <w:szCs w:val="28"/>
        </w:rPr>
        <w:t>-</w:t>
      </w:r>
      <w:r w:rsidR="00E605BE" w:rsidRPr="00E82D3B">
        <w:rPr>
          <w:rFonts w:asciiTheme="majorHAnsi" w:hAnsiTheme="majorHAnsi"/>
          <w:szCs w:val="28"/>
        </w:rPr>
        <w:t xml:space="preserve">strand crosslinks through the Fanconi anaemia (FA) pathway. MSH2 and MLH1 are implicated in the monoubiquitination of an FA protein-FANCD2. This modification is essential of ATR activation and downstream cell cycle effector activation such as CHK1 and TP53 </w:t>
      </w:r>
      <w:r w:rsidR="00826BF7" w:rsidRPr="00E82D3B">
        <w:rPr>
          <w:rFonts w:asciiTheme="majorHAnsi" w:hAnsiTheme="majorHAnsi"/>
          <w:szCs w:val="28"/>
        </w:rPr>
        <w:t>in order to arrest cells for repair or destruction</w:t>
      </w:r>
      <w:r w:rsidR="006D4689" w:rsidRPr="00E82D3B">
        <w:rPr>
          <w:rFonts w:asciiTheme="majorHAnsi" w:hAnsiTheme="majorHAnsi"/>
          <w:szCs w:val="28"/>
        </w:rPr>
        <w:t xml:space="preserve"> </w:t>
      </w:r>
      <w:r w:rsidR="006D4689" w:rsidRPr="00E82D3B">
        <w:rPr>
          <w:rFonts w:asciiTheme="majorHAnsi" w:hAnsiTheme="majorHAnsi"/>
          <w:szCs w:val="28"/>
        </w:rPr>
        <w:fldChar w:fldCharType="begin"/>
      </w:r>
      <w:r w:rsidR="006D4689" w:rsidRPr="00E82D3B">
        <w:rPr>
          <w:rFonts w:asciiTheme="majorHAnsi" w:hAnsiTheme="majorHAnsi"/>
          <w:szCs w:val="28"/>
        </w:rPr>
        <w:instrText xml:space="preserve"> ADDIN EN.CITE &lt;EndNote&gt;&lt;Cite&gt;&lt;Author&gt;Kobayashi&lt;/Author&gt;&lt;Year&gt;2013&lt;/Year&gt;&lt;IDText&gt;Hereditary breast and ovarian cancer susceptibility genes (review)&lt;/IDText&gt;&lt;DisplayText&gt;(Kobayashi et al., 2013)&lt;/DisplayText&gt;&lt;record&gt;&lt;dates&gt;&lt;pub-dates&gt;&lt;date&gt;Sep&lt;/date&gt;&lt;/pub-dates&gt;&lt;year&gt;2013&lt;/year&gt;&lt;/dates&gt;&lt;keywords&gt;&lt;keyword&gt;Breast Neoplasms&lt;/keyword&gt;&lt;keyword&gt;Female&lt;/keyword&gt;&lt;keyword&gt;Genetic Predisposition to Disease&lt;/keyword&gt;&lt;keyword&gt;Humans&lt;/keyword&gt;&lt;keyword&gt;Neoplasm Proteins&lt;/keyword&gt;&lt;keyword&gt;Ovarian Neoplasms&lt;/keyword&gt;&lt;/keywords&gt;&lt;urls&gt;&lt;related-urls&gt;&lt;url&gt;https://www.ncbi.nlm.nih.gov/pubmed/23779253&lt;/url&gt;&lt;/related-urls&gt;&lt;/urls&gt;&lt;isbn&gt;1791-2431&lt;/isbn&gt;&lt;titles&gt;&lt;title&gt;Hereditary breast and ovarian cancer susceptibility genes (review)&lt;/title&gt;&lt;secondary-title&gt;Oncol Rep&lt;/secondary-title&gt;&lt;/titles&gt;&lt;pages&gt;1019-29&lt;/pages&gt;&lt;number&gt;3&lt;/number&gt;&lt;contributors&gt;&lt;authors&gt;&lt;author&gt;Kobayashi, H.&lt;/author&gt;&lt;author&gt;Ohno, S.&lt;/author&gt;&lt;author&gt;Sasaki, Y.&lt;/author&gt;&lt;author&gt;Matsuura, M.&lt;/author&gt;&lt;/authors&gt;&lt;/contributors&gt;&lt;edition&gt;2013/06/19&lt;/edition&gt;&lt;language&gt;eng&lt;/language&gt;&lt;added-date format="utc"&gt;1524040271&lt;/added-date&gt;&lt;ref-type name="Journal Article"&gt;17&lt;/ref-type&gt;&lt;rec-number&gt;418&lt;/rec-number&gt;&lt;last-updated-date format="utc"&gt;1524040271&lt;/last-updated-date&gt;&lt;accession-num&gt;23779253&lt;/accession-num&gt;&lt;electronic-resource-num&gt;10.3892/or.2013.2541&lt;/electronic-resource-num&gt;&lt;volume&gt;30&lt;/volume&gt;&lt;/record&gt;&lt;/Cite&gt;&lt;/EndNote&gt;</w:instrText>
      </w:r>
      <w:r w:rsidR="006D4689" w:rsidRPr="00E82D3B">
        <w:rPr>
          <w:rFonts w:asciiTheme="majorHAnsi" w:hAnsiTheme="majorHAnsi"/>
          <w:szCs w:val="28"/>
        </w:rPr>
        <w:fldChar w:fldCharType="separate"/>
      </w:r>
      <w:r w:rsidR="006D4689" w:rsidRPr="00E82D3B">
        <w:rPr>
          <w:rFonts w:asciiTheme="majorHAnsi" w:hAnsiTheme="majorHAnsi"/>
          <w:noProof/>
          <w:szCs w:val="28"/>
        </w:rPr>
        <w:t>(Kobayashi et al., 2013)</w:t>
      </w:r>
      <w:r w:rsidR="006D4689" w:rsidRPr="00E82D3B">
        <w:rPr>
          <w:rFonts w:asciiTheme="majorHAnsi" w:hAnsiTheme="majorHAnsi"/>
          <w:szCs w:val="28"/>
        </w:rPr>
        <w:fldChar w:fldCharType="end"/>
      </w:r>
      <w:r w:rsidR="00826BF7" w:rsidRPr="00E82D3B">
        <w:rPr>
          <w:rFonts w:asciiTheme="majorHAnsi" w:hAnsiTheme="majorHAnsi"/>
          <w:szCs w:val="28"/>
        </w:rPr>
        <w:t>. Therefore, defects to the MMR pathway in colon canc</w:t>
      </w:r>
      <w:r w:rsidR="00A57C28" w:rsidRPr="00E82D3B">
        <w:rPr>
          <w:rFonts w:asciiTheme="majorHAnsi" w:hAnsiTheme="majorHAnsi"/>
          <w:szCs w:val="28"/>
        </w:rPr>
        <w:t>er can potentially have a knock-</w:t>
      </w:r>
      <w:r w:rsidR="00826BF7" w:rsidRPr="00E82D3B">
        <w:rPr>
          <w:rFonts w:asciiTheme="majorHAnsi" w:hAnsiTheme="majorHAnsi"/>
          <w:szCs w:val="28"/>
        </w:rPr>
        <w:t>on affect on a variety of different repair pathway meaning that deleterious mutations go unrepaired and could help to create a permissive state for tumour progression.</w:t>
      </w:r>
      <w:r w:rsidR="00826BF7">
        <w:rPr>
          <w:rFonts w:asciiTheme="majorHAnsi" w:hAnsiTheme="majorHAnsi"/>
          <w:szCs w:val="28"/>
        </w:rPr>
        <w:t xml:space="preserve"> </w:t>
      </w:r>
    </w:p>
    <w:p w14:paraId="0B2EBB18" w14:textId="77777777" w:rsidR="00F50674" w:rsidRDefault="00F50674" w:rsidP="00B15A35">
      <w:pPr>
        <w:spacing w:line="360" w:lineRule="auto"/>
        <w:jc w:val="both"/>
        <w:rPr>
          <w:rFonts w:asciiTheme="majorHAnsi" w:hAnsiTheme="majorHAnsi"/>
          <w:sz w:val="28"/>
          <w:szCs w:val="28"/>
          <w:u w:val="single"/>
        </w:rPr>
      </w:pPr>
    </w:p>
    <w:p w14:paraId="24D44DEC" w14:textId="3924F7B7" w:rsidR="00B15A35" w:rsidRDefault="00EB3408" w:rsidP="00B15A35">
      <w:pPr>
        <w:spacing w:line="360" w:lineRule="auto"/>
        <w:jc w:val="both"/>
        <w:rPr>
          <w:rFonts w:asciiTheme="majorHAnsi" w:hAnsiTheme="majorHAnsi"/>
          <w:sz w:val="28"/>
          <w:szCs w:val="28"/>
          <w:u w:val="single"/>
        </w:rPr>
      </w:pPr>
      <w:r>
        <w:rPr>
          <w:rFonts w:asciiTheme="majorHAnsi" w:hAnsiTheme="majorHAnsi"/>
          <w:sz w:val="28"/>
          <w:szCs w:val="28"/>
          <w:u w:val="single"/>
        </w:rPr>
        <w:t>1.4</w:t>
      </w:r>
      <w:r w:rsidR="00B15A35" w:rsidRPr="00005C18">
        <w:rPr>
          <w:rFonts w:asciiTheme="majorHAnsi" w:hAnsiTheme="majorHAnsi"/>
          <w:sz w:val="28"/>
          <w:szCs w:val="28"/>
          <w:u w:val="single"/>
        </w:rPr>
        <w:t xml:space="preserve"> </w:t>
      </w:r>
      <w:r w:rsidR="00B15A35">
        <w:rPr>
          <w:rFonts w:asciiTheme="majorHAnsi" w:hAnsiTheme="majorHAnsi"/>
          <w:sz w:val="28"/>
          <w:szCs w:val="28"/>
          <w:u w:val="single"/>
        </w:rPr>
        <w:t>Tumourigenesis Enabling P</w:t>
      </w:r>
      <w:r w:rsidR="00B15A35" w:rsidRPr="00005C18">
        <w:rPr>
          <w:rFonts w:asciiTheme="majorHAnsi" w:hAnsiTheme="majorHAnsi"/>
          <w:sz w:val="28"/>
          <w:szCs w:val="28"/>
          <w:u w:val="single"/>
        </w:rPr>
        <w:t>athways in Colorectal Cancer</w:t>
      </w:r>
    </w:p>
    <w:p w14:paraId="7FBE0CD4" w14:textId="77777777" w:rsidR="00B15A35" w:rsidRDefault="00B15A35" w:rsidP="00B15A35">
      <w:pPr>
        <w:spacing w:line="360" w:lineRule="auto"/>
        <w:jc w:val="both"/>
        <w:rPr>
          <w:rFonts w:asciiTheme="majorHAnsi" w:hAnsiTheme="majorHAnsi"/>
          <w:sz w:val="28"/>
          <w:szCs w:val="28"/>
          <w:u w:val="single"/>
        </w:rPr>
      </w:pPr>
    </w:p>
    <w:p w14:paraId="38FF26C3" w14:textId="2B2FD5F7" w:rsidR="00B15A35" w:rsidRDefault="00B15A35" w:rsidP="00B15A35">
      <w:pPr>
        <w:spacing w:line="360" w:lineRule="auto"/>
        <w:jc w:val="both"/>
        <w:rPr>
          <w:rFonts w:asciiTheme="majorHAnsi" w:hAnsiTheme="majorHAnsi"/>
        </w:rPr>
      </w:pPr>
      <w:r w:rsidRPr="00005C18">
        <w:rPr>
          <w:rFonts w:asciiTheme="majorHAnsi" w:hAnsiTheme="majorHAnsi"/>
        </w:rPr>
        <w:t xml:space="preserve">Patients present with differing subtypes of colorectal cancer tumour, </w:t>
      </w:r>
      <w:r>
        <w:rPr>
          <w:rFonts w:asciiTheme="majorHAnsi" w:hAnsiTheme="majorHAnsi"/>
        </w:rPr>
        <w:t xml:space="preserve">with </w:t>
      </w:r>
      <w:r w:rsidRPr="00005C18">
        <w:rPr>
          <w:rFonts w:asciiTheme="majorHAnsi" w:hAnsiTheme="majorHAnsi"/>
        </w:rPr>
        <w:t>each one a unique genetic profile. Classification of the tumour is dependent mainly on clinical and histological analysis</w:t>
      </w:r>
      <w:r w:rsidR="009823EF">
        <w:rPr>
          <w:rFonts w:asciiTheme="majorHAnsi" w:hAnsiTheme="majorHAnsi"/>
        </w:rPr>
        <w:t xml:space="preserve"> of tumour grade and stage</w:t>
      </w:r>
      <w:r>
        <w:rPr>
          <w:rFonts w:asciiTheme="majorHAnsi" w:hAnsiTheme="majorHAnsi"/>
        </w:rPr>
        <w:t xml:space="preserve"> </w:t>
      </w:r>
      <w:r w:rsidR="00D56FD5">
        <w:rPr>
          <w:rFonts w:asciiTheme="majorHAnsi" w:hAnsiTheme="majorHAnsi"/>
        </w:rPr>
        <w:t>using the TNM or Dukes’ staging as mentioned previously</w:t>
      </w:r>
      <w:r w:rsidRPr="00005C18">
        <w:rPr>
          <w:rFonts w:asciiTheme="majorHAnsi" w:hAnsiTheme="majorHAnsi"/>
        </w:rPr>
        <w:t>, although molecular characteristics are now being considered as an extremely important aspect of prognosis</w:t>
      </w:r>
      <w:r>
        <w:rPr>
          <w:rFonts w:asciiTheme="majorHAnsi" w:hAnsiTheme="majorHAnsi"/>
        </w:rPr>
        <w:t xml:space="preserve"> </w:t>
      </w:r>
      <w:r w:rsidRPr="00005C18">
        <w:rPr>
          <w:rFonts w:asciiTheme="majorHAnsi" w:hAnsiTheme="majorHAnsi"/>
        </w:rPr>
        <w:fldChar w:fldCharType="begin">
          <w:fldData xml:space="preserve">PEVuZE5vdGU+PENpdGU+PEF1dGhvcj5PZ2lubzwvQXV0aG9yPjxZZWFyPjIwMDg8L1llYXI+PElE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PEVuZE5vdGU+PENpdGU+PEF1dGhvcj5PZ2lubzwvQXV0aG9yPjxZZWFyPjIwMDg8L1llYXI+PElE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sidRPr="00005C18">
        <w:rPr>
          <w:rFonts w:asciiTheme="majorHAnsi" w:hAnsiTheme="majorHAnsi"/>
        </w:rPr>
      </w:r>
      <w:r w:rsidRPr="00005C18">
        <w:rPr>
          <w:rFonts w:asciiTheme="majorHAnsi" w:hAnsiTheme="majorHAnsi"/>
        </w:rPr>
        <w:fldChar w:fldCharType="separate"/>
      </w:r>
      <w:r>
        <w:rPr>
          <w:rFonts w:asciiTheme="majorHAnsi" w:hAnsiTheme="majorHAnsi"/>
          <w:noProof/>
        </w:rPr>
        <w:t>(Ogino and Goel, 2008)</w:t>
      </w:r>
      <w:r w:rsidRPr="00005C18">
        <w:rPr>
          <w:rFonts w:asciiTheme="majorHAnsi" w:hAnsiTheme="majorHAnsi"/>
        </w:rPr>
        <w:fldChar w:fldCharType="end"/>
      </w:r>
      <w:r w:rsidRPr="00005C18">
        <w:rPr>
          <w:rFonts w:asciiTheme="majorHAnsi" w:hAnsiTheme="majorHAnsi"/>
        </w:rPr>
        <w:t>. Sporadic colorectal tumours are often classified as chromosomal or microsatellite unstable depending on the type of g</w:t>
      </w:r>
      <w:r>
        <w:rPr>
          <w:rFonts w:asciiTheme="majorHAnsi" w:hAnsiTheme="majorHAnsi"/>
        </w:rPr>
        <w:t>enetic mutations they carry, and t</w:t>
      </w:r>
      <w:r w:rsidRPr="00005C18">
        <w:rPr>
          <w:rFonts w:asciiTheme="majorHAnsi" w:hAnsiTheme="majorHAnsi"/>
        </w:rPr>
        <w:t xml:space="preserve">he tumours can also vary in their </w:t>
      </w:r>
      <w:r>
        <w:rPr>
          <w:rFonts w:asciiTheme="majorHAnsi" w:hAnsiTheme="majorHAnsi"/>
        </w:rPr>
        <w:t>epigenetic</w:t>
      </w:r>
      <w:r w:rsidRPr="00005C18">
        <w:rPr>
          <w:rFonts w:asciiTheme="majorHAnsi" w:hAnsiTheme="majorHAnsi"/>
        </w:rPr>
        <w:t xml:space="preserve"> status. These three </w:t>
      </w:r>
      <w:r>
        <w:rPr>
          <w:rFonts w:asciiTheme="majorHAnsi" w:hAnsiTheme="majorHAnsi"/>
        </w:rPr>
        <w:t>phenotypic characteristics</w:t>
      </w:r>
      <w:r w:rsidRPr="00005C18">
        <w:rPr>
          <w:rFonts w:asciiTheme="majorHAnsi" w:hAnsiTheme="majorHAnsi"/>
        </w:rPr>
        <w:t xml:space="preserve"> aren’t always mutually exclusive, even though many reviews deal with them separately. Investigating the genomic patterns of variation and how this impacts gene expression can then be correlated to different tumour characteristics and prognosis, resulting in individualized treatment plans</w:t>
      </w:r>
      <w:r>
        <w:rPr>
          <w:rFonts w:asciiTheme="majorHAnsi" w:hAnsiTheme="majorHAnsi"/>
        </w:rPr>
        <w:t xml:space="preserve"> </w:t>
      </w:r>
      <w:r w:rsidRPr="00005C18">
        <w:rPr>
          <w:rFonts w:asciiTheme="majorHAnsi" w:hAnsiTheme="majorHAnsi"/>
        </w:rPr>
        <w:fldChar w:fldCharType="begin"/>
      </w:r>
      <w:r w:rsidRPr="00005C18">
        <w:rPr>
          <w:rFonts w:asciiTheme="majorHAnsi" w:hAnsiTheme="majorHAnsi"/>
        </w:rPr>
        <w:instrText xml:space="preserve"> ADDIN EN.CITE &lt;EndNote&gt;&lt;Cite&gt;&lt;Author&gt;Poulogiannis&lt;/Author&gt;&lt;Year&gt;2010&lt;/Year&gt;&lt;IDText&gt;Prognostic relevance of DNA copy number changes in colorectal cancer&lt;/IDText&gt;&lt;DisplayText&gt;(Poulogiannis et al., 2010)&lt;/DisplayText&gt;&lt;record&gt;&lt;dates&gt;&lt;pub-dates&gt;&lt;date&gt;Feb&lt;/date&gt;&lt;/pub-dates&gt;&lt;year&gt;2010&lt;/year&gt;&lt;/dates&gt;&lt;keywords&gt;&lt;keyword&gt;Adult&lt;/keyword&gt;&lt;keyword&gt;Aged&lt;/keyword&gt;&lt;keyword&gt;Aged, 80 and over&lt;/keyword&gt;&lt;keyword&gt;Colorectal Neoplasms&lt;/keyword&gt;&lt;keyword&gt;Comparative Genomic Hybridization&lt;/keyword&gt;&lt;keyword&gt;DNA Copy Number Variations&lt;/keyword&gt;&lt;keyword&gt;DNA, Neoplasm&lt;/keyword&gt;&lt;keyword&gt;Epidemiologic Methods&lt;/keyword&gt;&lt;keyword&gt;Female&lt;/keyword&gt;&lt;keyword&gt;Humans&lt;/keyword&gt;&lt;keyword&gt;Lymphatic Metastasis&lt;/keyword&gt;&lt;keyword&gt;Male&lt;/keyword&gt;&lt;keyword&gt;Microsatellite Instability&lt;/keyword&gt;&lt;keyword&gt;Middle Aged&lt;/keyword&gt;&lt;keyword&gt;Neoplasm Staging&lt;/keyword&gt;&lt;keyword&gt;Prognosis&lt;/keyword&gt;&lt;keyword&gt;Recurrence&lt;/keyword&gt;&lt;/keywords&gt;&lt;urls&gt;&lt;related-urls&gt;&lt;url&gt;https://www.ncbi.nlm.nih.gov/pubmed/19911421&lt;/url&gt;&lt;/related-urls&gt;&lt;/urls&gt;&lt;isbn&gt;1096-9896&lt;/isbn&gt;&lt;titles&gt;&lt;title&gt;Prognostic relevance of DNA copy number changes in colorectal cancer&lt;/title&gt;&lt;secondary-title&gt;J Pathol&lt;/secondary-title&gt;&lt;/titles&gt;&lt;pages&gt;338-47&lt;/pages&gt;&lt;number&gt;3&lt;/number&gt;&lt;contributors&gt;&lt;authors&gt;&lt;author&gt;Poulogiannis, G.&lt;/author&gt;&lt;author&gt;Ichimura, K.&lt;/author&gt;&lt;author&gt;Hamoudi, R. A.&lt;/author&gt;&lt;author&gt;Luo, F.&lt;/author&gt;&lt;author&gt;Leung, S. Y.&lt;/author&gt;&lt;author&gt;Yuen, S. T.&lt;/author&gt;&lt;author&gt;Harrison, D. J.&lt;/author&gt;&lt;author&gt;Wyllie, A. H.&lt;/author&gt;&lt;author&gt;Arends, M. J.&lt;/author&gt;&lt;/authors&gt;&lt;/contributors&gt;&lt;language&gt;eng&lt;/language&gt;&lt;added-date format="utc"&gt;1469461123&lt;/added-date&gt;&lt;ref-type name="Journal Article"&gt;17&lt;/ref-type&gt;&lt;rec-number&gt;173&lt;/rec-number&gt;&lt;last-updated-date format="utc"&gt;1469461123&lt;/last-updated-date&gt;&lt;accession-num&gt;19911421&lt;/accession-num&gt;&lt;electronic-resource-num&gt;10.1002/path.2640&lt;/electronic-resource-num&gt;&lt;volume&gt;220&lt;/volume&gt;&lt;/record&gt;&lt;/Cite&gt;&lt;/EndNote&gt;</w:instrText>
      </w:r>
      <w:r w:rsidRPr="00005C18">
        <w:rPr>
          <w:rFonts w:asciiTheme="majorHAnsi" w:hAnsiTheme="majorHAnsi"/>
        </w:rPr>
        <w:fldChar w:fldCharType="separate"/>
      </w:r>
      <w:r w:rsidRPr="00005C18">
        <w:rPr>
          <w:rFonts w:asciiTheme="majorHAnsi" w:hAnsiTheme="majorHAnsi"/>
          <w:noProof/>
        </w:rPr>
        <w:t>(Poulogiannis et al., 2010)</w:t>
      </w:r>
      <w:r w:rsidRPr="00005C18">
        <w:rPr>
          <w:rFonts w:asciiTheme="majorHAnsi" w:hAnsiTheme="majorHAnsi"/>
        </w:rPr>
        <w:fldChar w:fldCharType="end"/>
      </w:r>
      <w:r w:rsidRPr="00005C18">
        <w:rPr>
          <w:rFonts w:asciiTheme="majorHAnsi" w:hAnsiTheme="majorHAnsi"/>
        </w:rPr>
        <w:t>.</w:t>
      </w:r>
    </w:p>
    <w:p w14:paraId="65303846" w14:textId="77777777" w:rsidR="009823EF" w:rsidRPr="009C59E0" w:rsidRDefault="009823EF" w:rsidP="009C59E0">
      <w:pPr>
        <w:spacing w:line="360" w:lineRule="auto"/>
        <w:jc w:val="both"/>
        <w:rPr>
          <w:rFonts w:asciiTheme="majorHAnsi" w:hAnsiTheme="majorHAnsi"/>
          <w:b/>
          <w:i/>
          <w:lang w:val="en-US"/>
        </w:rPr>
      </w:pPr>
    </w:p>
    <w:p w14:paraId="32D175A0" w14:textId="77777777" w:rsidR="00B15A35" w:rsidRPr="00005C18" w:rsidRDefault="00B15A35" w:rsidP="002F41C6">
      <w:pPr>
        <w:pStyle w:val="ListParagraph"/>
        <w:numPr>
          <w:ilvl w:val="0"/>
          <w:numId w:val="35"/>
        </w:numPr>
        <w:spacing w:line="360" w:lineRule="auto"/>
        <w:jc w:val="both"/>
        <w:rPr>
          <w:rFonts w:asciiTheme="majorHAnsi" w:hAnsiTheme="majorHAnsi"/>
          <w:b/>
          <w:i/>
          <w:lang w:val="en-US"/>
        </w:rPr>
      </w:pPr>
      <w:r w:rsidRPr="00005C18">
        <w:rPr>
          <w:rFonts w:asciiTheme="majorHAnsi" w:hAnsiTheme="majorHAnsi"/>
          <w:b/>
          <w:i/>
        </w:rPr>
        <w:t>Chromosomal Instability</w:t>
      </w:r>
      <w:r>
        <w:rPr>
          <w:rFonts w:asciiTheme="majorHAnsi" w:hAnsiTheme="majorHAnsi"/>
          <w:b/>
          <w:i/>
        </w:rPr>
        <w:t xml:space="preserve"> (CIN)</w:t>
      </w:r>
    </w:p>
    <w:p w14:paraId="289A3A97" w14:textId="564C336B" w:rsidR="00B15A35" w:rsidRPr="00DE4AA8" w:rsidRDefault="00B15A35" w:rsidP="00B15A35">
      <w:pPr>
        <w:spacing w:line="360" w:lineRule="auto"/>
        <w:jc w:val="both"/>
        <w:rPr>
          <w:rFonts w:asciiTheme="majorHAnsi" w:hAnsiTheme="majorHAnsi"/>
          <w:lang w:val="en-US"/>
        </w:rPr>
      </w:pPr>
      <w:r w:rsidRPr="00005C18">
        <w:rPr>
          <w:rFonts w:asciiTheme="majorHAnsi" w:hAnsiTheme="majorHAnsi"/>
        </w:rPr>
        <w:t>Chromosomal instability (CIN) is a form of genetic instability</w:t>
      </w:r>
      <w:r>
        <w:rPr>
          <w:rFonts w:asciiTheme="majorHAnsi" w:hAnsiTheme="majorHAnsi"/>
        </w:rPr>
        <w:t xml:space="preserve"> accounting for around 80% of CRC cases.</w:t>
      </w:r>
      <w:r w:rsidRPr="00005C18">
        <w:rPr>
          <w:rFonts w:asciiTheme="majorHAnsi" w:hAnsiTheme="majorHAnsi"/>
        </w:rPr>
        <w:t xml:space="preserve"> </w:t>
      </w:r>
      <w:r>
        <w:rPr>
          <w:rFonts w:asciiTheme="majorHAnsi" w:hAnsiTheme="majorHAnsi"/>
        </w:rPr>
        <w:t>It results in chromosomal abnormalities such as amplifications/</w:t>
      </w:r>
      <w:r w:rsidRPr="00005C18">
        <w:rPr>
          <w:rFonts w:asciiTheme="majorHAnsi" w:hAnsiTheme="majorHAnsi"/>
        </w:rPr>
        <w:t>deletions/rearrangements of parts or whole chromosomes</w:t>
      </w:r>
      <w:r>
        <w:rPr>
          <w:rFonts w:asciiTheme="majorHAnsi" w:hAnsiTheme="majorHAnsi"/>
        </w:rPr>
        <w:t>, with a frequent characteristic being aneuploidy</w:t>
      </w:r>
      <w:r w:rsidRPr="00005C18">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&lt;EndNote&gt;&lt;Cite&gt;&lt;Author&gt;Lengauer&lt;/Author&gt;&lt;Year&gt;1997&lt;/Year&gt;&lt;IDText&gt;Genetic instability in colorectal cancers&lt;/IDText&gt;&lt;DisplayText&gt;(Lengauer et al., 1997)&lt;/DisplayText&gt;&lt;record&gt;&lt;isbn&gt;0028-0836&lt;/isbn&gt;&lt;titles&gt;&lt;title&gt;Genetic instability in colorectal cancers&lt;/title&gt;&lt;secondary-title&gt;Nature&lt;/secondary-title&gt;&lt;/titles&gt;&lt;pages&gt;623-627&lt;/pages&gt;&lt;number&gt;6625&lt;/number&gt;&lt;contributors&gt;&lt;authors&gt;&lt;author&gt;Lengauer, C.&lt;/author&gt;&lt;author&gt;Kinzler, Kw&lt;/author&gt;&lt;author&gt;Vogelstein, B.&lt;/author&gt;&lt;/authors&gt;&lt;/contributors&gt;&lt;added-date format="utc"&gt;1425984027&lt;/added-date&gt;&lt;ref-type name="Journal Article"&gt;17&lt;/ref-type&gt;&lt;dates&gt;&lt;year&gt;1997&lt;/year&gt;&lt;/dates&gt;&lt;rec-number&gt;66&lt;/rec-number&gt;&lt;last-updated-date format="utc"&gt;1447344165&lt;/last-updated-date&gt;&lt;volume&gt;386&lt;/volume&gt;&lt;/record&gt;&lt;/Cite&gt;&lt;/EndNote&gt;</w:instrText>
      </w:r>
      <w:r>
        <w:rPr>
          <w:rFonts w:asciiTheme="majorHAnsi" w:hAnsiTheme="majorHAnsi"/>
        </w:rPr>
        <w:fldChar w:fldCharType="separate"/>
      </w:r>
      <w:r>
        <w:rPr>
          <w:rFonts w:asciiTheme="majorHAnsi" w:hAnsiTheme="majorHAnsi"/>
          <w:noProof/>
        </w:rPr>
        <w:t>(Lengauer et al., 1997)</w:t>
      </w:r>
      <w:r>
        <w:rPr>
          <w:rFonts w:asciiTheme="majorHAnsi" w:hAnsiTheme="majorHAnsi"/>
        </w:rPr>
        <w:fldChar w:fldCharType="end"/>
      </w:r>
      <w:r>
        <w:rPr>
          <w:rFonts w:asciiTheme="majorHAnsi" w:hAnsiTheme="majorHAnsi"/>
        </w:rPr>
        <w:t>.</w:t>
      </w:r>
      <w:r w:rsidRPr="00005C18">
        <w:rPr>
          <w:rFonts w:asciiTheme="majorHAnsi" w:hAnsiTheme="majorHAnsi"/>
        </w:rPr>
        <w:t xml:space="preserve"> Tumours displaying a CIN phenotype </w:t>
      </w:r>
      <w:r>
        <w:rPr>
          <w:rFonts w:asciiTheme="majorHAnsi" w:hAnsiTheme="majorHAnsi"/>
        </w:rPr>
        <w:t xml:space="preserve">mostly </w:t>
      </w:r>
      <w:r w:rsidR="009823EF">
        <w:rPr>
          <w:rFonts w:asciiTheme="majorHAnsi" w:hAnsiTheme="majorHAnsi"/>
        </w:rPr>
        <w:t>have</w:t>
      </w:r>
      <w:r w:rsidRPr="00005C18">
        <w:rPr>
          <w:rFonts w:asciiTheme="majorHAnsi" w:hAnsiTheme="majorHAnsi"/>
        </w:rPr>
        <w:t xml:space="preserve"> a poor</w:t>
      </w:r>
      <w:r>
        <w:rPr>
          <w:rFonts w:asciiTheme="majorHAnsi" w:hAnsiTheme="majorHAnsi"/>
        </w:rPr>
        <w:t>er</w:t>
      </w:r>
      <w:r w:rsidRPr="00005C18">
        <w:rPr>
          <w:rFonts w:asciiTheme="majorHAnsi" w:hAnsiTheme="majorHAnsi"/>
        </w:rPr>
        <w:t xml:space="preserve"> prognosis and decre</w:t>
      </w:r>
      <w:r>
        <w:rPr>
          <w:rFonts w:asciiTheme="majorHAnsi" w:hAnsiTheme="majorHAnsi"/>
        </w:rPr>
        <w:t xml:space="preserve">ased survival rates compared to </w:t>
      </w:r>
      <w:r w:rsidRPr="00005C18">
        <w:rPr>
          <w:rFonts w:asciiTheme="majorHAnsi" w:hAnsiTheme="majorHAnsi"/>
        </w:rPr>
        <w:t>tumours</w:t>
      </w:r>
      <w:r>
        <w:rPr>
          <w:rFonts w:asciiTheme="majorHAnsi" w:hAnsiTheme="majorHAnsi"/>
        </w:rPr>
        <w:t xml:space="preserve"> that display the other main molecular pathway of tumourigenesis- microsatellite instability (MSI),</w:t>
      </w:r>
      <w:r w:rsidRPr="00005C18">
        <w:rPr>
          <w:rFonts w:asciiTheme="majorHAnsi" w:hAnsiTheme="majorHAnsi"/>
        </w:rPr>
        <w:t xml:space="preserve"> possibly due to their </w:t>
      </w:r>
      <w:r>
        <w:rPr>
          <w:rFonts w:asciiTheme="majorHAnsi" w:hAnsiTheme="majorHAnsi"/>
        </w:rPr>
        <w:t>increased tendency to metastasis</w:t>
      </w:r>
      <w:r w:rsidRPr="00005C18">
        <w:rPr>
          <w:rFonts w:asciiTheme="majorHAnsi" w:hAnsiTheme="majorHAnsi"/>
        </w:rPr>
        <w:t xml:space="preserve"> </w:t>
      </w:r>
      <w:r w:rsidRPr="00005C18">
        <w:rPr>
          <w:rFonts w:asciiTheme="majorHAnsi" w:hAnsiTheme="majorHAnsi"/>
        </w:rPr>
        <w:fldChar w:fldCharType="begin"/>
      </w:r>
      <w:r w:rsidRPr="00005C18">
        <w:rPr>
          <w:rFonts w:asciiTheme="majorHAnsi" w:hAnsiTheme="majorHAnsi"/>
        </w:rPr>
        <w:instrText xml:space="preserve"> ADDIN EN.CITE &lt;EndNote&gt;&lt;Cite&gt;&lt;Author&gt;Pino&lt;/Author&gt;&lt;Year&gt;2010&lt;/Year&gt;&lt;IDText&gt;The chromosomal instability pathway in colon cancer&lt;/IDText&gt;&lt;DisplayText&gt;(Pino and Chung, 2010)&lt;/DisplayText&gt;&lt;record&gt;&lt;dates&gt;&lt;pub-dates&gt;&lt;date&gt;Jun&lt;/date&gt;&lt;/pub-dates&gt;&lt;year&gt;2010&lt;/year&gt;&lt;/dates&gt;&lt;keywords&gt;&lt;keyword&gt;Aneuploidy&lt;/keyword&gt;&lt;keyword&gt;Animals&lt;/keyword&gt;&lt;keyword&gt;Cell Transformation, Neoplastic&lt;/keyword&gt;&lt;keyword&gt;Chromosomal Instability&lt;/keyword&gt;&lt;keyword&gt;Colonic Neoplasms&lt;/keyword&gt;&lt;keyword&gt;Gene Expression Regulation, Neoplastic&lt;/keyword&gt;&lt;keyword&gt;Genotype&lt;/keyword&gt;&lt;keyword&gt;Humans&lt;/keyword&gt;&lt;keyword&gt;Loss of Heterozygosity&lt;/keyword&gt;&lt;keyword&gt;Mutation&lt;/keyword&gt;&lt;keyword&gt;Neoplastic Stem Cells&lt;/keyword&gt;&lt;keyword&gt;Phenotype&lt;/keyword&gt;&lt;keyword&gt;Precancerous Conditions&lt;/keyword&gt;&lt;keyword&gt;Signal Transduction&lt;/keyword&gt;&lt;/keywords&gt;&lt;urls&gt;&lt;related-urls&gt;&lt;url&gt;http://www.ncbi.nlm.nih.gov/pubmed/20420946&lt;/url&gt;&lt;/related-urls&gt;&lt;/urls&gt;&lt;isbn&gt;1528-0012&lt;/isbn&gt;&lt;custom2&gt;PMC4243705&lt;/custom2&gt;&lt;titles&gt;&lt;title&gt;The chromosomal instability pathway in colon cancer&lt;/title&gt;&lt;secondary-title&gt;Gastroenterology&lt;/secondary-title&gt;&lt;/titles&gt;&lt;pages&gt;2059-72&lt;/pages&gt;&lt;number&gt;6&lt;/number&gt;&lt;contributors&gt;&lt;authors&gt;&lt;author&gt;Pino, M. S.&lt;/author&gt;&lt;author&gt;Chung, D. C.&lt;/author&gt;&lt;/authors&gt;&lt;/contributors&gt;&lt;language&gt;eng&lt;/language&gt;&lt;added-date format="utc"&gt;1460370576&lt;/added-date&gt;&lt;ref-type name="Journal Article"&gt;17&lt;/ref-type&gt;&lt;rec-number&gt;153&lt;/rec-number&gt;&lt;last-updated-date format="utc"&gt;1460370576&lt;/last-updated-date&gt;&lt;accession-num&gt;20420946&lt;/accession-num&gt;&lt;electronic-resource-num&gt;10.1053/j.gastro.2009.12.065&lt;/electronic-resource-num&gt;&lt;volume&gt;138&lt;/volume&gt;&lt;/record&gt;&lt;/Cite&gt;&lt;/EndNote&gt;</w:instrText>
      </w:r>
      <w:r w:rsidRPr="00005C18">
        <w:rPr>
          <w:rFonts w:asciiTheme="majorHAnsi" w:hAnsiTheme="majorHAnsi"/>
        </w:rPr>
        <w:fldChar w:fldCharType="separate"/>
      </w:r>
      <w:r w:rsidRPr="00005C18">
        <w:rPr>
          <w:rFonts w:asciiTheme="majorHAnsi" w:hAnsiTheme="majorHAnsi"/>
          <w:noProof/>
        </w:rPr>
        <w:t>(Pino and Chung, 2010)</w:t>
      </w:r>
      <w:r w:rsidRPr="00005C18">
        <w:rPr>
          <w:rFonts w:asciiTheme="majorHAnsi" w:hAnsiTheme="majorHAnsi"/>
        </w:rPr>
        <w:fldChar w:fldCharType="end"/>
      </w:r>
      <w:r>
        <w:rPr>
          <w:rFonts w:asciiTheme="majorHAnsi" w:hAnsiTheme="majorHAnsi"/>
        </w:rPr>
        <w:t xml:space="preserve">. </w:t>
      </w:r>
      <w:r w:rsidRPr="00005C18">
        <w:rPr>
          <w:rFonts w:asciiTheme="majorHAnsi" w:hAnsiTheme="majorHAnsi"/>
        </w:rPr>
        <w:t>New technologies such as array based comparative genome hybridisation</w:t>
      </w:r>
      <w:r>
        <w:rPr>
          <w:rFonts w:asciiTheme="majorHAnsi" w:hAnsiTheme="majorHAnsi"/>
        </w:rPr>
        <w:t xml:space="preserve"> (</w:t>
      </w:r>
      <w:proofErr w:type="spellStart"/>
      <w:r>
        <w:rPr>
          <w:rFonts w:asciiTheme="majorHAnsi" w:hAnsiTheme="majorHAnsi"/>
        </w:rPr>
        <w:t>aCGH</w:t>
      </w:r>
      <w:proofErr w:type="spellEnd"/>
      <w:r>
        <w:rPr>
          <w:rFonts w:asciiTheme="majorHAnsi" w:hAnsiTheme="majorHAnsi"/>
        </w:rPr>
        <w:t>)</w:t>
      </w:r>
      <w:r w:rsidRPr="00005C18">
        <w:rPr>
          <w:rFonts w:asciiTheme="majorHAnsi" w:hAnsiTheme="majorHAnsi"/>
        </w:rPr>
        <w:t xml:space="preserve"> have allowed for high resolution screening of the entire genome for chromosomal aberrations. However, many of these aberrations can be large and so identifying the genes within these regions which drive cancer progression</w:t>
      </w:r>
      <w:r>
        <w:rPr>
          <w:rFonts w:asciiTheme="majorHAnsi" w:hAnsiTheme="majorHAnsi"/>
        </w:rPr>
        <w:t>, and are not simply passengers,</w:t>
      </w:r>
      <w:r w:rsidRPr="00005C18">
        <w:rPr>
          <w:rFonts w:asciiTheme="majorHAnsi" w:hAnsiTheme="majorHAnsi"/>
        </w:rPr>
        <w:t xml:space="preserve"> can be </w:t>
      </w:r>
      <w:r>
        <w:rPr>
          <w:rFonts w:asciiTheme="majorHAnsi" w:hAnsiTheme="majorHAnsi"/>
        </w:rPr>
        <w:t xml:space="preserve">challenging </w:t>
      </w:r>
      <w:r w:rsidRPr="00005C18">
        <w:rPr>
          <w:rFonts w:asciiTheme="majorHAnsi" w:hAnsiTheme="majorHAnsi"/>
        </w:rPr>
        <w:fldChar w:fldCharType="begin"/>
      </w:r>
      <w:r w:rsidRPr="00005C18">
        <w:rPr>
          <w:rFonts w:asciiTheme="majorHAnsi" w:hAnsiTheme="majorHAnsi"/>
        </w:rPr>
        <w:instrText xml:space="preserve"> ADDIN EN.CITE &lt;EndNote&gt;&lt;Cite&gt;&lt;Author&gt;Brosens&lt;/Author&gt;&lt;Year&gt;2010&lt;/Year&gt;&lt;IDText&gt;Candidate driver genes in focal chromosomal aberrations of stage II colon cancer&lt;/IDText&gt;&lt;DisplayText&gt;(Brosens et al., 2010)&lt;/DisplayText&gt;&lt;record&gt;&lt;dates&gt;&lt;pub-dates&gt;&lt;date&gt;Aug&lt;/date&gt;&lt;/pub-dates&gt;&lt;year&gt;2010&lt;/year&gt;&lt;/dates&gt;&lt;keywords&gt;&lt;keyword&gt;Aged&lt;/keyword&gt;&lt;keyword&gt;Aged, 80 and over&lt;/keyword&gt;&lt;keyword&gt;Chromosome Aberrations&lt;/keyword&gt;&lt;keyword&gt;Colonic Neoplasms&lt;/keyword&gt;&lt;keyword&gt;Comparative Genomic Hybridization&lt;/keyword&gt;&lt;keyword&gt;DNA, Neoplasm&lt;/keyword&gt;&lt;keyword&gt;Female&lt;/keyword&gt;&lt;keyword&gt;Follow-Up Studies&lt;/keyword&gt;&lt;keyword&gt;Genetic Association Studies&lt;/keyword&gt;&lt;keyword&gt;Humans&lt;/keyword&gt;&lt;keyword&gt;Male&lt;/keyword&gt;&lt;keyword&gt;Middle Aged&lt;/keyword&gt;&lt;keyword&gt;Neoplasm Staging&lt;/keyword&gt;&lt;keyword&gt;Prognosis&lt;/keyword&gt;&lt;keyword&gt;Survival Analysis&lt;/keyword&gt;&lt;/keywords&gt;&lt;urls&gt;&lt;related-urls&gt;&lt;url&gt;http://www.ncbi.nlm.nih.gov/pubmed/20593488&lt;/url&gt;&lt;/related-urls&gt;&lt;/urls&gt;&lt;isbn&gt;1096-9896&lt;/isbn&gt;&lt;titles&gt;&lt;title&gt;Candidate driver genes in focal chromosomal aberrations of stage II colon cancer&lt;/title&gt;&lt;secondary-title&gt;J Pathol&lt;/secondary-title&gt;&lt;/titles&gt;&lt;pages&gt;411-24&lt;/pages&gt;&lt;number&gt;4&lt;/number&gt;&lt;contributors&gt;&lt;authors&gt;&lt;author&gt;Brosens, R. P.&lt;/author&gt;&lt;author&gt;Haan, J. C.&lt;/author&gt;&lt;author&gt;Carvalho, B.&lt;/author&gt;&lt;author&gt;Rustenburg, F.&lt;/author&gt;&lt;author&gt;Grabsch, H.&lt;/author&gt;&lt;author&gt;Quirke, P.&lt;/author&gt;&lt;author&gt;Engel, A. F.&lt;/author&gt;&lt;author&gt;Cuesta, M. A.&lt;/author&gt;&lt;author&gt;Maughan, N.&lt;/author&gt;&lt;author&gt;Flens, M.&lt;/author&gt;&lt;author&gt;Meijer, G. A.&lt;/author&gt;&lt;author&gt;Ylstra, B.&lt;/author&gt;&lt;/authors&gt;&lt;/contributors&gt;&lt;language&gt;eng&lt;/language&gt;&lt;added-date format="utc"&gt;1460371129&lt;/added-date&gt;&lt;ref-type name="Journal Article"&gt;17&lt;/ref-type&gt;&lt;rec-number&gt;154&lt;/rec-number&gt;&lt;last-updated-date format="utc"&gt;1460371129&lt;/last-updated-date&gt;&lt;accession-num&gt;20593488&lt;/accession-num&gt;&lt;electronic-resource-num&gt;10.1002/path.2724&lt;/electronic-resource-num&gt;&lt;volume&gt;221&lt;/volume&gt;&lt;/record&gt;&lt;/Cite&gt;&lt;/EndNote&gt;</w:instrText>
      </w:r>
      <w:r w:rsidRPr="00005C18">
        <w:rPr>
          <w:rFonts w:asciiTheme="majorHAnsi" w:hAnsiTheme="majorHAnsi"/>
        </w:rPr>
        <w:fldChar w:fldCharType="separate"/>
      </w:r>
      <w:r w:rsidRPr="00005C18">
        <w:rPr>
          <w:rFonts w:asciiTheme="majorHAnsi" w:hAnsiTheme="majorHAnsi"/>
          <w:noProof/>
        </w:rPr>
        <w:t>(Brosens et al., 2010)</w:t>
      </w:r>
      <w:r w:rsidRPr="00005C18">
        <w:rPr>
          <w:rFonts w:asciiTheme="majorHAnsi" w:hAnsiTheme="majorHAnsi"/>
        </w:rPr>
        <w:fldChar w:fldCharType="end"/>
      </w:r>
      <w:r w:rsidRPr="00005C18">
        <w:rPr>
          <w:rFonts w:asciiTheme="majorHAnsi" w:hAnsiTheme="majorHAnsi"/>
        </w:rPr>
        <w:t>.</w:t>
      </w:r>
      <w:r>
        <w:rPr>
          <w:rFonts w:asciiTheme="majorHAnsi" w:hAnsiTheme="majorHAnsi"/>
        </w:rPr>
        <w:t xml:space="preserve"> </w:t>
      </w:r>
    </w:p>
    <w:p w14:paraId="3FC686ED" w14:textId="77777777" w:rsidR="00B15A35" w:rsidRDefault="00B15A35" w:rsidP="00B15A35">
      <w:pPr>
        <w:pStyle w:val="NoSpacing"/>
        <w:spacing w:line="360" w:lineRule="auto"/>
        <w:jc w:val="both"/>
        <w:rPr>
          <w:rFonts w:asciiTheme="majorHAnsi" w:hAnsiTheme="majorHAnsi"/>
        </w:rPr>
      </w:pPr>
    </w:p>
    <w:p w14:paraId="3E33044B" w14:textId="1EE2B558" w:rsidR="00B15A35" w:rsidRPr="001147F3" w:rsidRDefault="00B15A35" w:rsidP="00B15A35">
      <w:pPr>
        <w:pStyle w:val="NoSpacing"/>
        <w:spacing w:line="360" w:lineRule="auto"/>
        <w:jc w:val="both"/>
        <w:rPr>
          <w:rFonts w:asciiTheme="majorHAnsi" w:hAnsiTheme="majorHAnsi"/>
        </w:rPr>
      </w:pPr>
      <w:r w:rsidRPr="00005C18">
        <w:rPr>
          <w:rFonts w:asciiTheme="majorHAnsi" w:hAnsiTheme="majorHAnsi"/>
        </w:rPr>
        <w:t xml:space="preserve">This type of instability often displays alterations within well-characterized tumour suppressor genes (TSGs) and oncogenes such as </w:t>
      </w:r>
      <w:r w:rsidRPr="00A66403">
        <w:rPr>
          <w:rFonts w:asciiTheme="majorHAnsi" w:hAnsiTheme="majorHAnsi"/>
          <w:i/>
        </w:rPr>
        <w:t>APC</w:t>
      </w:r>
      <w:r w:rsidRPr="00005C18">
        <w:rPr>
          <w:rFonts w:asciiTheme="majorHAnsi" w:hAnsiTheme="majorHAnsi"/>
        </w:rPr>
        <w:t xml:space="preserve"> and </w:t>
      </w:r>
      <w:r w:rsidRPr="00A66403">
        <w:rPr>
          <w:rFonts w:asciiTheme="majorHAnsi" w:hAnsiTheme="majorHAnsi"/>
          <w:i/>
        </w:rPr>
        <w:t>KRAS</w:t>
      </w:r>
      <w:r>
        <w:rPr>
          <w:rFonts w:asciiTheme="majorHAnsi" w:hAnsiTheme="majorHAnsi"/>
        </w:rPr>
        <w:t>, respectively</w:t>
      </w:r>
      <w:r w:rsidRPr="00005C18">
        <w:rPr>
          <w:rFonts w:asciiTheme="majorHAnsi" w:hAnsiTheme="majorHAnsi"/>
        </w:rPr>
        <w:t xml:space="preserve">. In fact it is the loss of the tumour suppressor gene </w:t>
      </w:r>
      <w:r w:rsidRPr="00A66403">
        <w:rPr>
          <w:rFonts w:asciiTheme="majorHAnsi" w:hAnsiTheme="majorHAnsi"/>
          <w:i/>
        </w:rPr>
        <w:t>APC</w:t>
      </w:r>
      <w:r w:rsidRPr="00005C18">
        <w:rPr>
          <w:rFonts w:asciiTheme="majorHAnsi" w:hAnsiTheme="majorHAnsi"/>
        </w:rPr>
        <w:t xml:space="preserve"> that is thought to initiate this pathway </w:t>
      </w:r>
      <w:r>
        <w:rPr>
          <w:rFonts w:asciiTheme="majorHAnsi" w:hAnsiTheme="majorHAnsi"/>
        </w:rPr>
        <w:t xml:space="preserve">in CRC </w:t>
      </w:r>
      <w:r>
        <w:rPr>
          <w:rFonts w:asciiTheme="majorHAnsi" w:hAnsiTheme="majorHAnsi"/>
        </w:rPr>
        <w:fldChar w:fldCharType="begin"/>
      </w:r>
      <w:r>
        <w:rPr>
          <w:rFonts w:asciiTheme="majorHAnsi" w:hAnsiTheme="majorHAnsi"/>
        </w:rPr>
        <w:instrText xml:space="preserve"> ADDIN EN.CITE &lt;EndNote&gt;&lt;Cite&gt;&lt;Author&gt;J.&lt;/Author&gt;&lt;Year&gt;2011&lt;/Year&gt;&lt;IDText&gt;Molecular basis of colorectal cancer: Towards an individualized management? Bases moleculares del cáncer colorrectal: ¿Hacia un manejo individualizado?&lt;/IDText&gt;&lt;DisplayText&gt;(Perea et al., 2011)&lt;/DisplayText&gt;&lt;record&gt;&lt;keywords&gt;&lt;keyword&gt;Cáncer Colorrectal&lt;/keyword&gt;&lt;keyword&gt;Inestabilidad De Microsatélites&lt;/keyword&gt;&lt;keyword&gt;Fenotipo Metilador&lt;/keyword&gt;&lt;keyword&gt;Inestabilidad Cromosómica&lt;/keyword&gt;&lt;keyword&gt;Fenotipo Mutador&lt;/keyword&gt;&lt;keyword&gt;Colorectal Cancer&lt;/keyword&gt;&lt;keyword&gt;Microsatellite Instability&lt;/keyword&gt;&lt;keyword&gt;Methylator Phenotype&lt;/keyword&gt;&lt;keyword&gt;Chromosome Instability&lt;/keyword&gt;&lt;keyword&gt;Mutator Phenotype&lt;/keyword&gt;&lt;/keywords&gt;&lt;isbn&gt;11300108&lt;/isbn&gt;&lt;titles&gt;&lt;title&gt;Molecular basis of colorectal cancer: Towards an individualized management? Bases moleculares del cáncer colorrectal: ¿Hacia un manejo individualizado?&lt;/title&gt;&lt;secondary-title&gt;Revista Espanola de Enfermedades Digestivas&lt;/secondary-title&gt;&lt;/titles&gt;&lt;pages&gt;29&lt;/pages&gt;&lt;number&gt;1&lt;/number&gt;&lt;contributors&gt;&lt;authors&gt;&lt;author&gt;J. Perea&lt;/author&gt;&lt;author&gt;M. Lomas&lt;/author&gt;&lt;author&gt;M. Hidalgo&lt;/author&gt;&lt;/authors&gt;&lt;/contributors&gt;&lt;added-date format="utc"&gt;1425997945&lt;/added-date&gt;&lt;ref-type name="Journal Article"&gt;17&lt;/ref-type&gt;&lt;dates&gt;&lt;year&gt;2011&lt;/year&gt;&lt;/dates&gt;&lt;rec-number&gt;83&lt;/rec-number&gt;&lt;last-updated-date format="utc"&gt;1447344448&lt;/last-updated-date&gt;&lt;volume&gt;103&lt;/volume&gt;&lt;/record&gt;&lt;/Cite&gt;&lt;/EndNote&gt;</w:instrText>
      </w:r>
      <w:r>
        <w:rPr>
          <w:rFonts w:asciiTheme="majorHAnsi" w:hAnsiTheme="majorHAnsi"/>
        </w:rPr>
        <w:fldChar w:fldCharType="separate"/>
      </w:r>
      <w:r>
        <w:rPr>
          <w:rFonts w:asciiTheme="majorHAnsi" w:hAnsiTheme="majorHAnsi"/>
          <w:noProof/>
        </w:rPr>
        <w:t>(Perea et al., 2011)</w:t>
      </w:r>
      <w:r>
        <w:rPr>
          <w:rFonts w:asciiTheme="majorHAnsi" w:hAnsiTheme="majorHAnsi"/>
        </w:rPr>
        <w:fldChar w:fldCharType="end"/>
      </w:r>
      <w:r>
        <w:rPr>
          <w:rFonts w:asciiTheme="majorHAnsi" w:hAnsiTheme="majorHAnsi"/>
        </w:rPr>
        <w:t xml:space="preserve">. APC functions as a negative-regulator of </w:t>
      </w:r>
      <w:r>
        <w:rPr>
          <w:rFonts w:ascii="Calibri" w:hAnsi="Calibri"/>
        </w:rPr>
        <w:t>β</w:t>
      </w:r>
      <w:r>
        <w:rPr>
          <w:rFonts w:asciiTheme="majorHAnsi" w:hAnsiTheme="majorHAnsi"/>
        </w:rPr>
        <w:t>-catenin in order to control cellular growth (Figure 1.4)</w:t>
      </w:r>
      <w:r w:rsidR="00770EBD">
        <w:rPr>
          <w:rFonts w:asciiTheme="majorHAnsi" w:hAnsiTheme="majorHAnsi"/>
        </w:rPr>
        <w:t>,</w:t>
      </w:r>
      <w:r>
        <w:rPr>
          <w:rFonts w:asciiTheme="majorHAnsi" w:hAnsiTheme="majorHAnsi"/>
        </w:rPr>
        <w:t xml:space="preserve"> and binds to microtubules in order to stabilize them r</w:t>
      </w:r>
      <w:r w:rsidR="00D56FD5">
        <w:rPr>
          <w:rFonts w:asciiTheme="majorHAnsi" w:hAnsiTheme="majorHAnsi"/>
        </w:rPr>
        <w:t>eady for chromosome segregation.</w:t>
      </w:r>
      <w:r>
        <w:rPr>
          <w:rFonts w:asciiTheme="majorHAnsi" w:hAnsiTheme="majorHAnsi"/>
        </w:rPr>
        <w:t xml:space="preserve"> CRC inactivating mutations of the </w:t>
      </w:r>
      <w:r w:rsidRPr="00A66403">
        <w:rPr>
          <w:rFonts w:asciiTheme="majorHAnsi" w:hAnsiTheme="majorHAnsi"/>
          <w:i/>
        </w:rPr>
        <w:t>APC</w:t>
      </w:r>
      <w:r>
        <w:rPr>
          <w:rFonts w:asciiTheme="majorHAnsi" w:hAnsiTheme="majorHAnsi"/>
        </w:rPr>
        <w:t xml:space="preserve"> gene result in aberrant cell proliferation as well as irregular chromosome stabilization and separation, leading to further chromosomal abnormalities </w:t>
      </w:r>
      <w:r>
        <w:rPr>
          <w:rFonts w:asciiTheme="majorHAnsi" w:hAnsiTheme="majorHAnsi"/>
        </w:rPr>
        <w:fldChar w:fldCharType="begin">
          <w:fldData xml:space="preserve">PEVuZE5vdGU+PENpdGU+PEF1dGhvcj5aaGFuZzwvQXV0aG9yPjxZZWFyPjIwMTc8L1llYXI+PElE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=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PEVuZE5vdGU+PENpdGU+PEF1dGhvcj5aaGFuZzwvQXV0aG9yPjxZZWFyPjIwMTc8L1llYXI+PElE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=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(Zhang and Shay, 2017, Kaplan et al., 2001)</w:t>
      </w:r>
      <w:r>
        <w:rPr>
          <w:rFonts w:asciiTheme="majorHAnsi" w:hAnsiTheme="majorHAnsi"/>
        </w:rPr>
        <w:fldChar w:fldCharType="end"/>
      </w:r>
      <w:r>
        <w:rPr>
          <w:rFonts w:asciiTheme="majorHAnsi" w:hAnsiTheme="majorHAnsi"/>
        </w:rPr>
        <w:t>. It would be predicted that mutations within other factors affecting chromosomal segregation</w:t>
      </w:r>
      <w:r w:rsidR="009823EF">
        <w:rPr>
          <w:rFonts w:asciiTheme="majorHAnsi" w:hAnsiTheme="majorHAnsi"/>
        </w:rPr>
        <w:t>,</w:t>
      </w:r>
      <w:r>
        <w:rPr>
          <w:rFonts w:asciiTheme="majorHAnsi" w:hAnsiTheme="majorHAnsi"/>
        </w:rPr>
        <w:t xml:space="preserve"> such as spindle checkpoints</w:t>
      </w:r>
      <w:r w:rsidR="009823EF">
        <w:rPr>
          <w:rFonts w:asciiTheme="majorHAnsi" w:hAnsiTheme="majorHAnsi"/>
        </w:rPr>
        <w:t>,</w:t>
      </w:r>
      <w:r>
        <w:rPr>
          <w:rFonts w:asciiTheme="majorHAnsi" w:hAnsiTheme="majorHAnsi"/>
        </w:rPr>
        <w:t xml:space="preserve"> would also be regulators of the CIN phenotype. </w:t>
      </w:r>
      <w:r w:rsidRPr="00005C18">
        <w:rPr>
          <w:rFonts w:asciiTheme="majorHAnsi" w:hAnsiTheme="majorHAnsi"/>
        </w:rPr>
        <w:t xml:space="preserve">In fact this was suggested almost 100 years ago by </w:t>
      </w:r>
      <w:proofErr w:type="spellStart"/>
      <w:r w:rsidRPr="00005C18">
        <w:rPr>
          <w:rFonts w:asciiTheme="majorHAnsi" w:hAnsiTheme="majorHAnsi"/>
        </w:rPr>
        <w:t>Boveri</w:t>
      </w:r>
      <w:proofErr w:type="spellEnd"/>
      <w:r w:rsidRPr="00005C18">
        <w:rPr>
          <w:rFonts w:asciiTheme="majorHAnsi" w:hAnsiTheme="majorHAnsi"/>
        </w:rPr>
        <w:t xml:space="preserve">, who </w:t>
      </w:r>
      <w:r>
        <w:rPr>
          <w:rFonts w:asciiTheme="majorHAnsi" w:hAnsiTheme="majorHAnsi"/>
        </w:rPr>
        <w:t>suggested</w:t>
      </w:r>
      <w:r w:rsidRPr="00005C18">
        <w:rPr>
          <w:rFonts w:asciiTheme="majorHAnsi" w:hAnsiTheme="majorHAnsi"/>
        </w:rPr>
        <w:t xml:space="preserve"> that tumourigenesis might originate from a genetically unstable cell with defects to the mitotic spindle formation and therefore segregation</w:t>
      </w:r>
      <w:r>
        <w:rPr>
          <w:rFonts w:asciiTheme="majorHAnsi" w:hAnsiTheme="majorHAnsi"/>
        </w:rPr>
        <w:t xml:space="preserve"> </w:t>
      </w:r>
      <w:r w:rsidR="00770EBD">
        <w:rPr>
          <w:rFonts w:asciiTheme="majorHAnsi" w:hAnsiTheme="majorHAnsi"/>
        </w:rPr>
        <w:t xml:space="preserve">(reviewed in </w:t>
      </w:r>
      <w:r w:rsidRPr="00005C18">
        <w:rPr>
          <w:rFonts w:asciiTheme="majorHAnsi" w:hAnsiTheme="majorHAnsi"/>
        </w:rPr>
        <w:fldChar w:fldCharType="begin"/>
      </w:r>
      <w:r w:rsidR="0028321A">
        <w:rPr>
          <w:rFonts w:asciiTheme="majorHAnsi" w:hAnsiTheme="majorHAnsi"/>
        </w:rPr>
        <w:instrText xml:space="preserve"> ADDIN EN.CITE &lt;EndNote&gt;&lt;Cite&gt;&lt;Author&gt;Pino&lt;/Author&gt;&lt;Year&gt;2010&lt;/Year&gt;&lt;IDText&gt;The chromosomal instability pathway in colon cancer&lt;/IDText&gt;&lt;DisplayText&gt;(Pino and Chung, 2010)&lt;/DisplayText&gt;&lt;record&gt;&lt;dates&gt;&lt;pub-dates&gt;&lt;date&gt;Jun&lt;/date&gt;&lt;/pub-dates&gt;&lt;year&gt;2010&lt;/year&gt;&lt;/dates&gt;&lt;keywords&gt;&lt;keyword&gt;Aneuploidy&lt;/keyword&gt;&lt;keyword&gt;Animals&lt;/keyword&gt;&lt;keyword&gt;Cell Transformation, Neoplastic&lt;/keyword&gt;&lt;keyword&gt;Chromosomal Instability&lt;/keyword&gt;&lt;keyword&gt;Colonic Neoplasms&lt;/keyword&gt;&lt;keyword&gt;Gene Expression Regulation, Neoplastic&lt;/keyword&gt;&lt;keyword&gt;Genotype&lt;/keyword&gt;&lt;keyword&gt;Humans&lt;/keyword&gt;&lt;keyword&gt;Loss of Heterozygosity&lt;/keyword&gt;&lt;keyword&gt;Mutation&lt;/keyword&gt;&lt;keyword&gt;Neoplastic Stem Cells&lt;/keyword&gt;&lt;keyword&gt;Phenotype&lt;/keyword&gt;&lt;keyword&gt;Precancerous Conditions&lt;/keyword&gt;&lt;keyword&gt;Signal Transduction&lt;/keyword&gt;&lt;/keywords&gt;&lt;urls&gt;&lt;related-urls&gt;&lt;url&gt;http://www.ncbi.nlm.nih.gov/pubmed/20420946&lt;/url&gt;&lt;/related-urls&gt;&lt;/urls&gt;&lt;isbn&gt;1528-0012&lt;/isbn&gt;&lt;custom2&gt;PMC4243705&lt;/custom2&gt;&lt;titles&gt;&lt;title&gt;The chromosomal instability pathway in colon cancer&lt;/title&gt;&lt;secondary-title&gt;Gastroenterology&lt;/secondary-title&gt;&lt;/titles&gt;&lt;pages&gt;2059-72&lt;/pages&gt;&lt;number&gt;6&lt;/number&gt;&lt;contributors&gt;&lt;authors&gt;&lt;author&gt;Pino, M. S.&lt;/author&gt;&lt;author&gt;Chung, D. C.&lt;/author&gt;&lt;/authors&gt;&lt;/contributors&gt;&lt;language&gt;eng&lt;/language&gt;&lt;added-date format="utc"&gt;1460370576&lt;/added-date&gt;&lt;ref-type name="Journal Article"&gt;17&lt;/ref-type&gt;&lt;rec-number&gt;153&lt;/rec-number&gt;&lt;last-updated-date format="utc"&gt;1460370576&lt;/last-updated-date&gt;&lt;accession-num&gt;20420946&lt;/accession-num&gt;&lt;electronic-resource-num&gt;10.1053/j.gastro.2009.12.065&lt;/electronic-resource-num&gt;&lt;volume&gt;138&lt;/volume&gt;&lt;/record&gt;&lt;/Cite&gt;&lt;/EndNote&gt;</w:instrText>
      </w:r>
      <w:r w:rsidRPr="00005C18">
        <w:rPr>
          <w:rFonts w:asciiTheme="majorHAnsi" w:hAnsiTheme="majorHAnsi"/>
        </w:rPr>
        <w:fldChar w:fldCharType="separate"/>
      </w:r>
      <w:r w:rsidR="0028321A">
        <w:rPr>
          <w:rFonts w:asciiTheme="majorHAnsi" w:hAnsiTheme="majorHAnsi"/>
          <w:noProof/>
        </w:rPr>
        <w:t>(Pino and Chung, 2010)</w:t>
      </w:r>
      <w:r w:rsidRPr="00005C18">
        <w:rPr>
          <w:rFonts w:asciiTheme="majorHAnsi" w:hAnsiTheme="majorHAnsi"/>
        </w:rPr>
        <w:fldChar w:fldCharType="end"/>
      </w:r>
      <w:r>
        <w:rPr>
          <w:rFonts w:asciiTheme="majorHAnsi" w:hAnsiTheme="majorHAnsi"/>
        </w:rPr>
        <w:t>. However, BUBR1 (</w:t>
      </w:r>
      <w:r w:rsidRPr="000546C8">
        <w:rPr>
          <w:rFonts w:asciiTheme="majorHAnsi" w:hAnsiTheme="majorHAnsi"/>
          <w:lang w:val="en-GB"/>
        </w:rPr>
        <w:t>budding uninhibited by benzimidazole-related 1</w:t>
      </w:r>
      <w:r>
        <w:rPr>
          <w:rFonts w:asciiTheme="majorHAnsi" w:hAnsiTheme="majorHAnsi"/>
          <w:lang w:val="en-GB"/>
        </w:rPr>
        <w:t>)</w:t>
      </w:r>
      <w:r>
        <w:rPr>
          <w:rFonts w:asciiTheme="majorHAnsi" w:hAnsiTheme="majorHAnsi"/>
        </w:rPr>
        <w:t xml:space="preserve">, a kinase involved in the spindle assembly checkpoint is rarely mutated </w:t>
      </w:r>
      <w:r w:rsidR="009823EF">
        <w:rPr>
          <w:rFonts w:asciiTheme="majorHAnsi" w:hAnsiTheme="majorHAnsi"/>
        </w:rPr>
        <w:t>in</w:t>
      </w:r>
      <w:r>
        <w:rPr>
          <w:rFonts w:asciiTheme="majorHAnsi" w:hAnsiTheme="majorHAnsi"/>
        </w:rPr>
        <w:t xml:space="preserve"> CRC and therefore </w:t>
      </w:r>
      <w:r w:rsidR="009823EF">
        <w:rPr>
          <w:rFonts w:asciiTheme="majorHAnsi" w:hAnsiTheme="majorHAnsi"/>
        </w:rPr>
        <w:t>is not</w:t>
      </w:r>
      <w:r>
        <w:rPr>
          <w:rFonts w:asciiTheme="majorHAnsi" w:hAnsiTheme="majorHAnsi"/>
        </w:rPr>
        <w:t xml:space="preserve"> thought to be an initiator of the CIN pathway of tumourigenesis in CRC </w:t>
      </w:r>
      <w:r>
        <w:rPr>
          <w:rFonts w:asciiTheme="majorHAnsi" w:hAnsiTheme="majorHAnsi"/>
        </w:rPr>
        <w:fldChar w:fldCharType="begin"/>
      </w:r>
      <w:r>
        <w:rPr>
          <w:rFonts w:asciiTheme="majorHAnsi" w:hAnsiTheme="majorHAnsi"/>
        </w:rPr>
        <w:instrText xml:space="preserve"> ADDIN EN.CITE &lt;EndNote&gt;&lt;Cite&gt;&lt;Author&gt;Cahill&lt;/Author&gt;&lt;Year&gt;1998&lt;/Year&gt;&lt;IDText&gt;Mutations of mitotic checkpoint genes in human cancers&lt;/IDText&gt;&lt;DisplayText&gt;(Cahill et al., 1998)&lt;/DisplayText&gt;&lt;record&gt;&lt;dates&gt;&lt;pub-dates&gt;&lt;date&gt;Mar&lt;/date&gt;&lt;/pub-dates&gt;&lt;year&gt;1998&lt;/year&gt;&lt;/dates&gt;&lt;keywords&gt;&lt;keyword&gt;Amino Acid Sequence&lt;/keyword&gt;&lt;keyword&gt;Aneuploidy&lt;/keyword&gt;&lt;keyword&gt;Antineoplastic Agents&lt;/keyword&gt;&lt;keyword&gt;Cell Cycle&lt;/keyword&gt;&lt;keyword&gt;Cloning, Molecular&lt;/keyword&gt;&lt;keyword&gt;Colorectal Neoplasms&lt;/keyword&gt;&lt;keyword&gt;Demecolcine&lt;/keyword&gt;&lt;keyword&gt;Humans&lt;/keyword&gt;&lt;keyword&gt;Mitosis&lt;/keyword&gt;&lt;keyword&gt;Mitotic Index&lt;/keyword&gt;&lt;keyword&gt;Molecular Sequence Data&lt;/keyword&gt;&lt;keyword&gt;Mutation&lt;/keyword&gt;&lt;keyword&gt;Neoplasms&lt;/keyword&gt;&lt;keyword&gt;Nocodazole&lt;/keyword&gt;&lt;keyword&gt;Protein Kinases&lt;/keyword&gt;&lt;keyword&gt;Protein-Serine-Threonine Kinases&lt;/keyword&gt;&lt;keyword&gt;Transfection&lt;/keyword&gt;&lt;keyword&gt;Tumor Cells, Cultured&lt;/keyword&gt;&lt;/keywords&gt;&lt;urls&gt;&lt;related-urls&gt;&lt;url&gt;https://www.ncbi.nlm.nih.gov/pubmed/9521327&lt;/url&gt;&lt;/related-urls&gt;&lt;/urls&gt;&lt;isbn&gt;0028-0836&lt;/isbn&gt;&lt;titles&gt;&lt;title&gt;Mutations of mitotic checkpoint genes in human cancers&lt;/title&gt;&lt;secondary-title&gt;Nature&lt;/secondary-title&gt;&lt;/titles&gt;&lt;pages&gt;300-3&lt;/pages&gt;&lt;number&gt;6673&lt;/number&gt;&lt;contributors&gt;&lt;authors&gt;&lt;author&gt;Cahill, D. P.&lt;/author&gt;&lt;author&gt;Lengauer, C.&lt;/author&gt;&lt;author&gt;Yu, J.&lt;/author&gt;&lt;author&gt;Riggins, G. J.&lt;/author&gt;&lt;author&gt;Willson, J. K.&lt;/author&gt;&lt;author&gt;Markowitz, S. D.&lt;/author&gt;&lt;author&gt;Kinzler, K. W.&lt;/author&gt;&lt;author&gt;Vogelstein, B.&lt;/author&gt;&lt;/authors&gt;&lt;/contributors&gt;&lt;language&gt;eng&lt;/language&gt;&lt;added-date format="utc"&gt;1509100239&lt;/added-date&gt;&lt;ref-type name="Journal Article"&gt;17&lt;/ref-type&gt;&lt;rec-number&gt;303&lt;/rec-number&gt;&lt;last-updated-date format="utc"&gt;1509100239&lt;/last-updated-date&gt;&lt;accession-num&gt;9521327&lt;/accession-num&gt;&lt;electronic-resource-num&gt;10.1038/32688&lt;/electronic-resource-num&gt;&lt;volume&gt;392&lt;/volume&gt;&lt;/record&gt;&lt;/Cite&gt;&lt;/EndNote&gt;</w:instrText>
      </w:r>
      <w:r>
        <w:rPr>
          <w:rFonts w:asciiTheme="majorHAnsi" w:hAnsiTheme="majorHAnsi"/>
        </w:rPr>
        <w:fldChar w:fldCharType="separate"/>
      </w:r>
      <w:r>
        <w:rPr>
          <w:rFonts w:asciiTheme="majorHAnsi" w:hAnsiTheme="majorHAnsi"/>
          <w:noProof/>
        </w:rPr>
        <w:t>(Cahill et al., 1998)</w:t>
      </w:r>
      <w:r>
        <w:rPr>
          <w:rFonts w:asciiTheme="majorHAnsi" w:hAnsiTheme="majorHAnsi"/>
        </w:rPr>
        <w:fldChar w:fldCharType="end"/>
      </w:r>
      <w:r>
        <w:rPr>
          <w:rFonts w:asciiTheme="majorHAnsi" w:hAnsiTheme="majorHAnsi"/>
        </w:rPr>
        <w:t>. T</w:t>
      </w:r>
      <w:r w:rsidRPr="00005C18">
        <w:rPr>
          <w:rFonts w:asciiTheme="majorHAnsi" w:hAnsiTheme="majorHAnsi"/>
        </w:rPr>
        <w:t xml:space="preserve">here </w:t>
      </w:r>
      <w:r>
        <w:rPr>
          <w:rFonts w:asciiTheme="majorHAnsi" w:hAnsiTheme="majorHAnsi"/>
        </w:rPr>
        <w:t xml:space="preserve">has however, been studies </w:t>
      </w:r>
      <w:r w:rsidRPr="00005C18">
        <w:rPr>
          <w:rFonts w:asciiTheme="majorHAnsi" w:hAnsiTheme="majorHAnsi"/>
        </w:rPr>
        <w:t xml:space="preserve">identifying </w:t>
      </w:r>
      <w:r>
        <w:rPr>
          <w:rFonts w:asciiTheme="majorHAnsi" w:hAnsiTheme="majorHAnsi"/>
        </w:rPr>
        <w:t>the oncogene Aurora Kinase-A (</w:t>
      </w:r>
      <w:r w:rsidRPr="00A66403">
        <w:rPr>
          <w:rFonts w:asciiTheme="majorHAnsi" w:hAnsiTheme="majorHAnsi"/>
          <w:i/>
        </w:rPr>
        <w:t>AURKA</w:t>
      </w:r>
      <w:r>
        <w:rPr>
          <w:rFonts w:asciiTheme="majorHAnsi" w:hAnsiTheme="majorHAnsi"/>
        </w:rPr>
        <w:t>)</w:t>
      </w:r>
      <w:r w:rsidRPr="00005C18">
        <w:rPr>
          <w:rFonts w:asciiTheme="majorHAnsi" w:hAnsiTheme="majorHAnsi"/>
        </w:rPr>
        <w:t xml:space="preserve"> </w:t>
      </w:r>
      <w:r>
        <w:rPr>
          <w:rFonts w:asciiTheme="majorHAnsi" w:hAnsiTheme="majorHAnsi"/>
        </w:rPr>
        <w:t>as a possible CIN promoter in CRC.</w:t>
      </w:r>
      <w:r w:rsidRPr="00005C18">
        <w:rPr>
          <w:rFonts w:asciiTheme="majorHAnsi" w:hAnsiTheme="majorHAnsi"/>
        </w:rPr>
        <w:t xml:space="preserve"> </w:t>
      </w:r>
      <w:r>
        <w:rPr>
          <w:rFonts w:asciiTheme="majorHAnsi" w:hAnsiTheme="majorHAnsi"/>
        </w:rPr>
        <w:t xml:space="preserve">AURKA plays a pivotal role throughout mitosis, with association to spindle assembly and checkpoint regulation, chromosome alignment and centrosome maturation and separation. </w:t>
      </w:r>
      <w:r w:rsidRPr="00A66403">
        <w:rPr>
          <w:rFonts w:asciiTheme="majorHAnsi" w:hAnsiTheme="majorHAnsi"/>
          <w:i/>
        </w:rPr>
        <w:t>AURKA</w:t>
      </w:r>
      <w:r>
        <w:rPr>
          <w:rFonts w:asciiTheme="majorHAnsi" w:hAnsiTheme="majorHAnsi"/>
        </w:rPr>
        <w:t xml:space="preserve"> was found to be amplified within CRC cell lines and patient samples which displayed a CIN phenotype </w:t>
      </w:r>
      <w:r>
        <w:rPr>
          <w:rFonts w:asciiTheme="majorHAnsi" w:hAnsiTheme="majorHAnsi"/>
        </w:rPr>
        <w:fldChar w:fldCharType="begin"/>
      </w:r>
      <w:r>
        <w:rPr>
          <w:rFonts w:asciiTheme="majorHAnsi" w:hAnsiTheme="majorHAnsi"/>
        </w:rPr>
        <w:instrText xml:space="preserve"> ADDIN EN.CITE &lt;EndNote&gt;&lt;Cite&gt;&lt;Author&gt;Nishida&lt;/Author&gt;&lt;Year&gt;2007&lt;/Year&gt;&lt;IDText&gt;High copy amplification of the Aurora-A gene is associated with chromosomal instability phenotype in human colorectal cancers&lt;/IDText&gt;&lt;DisplayText&gt;(Nishida et al., 2007)&lt;/DisplayText&gt;&lt;record&gt;&lt;isbn&gt;1538-4047&lt;/isbn&gt;&lt;titles&gt;&lt;title&gt;High copy amplification of the Aurora-A gene is associated with chromosomal instability phenotype in human colorectal cancers&lt;/title&gt;&lt;secondary-title&gt;Cancer Biol. Ther.&lt;/secondary-title&gt;&lt;/titles&gt;&lt;pages&gt;525-533&lt;/pages&gt;&lt;number&gt;4&lt;/number&gt;&lt;contributors&gt;&lt;authors&gt;&lt;author&gt;Nishida, N.&lt;/author&gt;&lt;author&gt;Nagasaka, T.&lt;/author&gt;&lt;author&gt;Kashiwagi, K.&lt;/author&gt;&lt;author&gt;Boland, C. R.&lt;/author&gt;&lt;author&gt;Goel, A.&lt;/author&gt;&lt;/authors&gt;&lt;/contributors&gt;&lt;added-date format="utc"&gt;1425997577&lt;/added-date&gt;&lt;ref-type name="Journal Article"&gt;17&lt;/ref-type&gt;&lt;dates&gt;&lt;year&gt;2007&lt;/year&gt;&lt;/dates&gt;&lt;rec-number&gt;77&lt;/rec-number&gt;&lt;last-updated-date format="utc"&gt;1447344448&lt;/last-updated-date&gt;&lt;volume&gt;6&lt;/volume&gt;&lt;/record&gt;&lt;/Cite&gt;&lt;/EndNote&gt;</w:instrText>
      </w:r>
      <w:r>
        <w:rPr>
          <w:rFonts w:asciiTheme="majorHAnsi" w:hAnsiTheme="majorHAnsi"/>
        </w:rPr>
        <w:fldChar w:fldCharType="separate"/>
      </w:r>
      <w:r>
        <w:rPr>
          <w:rFonts w:asciiTheme="majorHAnsi" w:hAnsiTheme="majorHAnsi"/>
          <w:noProof/>
        </w:rPr>
        <w:t>(Nishida et al., 2007)</w:t>
      </w:r>
      <w:r>
        <w:rPr>
          <w:rFonts w:asciiTheme="majorHAnsi" w:hAnsiTheme="majorHAnsi"/>
        </w:rPr>
        <w:fldChar w:fldCharType="end"/>
      </w:r>
      <w:r>
        <w:rPr>
          <w:rFonts w:asciiTheme="majorHAnsi" w:hAnsiTheme="majorHAnsi"/>
        </w:rPr>
        <w:t xml:space="preserve">. Analysis of 517 CRC tumours by Baba et al. </w:t>
      </w:r>
      <w:r>
        <w:rPr>
          <w:rFonts w:asciiTheme="majorHAnsi" w:hAnsiTheme="majorHAnsi"/>
        </w:rPr>
        <w:fldChar w:fldCharType="begin"/>
      </w:r>
      <w:r>
        <w:rPr>
          <w:rFonts w:asciiTheme="majorHAnsi" w:hAnsiTheme="majorHAnsi"/>
        </w:rPr>
        <w:instrText xml:space="preserve"> ADDIN EN.CITE &lt;EndNote&gt;&lt;Cite ExcludeAuth="1"&gt;&lt;Author&gt;Baba&lt;/Author&gt;&lt;Year&gt;2009&lt;/Year&gt;&lt;IDText&gt;Aurora-A expression is independently associated with chromosomal instability in colorectal cancer&lt;/IDText&gt;&lt;DisplayText&gt;(2009)&lt;/DisplayText&gt;&lt;record&gt;&lt;dates&gt;&lt;pub-dates&gt;&lt;date&gt;May&lt;/date&gt;&lt;/pub-dates&gt;&lt;year&gt;2009&lt;/year&gt;&lt;/dates&gt;&lt;keywords&gt;&lt;keyword&gt;Aged&lt;/keyword&gt;&lt;keyword&gt;Aurora Kinase A&lt;/keyword&gt;&lt;keyword&gt;Aurora Kinases&lt;/keyword&gt;&lt;keyword&gt;Biomarkers, Tumor&lt;/keyword&gt;&lt;keyword&gt;Chromosomal Instability&lt;/keyword&gt;&lt;keyword&gt;Colorectal Neoplasms&lt;/keyword&gt;&lt;keyword&gt;CpG Islands&lt;/keyword&gt;&lt;keyword&gt;DNA Methylation&lt;/keyword&gt;&lt;keyword&gt;Female&lt;/keyword&gt;&lt;keyword&gt;Humans&lt;/keyword&gt;&lt;keyword&gt;Immunohistochemistry&lt;/keyword&gt;&lt;keyword&gt;Kaplan-Meier Estimate&lt;/keyword&gt;&lt;keyword&gt;Loss of Heterozygosity&lt;/keyword&gt;&lt;keyword&gt;Male&lt;/keyword&gt;&lt;keyword&gt;Microsatellite Instability&lt;/keyword&gt;&lt;keyword&gt;Middle Aged&lt;/keyword&gt;&lt;keyword&gt;Neoplasm Staging&lt;/keyword&gt;&lt;keyword&gt;Prognosis&lt;/keyword&gt;&lt;keyword&gt;Protein-Serine-Threonine Kinases&lt;/keyword&gt;&lt;keyword&gt;Reverse Transcriptase Polymerase Chain Reaction&lt;/keyword&gt;&lt;/keywords&gt;&lt;urls&gt;&lt;related-urls&gt;&lt;url&gt;https://www.ncbi.nlm.nih.gov/pubmed/19412426&lt;/url&gt;&lt;/related-urls&gt;&lt;/urls&gt;&lt;isbn&gt;1476-5586&lt;/isbn&gt;&lt;custom2&gt;PMC2671854&lt;/custom2&gt;&lt;titles&gt;&lt;title&gt;Aurora-A expression is independently associated with chromosomal instability in colorectal cancer&lt;/title&gt;&lt;secondary-title&gt;Neoplasia&lt;/secondary-title&gt;&lt;/titles&gt;&lt;pages&gt;418-25&lt;/pages&gt;&lt;number&gt;5&lt;/number&gt;&lt;contributors&gt;&lt;authors&gt;&lt;author&gt;Baba, Y.&lt;/author&gt;&lt;author&gt;Nosho, K.&lt;/author&gt;&lt;author&gt;Shima, K.&lt;/author&gt;&lt;author&gt;Irahara, N.&lt;/author&gt;&lt;author&gt;Kure, S.&lt;/author&gt;&lt;author&gt;Toyoda, S.&lt;/author&gt;&lt;author&gt;Kirkner, G. J.&lt;/author&gt;&lt;author&gt;Goel, A.&lt;/author&gt;&lt;author&gt;Fuchs, C. S.&lt;/author&gt;&lt;author&gt;Ogino, S.&lt;/author&gt;&lt;/authors&gt;&lt;/contributors&gt;&lt;language&gt;eng&lt;/language&gt;&lt;added-date format="utc"&gt;1509102028&lt;/added-date&gt;&lt;ref-type name="Journal Article"&gt;17&lt;/ref-type&gt;&lt;rec-number&gt;306&lt;/rec-number&gt;&lt;last-updated-date format="utc"&gt;1509102028&lt;/last-updated-date&gt;&lt;accession-num&gt;19412426&lt;/accession-num&gt;&lt;volume&gt;11&lt;/volume&gt;&lt;/record&gt;&lt;/Cite&gt;&lt;/EndNote&gt;</w:instrText>
      </w:r>
      <w:r>
        <w:rPr>
          <w:rFonts w:asciiTheme="majorHAnsi" w:hAnsiTheme="majorHAnsi"/>
        </w:rPr>
        <w:fldChar w:fldCharType="separate"/>
      </w:r>
      <w:r>
        <w:rPr>
          <w:rFonts w:asciiTheme="majorHAnsi" w:hAnsiTheme="majorHAnsi"/>
          <w:noProof/>
        </w:rPr>
        <w:t>(2009)</w:t>
      </w:r>
      <w:r>
        <w:rPr>
          <w:rFonts w:asciiTheme="majorHAnsi" w:hAnsiTheme="majorHAnsi"/>
        </w:rPr>
        <w:fldChar w:fldCharType="end"/>
      </w:r>
      <w:r>
        <w:rPr>
          <w:rFonts w:asciiTheme="majorHAnsi" w:hAnsiTheme="majorHAnsi"/>
        </w:rPr>
        <w:t xml:space="preserve"> also supported the hypothesis that AURKA had an association with colorectal tumours displaying a CIN phenotype, however they also </w:t>
      </w:r>
      <w:r w:rsidR="00327AA2">
        <w:rPr>
          <w:rFonts w:asciiTheme="majorHAnsi" w:hAnsiTheme="majorHAnsi"/>
        </w:rPr>
        <w:t>went on to show that AURKA over-</w:t>
      </w:r>
      <w:r>
        <w:rPr>
          <w:rFonts w:asciiTheme="majorHAnsi" w:hAnsiTheme="majorHAnsi"/>
        </w:rPr>
        <w:t xml:space="preserve">expression </w:t>
      </w:r>
      <w:r w:rsidR="009823EF">
        <w:rPr>
          <w:rFonts w:asciiTheme="majorHAnsi" w:hAnsiTheme="majorHAnsi"/>
        </w:rPr>
        <w:t>did not</w:t>
      </w:r>
      <w:r>
        <w:rPr>
          <w:rFonts w:asciiTheme="majorHAnsi" w:hAnsiTheme="majorHAnsi"/>
        </w:rPr>
        <w:t xml:space="preserve"> correlate to grade of the tumour or prognosis. However, AURKA could be a promising therapeutic target in the future, as an inhibitor to AURKA (</w:t>
      </w:r>
      <w:proofErr w:type="spellStart"/>
      <w:r>
        <w:rPr>
          <w:rFonts w:asciiTheme="majorHAnsi" w:hAnsiTheme="majorHAnsi"/>
        </w:rPr>
        <w:t>Alisertib</w:t>
      </w:r>
      <w:proofErr w:type="spellEnd"/>
      <w:r>
        <w:rPr>
          <w:rFonts w:asciiTheme="majorHAnsi" w:hAnsiTheme="majorHAnsi"/>
        </w:rPr>
        <w:t xml:space="preserve">) is currently in clinical trials for advanced sarcoma, leukemia and breast cancer among others </w:t>
      </w:r>
      <w:r>
        <w:rPr>
          <w:rFonts w:asciiTheme="majorHAnsi" w:hAnsiTheme="majorHAnsi"/>
        </w:rPr>
        <w:fldChar w:fldCharType="begin">
          <w:fldData xml:space="preserve">PEVuZE5vdGU+PENpdGU+PEF1dGhvcj5EaWNrc29uPC9BdXRob3I+PFllYXI+MjAxNjwvWWVhcj48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PEVuZE5vdGU+PENpdGU+PEF1dGhvcj5EaWNrc29uPC9BdXRob3I+PFllYXI+MjAxNjwvWWVhcj48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(Dickson et al., 2016, Fathi et al., 2017, Kozyreva et al., 2016)</w:t>
      </w:r>
      <w:r>
        <w:rPr>
          <w:rFonts w:asciiTheme="majorHAnsi" w:hAnsiTheme="majorHAnsi"/>
        </w:rPr>
        <w:fldChar w:fldCharType="end"/>
      </w:r>
      <w:r>
        <w:rPr>
          <w:rFonts w:asciiTheme="majorHAnsi" w:hAnsiTheme="majorHAnsi"/>
        </w:rPr>
        <w:t>.</w:t>
      </w:r>
    </w:p>
    <w:p w14:paraId="4638950D" w14:textId="77777777" w:rsidR="00B15A35" w:rsidRDefault="00B15A35" w:rsidP="00B15A35">
      <w:pPr>
        <w:pStyle w:val="NoSpacing"/>
        <w:spacing w:line="360" w:lineRule="auto"/>
        <w:jc w:val="both"/>
        <w:rPr>
          <w:rFonts w:asciiTheme="majorHAnsi" w:hAnsiTheme="majorHAnsi"/>
        </w:rPr>
      </w:pPr>
    </w:p>
    <w:p w14:paraId="03BAEB78" w14:textId="35F1F5F5" w:rsidR="00B15A35" w:rsidRPr="00005C18" w:rsidRDefault="00B15A35" w:rsidP="00B15A35">
      <w:pPr>
        <w:pStyle w:val="NoSpacing"/>
        <w:spacing w:line="360" w:lineRule="auto"/>
        <w:jc w:val="both"/>
        <w:rPr>
          <w:rFonts w:asciiTheme="majorHAnsi" w:hAnsiTheme="majorHAnsi"/>
        </w:rPr>
      </w:pPr>
      <w:proofErr w:type="spellStart"/>
      <w:r w:rsidRPr="00005C18">
        <w:rPr>
          <w:rFonts w:asciiTheme="majorHAnsi" w:hAnsiTheme="majorHAnsi"/>
        </w:rPr>
        <w:t>Hermsen</w:t>
      </w:r>
      <w:proofErr w:type="spellEnd"/>
      <w:r w:rsidRPr="00005C18">
        <w:rPr>
          <w:rFonts w:asciiTheme="majorHAnsi" w:hAnsiTheme="majorHAnsi"/>
        </w:rPr>
        <w:t xml:space="preserve"> et al. </w:t>
      </w:r>
      <w:r>
        <w:rPr>
          <w:rFonts w:asciiTheme="majorHAnsi" w:hAnsiTheme="majorHAnsi"/>
        </w:rPr>
        <w:fldChar w:fldCharType="begin"/>
      </w:r>
      <w:r>
        <w:rPr>
          <w:rFonts w:asciiTheme="majorHAnsi" w:hAnsiTheme="majorHAnsi"/>
        </w:rPr>
        <w:instrText xml:space="preserve"> ADDIN EN.CITE &lt;EndNote&gt;&lt;Cite ExcludeAuth="1"&gt;&lt;Author&gt;Hermsen&lt;/Author&gt;&lt;Year&gt;2002&lt;/Year&gt;&lt;IDText&gt;Colorectal adenoma to carcinoma progression follows multiple pathways of chromosomal instability&lt;/IDText&gt;&lt;DisplayText&gt;(2002)&lt;/DisplayText&gt;&lt;record&gt;&lt;dates&gt;&lt;pub-dates&gt;&lt;date&gt;Oct&lt;/date&gt;&lt;/pub-dates&gt;&lt;year&gt;2002&lt;/year&gt;&lt;/dates&gt;&lt;keywords&gt;&lt;keyword&gt;Adenoma&lt;/keyword&gt;&lt;keyword&gt;Adult&lt;/keyword&gt;&lt;keyword&gt;Aged&lt;/keyword&gt;&lt;keyword&gt;Aged, 80 and over&lt;/keyword&gt;&lt;keyword&gt;Carcinoma&lt;/keyword&gt;&lt;keyword&gt;Chromosome Aberrations&lt;/keyword&gt;&lt;keyword&gt;Cluster Analysis&lt;/keyword&gt;&lt;keyword&gt;Colorectal Neoplasms&lt;/keyword&gt;&lt;keyword&gt;Disease Progression&lt;/keyword&gt;&lt;keyword&gt;Female&lt;/keyword&gt;&lt;keyword&gt;Genes, APC&lt;/keyword&gt;&lt;keyword&gt;Genes, ras&lt;/keyword&gt;&lt;keyword&gt;Humans&lt;/keyword&gt;&lt;keyword&gt;Linear Models&lt;/keyword&gt;&lt;keyword&gt;Male&lt;/keyword&gt;&lt;keyword&gt;Middle Aged&lt;/keyword&gt;&lt;keyword&gt;Models, Genetic&lt;/keyword&gt;&lt;keyword&gt;Nucleic Acid Hybridization&lt;/keyword&gt;&lt;/keywords&gt;&lt;urls&gt;&lt;related-urls&gt;&lt;url&gt;https://www.ncbi.nlm.nih.gov/pubmed/12360473&lt;/url&gt;&lt;/related-urls&gt;&lt;/urls&gt;&lt;isbn&gt;0016-5085&lt;/isbn&gt;&lt;titles&gt;&lt;title&gt;Colorectal adenoma to carcinoma progression follows multiple pathways of chromosomal instability&lt;/title&gt;&lt;secondary-title&gt;Gastroenterology&lt;/secondary-title&gt;&lt;/titles&gt;&lt;pages&gt;1109-19&lt;/pages&gt;&lt;number&gt;4&lt;/number&gt;&lt;contributors&gt;&lt;authors&gt;&lt;author&gt;Hermsen, M.&lt;/author&gt;&lt;author&gt;Postma, C.&lt;/author&gt;&lt;author&gt;Baak, J.&lt;/author&gt;&lt;author&gt;Weiss, M.&lt;/author&gt;&lt;author&gt;Rapallo, A.&lt;/author&gt;&lt;author&gt;Sciutto, A.&lt;/author&gt;&lt;author&gt;Roemen, G.&lt;/author&gt;&lt;author&gt;Arends, J. W.&lt;/author&gt;&lt;author&gt;Williams, R.&lt;/author&gt;&lt;author&gt;Giaretti, W.&lt;/author&gt;&lt;author&gt;De Goeij, A.&lt;/author&gt;&lt;author&gt;Meijer, G.&lt;/author&gt;&lt;/authors&gt;&lt;/contributors&gt;&lt;language&gt;eng&lt;/language&gt;&lt;added-date format="utc"&gt;1469460869&lt;/added-date&gt;&lt;ref-type name="Journal Article"&gt;17&lt;/ref-type&gt;&lt;rec-number&gt;171&lt;/rec-number&gt;&lt;last-updated-date format="utc"&gt;1469460869&lt;/last-updated-date&gt;&lt;accession-num&gt;12360473&lt;/accession-num&gt;&lt;volume&gt;123&lt;/volume&gt;&lt;/record&gt;&lt;/Cite&gt;&lt;/EndNote&gt;</w:instrText>
      </w:r>
      <w:r>
        <w:rPr>
          <w:rFonts w:asciiTheme="majorHAnsi" w:hAnsiTheme="majorHAnsi"/>
        </w:rPr>
        <w:fldChar w:fldCharType="separate"/>
      </w:r>
      <w:r>
        <w:rPr>
          <w:rFonts w:asciiTheme="majorHAnsi" w:hAnsiTheme="majorHAnsi"/>
          <w:noProof/>
        </w:rPr>
        <w:t>(2002)</w:t>
      </w:r>
      <w:r>
        <w:rPr>
          <w:rFonts w:asciiTheme="majorHAnsi" w:hAnsiTheme="majorHAnsi"/>
        </w:rPr>
        <w:fldChar w:fldCharType="end"/>
      </w:r>
      <w:r w:rsidRPr="00005C18">
        <w:rPr>
          <w:rFonts w:asciiTheme="majorHAnsi" w:hAnsiTheme="majorHAnsi"/>
        </w:rPr>
        <w:t xml:space="preserve"> found that adenomas contained an average of 4.6 chromosomal aberrations, whereas </w:t>
      </w:r>
      <w:r>
        <w:rPr>
          <w:rFonts w:asciiTheme="majorHAnsi" w:hAnsiTheme="majorHAnsi"/>
        </w:rPr>
        <w:t xml:space="preserve">malignant polyps </w:t>
      </w:r>
      <w:r w:rsidRPr="00005C18">
        <w:rPr>
          <w:rFonts w:asciiTheme="majorHAnsi" w:hAnsiTheme="majorHAnsi"/>
        </w:rPr>
        <w:t>had a significantly increased number of aberr</w:t>
      </w:r>
      <w:r>
        <w:rPr>
          <w:rFonts w:asciiTheme="majorHAnsi" w:hAnsiTheme="majorHAnsi"/>
        </w:rPr>
        <w:t xml:space="preserve">ations of 10.5, </w:t>
      </w:r>
      <w:r w:rsidRPr="00005C18">
        <w:rPr>
          <w:rFonts w:asciiTheme="majorHAnsi" w:hAnsiTheme="majorHAnsi"/>
        </w:rPr>
        <w:t>suggesting that there is an association between</w:t>
      </w:r>
      <w:r>
        <w:rPr>
          <w:rFonts w:asciiTheme="majorHAnsi" w:hAnsiTheme="majorHAnsi"/>
        </w:rPr>
        <w:t xml:space="preserve"> the accumulation of</w:t>
      </w:r>
      <w:r w:rsidRPr="00005C18">
        <w:rPr>
          <w:rFonts w:asciiTheme="majorHAnsi" w:hAnsiTheme="majorHAnsi"/>
        </w:rPr>
        <w:t xml:space="preserve"> cancer-associated events and progr</w:t>
      </w:r>
      <w:r>
        <w:rPr>
          <w:rFonts w:asciiTheme="majorHAnsi" w:hAnsiTheme="majorHAnsi"/>
        </w:rPr>
        <w:t>ession from adenoma. However, it</w:t>
      </w:r>
      <w:r w:rsidRPr="00005C18">
        <w:rPr>
          <w:rFonts w:asciiTheme="majorHAnsi" w:hAnsiTheme="majorHAnsi"/>
        </w:rPr>
        <w:t xml:space="preserve"> appears that specific patterns of variations need to be present and not simply</w:t>
      </w:r>
      <w:r>
        <w:rPr>
          <w:rFonts w:asciiTheme="majorHAnsi" w:hAnsiTheme="majorHAnsi"/>
        </w:rPr>
        <w:t xml:space="preserve"> an increase in chromosomal aberrations </w:t>
      </w:r>
      <w:r w:rsidRPr="00C178DA">
        <w:rPr>
          <w:rFonts w:asciiTheme="majorHAnsi" w:hAnsiTheme="majorHAnsi"/>
          <w:i/>
        </w:rPr>
        <w:t>per se</w:t>
      </w:r>
      <w:r>
        <w:rPr>
          <w:rFonts w:asciiTheme="majorHAnsi" w:hAnsiTheme="majorHAnsi"/>
        </w:rPr>
        <w:t>. Interestingly,</w:t>
      </w:r>
      <w:r w:rsidRPr="00005C18">
        <w:rPr>
          <w:rFonts w:asciiTheme="majorHAnsi" w:hAnsiTheme="majorHAnsi"/>
        </w:rPr>
        <w:t xml:space="preserve"> there was no difference in </w:t>
      </w:r>
      <w:r w:rsidRPr="00A66403">
        <w:rPr>
          <w:rFonts w:asciiTheme="majorHAnsi" w:hAnsiTheme="majorHAnsi"/>
          <w:i/>
        </w:rPr>
        <w:t>APC</w:t>
      </w:r>
      <w:r w:rsidRPr="00005C18">
        <w:rPr>
          <w:rFonts w:asciiTheme="majorHAnsi" w:hAnsiTheme="majorHAnsi"/>
        </w:rPr>
        <w:t xml:space="preserve"> mutation rate between the groups, </w:t>
      </w:r>
      <w:r>
        <w:rPr>
          <w:rFonts w:asciiTheme="majorHAnsi" w:hAnsiTheme="majorHAnsi"/>
        </w:rPr>
        <w:t>supporting the theory</w:t>
      </w:r>
      <w:r w:rsidRPr="00005C18">
        <w:rPr>
          <w:rFonts w:asciiTheme="majorHAnsi" w:hAnsiTheme="majorHAnsi"/>
        </w:rPr>
        <w:t xml:space="preserve"> that this mutation occurs very early on in polyp formation. This group’s work</w:t>
      </w:r>
      <w:r>
        <w:rPr>
          <w:rFonts w:asciiTheme="majorHAnsi" w:hAnsiTheme="majorHAnsi"/>
        </w:rPr>
        <w:t xml:space="preserve"> therefore</w:t>
      </w:r>
      <w:r w:rsidRPr="00005C18">
        <w:rPr>
          <w:rFonts w:asciiTheme="majorHAnsi" w:hAnsiTheme="majorHAnsi"/>
        </w:rPr>
        <w:t xml:space="preserve"> highlighted that chromosomal instability is not merely random but does follow distinct patterns</w:t>
      </w:r>
      <w:r w:rsidR="009823EF">
        <w:rPr>
          <w:rFonts w:asciiTheme="majorHAnsi" w:hAnsiTheme="majorHAnsi"/>
        </w:rPr>
        <w:t xml:space="preserve"> of mutations</w:t>
      </w:r>
      <w:r w:rsidRPr="00005C18">
        <w:rPr>
          <w:rFonts w:asciiTheme="majorHAnsi" w:hAnsiTheme="majorHAnsi"/>
        </w:rPr>
        <w:t xml:space="preserve"> that could correlate to </w:t>
      </w:r>
      <w:r>
        <w:rPr>
          <w:rFonts w:asciiTheme="majorHAnsi" w:hAnsiTheme="majorHAnsi"/>
        </w:rPr>
        <w:t xml:space="preserve">tumour </w:t>
      </w:r>
      <w:r w:rsidRPr="00005C18">
        <w:rPr>
          <w:rFonts w:asciiTheme="majorHAnsi" w:hAnsiTheme="majorHAnsi"/>
        </w:rPr>
        <w:t>progression</w:t>
      </w:r>
      <w:r>
        <w:rPr>
          <w:rFonts w:asciiTheme="majorHAnsi" w:hAnsiTheme="majorHAnsi"/>
        </w:rPr>
        <w:t xml:space="preserve"> </w:t>
      </w:r>
      <w:r w:rsidRPr="00005C18">
        <w:rPr>
          <w:rFonts w:asciiTheme="majorHAnsi" w:hAnsiTheme="majorHAnsi"/>
        </w:rPr>
        <w:fldChar w:fldCharType="begin"/>
      </w:r>
      <w:r w:rsidRPr="00005C18">
        <w:rPr>
          <w:rFonts w:asciiTheme="majorHAnsi" w:hAnsiTheme="majorHAnsi"/>
        </w:rPr>
        <w:instrText xml:space="preserve"> ADDIN EN.CITE &lt;EndNote&gt;&lt;Cite&gt;&lt;Author&gt;Hermsen&lt;/Author&gt;&lt;Year&gt;2002&lt;/Year&gt;&lt;IDText&gt;Colorectal adenoma to carcinoma progression follows multiple pathways of chromosomal instability&lt;/IDText&gt;&lt;DisplayText&gt;(Hermsen et al., 2002)&lt;/DisplayText&gt;&lt;record&gt;&lt;dates&gt;&lt;pub-dates&gt;&lt;date&gt;Oct&lt;/date&gt;&lt;/pub-dates&gt;&lt;year&gt;2002&lt;/year&gt;&lt;/dates&gt;&lt;keywords&gt;&lt;keyword&gt;Adenoma&lt;/keyword&gt;&lt;keyword&gt;Adult&lt;/keyword&gt;&lt;keyword&gt;Aged&lt;/keyword&gt;&lt;keyword&gt;Aged, 80 and over&lt;/keyword&gt;&lt;keyword&gt;Carcinoma&lt;/keyword&gt;&lt;keyword&gt;Chromosome Aberrations&lt;/keyword&gt;&lt;keyword&gt;Cluster Analysis&lt;/keyword&gt;&lt;keyword&gt;Colorectal Neoplasms&lt;/keyword&gt;&lt;keyword&gt;Disease Progression&lt;/keyword&gt;&lt;keyword&gt;Female&lt;/keyword&gt;&lt;keyword&gt;Genes, APC&lt;/keyword&gt;&lt;keyword&gt;Genes, ras&lt;/keyword&gt;&lt;keyword&gt;Humans&lt;/keyword&gt;&lt;keyword&gt;Linear Models&lt;/keyword&gt;&lt;keyword&gt;Male&lt;/keyword&gt;&lt;keyword&gt;Middle Aged&lt;/keyword&gt;&lt;keyword&gt;Models, Genetic&lt;/keyword&gt;&lt;keyword&gt;Nucleic Acid Hybridization&lt;/keyword&gt;&lt;/keywords&gt;&lt;urls&gt;&lt;related-urls&gt;&lt;url&gt;https://www.ncbi.nlm.nih.gov/pubmed/12360473&lt;/url&gt;&lt;/related-urls&gt;&lt;/urls&gt;&lt;isbn&gt;0016-5085&lt;/isbn&gt;&lt;titles&gt;&lt;title&gt;Colorectal adenoma to carcinoma progression follows multiple pathways of chromosomal instability&lt;/title&gt;&lt;secondary-title&gt;Gastroenterology&lt;/secondary-title&gt;&lt;/titles&gt;&lt;pages&gt;1109-19&lt;/pages&gt;&lt;number&gt;4&lt;/number&gt;&lt;contributors&gt;&lt;authors&gt;&lt;author&gt;Hermsen, M.&lt;/author&gt;&lt;author&gt;Postma, C.&lt;/author&gt;&lt;author&gt;Baak, J.&lt;/author&gt;&lt;author&gt;Weiss, M.&lt;/author&gt;&lt;author&gt;Rapallo, A.&lt;/author&gt;&lt;author&gt;Sciutto, A.&lt;/author&gt;&lt;author&gt;Roemen, G.&lt;/author&gt;&lt;author&gt;Arends, J. W.&lt;/author&gt;&lt;author&gt;Williams, R.&lt;/author&gt;&lt;author&gt;Giaretti, W.&lt;/author&gt;&lt;author&gt;De Goeij, A.&lt;/author&gt;&lt;author&gt;Meijer, G.&lt;/author&gt;&lt;/authors&gt;&lt;/contributors&gt;&lt;language&gt;eng&lt;/language&gt;&lt;added-date format="utc"&gt;1469460869&lt;/added-date&gt;&lt;ref-type name="Journal Article"&gt;17&lt;/ref-type&gt;&lt;rec-number&gt;171&lt;/rec-number&gt;&lt;last-updated-date format="utc"&gt;1469460869&lt;/last-updated-date&gt;&lt;accession-num&gt;12360473&lt;/accession-num&gt;&lt;volume&gt;123&lt;/volume&gt;&lt;/record&gt;&lt;/Cite&gt;&lt;/EndNote&gt;</w:instrText>
      </w:r>
      <w:r w:rsidRPr="00005C18">
        <w:rPr>
          <w:rFonts w:asciiTheme="majorHAnsi" w:hAnsiTheme="majorHAnsi"/>
        </w:rPr>
        <w:fldChar w:fldCharType="separate"/>
      </w:r>
      <w:r w:rsidRPr="00005C18">
        <w:rPr>
          <w:rFonts w:asciiTheme="majorHAnsi" w:hAnsiTheme="majorHAnsi"/>
          <w:noProof/>
        </w:rPr>
        <w:t>(Hermsen et al., 2002)</w:t>
      </w:r>
      <w:r w:rsidRPr="00005C18">
        <w:rPr>
          <w:rFonts w:asciiTheme="majorHAnsi" w:hAnsiTheme="majorHAnsi"/>
        </w:rPr>
        <w:fldChar w:fldCharType="end"/>
      </w:r>
      <w:r>
        <w:rPr>
          <w:rFonts w:asciiTheme="majorHAnsi" w:hAnsiTheme="majorHAnsi"/>
        </w:rPr>
        <w:t>.</w:t>
      </w:r>
    </w:p>
    <w:p w14:paraId="34E8029B" w14:textId="77777777" w:rsidR="00B15A35" w:rsidRDefault="00B15A35" w:rsidP="00B15A35">
      <w:pPr>
        <w:pStyle w:val="NoSpacing"/>
        <w:spacing w:line="360" w:lineRule="auto"/>
        <w:jc w:val="both"/>
        <w:rPr>
          <w:rFonts w:asciiTheme="majorHAnsi" w:hAnsiTheme="majorHAnsi"/>
        </w:rPr>
      </w:pPr>
      <w:r>
        <w:rPr>
          <w:rFonts w:asciiTheme="majorHAnsi" w:hAnsiTheme="majorHAnsi"/>
          <w:noProof/>
        </w:rPr>
        <mc:AlternateContent>
          <mc:Choice Requires="wps">
            <w:drawing>
              <wp:anchor distT="0" distB="0" distL="114300" distR="114300" simplePos="0" relativeHeight="252131328" behindDoc="0" locked="0" layoutInCell="1" allowOverlap="1" wp14:anchorId="4818C138" wp14:editId="78B95569">
                <wp:simplePos x="0" y="0"/>
                <wp:positionH relativeFrom="column">
                  <wp:posOffset>0</wp:posOffset>
                </wp:positionH>
                <wp:positionV relativeFrom="paragraph">
                  <wp:posOffset>3200400</wp:posOffset>
                </wp:positionV>
                <wp:extent cx="5372100" cy="2857500"/>
                <wp:effectExtent l="0" t="0" r="0" b="12700"/>
                <wp:wrapSquare wrapText="bothSides"/>
                <wp:docPr id="365" name="Text Box 365"/>
                <wp:cNvGraphicFramePr/>
                <a:graphic xmlns:a="http://schemas.openxmlformats.org/drawingml/2006/main">
                  <a:graphicData uri="http://schemas.microsoft.com/office/word/2010/wordprocessingShape">
                    <wps:wsp>
                      <wps:cNvSpPr txBox="1"/>
                      <wps:spPr>
                        <a:xfrm>
                          <a:off x="0" y="0"/>
                          <a:ext cx="53721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BB4256" w14:textId="4D883462" w:rsidR="00E82D3B" w:rsidRDefault="00E82D3B" w:rsidP="00B15A35">
                            <w:pPr>
                              <w:jc w:val="both"/>
                              <w:rPr>
                                <w:rFonts w:asciiTheme="majorHAnsi" w:hAnsiTheme="majorHAnsi"/>
                                <w:b/>
                                <w:i/>
                                <w:sz w:val="22"/>
                              </w:rPr>
                            </w:pPr>
                            <w:r w:rsidRPr="005634D2">
                              <w:rPr>
                                <w:rFonts w:asciiTheme="majorHAnsi" w:hAnsiTheme="majorHAnsi"/>
                                <w:b/>
                                <w:i/>
                                <w:sz w:val="22"/>
                              </w:rPr>
                              <w:t xml:space="preserve">Figure 1.4 APC mutations within the </w:t>
                            </w:r>
                            <w:r>
                              <w:rPr>
                                <w:rFonts w:asciiTheme="majorHAnsi" w:hAnsiTheme="majorHAnsi"/>
                                <w:b/>
                                <w:i/>
                                <w:sz w:val="22"/>
                              </w:rPr>
                              <w:t xml:space="preserve">WNT </w:t>
                            </w:r>
                            <w:r w:rsidRPr="005634D2">
                              <w:rPr>
                                <w:rFonts w:asciiTheme="majorHAnsi" w:hAnsiTheme="majorHAnsi"/>
                                <w:b/>
                                <w:i/>
                                <w:sz w:val="22"/>
                              </w:rPr>
                              <w:t>signalling pathway</w:t>
                            </w:r>
                          </w:p>
                          <w:p w14:paraId="32EC93B7" w14:textId="022E67A8" w:rsidR="00E82D3B" w:rsidRPr="007D0F45" w:rsidRDefault="00E82D3B" w:rsidP="00B15A35">
                            <w:pPr>
                              <w:jc w:val="both"/>
                              <w:rPr>
                                <w:rFonts w:asciiTheme="majorHAnsi" w:hAnsiTheme="majorHAnsi"/>
                                <w:i/>
                                <w:sz w:val="20"/>
                              </w:rPr>
                            </w:pPr>
                            <w:r>
                              <w:rPr>
                                <w:rFonts w:asciiTheme="majorHAnsi" w:hAnsiTheme="majorHAnsi"/>
                                <w:i/>
                                <w:sz w:val="22"/>
                              </w:rPr>
                              <w:t>The WNT</w:t>
                            </w:r>
                            <w:r w:rsidRPr="007D0F45">
                              <w:rPr>
                                <w:rFonts w:asciiTheme="majorHAnsi" w:hAnsiTheme="majorHAnsi"/>
                                <w:i/>
                                <w:sz w:val="22"/>
                              </w:rPr>
                              <w:t xml:space="preserve"> pathway plays a cent</w:t>
                            </w:r>
                            <w:r>
                              <w:rPr>
                                <w:rFonts w:asciiTheme="majorHAnsi" w:hAnsiTheme="majorHAnsi"/>
                                <w:i/>
                                <w:sz w:val="22"/>
                              </w:rPr>
                              <w:t>ral role in gene expression, WNT</w:t>
                            </w:r>
                            <w:r w:rsidRPr="007D0F45">
                              <w:rPr>
                                <w:rFonts w:asciiTheme="majorHAnsi" w:hAnsiTheme="majorHAnsi"/>
                                <w:i/>
                                <w:sz w:val="22"/>
                              </w:rPr>
                              <w:t xml:space="preserve"> ligands bind to </w:t>
                            </w:r>
                            <w:proofErr w:type="gramStart"/>
                            <w:r w:rsidRPr="007D0F45">
                              <w:rPr>
                                <w:rFonts w:asciiTheme="majorHAnsi" w:hAnsiTheme="majorHAnsi"/>
                                <w:i/>
                                <w:sz w:val="22"/>
                              </w:rPr>
                              <w:t>Frizzled</w:t>
                            </w:r>
                            <w:proofErr w:type="gramEnd"/>
                            <w:r>
                              <w:rPr>
                                <w:rFonts w:asciiTheme="majorHAnsi" w:hAnsiTheme="majorHAnsi"/>
                                <w:i/>
                                <w:sz w:val="22"/>
                              </w:rPr>
                              <w:t xml:space="preserve"> (Fzd)</w:t>
                            </w:r>
                            <w:r w:rsidRPr="007D0F45">
                              <w:rPr>
                                <w:rFonts w:asciiTheme="majorHAnsi" w:hAnsiTheme="majorHAnsi"/>
                                <w:i/>
                                <w:sz w:val="22"/>
                              </w:rPr>
                              <w:t xml:space="preserve"> receptors along with co-receptors such as LRP 5/6 on cell membranes which signals to intracellular phosphoprotein Dishevelled (</w:t>
                            </w:r>
                            <w:proofErr w:type="spellStart"/>
                            <w:r w:rsidRPr="007D0F45">
                              <w:rPr>
                                <w:rFonts w:asciiTheme="majorHAnsi" w:hAnsiTheme="majorHAnsi"/>
                                <w:i/>
                                <w:sz w:val="22"/>
                              </w:rPr>
                              <w:t>Dsh</w:t>
                            </w:r>
                            <w:proofErr w:type="spellEnd"/>
                            <w:r w:rsidRPr="007D0F45">
                              <w:rPr>
                                <w:rFonts w:asciiTheme="majorHAnsi" w:hAnsiTheme="majorHAnsi"/>
                                <w:i/>
                                <w:sz w:val="22"/>
                              </w:rPr>
                              <w:t>). This activatio</w:t>
                            </w:r>
                            <w:r>
                              <w:rPr>
                                <w:rFonts w:asciiTheme="majorHAnsi" w:hAnsiTheme="majorHAnsi"/>
                                <w:i/>
                                <w:sz w:val="22"/>
                              </w:rPr>
                              <w:t>n then disrupts the negative WNT</w:t>
                            </w:r>
                            <w:r w:rsidRPr="007D0F45">
                              <w:rPr>
                                <w:rFonts w:asciiTheme="majorHAnsi" w:hAnsiTheme="majorHAnsi"/>
                                <w:i/>
                                <w:sz w:val="22"/>
                              </w:rPr>
                              <w:t xml:space="preserve"> protein Axin by dephosphorylation. Axin is usually bound to ade</w:t>
                            </w:r>
                            <w:r>
                              <w:rPr>
                                <w:rFonts w:asciiTheme="majorHAnsi" w:hAnsiTheme="majorHAnsi"/>
                                <w:i/>
                                <w:sz w:val="22"/>
                              </w:rPr>
                              <w:t>nomatosis polyposis coli (APC)</w:t>
                            </w:r>
                            <w:r w:rsidRPr="007D0F45">
                              <w:rPr>
                                <w:rFonts w:asciiTheme="majorHAnsi" w:hAnsiTheme="majorHAnsi"/>
                                <w:i/>
                                <w:sz w:val="22"/>
                              </w:rPr>
                              <w:t xml:space="preserve">, glycogen synthase Kinase 3 (GSK3) and casein Kinase 1a (CK1a) in a destruction complex which targets </w:t>
                            </w:r>
                            <w:r>
                              <w:rPr>
                                <w:rFonts w:ascii="Calibri" w:hAnsi="Calibri"/>
                                <w:i/>
                                <w:sz w:val="22"/>
                              </w:rPr>
                              <w:t>β</w:t>
                            </w:r>
                            <w:r w:rsidRPr="007D0F45">
                              <w:rPr>
                                <w:rFonts w:asciiTheme="majorHAnsi" w:hAnsiTheme="majorHAnsi"/>
                                <w:i/>
                                <w:sz w:val="22"/>
                              </w:rPr>
                              <w:t xml:space="preserve">-catenin for ubiquitination and so </w:t>
                            </w:r>
                            <w:r w:rsidRPr="007D0F45">
                              <w:rPr>
                                <w:rFonts w:asciiTheme="majorHAnsi" w:hAnsiTheme="majorHAnsi"/>
                                <w:i/>
                                <w:sz w:val="20"/>
                              </w:rPr>
                              <w:t xml:space="preserve">proteasome </w:t>
                            </w:r>
                            <w:r w:rsidRPr="007D0F45">
                              <w:rPr>
                                <w:rFonts w:asciiTheme="majorHAnsi" w:hAnsiTheme="majorHAnsi"/>
                                <w:i/>
                                <w:sz w:val="22"/>
                              </w:rPr>
                              <w:t xml:space="preserve">degradation. However, when Axin becomes unstable </w:t>
                            </w:r>
                            <w:proofErr w:type="spellStart"/>
                            <w:r w:rsidRPr="007D0F45">
                              <w:rPr>
                                <w:rFonts w:asciiTheme="majorHAnsi" w:hAnsiTheme="majorHAnsi"/>
                                <w:i/>
                                <w:sz w:val="22"/>
                              </w:rPr>
                              <w:t>Dsh</w:t>
                            </w:r>
                            <w:proofErr w:type="spellEnd"/>
                            <w:r w:rsidRPr="007D0F45">
                              <w:rPr>
                                <w:rFonts w:asciiTheme="majorHAnsi" w:hAnsiTheme="majorHAnsi"/>
                                <w:i/>
                                <w:sz w:val="22"/>
                              </w:rPr>
                              <w:t xml:space="preserve"> is phosphorylated and </w:t>
                            </w:r>
                            <w:r w:rsidRPr="007D0F45">
                              <w:rPr>
                                <w:rFonts w:ascii="Calibri" w:hAnsi="Calibri"/>
                                <w:i/>
                                <w:sz w:val="22"/>
                              </w:rPr>
                              <w:t>β</w:t>
                            </w:r>
                            <w:r w:rsidRPr="007D0F45">
                              <w:rPr>
                                <w:rFonts w:asciiTheme="majorHAnsi" w:hAnsiTheme="majorHAnsi"/>
                                <w:i/>
                                <w:sz w:val="22"/>
                              </w:rPr>
                              <w:t xml:space="preserve">-catenin is able to accumulate within the nucleus and activate cellular responses through transcriptional complexes. For example the accumulation of nucleic </w:t>
                            </w:r>
                            <w:r w:rsidRPr="007D0F45">
                              <w:rPr>
                                <w:rFonts w:ascii="Calibri" w:hAnsi="Calibri"/>
                                <w:i/>
                                <w:sz w:val="22"/>
                              </w:rPr>
                              <w:t>β</w:t>
                            </w:r>
                            <w:r w:rsidRPr="007D0F45">
                              <w:rPr>
                                <w:rFonts w:asciiTheme="majorHAnsi" w:hAnsiTheme="majorHAnsi"/>
                                <w:i/>
                                <w:sz w:val="22"/>
                              </w:rPr>
                              <w:t>-catenin can signal for the up-regulation of c-Myc and other cell cycle proteins like cyclin D1, by binding to transcription factor TCF/LEF, in order to increase transition from G1 to S phase</w:t>
                            </w:r>
                            <w:r>
                              <w:rPr>
                                <w:rFonts w:asciiTheme="majorHAnsi" w:hAnsiTheme="majorHAnsi"/>
                                <w:i/>
                                <w:sz w:val="22"/>
                              </w:rPr>
                              <w:t xml:space="preserve">. APC therefore acts as a tumour suppressor, however mutations to APC cause a constitutively active WNT pathway without the need for WNT ligand binding, as the destruction complex isn’t compatible and therefore </w:t>
                            </w:r>
                            <w:r>
                              <w:rPr>
                                <w:rFonts w:ascii="Calibri" w:hAnsi="Calibri"/>
                                <w:i/>
                                <w:sz w:val="22"/>
                              </w:rPr>
                              <w:t>β</w:t>
                            </w:r>
                            <w:r w:rsidRPr="007D0F45">
                              <w:rPr>
                                <w:rFonts w:asciiTheme="majorHAnsi" w:hAnsiTheme="majorHAnsi"/>
                                <w:i/>
                                <w:sz w:val="22"/>
                              </w:rPr>
                              <w:t>-catenin</w:t>
                            </w:r>
                            <w:r>
                              <w:rPr>
                                <w:rFonts w:asciiTheme="majorHAnsi" w:hAnsiTheme="majorHAnsi"/>
                                <w:i/>
                                <w:sz w:val="22"/>
                              </w:rPr>
                              <w:t xml:space="preserve"> is able to circumvent degradation and accumulate in the nucleus. (Adapted and modified with permission from </w:t>
                            </w:r>
                            <w:r>
                              <w:rPr>
                                <w:rFonts w:asciiTheme="majorHAnsi" w:hAnsiTheme="majorHAnsi"/>
                                <w:i/>
                                <w:sz w:val="22"/>
                              </w:rPr>
                              <w:fldChar w:fldCharType="begin"/>
                            </w:r>
                            <w:r>
                              <w:rPr>
                                <w:rFonts w:asciiTheme="majorHAnsi" w:hAnsiTheme="majorHAnsi"/>
                                <w:i/>
                                <w:sz w:val="22"/>
                              </w:rPr>
                              <w:instrText xml:space="preserve"> ADDIN EN.CITE &lt;EndNote&gt;&lt;Cite&gt;&lt;Author&gt;de Sousa&lt;/Author&gt;&lt;Year&gt;2011&lt;/Year&gt;&lt;IDText&gt;Targeting Wnt signaling in colon cancer stem cells&lt;/IDText&gt;&lt;DisplayText&gt;(de Sousa et al., 2011)&lt;/DisplayText&gt;&lt;record&gt;&lt;dates&gt;&lt;pub-dates&gt;&lt;date&gt;Feb&lt;/date&gt;&lt;/pub-dates&gt;&lt;year&gt;2011&lt;/year&gt;&lt;/dates&gt;&lt;keywords&gt;&lt;keyword&gt;Animals&lt;/keyword&gt;&lt;keyword&gt;Colorectal Neoplasms&lt;/keyword&gt;&lt;keyword&gt;Humans&lt;/keyword&gt;&lt;keyword&gt;Intestines&lt;/keyword&gt;&lt;keyword&gt;Intracellular Signaling Peptides and Proteins&lt;/keyword&gt;&lt;keyword&gt;Molecular Targeted Therapy&lt;/keyword&gt;&lt;keyword&gt;Neoplastic Stem Cells&lt;/keyword&gt;&lt;keyword&gt;Signal Transduction&lt;/keyword&gt;&lt;keyword&gt;Wnt Proteins&lt;/keyword&gt;&lt;keyword&gt;beta Catenin&lt;/keyword&gt;&lt;/keywords&gt;&lt;urls&gt;&lt;related-urls&gt;&lt;url&gt;https://www.ncbi.nlm.nih.gov/pubmed/21159886&lt;/url&gt;&lt;/related-urls&gt;&lt;/urls&gt;&lt;isbn&gt;1078-0432&lt;/isbn&gt;&lt;titles&gt;&lt;title&gt;Targeting Wnt signaling in colon cancer stem cells&lt;/title&gt;&lt;secondary-title&gt;Clin Cancer Res&lt;/secondary-title&gt;&lt;/titles&gt;&lt;pages&gt;647-53&lt;/pages&gt;&lt;number&gt;4&lt;/number&gt;&lt;contributors&gt;&lt;authors&gt;&lt;author&gt;de Sousa, E. M.&lt;/author&gt;&lt;author&gt;Vermeulen, L.&lt;/author&gt;&lt;author&gt;Richel, D.&lt;/author&gt;&lt;author&gt;Medema, J. P.&lt;/author&gt;&lt;/authors&gt;&lt;/contributors&gt;&lt;edition&gt;2010/12/15&lt;/edition&gt;&lt;language&gt;eng&lt;/language&gt;&lt;added-date format="utc"&gt;1510065138&lt;/added-date&gt;&lt;ref-type name="Journal Article"&gt;17&lt;/ref-type&gt;&lt;rec-number&gt;353&lt;/rec-number&gt;&lt;last-updated-date format="utc"&gt;1510065138&lt;/last-updated-date&gt;&lt;accession-num&gt;21159886&lt;/accession-num&gt;&lt;electronic-resource-num&gt;10.1158/1078-0432.CCR-10-1204&lt;/electronic-resource-num&gt;&lt;volume&gt;17&lt;/volume&gt;&lt;/record&gt;&lt;/Cite&gt;&lt;/EndNote&gt;</w:instrText>
                            </w:r>
                            <w:r>
                              <w:rPr>
                                <w:rFonts w:asciiTheme="majorHAnsi" w:hAnsiTheme="majorHAnsi"/>
                                <w:i/>
                                <w:sz w:val="22"/>
                              </w:rPr>
                              <w:fldChar w:fldCharType="separate"/>
                            </w:r>
                            <w:r>
                              <w:rPr>
                                <w:rFonts w:asciiTheme="majorHAnsi" w:hAnsiTheme="majorHAnsi"/>
                                <w:i/>
                                <w:noProof/>
                                <w:sz w:val="22"/>
                              </w:rPr>
                              <w:t>(de Sousa et al., 2011)</w:t>
                            </w:r>
                            <w:r>
                              <w:rPr>
                                <w:rFonts w:asciiTheme="majorHAnsi" w:hAnsiTheme="majorHAnsi"/>
                                <w:i/>
                                <w:sz w:val="22"/>
                              </w:rPr>
                              <w:fldChar w:fldCharType="end"/>
                            </w:r>
                          </w:p>
                          <w:p w14:paraId="38EBAF58" w14:textId="77777777" w:rsidR="00E82D3B" w:rsidRPr="007D0F45" w:rsidRDefault="00E82D3B" w:rsidP="00B15A35">
                            <w:pPr>
                              <w:rPr>
                                <w:rFonts w:asciiTheme="majorHAnsi" w:hAnsiTheme="majorHAnsi"/>
                                <w: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5" o:spid="_x0000_s1030" type="#_x0000_t202" style="position:absolute;left:0;text-align:left;margin-left:0;margin-top:252pt;width:423pt;height:225pt;z-index:25213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" filled="f" stroked="f">
                <v:textbox>
                  <w:txbxContent>
                    <w:p w14:paraId="28BB4256" w14:textId="4D883462" w:rsidR="000A1E0D" w:rsidRDefault="000A1E0D" w:rsidP="00B15A35">
                      <w:pPr>
                        <w:jc w:val="both"/>
                        <w:rPr>
                          <w:rFonts w:asciiTheme="majorHAnsi" w:hAnsiTheme="majorHAnsi"/>
                          <w:b/>
                          <w:i/>
                          <w:sz w:val="22"/>
                        </w:rPr>
                      </w:pPr>
                      <w:r w:rsidRPr="005634D2">
                        <w:rPr>
                          <w:rFonts w:asciiTheme="majorHAnsi" w:hAnsiTheme="majorHAnsi"/>
                          <w:b/>
                          <w:i/>
                          <w:sz w:val="22"/>
                        </w:rPr>
                        <w:t xml:space="preserve">Figure 1.4 APC mutations within the </w:t>
                      </w:r>
                      <w:r>
                        <w:rPr>
                          <w:rFonts w:asciiTheme="majorHAnsi" w:hAnsiTheme="majorHAnsi"/>
                          <w:b/>
                          <w:i/>
                          <w:sz w:val="22"/>
                        </w:rPr>
                        <w:t xml:space="preserve">WNT </w:t>
                      </w:r>
                      <w:r w:rsidRPr="005634D2">
                        <w:rPr>
                          <w:rFonts w:asciiTheme="majorHAnsi" w:hAnsiTheme="majorHAnsi"/>
                          <w:b/>
                          <w:i/>
                          <w:sz w:val="22"/>
                        </w:rPr>
                        <w:t>signalling pathway</w:t>
                      </w:r>
                    </w:p>
                    <w:p w14:paraId="32EC93B7" w14:textId="022E67A8" w:rsidR="000A1E0D" w:rsidRPr="007D0F45" w:rsidRDefault="000A1E0D" w:rsidP="00B15A35">
                      <w:pPr>
                        <w:jc w:val="both"/>
                        <w:rPr>
                          <w:rFonts w:asciiTheme="majorHAnsi" w:hAnsiTheme="majorHAnsi"/>
                          <w:i/>
                          <w:sz w:val="20"/>
                        </w:rPr>
                      </w:pPr>
                      <w:r>
                        <w:rPr>
                          <w:rFonts w:asciiTheme="majorHAnsi" w:hAnsiTheme="majorHAnsi"/>
                          <w:i/>
                          <w:sz w:val="22"/>
                        </w:rPr>
                        <w:t>The WNT</w:t>
                      </w:r>
                      <w:r w:rsidRPr="007D0F45">
                        <w:rPr>
                          <w:rFonts w:asciiTheme="majorHAnsi" w:hAnsiTheme="majorHAnsi"/>
                          <w:i/>
                          <w:sz w:val="22"/>
                        </w:rPr>
                        <w:t xml:space="preserve"> pathway plays a cent</w:t>
                      </w:r>
                      <w:r>
                        <w:rPr>
                          <w:rFonts w:asciiTheme="majorHAnsi" w:hAnsiTheme="majorHAnsi"/>
                          <w:i/>
                          <w:sz w:val="22"/>
                        </w:rPr>
                        <w:t>ral role in gene expression, WNT</w:t>
                      </w:r>
                      <w:r w:rsidRPr="007D0F45">
                        <w:rPr>
                          <w:rFonts w:asciiTheme="majorHAnsi" w:hAnsiTheme="majorHAnsi"/>
                          <w:i/>
                          <w:sz w:val="22"/>
                        </w:rPr>
                        <w:t xml:space="preserve"> ligands bind to </w:t>
                      </w:r>
                      <w:proofErr w:type="gramStart"/>
                      <w:r w:rsidRPr="007D0F45">
                        <w:rPr>
                          <w:rFonts w:asciiTheme="majorHAnsi" w:hAnsiTheme="majorHAnsi"/>
                          <w:i/>
                          <w:sz w:val="22"/>
                        </w:rPr>
                        <w:t>Frizzled</w:t>
                      </w:r>
                      <w:proofErr w:type="gramEnd"/>
                      <w:r>
                        <w:rPr>
                          <w:rFonts w:asciiTheme="majorHAnsi" w:hAnsiTheme="majorHAnsi"/>
                          <w:i/>
                          <w:sz w:val="22"/>
                        </w:rPr>
                        <w:t xml:space="preserve"> (Fzd)</w:t>
                      </w:r>
                      <w:r w:rsidRPr="007D0F45">
                        <w:rPr>
                          <w:rFonts w:asciiTheme="majorHAnsi" w:hAnsiTheme="majorHAnsi"/>
                          <w:i/>
                          <w:sz w:val="22"/>
                        </w:rPr>
                        <w:t xml:space="preserve"> receptors along with co-receptors such as LRP 5/6 on cell membranes which signals to intracellular phosphoprotein Dishevelled (</w:t>
                      </w:r>
                      <w:proofErr w:type="spellStart"/>
                      <w:r w:rsidRPr="007D0F45">
                        <w:rPr>
                          <w:rFonts w:asciiTheme="majorHAnsi" w:hAnsiTheme="majorHAnsi"/>
                          <w:i/>
                          <w:sz w:val="22"/>
                        </w:rPr>
                        <w:t>Dsh</w:t>
                      </w:r>
                      <w:proofErr w:type="spellEnd"/>
                      <w:r w:rsidRPr="007D0F45">
                        <w:rPr>
                          <w:rFonts w:asciiTheme="majorHAnsi" w:hAnsiTheme="majorHAnsi"/>
                          <w:i/>
                          <w:sz w:val="22"/>
                        </w:rPr>
                        <w:t>). This activatio</w:t>
                      </w:r>
                      <w:r>
                        <w:rPr>
                          <w:rFonts w:asciiTheme="majorHAnsi" w:hAnsiTheme="majorHAnsi"/>
                          <w:i/>
                          <w:sz w:val="22"/>
                        </w:rPr>
                        <w:t>n then disrupts the negative WNT</w:t>
                      </w:r>
                      <w:r w:rsidRPr="007D0F45">
                        <w:rPr>
                          <w:rFonts w:asciiTheme="majorHAnsi" w:hAnsiTheme="majorHAnsi"/>
                          <w:i/>
                          <w:sz w:val="22"/>
                        </w:rPr>
                        <w:t xml:space="preserve"> protein Axin by dephosphorylation. Axin is usually bound to ade</w:t>
                      </w:r>
                      <w:r>
                        <w:rPr>
                          <w:rFonts w:asciiTheme="majorHAnsi" w:hAnsiTheme="majorHAnsi"/>
                          <w:i/>
                          <w:sz w:val="22"/>
                        </w:rPr>
                        <w:t>nomatosis polyposis coli (APC)</w:t>
                      </w:r>
                      <w:r w:rsidRPr="007D0F45">
                        <w:rPr>
                          <w:rFonts w:asciiTheme="majorHAnsi" w:hAnsiTheme="majorHAnsi"/>
                          <w:i/>
                          <w:sz w:val="22"/>
                        </w:rPr>
                        <w:t xml:space="preserve">, glycogen synthase Kinase 3 (GSK3) and casein Kinase 1a (CK1a) in a destruction complex which targets </w:t>
                      </w:r>
                      <w:r>
                        <w:rPr>
                          <w:rFonts w:ascii="Calibri" w:hAnsi="Calibri"/>
                          <w:i/>
                          <w:sz w:val="22"/>
                        </w:rPr>
                        <w:t>β</w:t>
                      </w:r>
                      <w:r w:rsidRPr="007D0F45">
                        <w:rPr>
                          <w:rFonts w:asciiTheme="majorHAnsi" w:hAnsiTheme="majorHAnsi"/>
                          <w:i/>
                          <w:sz w:val="22"/>
                        </w:rPr>
                        <w:t xml:space="preserve">-catenin for ubiquitination and so </w:t>
                      </w:r>
                      <w:r w:rsidRPr="007D0F45">
                        <w:rPr>
                          <w:rFonts w:asciiTheme="majorHAnsi" w:hAnsiTheme="majorHAnsi"/>
                          <w:i/>
                          <w:sz w:val="20"/>
                        </w:rPr>
                        <w:t xml:space="preserve">proteasome </w:t>
                      </w:r>
                      <w:r w:rsidRPr="007D0F45">
                        <w:rPr>
                          <w:rFonts w:asciiTheme="majorHAnsi" w:hAnsiTheme="majorHAnsi"/>
                          <w:i/>
                          <w:sz w:val="22"/>
                        </w:rPr>
                        <w:t xml:space="preserve">degradation. However, when Axin becomes unstable </w:t>
                      </w:r>
                      <w:proofErr w:type="spellStart"/>
                      <w:r w:rsidRPr="007D0F45">
                        <w:rPr>
                          <w:rFonts w:asciiTheme="majorHAnsi" w:hAnsiTheme="majorHAnsi"/>
                          <w:i/>
                          <w:sz w:val="22"/>
                        </w:rPr>
                        <w:t>Dsh</w:t>
                      </w:r>
                      <w:proofErr w:type="spellEnd"/>
                      <w:r w:rsidRPr="007D0F45">
                        <w:rPr>
                          <w:rFonts w:asciiTheme="majorHAnsi" w:hAnsiTheme="majorHAnsi"/>
                          <w:i/>
                          <w:sz w:val="22"/>
                        </w:rPr>
                        <w:t xml:space="preserve"> is phosphorylated and </w:t>
                      </w:r>
                      <w:r w:rsidRPr="007D0F45">
                        <w:rPr>
                          <w:rFonts w:ascii="Calibri" w:hAnsi="Calibri"/>
                          <w:i/>
                          <w:sz w:val="22"/>
                        </w:rPr>
                        <w:t>β</w:t>
                      </w:r>
                      <w:r w:rsidRPr="007D0F45">
                        <w:rPr>
                          <w:rFonts w:asciiTheme="majorHAnsi" w:hAnsiTheme="majorHAnsi"/>
                          <w:i/>
                          <w:sz w:val="22"/>
                        </w:rPr>
                        <w:t xml:space="preserve">-catenin is able to accumulate within the nucleus and activate cellular responses through transcriptional complexes. For example the accumulation of nucleic </w:t>
                      </w:r>
                      <w:r w:rsidRPr="007D0F45">
                        <w:rPr>
                          <w:rFonts w:ascii="Calibri" w:hAnsi="Calibri"/>
                          <w:i/>
                          <w:sz w:val="22"/>
                        </w:rPr>
                        <w:t>β</w:t>
                      </w:r>
                      <w:r w:rsidRPr="007D0F45">
                        <w:rPr>
                          <w:rFonts w:asciiTheme="majorHAnsi" w:hAnsiTheme="majorHAnsi"/>
                          <w:i/>
                          <w:sz w:val="22"/>
                        </w:rPr>
                        <w:t>-catenin can signal for the up-regulation of c-Myc and other cell cycle proteins like cyclin D1, by binding to transcription factor TCF/LEF, in order to increase transition from G1 to S phase</w:t>
                      </w:r>
                      <w:r>
                        <w:rPr>
                          <w:rFonts w:asciiTheme="majorHAnsi" w:hAnsiTheme="majorHAnsi"/>
                          <w:i/>
                          <w:sz w:val="22"/>
                        </w:rPr>
                        <w:t xml:space="preserve">. APC therefore acts as a tumour suppressor, however mutations to APC cause a constitutively active WNT pathway without the need for WNT ligand binding, as the destruction complex isn’t compatible and therefore </w:t>
                      </w:r>
                      <w:r>
                        <w:rPr>
                          <w:rFonts w:ascii="Calibri" w:hAnsi="Calibri"/>
                          <w:i/>
                          <w:sz w:val="22"/>
                        </w:rPr>
                        <w:t>β</w:t>
                      </w:r>
                      <w:r w:rsidRPr="007D0F45">
                        <w:rPr>
                          <w:rFonts w:asciiTheme="majorHAnsi" w:hAnsiTheme="majorHAnsi"/>
                          <w:i/>
                          <w:sz w:val="22"/>
                        </w:rPr>
                        <w:t>-catenin</w:t>
                      </w:r>
                      <w:r>
                        <w:rPr>
                          <w:rFonts w:asciiTheme="majorHAnsi" w:hAnsiTheme="majorHAnsi"/>
                          <w:i/>
                          <w:sz w:val="22"/>
                        </w:rPr>
                        <w:t xml:space="preserve"> is able to circumvent degradation and accumulate in the nucleus. (Adapted and modified with permission from </w:t>
                      </w:r>
                      <w:r>
                        <w:rPr>
                          <w:rFonts w:asciiTheme="majorHAnsi" w:hAnsiTheme="majorHAnsi"/>
                          <w:i/>
                          <w:sz w:val="22"/>
                        </w:rPr>
                        <w:fldChar w:fldCharType="begin"/>
                      </w:r>
                      <w:r>
                        <w:rPr>
                          <w:rFonts w:asciiTheme="majorHAnsi" w:hAnsiTheme="majorHAnsi"/>
                          <w:i/>
                          <w:sz w:val="22"/>
                        </w:rPr>
                        <w:instrText xml:space="preserve"> ADDIN EN.CITE &lt;EndNote&gt;&lt;Cite&gt;&lt;Author&gt;de Sousa&lt;/Author&gt;&lt;Year&gt;2011&lt;/Year&gt;&lt;IDText&gt;Targeting Wnt signaling in colon cancer stem cells&lt;/IDText&gt;&lt;DisplayText&gt;(de Sousa et al., 2011)&lt;/DisplayText&gt;&lt;record&gt;&lt;dates&gt;&lt;pub-dates&gt;&lt;date&gt;Feb&lt;/date&gt;&lt;/pub-dates&gt;&lt;year&gt;2011&lt;/year&gt;&lt;/dates&gt;&lt;keywords&gt;&lt;keyword&gt;Animals&lt;/keyword&gt;&lt;keyword&gt;Colorectal Neoplasms&lt;/keyword&gt;&lt;keyword&gt;Humans&lt;/keyword&gt;&lt;keyword&gt;Intestines&lt;/keyword&gt;&lt;keyword&gt;Intracellular Signaling Peptides and Proteins&lt;/keyword&gt;&lt;keyword&gt;Molecular Targeted Therapy&lt;/keyword&gt;&lt;keyword&gt;Neoplastic Stem Cells&lt;/keyword&gt;&lt;keyword&gt;Signal Transduction&lt;/keyword&gt;&lt;keyword&gt;Wnt Proteins&lt;/keyword&gt;&lt;keyword&gt;beta Catenin&lt;/keyword&gt;&lt;/keywords&gt;&lt;urls&gt;&lt;related-urls&gt;&lt;url&gt;https://www.ncbi.nlm.nih.gov/pubmed/21159886&lt;/url&gt;&lt;/related-urls&gt;&lt;/urls&gt;&lt;isbn&gt;1078-0432&lt;/isbn&gt;&lt;titles&gt;&lt;title&gt;Targeting Wnt signaling in colon cancer stem cells&lt;/title&gt;&lt;secondary-title&gt;Clin Cancer Res&lt;/secondary-title&gt;&lt;/titles&gt;&lt;pages&gt;647-53&lt;/pages&gt;&lt;number&gt;4&lt;/number&gt;&lt;contributors&gt;&lt;authors&gt;&lt;author&gt;de Sousa, E. M.&lt;/author&gt;&lt;author&gt;Vermeulen, L.&lt;/author&gt;&lt;author&gt;Richel, D.&lt;/author&gt;&lt;author&gt;Medema, J. P.&lt;/author&gt;&lt;/authors&gt;&lt;/contributors&gt;&lt;edition&gt;2010/12/15&lt;/edition&gt;&lt;language&gt;eng&lt;/language&gt;&lt;added-date format="utc"&gt;1510065138&lt;/added-date&gt;&lt;ref-type name="Journal Article"&gt;17&lt;/ref-type&gt;&lt;rec-number&gt;353&lt;/rec-number&gt;&lt;last-updated-date format="utc"&gt;1510065138&lt;/last-updated-date&gt;&lt;accession-num&gt;21159886&lt;/accession-num&gt;&lt;electronic-resource-num&gt;10.1158/1078-0432.CCR-10-1204&lt;/electronic-resource-num&gt;&lt;volume&gt;17&lt;/volume&gt;&lt;/record&gt;&lt;/Cite&gt;&lt;/EndNote&gt;</w:instrText>
                      </w:r>
                      <w:r>
                        <w:rPr>
                          <w:rFonts w:asciiTheme="majorHAnsi" w:hAnsiTheme="majorHAnsi"/>
                          <w:i/>
                          <w:sz w:val="22"/>
                        </w:rPr>
                        <w:fldChar w:fldCharType="separate"/>
                      </w:r>
                      <w:r>
                        <w:rPr>
                          <w:rFonts w:asciiTheme="majorHAnsi" w:hAnsiTheme="majorHAnsi"/>
                          <w:i/>
                          <w:noProof/>
                          <w:sz w:val="22"/>
                        </w:rPr>
                        <w:t>(de Sousa et al., 2011)</w:t>
                      </w:r>
                      <w:r>
                        <w:rPr>
                          <w:rFonts w:asciiTheme="majorHAnsi" w:hAnsiTheme="majorHAnsi"/>
                          <w:i/>
                          <w:sz w:val="22"/>
                        </w:rPr>
                        <w:fldChar w:fldCharType="end"/>
                      </w:r>
                    </w:p>
                    <w:p w14:paraId="38EBAF58" w14:textId="77777777" w:rsidR="000A1E0D" w:rsidRPr="007D0F45" w:rsidRDefault="000A1E0D" w:rsidP="00B15A35">
                      <w:pPr>
                        <w:rPr>
                          <w:rFonts w:asciiTheme="majorHAnsi" w:hAnsiTheme="majorHAnsi"/>
                          <w:i/>
                          <w:sz w:val="20"/>
                        </w:rPr>
                      </w:pPr>
                    </w:p>
                  </w:txbxContent>
                </v:textbox>
                <w10:wrap type="square"/>
              </v:shape>
            </w:pict>
          </mc:Fallback>
        </mc:AlternateContent>
      </w:r>
      <w:r>
        <w:rPr>
          <w:rFonts w:asciiTheme="majorHAnsi" w:hAnsiTheme="majorHAnsi"/>
          <w:noProof/>
        </w:rPr>
        <w:drawing>
          <wp:anchor distT="0" distB="0" distL="114300" distR="114300" simplePos="0" relativeHeight="252132352" behindDoc="0" locked="0" layoutInCell="1" allowOverlap="1" wp14:anchorId="790E95B3" wp14:editId="3F91FE45">
            <wp:simplePos x="0" y="0"/>
            <wp:positionH relativeFrom="column">
              <wp:posOffset>-114300</wp:posOffset>
            </wp:positionH>
            <wp:positionV relativeFrom="paragraph">
              <wp:posOffset>-53975</wp:posOffset>
            </wp:positionV>
            <wp:extent cx="5679440" cy="3254375"/>
            <wp:effectExtent l="0" t="0" r="10160" b="0"/>
            <wp:wrapSquare wrapText="bothSides"/>
            <wp:docPr id="374" name="Picture 374" descr="Macintosh HD:Users:ClairFellows:Desktop:Screen Shot 2017-11-02 at 13.5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irFellows:Desktop:Screen Shot 2017-11-02 at 13.53.3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9440" cy="325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8CDFF" w14:textId="310054F1" w:rsidR="00B15A35" w:rsidRPr="00005C18" w:rsidRDefault="00B15A35" w:rsidP="00B15A35">
      <w:pPr>
        <w:spacing w:line="360" w:lineRule="auto"/>
        <w:jc w:val="both"/>
        <w:rPr>
          <w:rFonts w:asciiTheme="majorHAnsi" w:hAnsiTheme="majorHAnsi"/>
        </w:rPr>
      </w:pPr>
      <w:r w:rsidRPr="00005C18">
        <w:rPr>
          <w:rFonts w:asciiTheme="majorHAnsi" w:hAnsiTheme="majorHAnsi"/>
        </w:rPr>
        <w:t xml:space="preserve">Another chromosomal aberration currently under investigation is telomere shortening. </w:t>
      </w:r>
      <w:r>
        <w:rPr>
          <w:rFonts w:asciiTheme="majorHAnsi" w:hAnsiTheme="majorHAnsi"/>
        </w:rPr>
        <w:t xml:space="preserve">Telomeres are comprised of tandem repeats found at the end of chromosomes, which protect against degradation of the DNA and chromosome fusion, and so maintain genomic integrity. During replication of the genome, prior to mitosis, the telomeres shorten by 30-200 base pairs; this erosion can be further enhanced by exogenous genotoxic factors such as smoking and endogenous factors such as oxidative stress. This continued shortening eventually leads to an apoptosis checkpoint when the telomere has become too small. However, many cancers can circumvent this (usually by the re-activation of telomerase) and continue proliferating, resulting in cells displaying genomic instabilities such as chromosome fusion. An average of 72% of CRCs display shortened telomeres in comparison to adjacent normal tissue </w:t>
      </w:r>
      <w:r>
        <w:rPr>
          <w:rFonts w:asciiTheme="majorHAnsi" w:hAnsiTheme="majorHAnsi"/>
        </w:rPr>
        <w:fldChar w:fldCharType="begin"/>
      </w:r>
      <w:r>
        <w:rPr>
          <w:rFonts w:asciiTheme="majorHAnsi" w:hAnsiTheme="majorHAnsi"/>
        </w:rPr>
        <w:instrText xml:space="preserve"> ADDIN EN.CITE &lt;EndNote&gt;&lt;Cite&gt;&lt;Author&gt;Suraweera&lt;/Author&gt;&lt;Year&gt;2016&lt;/Year&gt;&lt;IDText&gt;Relative telomere lengths in tumor and normal mucosa are related to disease progression and chromosome instability profiles in colorectal cancer&lt;/IDText&gt;&lt;DisplayText&gt;(Suraweera et al., 2016)&lt;/DisplayText&gt;&lt;record&gt;&lt;dates&gt;&lt;pub-dates&gt;&lt;date&gt;Jun&lt;/date&gt;&lt;/pub-dates&gt;&lt;year&gt;2016&lt;/year&gt;&lt;/dates&gt;&lt;urls&gt;&lt;related-urls&gt;&lt;url&gt;https://www.ncbi.nlm.nih.gov/pubmed/27167335&lt;/url&gt;&lt;/related-urls&gt;&lt;/urls&gt;&lt;isbn&gt;1949-2553&lt;/isbn&gt;&lt;custom2&gt;PMC5095014&lt;/custom2&gt;&lt;titles&gt;&lt;title&gt;Relative telomere lengths in tumor and normal mucosa are related to disease progression and chromosome instability profiles in colorectal cancer&lt;/title&gt;&lt;secondary-title&gt;Oncotarget&lt;/secondary-title&gt;&lt;/titles&gt;&lt;pages&gt;36474-36488&lt;/pages&gt;&lt;number&gt;24&lt;/number&gt;&lt;contributors&gt;&lt;authors&gt;&lt;author&gt;Suraweera, N.&lt;/author&gt;&lt;author&gt;Mouradov, D.&lt;/author&gt;&lt;author&gt;Li, S.&lt;/author&gt;&lt;author&gt;Jorissen, R. N.&lt;/author&gt;&lt;author&gt;Hampson, D.&lt;/author&gt;&lt;author&gt;Ghosh, A.&lt;/author&gt;&lt;author&gt;Sengupta, N.&lt;/author&gt;&lt;author&gt;Thaha, M.&lt;/author&gt;&lt;author&gt;Ahmed, S.&lt;/author&gt;&lt;author&gt;Kirwan, M.&lt;/author&gt;&lt;author&gt;Aleva, F.&lt;/author&gt;&lt;author&gt;Propper, D.&lt;/author&gt;&lt;author&gt;Feakins, R. M.&lt;/author&gt;&lt;author&gt;Vulliamy, T.&lt;/author&gt;&lt;author&gt;Elwood, N. J.&lt;/author&gt;&lt;author&gt;Tian, P.&lt;/author&gt;&lt;author&gt;Ward, R. L.&lt;/author&gt;&lt;author&gt;Hawkins, N. J.&lt;/author&gt;&lt;author&gt;Xu, Z. Z.&lt;/author&gt;&lt;author&gt;Molloy, P. L.&lt;/author&gt;&lt;author&gt;Jones, I. T.&lt;/author&gt;&lt;author&gt;Croxford, M.&lt;/author&gt;&lt;author&gt;Gibbs, P.&lt;/author&gt;&lt;author&gt;Silver, A.&lt;/author&gt;&lt;author&gt;Sieber, O. M.&lt;/author&gt;&lt;/authors&gt;&lt;/contributors&gt;&lt;language&gt;eng&lt;/language&gt;&lt;added-date format="utc"&gt;1509108679&lt;/added-date&gt;&lt;ref-type name="Journal Article"&gt;17&lt;/ref-type&gt;&lt;rec-number&gt;310&lt;/rec-number&gt;&lt;last-updated-date format="utc"&gt;1509108679&lt;/last-updated-date&gt;&lt;accession-num&gt;27167335&lt;/accession-num&gt;&lt;electronic-resource-num&gt;10.18632/oncotarget.9015&lt;/electronic-resource-num&gt;&lt;volume&gt;7&lt;/volume&gt;&lt;/record&gt;&lt;/Cite&gt;&lt;/EndNote&gt;</w:instrText>
      </w:r>
      <w:r>
        <w:rPr>
          <w:rFonts w:asciiTheme="majorHAnsi" w:hAnsiTheme="majorHAnsi"/>
        </w:rPr>
        <w:fldChar w:fldCharType="separate"/>
      </w:r>
      <w:r>
        <w:rPr>
          <w:rFonts w:asciiTheme="majorHAnsi" w:hAnsiTheme="majorHAnsi"/>
          <w:noProof/>
        </w:rPr>
        <w:t>(Suraweera et al., 2016)</w:t>
      </w:r>
      <w:r>
        <w:rPr>
          <w:rFonts w:asciiTheme="majorHAnsi" w:hAnsiTheme="majorHAnsi"/>
        </w:rPr>
        <w:fldChar w:fldCharType="end"/>
      </w:r>
      <w:r>
        <w:rPr>
          <w:rFonts w:asciiTheme="majorHAnsi" w:hAnsiTheme="majorHAnsi"/>
        </w:rPr>
        <w:t xml:space="preserve">. </w:t>
      </w:r>
      <w:proofErr w:type="spellStart"/>
      <w:r w:rsidRPr="00005C18">
        <w:rPr>
          <w:rFonts w:asciiTheme="majorHAnsi" w:hAnsiTheme="majorHAnsi"/>
        </w:rPr>
        <w:t>Rampaz</w:t>
      </w:r>
      <w:r>
        <w:rPr>
          <w:rFonts w:asciiTheme="majorHAnsi" w:hAnsiTheme="majorHAnsi"/>
        </w:rPr>
        <w:t>zo</w:t>
      </w:r>
      <w:proofErr w:type="spellEnd"/>
      <w:r>
        <w:rPr>
          <w:rFonts w:asciiTheme="majorHAnsi" w:hAnsiTheme="majorHAnsi"/>
        </w:rPr>
        <w:t xml:space="preserve"> et al.</w:t>
      </w:r>
      <w:r w:rsidRPr="00005C18">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 ExcludeAuth="1"&gt;&lt;Author&gt;Rampazzo&lt;/Author&gt;&lt;Year&gt;2010&lt;/Year&gt;&lt;IDText&gt;Relationship between telomere shortening, genetic instability, and site of tumour origin in colorectal cancers&lt;/IDText&gt;&lt;DisplayText&gt;(2010)&lt;/DisplayText&gt;&lt;record&gt;&lt;keywords&gt;&lt;keyword&gt;Crc&lt;/keyword&gt;&lt;keyword&gt;Genetic Instability&lt;/keyword&gt;&lt;keyword&gt;Telomere&lt;/keyword&gt;&lt;/keywords&gt;&lt;isbn&gt;00070920&lt;/isbn&gt;&lt;titles&gt;&lt;title&gt;Relationship between telomere shortening, genetic instability, and site of tumour origin in colorectal cancers&lt;/title&gt;&lt;secondary-title&gt;British Journal of Cancer&lt;/secondary-title&gt;&lt;/titles&gt;&lt;pages&gt;1300-1305&lt;/pages&gt;&lt;number&gt;8&lt;/number&gt;&lt;contributors&gt;&lt;authors&gt;&lt;author&gt;Rampazzo, P. Del&lt;/author&gt;&lt;author&gt;Serra, P. Del&lt;/author&gt;&lt;author&gt;Terrin, P. Del&lt;/author&gt;&lt;author&gt;De Rossi, P. Del&lt;/author&gt;&lt;author&gt;Bertorelle, P. Del&lt;/author&gt;&lt;author&gt;Candiotto, P. Del&lt;/author&gt;&lt;author&gt;Bianco, P. Del&lt;/author&gt;&lt;author&gt;Pucciarelli, P. Del&lt;/author&gt;&lt;author&gt;Nitti, P. Del&lt;/author&gt;&lt;/authors&gt;&lt;/contributors&gt;&lt;added-date format="utc"&gt;1425998328&lt;/added-date&gt;&lt;ref-type name="Journal Article"&gt;17&lt;/ref-type&gt;&lt;dates&gt;&lt;year&gt;2010&lt;/year&gt;&lt;/dates&gt;&lt;rec-number&gt;87&lt;/rec-number&gt;&lt;last-updated-date format="utc"&gt;1447344248&lt;/last-updated-date&gt;&lt;electronic-resource-num&gt;10.1038/sj.bjc.6605644&lt;/electronic-resource-num&gt;&lt;volume&gt;102&lt;/volume&gt;&lt;/record&gt;&lt;/Cite&gt;&lt;/EndNote&gt;</w:instrText>
      </w:r>
      <w:r>
        <w:rPr>
          <w:rFonts w:asciiTheme="majorHAnsi" w:hAnsiTheme="majorHAnsi"/>
        </w:rPr>
        <w:fldChar w:fldCharType="separate"/>
      </w:r>
      <w:r>
        <w:rPr>
          <w:rFonts w:asciiTheme="majorHAnsi" w:hAnsiTheme="majorHAnsi"/>
          <w:noProof/>
        </w:rPr>
        <w:t>(2010)</w:t>
      </w:r>
      <w:r>
        <w:rPr>
          <w:rFonts w:asciiTheme="majorHAnsi" w:hAnsiTheme="majorHAnsi"/>
        </w:rPr>
        <w:fldChar w:fldCharType="end"/>
      </w:r>
      <w:r>
        <w:rPr>
          <w:rFonts w:asciiTheme="majorHAnsi" w:hAnsiTheme="majorHAnsi"/>
        </w:rPr>
        <w:t xml:space="preserve"> </w:t>
      </w:r>
      <w:r w:rsidRPr="00005C18">
        <w:rPr>
          <w:rFonts w:asciiTheme="majorHAnsi" w:hAnsiTheme="majorHAnsi"/>
        </w:rPr>
        <w:t xml:space="preserve">also found this when comparing tumour tissue to normal mucosa of the colon or rectum, and hypothesized that telomere shortening </w:t>
      </w:r>
      <w:r w:rsidRPr="00E82D3B">
        <w:rPr>
          <w:rFonts w:asciiTheme="majorHAnsi" w:hAnsiTheme="majorHAnsi"/>
        </w:rPr>
        <w:t xml:space="preserve">was an initiating event leading to chromosomal instability. However they also claimed there </w:t>
      </w:r>
      <w:proofErr w:type="gramStart"/>
      <w:r w:rsidR="00A272CE" w:rsidRPr="00E82D3B">
        <w:rPr>
          <w:rFonts w:asciiTheme="majorHAnsi" w:hAnsiTheme="majorHAnsi"/>
        </w:rPr>
        <w:t>was</w:t>
      </w:r>
      <w:proofErr w:type="gramEnd"/>
      <w:r w:rsidRPr="00E82D3B">
        <w:rPr>
          <w:rFonts w:asciiTheme="majorHAnsi" w:hAnsiTheme="majorHAnsi"/>
        </w:rPr>
        <w:t xml:space="preserve"> no correlation between</w:t>
      </w:r>
      <w:r w:rsidRPr="00005C18">
        <w:rPr>
          <w:rFonts w:asciiTheme="majorHAnsi" w:hAnsiTheme="majorHAnsi"/>
        </w:rPr>
        <w:t xml:space="preserve"> tumour progression and the shortening of telomeres, which was supported by further studies </w:t>
      </w:r>
      <w:r>
        <w:rPr>
          <w:rFonts w:asciiTheme="majorHAnsi" w:hAnsiTheme="majorHAnsi"/>
        </w:rPr>
        <w:fldChar w:fldCharType="begin">
          <w:fldData xml:space="preserve">PEVuZE5vdGU+PENpdGU+PEF1dGhvcj5HZXJ0bGVyPC9BdXRob3I+PFllYXI+MjAwNDwvWWVhcj48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PEVuZE5vdGU+PENpdGU+PEF1dGhvcj5HZXJ0bGVyPC9BdXRob3I+PFllYXI+MjAwNDwvWWVhcj48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(Gertler et al., 2004, Sullivan et al., 2006)</w:t>
      </w:r>
      <w:r>
        <w:rPr>
          <w:rFonts w:asciiTheme="majorHAnsi" w:hAnsiTheme="majorHAnsi"/>
        </w:rPr>
        <w:fldChar w:fldCharType="end"/>
      </w:r>
      <w:r>
        <w:rPr>
          <w:rFonts w:asciiTheme="majorHAnsi" w:hAnsiTheme="majorHAnsi"/>
        </w:rPr>
        <w:t xml:space="preserve">. In fact emerging data suggests that it is telomerase activity that could potentially be a prognostic marker within CIN CRC cancer, rather than the length of telomeres, with higher activity correlating to worse overall survival </w:t>
      </w:r>
      <w:r>
        <w:rPr>
          <w:rFonts w:asciiTheme="majorHAnsi" w:hAnsiTheme="majorHAnsi"/>
        </w:rPr>
        <w:fldChar w:fldCharType="begin"/>
      </w:r>
      <w:r>
        <w:rPr>
          <w:rFonts w:asciiTheme="majorHAnsi" w:hAnsiTheme="majorHAnsi"/>
        </w:rPr>
        <w:instrText xml:space="preserve"> ADDIN EN.CITE &lt;EndNote&gt;&lt;Cite&gt;&lt;Author&gt;Bertorelle&lt;/Author&gt;&lt;Year&gt;2014&lt;/Year&gt;&lt;IDText&gt;Telomeres, telomerase and colorectal cancer&lt;/IDText&gt;&lt;DisplayText&gt;(Bertorelle et al., 2014)&lt;/DisplayText&gt;&lt;record&gt;&lt;dates&gt;&lt;pub-dates&gt;&lt;date&gt;Feb&lt;/date&gt;&lt;/pub-dates&gt;&lt;year&gt;2014&lt;/year&gt;&lt;/dates&gt;&lt;keywords&gt;&lt;keyword&gt;Biomarkers, Tumor&lt;/keyword&gt;&lt;keyword&gt;Cell Aging&lt;/keyword&gt;&lt;keyword&gt;Cell Proliferation&lt;/keyword&gt;&lt;keyword&gt;Cell Transformation, Neoplastic&lt;/keyword&gt;&lt;keyword&gt;Chromosomal Instability&lt;/keyword&gt;&lt;keyword&gt;Chromosomes&lt;/keyword&gt;&lt;keyword&gt;Colorectal Neoplasms&lt;/keyword&gt;&lt;keyword&gt;DNA&lt;/keyword&gt;&lt;keyword&gt;Disease Progression&lt;/keyword&gt;&lt;keyword&gt;Epigenesis, Genetic&lt;/keyword&gt;&lt;keyword&gt;Humans&lt;/keyword&gt;&lt;keyword&gt;Prognosis&lt;/keyword&gt;&lt;keyword&gt;Telomerase&lt;/keyword&gt;&lt;keyword&gt;Telomere&lt;/keyword&gt;&lt;keyword&gt;Treatment Outcome&lt;/keyword&gt;&lt;/keywords&gt;&lt;urls&gt;&lt;related-urls&gt;&lt;url&gt;https://www.ncbi.nlm.nih.gov/pubmed/24616570&lt;/url&gt;&lt;/related-urls&gt;&lt;/urls&gt;&lt;isbn&gt;2219-2840&lt;/isbn&gt;&lt;custom2&gt;PMC3934464&lt;/custom2&gt;&lt;titles&gt;&lt;title&gt;Telomeres, telomerase and colorectal cancer&lt;/title&gt;&lt;secondary-title&gt;World J Gastroenterol&lt;/secondary-title&gt;&lt;/titles&gt;&lt;pages&gt;1940-50&lt;/pages&gt;&lt;number&gt;8&lt;/number&gt;&lt;contributors&gt;&lt;authors&gt;&lt;author&gt;Bertorelle, R.&lt;/author&gt;&lt;author&gt;Rampazzo, E.&lt;/author&gt;&lt;author&gt;Pucciarelli, S.&lt;/author&gt;&lt;author&gt;Nitti, D.&lt;/author&gt;&lt;author&gt;De Rossi, A.&lt;/author&gt;&lt;/authors&gt;&lt;/contributors&gt;&lt;language&gt;eng&lt;/language&gt;&lt;added-date format="utc"&gt;1509109290&lt;/added-date&gt;&lt;ref-type name="Journal Article"&gt;17&lt;/ref-type&gt;&lt;rec-number&gt;311&lt;/rec-number&gt;&lt;last-updated-date format="utc"&gt;1509109290&lt;/last-updated-date&gt;&lt;accession-num&gt;24616570&lt;/accession-num&gt;&lt;electronic-resource-num&gt;10.3748/wjg.v20.i8.1940&lt;/electronic-resource-num&gt;&lt;volume&gt;20&lt;/volume&gt;&lt;/record&gt;&lt;/Cite&gt;&lt;/EndNote&gt;</w:instrText>
      </w:r>
      <w:r>
        <w:rPr>
          <w:rFonts w:asciiTheme="majorHAnsi" w:hAnsiTheme="majorHAnsi"/>
        </w:rPr>
        <w:fldChar w:fldCharType="separate"/>
      </w:r>
      <w:r>
        <w:rPr>
          <w:rFonts w:asciiTheme="majorHAnsi" w:hAnsiTheme="majorHAnsi"/>
          <w:noProof/>
        </w:rPr>
        <w:t>(Bertorelle et al., 2014)</w:t>
      </w:r>
      <w:r>
        <w:rPr>
          <w:rFonts w:asciiTheme="majorHAnsi" w:hAnsiTheme="majorHAnsi"/>
        </w:rPr>
        <w:fldChar w:fldCharType="end"/>
      </w:r>
      <w:r>
        <w:rPr>
          <w:rFonts w:asciiTheme="majorHAnsi" w:hAnsiTheme="majorHAnsi"/>
        </w:rPr>
        <w:t xml:space="preserve">. </w:t>
      </w:r>
    </w:p>
    <w:p w14:paraId="21EDA2EE" w14:textId="77777777" w:rsidR="00B15A35" w:rsidRPr="007614F3" w:rsidRDefault="00B15A35" w:rsidP="00B15A35">
      <w:pPr>
        <w:spacing w:line="360" w:lineRule="auto"/>
        <w:jc w:val="both"/>
        <w:rPr>
          <w:rFonts w:asciiTheme="majorHAnsi" w:hAnsiTheme="majorHAnsi"/>
          <w:b/>
          <w:i/>
          <w:lang w:val="en-US"/>
        </w:rPr>
      </w:pPr>
    </w:p>
    <w:p w14:paraId="349051F0" w14:textId="77777777" w:rsidR="00B15A35" w:rsidRPr="007614F3" w:rsidRDefault="00B15A35" w:rsidP="002F41C6">
      <w:pPr>
        <w:pStyle w:val="ListParagraph"/>
        <w:numPr>
          <w:ilvl w:val="0"/>
          <w:numId w:val="35"/>
        </w:numPr>
        <w:spacing w:line="360" w:lineRule="auto"/>
        <w:jc w:val="both"/>
        <w:rPr>
          <w:rFonts w:asciiTheme="majorHAnsi" w:hAnsiTheme="majorHAnsi"/>
          <w:b/>
          <w:i/>
          <w:lang w:val="en-US"/>
        </w:rPr>
      </w:pPr>
      <w:r>
        <w:rPr>
          <w:rFonts w:asciiTheme="majorHAnsi" w:hAnsiTheme="majorHAnsi"/>
          <w:b/>
          <w:i/>
        </w:rPr>
        <w:t>Microsatellite Instability (MSI)</w:t>
      </w:r>
    </w:p>
    <w:p w14:paraId="1FA436FC" w14:textId="1B5317F8" w:rsidR="00B15A35" w:rsidRDefault="00B15A35" w:rsidP="00B15A35">
      <w:pPr>
        <w:pStyle w:val="NoSpacing"/>
        <w:spacing w:line="360" w:lineRule="auto"/>
        <w:jc w:val="both"/>
        <w:rPr>
          <w:rFonts w:asciiTheme="majorHAnsi" w:hAnsiTheme="majorHAnsi"/>
        </w:rPr>
      </w:pPr>
      <w:r w:rsidRPr="007614F3">
        <w:rPr>
          <w:rFonts w:asciiTheme="majorHAnsi" w:hAnsiTheme="majorHAnsi"/>
        </w:rPr>
        <w:t>Microsatellite sequences (MS) are categorized as short-repeat units of nucleotides (1-6bp)</w:t>
      </w:r>
      <w:r>
        <w:rPr>
          <w:rFonts w:asciiTheme="majorHAnsi" w:hAnsiTheme="majorHAnsi"/>
        </w:rPr>
        <w:t xml:space="preserve">, found throughout the genome, and which are polymorphic among individuals.  Often during replication the DNA is copied incorrectly resulting in mismatched </w:t>
      </w:r>
      <w:r w:rsidR="009823EF">
        <w:rPr>
          <w:rFonts w:asciiTheme="majorHAnsi" w:hAnsiTheme="majorHAnsi"/>
        </w:rPr>
        <w:t xml:space="preserve">bases </w:t>
      </w:r>
      <w:r>
        <w:rPr>
          <w:rFonts w:asciiTheme="majorHAnsi" w:hAnsiTheme="majorHAnsi"/>
        </w:rPr>
        <w:t xml:space="preserve">or the incorrect number of bases, especially where there are repeats such as at microsatellites. This can result in either point mutations or strand slippage and temporary insertion-deletion loops which then results in nonsense mutations and a truncated protein. The </w:t>
      </w:r>
      <w:r w:rsidRPr="007614F3">
        <w:rPr>
          <w:rFonts w:asciiTheme="majorHAnsi" w:hAnsiTheme="majorHAnsi"/>
        </w:rPr>
        <w:t xml:space="preserve">mis-match repair </w:t>
      </w:r>
      <w:r>
        <w:rPr>
          <w:rFonts w:asciiTheme="majorHAnsi" w:hAnsiTheme="majorHAnsi"/>
        </w:rPr>
        <w:t xml:space="preserve">(MMR) </w:t>
      </w:r>
      <w:r w:rsidRPr="007614F3">
        <w:rPr>
          <w:rFonts w:asciiTheme="majorHAnsi" w:hAnsiTheme="majorHAnsi"/>
        </w:rPr>
        <w:t xml:space="preserve">system </w:t>
      </w:r>
      <w:r>
        <w:rPr>
          <w:rFonts w:asciiTheme="majorHAnsi" w:hAnsiTheme="majorHAnsi"/>
        </w:rPr>
        <w:t xml:space="preserve">recognizes and </w:t>
      </w:r>
      <w:r w:rsidRPr="007614F3">
        <w:rPr>
          <w:rFonts w:asciiTheme="majorHAnsi" w:hAnsiTheme="majorHAnsi"/>
        </w:rPr>
        <w:t>repair</w:t>
      </w:r>
      <w:r>
        <w:rPr>
          <w:rFonts w:asciiTheme="majorHAnsi" w:hAnsiTheme="majorHAnsi"/>
        </w:rPr>
        <w:t>s</w:t>
      </w:r>
      <w:r w:rsidRPr="007614F3">
        <w:rPr>
          <w:rFonts w:asciiTheme="majorHAnsi" w:hAnsiTheme="majorHAnsi"/>
        </w:rPr>
        <w:t xml:space="preserve"> the </w:t>
      </w:r>
      <w:r>
        <w:rPr>
          <w:rFonts w:asciiTheme="majorHAnsi" w:hAnsiTheme="majorHAnsi"/>
        </w:rPr>
        <w:t>replication errors that have escaped exonuclease proof reading and therefore prevent</w:t>
      </w:r>
      <w:r w:rsidRPr="007614F3">
        <w:rPr>
          <w:rFonts w:asciiTheme="majorHAnsi" w:hAnsiTheme="majorHAnsi"/>
        </w:rPr>
        <w:t xml:space="preserve"> mutations bein</w:t>
      </w:r>
      <w:r>
        <w:rPr>
          <w:rFonts w:asciiTheme="majorHAnsi" w:hAnsiTheme="majorHAnsi"/>
        </w:rPr>
        <w:t>g passed on to daughter cells</w:t>
      </w:r>
      <w:r w:rsidR="00D66FC3">
        <w:rPr>
          <w:rFonts w:asciiTheme="majorHAnsi" w:hAnsiTheme="majorHAnsi"/>
        </w:rPr>
        <w:t xml:space="preserve"> (as was shown in Figure 1.3)</w:t>
      </w:r>
      <w:r>
        <w:rPr>
          <w:rFonts w:asciiTheme="majorHAnsi" w:hAnsiTheme="majorHAnsi"/>
        </w:rPr>
        <w:t>. However, i</w:t>
      </w:r>
      <w:r w:rsidRPr="007614F3">
        <w:rPr>
          <w:rFonts w:asciiTheme="majorHAnsi" w:hAnsiTheme="majorHAnsi"/>
        </w:rPr>
        <w:t xml:space="preserve">f this repair system is operating insufficiently then mutations can begin to accumulate </w:t>
      </w:r>
      <w:r>
        <w:rPr>
          <w:rFonts w:asciiTheme="majorHAnsi" w:hAnsiTheme="majorHAnsi"/>
        </w:rPr>
        <w:fldChar w:fldCharType="begin"/>
      </w:r>
      <w:r>
        <w:rPr>
          <w:rFonts w:asciiTheme="majorHAnsi" w:hAnsiTheme="majorHAnsi"/>
        </w:rPr>
        <w:instrText xml:space="preserve"> ADDIN EN.CITE &lt;EndNote&gt;&lt;Cite&gt;&lt;Author&gt;Horvat&lt;/Author&gt;&lt;Year&gt;2011&lt;/Year&gt;&lt;IDText&gt;Microsatellite instability in colorectal cancer&lt;/IDText&gt;&lt;DisplayText&gt;(Horvat and Stabuc, 2011)&lt;/DisplayText&gt;&lt;record&gt;&lt;keywords&gt;&lt;keyword&gt;Chemotherapy&lt;/keyword&gt;&lt;keyword&gt;Colorectal Cancer&lt;/keyword&gt;&lt;keyword&gt;Microsatellite Instability&lt;/keyword&gt;&lt;/keywords&gt;&lt;isbn&gt;13182099&lt;/isbn&gt;&lt;titles&gt;&lt;title&gt;Microsatellite instability in colorectal cancer&lt;/title&gt;&lt;secondary-title&gt;Radiology and Oncology&lt;/secondary-title&gt;&lt;/titles&gt;&lt;pages&gt;75-81&lt;/pages&gt;&lt;number&gt;2&lt;/number&gt;&lt;contributors&gt;&lt;authors&gt;&lt;author&gt;Horvat, Matej&lt;/author&gt;&lt;author&gt;Stabuc, Borut&lt;/author&gt;&lt;/authors&gt;&lt;/contributors&gt;&lt;added-date format="utc"&gt;1425982953&lt;/added-date&gt;&lt;ref-type name="Journal Article"&gt;17&lt;/ref-type&gt;&lt;dates&gt;&lt;year&gt;2011&lt;/year&gt;&lt;/dates&gt;&lt;rec-number&gt;51&lt;/rec-number&gt;&lt;last-updated-date format="utc"&gt;1447344014&lt;/last-updated-date&gt;&lt;electronic-resource-num&gt;10.2478/v10019-011-0005-8&lt;/electronic-resource-num&gt;&lt;volume&gt;45&lt;/volume&gt;&lt;/record&gt;&lt;/Cite&gt;&lt;/EndNote&gt;</w:instrText>
      </w:r>
      <w:r>
        <w:rPr>
          <w:rFonts w:asciiTheme="majorHAnsi" w:hAnsiTheme="majorHAnsi"/>
        </w:rPr>
        <w:fldChar w:fldCharType="separate"/>
      </w:r>
      <w:r>
        <w:rPr>
          <w:rFonts w:asciiTheme="majorHAnsi" w:hAnsiTheme="majorHAnsi"/>
          <w:noProof/>
        </w:rPr>
        <w:t>(Horvat and Stabuc, 2011)</w:t>
      </w:r>
      <w:r>
        <w:rPr>
          <w:rFonts w:asciiTheme="majorHAnsi" w:hAnsiTheme="majorHAnsi"/>
        </w:rPr>
        <w:fldChar w:fldCharType="end"/>
      </w:r>
      <w:r>
        <w:rPr>
          <w:rFonts w:asciiTheme="majorHAnsi" w:hAnsiTheme="majorHAnsi"/>
        </w:rPr>
        <w:t>.</w:t>
      </w:r>
      <w:r w:rsidRPr="007614F3">
        <w:rPr>
          <w:rFonts w:asciiTheme="majorHAnsi" w:hAnsiTheme="majorHAnsi"/>
        </w:rPr>
        <w:t xml:space="preserve"> </w:t>
      </w:r>
      <w:r>
        <w:rPr>
          <w:rFonts w:asciiTheme="majorHAnsi" w:hAnsiTheme="majorHAnsi"/>
        </w:rPr>
        <w:t>Therefore, defects in MMR contribute to the MSI phenotype. I</w:t>
      </w:r>
      <w:r w:rsidRPr="007614F3">
        <w:rPr>
          <w:rFonts w:asciiTheme="majorHAnsi" w:hAnsiTheme="majorHAnsi"/>
        </w:rPr>
        <w:t xml:space="preserve">n contrast to CIN, </w:t>
      </w:r>
      <w:r w:rsidR="00733C16">
        <w:rPr>
          <w:rFonts w:asciiTheme="majorHAnsi" w:hAnsiTheme="majorHAnsi"/>
        </w:rPr>
        <w:t xml:space="preserve">the majority of </w:t>
      </w:r>
      <w:r w:rsidRPr="007614F3">
        <w:rPr>
          <w:rFonts w:asciiTheme="majorHAnsi" w:hAnsiTheme="majorHAnsi"/>
        </w:rPr>
        <w:t xml:space="preserve">colorectal tumours with </w:t>
      </w:r>
      <w:r>
        <w:rPr>
          <w:rFonts w:asciiTheme="majorHAnsi" w:hAnsiTheme="majorHAnsi"/>
        </w:rPr>
        <w:t>MSI</w:t>
      </w:r>
      <w:r w:rsidRPr="007614F3">
        <w:rPr>
          <w:rFonts w:asciiTheme="majorHAnsi" w:hAnsiTheme="majorHAnsi"/>
        </w:rPr>
        <w:t xml:space="preserve"> have a diploid chromosomal pattern and therefore the changes to the genome are smaller and less easily detectable </w:t>
      </w:r>
      <w:r>
        <w:rPr>
          <w:rFonts w:asciiTheme="majorHAnsi" w:hAnsiTheme="majorHAnsi"/>
        </w:rPr>
        <w:fldChar w:fldCharType="begin"/>
      </w:r>
      <w:r>
        <w:rPr>
          <w:rFonts w:asciiTheme="majorHAnsi" w:hAnsiTheme="majorHAnsi"/>
        </w:rPr>
        <w:instrText xml:space="preserve"> ADDIN EN.CITE &lt;EndNote&gt;&lt;Cite&gt;&lt;Author&gt;Lengauer&lt;/Author&gt;&lt;Year&gt;1997&lt;/Year&gt;&lt;IDText&gt;Genetic instability in colorectal cancers&lt;/IDText&gt;&lt;DisplayText&gt;(Lengauer et al., 1997)&lt;/DisplayText&gt;&lt;record&gt;&lt;isbn&gt;0028-0836&lt;/isbn&gt;&lt;titles&gt;&lt;title&gt;Genetic instability in colorectal cancers&lt;/title&gt;&lt;secondary-title&gt;Nature&lt;/secondary-title&gt;&lt;/titles&gt;&lt;pages&gt;623-627&lt;/pages&gt;&lt;number&gt;6625&lt;/number&gt;&lt;contributors&gt;&lt;authors&gt;&lt;author&gt;Lengauer, C.&lt;/author&gt;&lt;author&gt;Kinzler, Kw&lt;/author&gt;&lt;author&gt;Vogelstein, B.&lt;/author&gt;&lt;/authors&gt;&lt;/contributors&gt;&lt;added-date format="utc"&gt;1425984027&lt;/added-date&gt;&lt;ref-type name="Journal Article"&gt;17&lt;/ref-type&gt;&lt;dates&gt;&lt;year&gt;1997&lt;/year&gt;&lt;/dates&gt;&lt;rec-number&gt;66&lt;/rec-number&gt;&lt;last-updated-date format="utc"&gt;1447344165&lt;/last-updated-date&gt;&lt;volume&gt;386&lt;/volume&gt;&lt;/record&gt;&lt;/Cite&gt;&lt;/EndNote&gt;</w:instrText>
      </w:r>
      <w:r>
        <w:rPr>
          <w:rFonts w:asciiTheme="majorHAnsi" w:hAnsiTheme="majorHAnsi"/>
        </w:rPr>
        <w:fldChar w:fldCharType="separate"/>
      </w:r>
      <w:r>
        <w:rPr>
          <w:rFonts w:asciiTheme="majorHAnsi" w:hAnsiTheme="majorHAnsi"/>
          <w:noProof/>
        </w:rPr>
        <w:t>(Lengauer et al., 1997)</w:t>
      </w:r>
      <w:r>
        <w:rPr>
          <w:rFonts w:asciiTheme="majorHAnsi" w:hAnsiTheme="majorHAnsi"/>
        </w:rPr>
        <w:fldChar w:fldCharType="end"/>
      </w:r>
      <w:r w:rsidR="00733C16">
        <w:rPr>
          <w:rFonts w:asciiTheme="majorHAnsi" w:hAnsiTheme="majorHAnsi"/>
        </w:rPr>
        <w:t>. This phenotype occurs</w:t>
      </w:r>
      <w:r w:rsidRPr="007614F3">
        <w:rPr>
          <w:rFonts w:asciiTheme="majorHAnsi" w:hAnsiTheme="majorHAnsi"/>
        </w:rPr>
        <w:t xml:space="preserve"> in around 15% of CRC cases </w:t>
      </w:r>
      <w:r>
        <w:rPr>
          <w:rFonts w:asciiTheme="majorHAnsi" w:hAnsiTheme="majorHAnsi"/>
        </w:rPr>
        <w:fldChar w:fldCharType="begin"/>
      </w:r>
      <w:r>
        <w:rPr>
          <w:rFonts w:asciiTheme="majorHAnsi" w:hAnsiTheme="majorHAnsi"/>
        </w:rPr>
        <w:instrText xml:space="preserve"> ADDIN EN.CITE &lt;EndNote&gt;&lt;Cite&gt;&lt;Author&gt;Dyrsø&lt;/Author&gt;&lt;Year&gt;2011&lt;/Year&gt;&lt;IDText&gt;Identification of chromosome aberrations in sporadic microsatellite stable and unstable colorectal cancers using array comparative genomic hybridization&lt;/IDText&gt;&lt;DisplayText&gt;(Dyrsø et al., 2011)&lt;/DisplayText&gt;&lt;record&gt;&lt;keywords&gt;&lt;keyword&gt;Array Cgh&lt;/keyword&gt;&lt;keyword&gt;Chromosome Instability&lt;/keyword&gt;&lt;keyword&gt;Colorectal Cancer&lt;/keyword&gt;&lt;keyword&gt;Microsatellite Instability&lt;/keyword&gt;&lt;keyword&gt;Microsatellite Stability&lt;/keyword&gt;&lt;/keywords&gt;&lt;isbn&gt;22107762&lt;/isbn&gt;&lt;titles&gt;&lt;title&gt;Identification of chromosome aberrations in sporadic microsatellite stable and unstable colorectal cancers using array comparative genomic hybridization&lt;/title&gt;&lt;secondary-title&gt;Cancer Genetics&lt;/secondary-title&gt;&lt;/titles&gt;&lt;pages&gt;84-95&lt;/pages&gt;&lt;number&gt;2&lt;/number&gt;&lt;contributors&gt;&lt;authors&gt;&lt;author&gt;Dyrsø, Thomas&lt;/author&gt;&lt;author&gt;Kølvraa, Steen&lt;/author&gt;&lt;author&gt;Bruun-Petersen, Gert&lt;/author&gt;&lt;author&gt;Crüuger, Dorthe G.&lt;/author&gt;&lt;author&gt;Li, Jian&lt;/author&gt;&lt;author&gt;Wang, Kai&lt;/author&gt;&lt;author&gt;Bolund, Lars&lt;/author&gt;&lt;author&gt;Li, Shengting&lt;/author&gt;&lt;author&gt;Lindebjerg, Jan&lt;/author&gt;&lt;author&gt;Jakobsen, Anders&lt;/author&gt;&lt;/authors&gt;&lt;/contributors&gt;&lt;added-date format="utc"&gt;1425983163&lt;/added-date&gt;&lt;ref-type name="Journal Article"&gt;17&lt;/ref-type&gt;&lt;dates&gt;&lt;year&gt;2011&lt;/year&gt;&lt;/dates&gt;&lt;rec-number&gt;53&lt;/rec-number&gt;&lt;last-updated-date format="utc"&gt;1447344549&lt;/last-updated-date&gt;&lt;electronic-resource-num&gt;10.1016/j.cancergencyto.2010.08.019&lt;/electronic-resource-num&gt;&lt;volume&gt;204&lt;/volume&gt;&lt;/record&gt;&lt;/Cite&gt;&lt;/EndNote&gt;</w:instrText>
      </w:r>
      <w:r>
        <w:rPr>
          <w:rFonts w:asciiTheme="majorHAnsi" w:hAnsiTheme="majorHAnsi"/>
        </w:rPr>
        <w:fldChar w:fldCharType="separate"/>
      </w:r>
      <w:r>
        <w:rPr>
          <w:rFonts w:asciiTheme="majorHAnsi" w:hAnsiTheme="majorHAnsi"/>
          <w:noProof/>
        </w:rPr>
        <w:t>(Dyrsø et al., 2011)</w:t>
      </w:r>
      <w:r>
        <w:rPr>
          <w:rFonts w:asciiTheme="majorHAnsi" w:hAnsiTheme="majorHAnsi"/>
        </w:rPr>
        <w:fldChar w:fldCharType="end"/>
      </w:r>
      <w:r>
        <w:rPr>
          <w:rFonts w:asciiTheme="majorHAnsi" w:hAnsiTheme="majorHAnsi"/>
        </w:rPr>
        <w:t>.</w:t>
      </w:r>
    </w:p>
    <w:p w14:paraId="79DE305E" w14:textId="77777777" w:rsidR="00B15A35" w:rsidRDefault="00B15A35" w:rsidP="00B15A35">
      <w:pPr>
        <w:pStyle w:val="NoSpacing"/>
        <w:spacing w:line="360" w:lineRule="auto"/>
        <w:jc w:val="both"/>
        <w:rPr>
          <w:rFonts w:asciiTheme="majorHAnsi" w:hAnsiTheme="majorHAnsi"/>
        </w:rPr>
      </w:pPr>
    </w:p>
    <w:p w14:paraId="5BF289A5" w14:textId="371C9F6A" w:rsidR="00B15A35" w:rsidRDefault="00B15A35" w:rsidP="00B15A35">
      <w:pPr>
        <w:pStyle w:val="NoSpacing"/>
        <w:spacing w:line="360" w:lineRule="auto"/>
        <w:jc w:val="both"/>
        <w:rPr>
          <w:rFonts w:asciiTheme="majorHAnsi" w:hAnsiTheme="majorHAnsi"/>
        </w:rPr>
      </w:pPr>
      <w:r w:rsidRPr="000D1DAD">
        <w:rPr>
          <w:rFonts w:asciiTheme="majorHAnsi" w:hAnsiTheme="majorHAnsi"/>
        </w:rPr>
        <w:t xml:space="preserve">A CRC tumour is said to be microsatellite stable for the individual if the repeating sequences are identical in every malignant cell </w:t>
      </w:r>
      <w:r>
        <w:rPr>
          <w:rFonts w:asciiTheme="majorHAnsi" w:hAnsiTheme="majorHAnsi"/>
        </w:rPr>
        <w:fldChar w:fldCharType="begin"/>
      </w:r>
      <w:r>
        <w:rPr>
          <w:rFonts w:asciiTheme="majorHAnsi" w:hAnsiTheme="majorHAnsi"/>
        </w:rPr>
        <w:instrText xml:space="preserve"> ADDIN EN.CITE &lt;EndNote&gt;&lt;Cite&gt;&lt;Author&gt;Worthley&lt;/Author&gt;&lt;Year&gt;2010&lt;/Year&gt;&lt;IDText&gt;Colorectal cancer: molecular features and clinical opportunities&lt;/IDText&gt;&lt;DisplayText&gt;(Worthley and Leggett, 2010)&lt;/DisplayText&gt;&lt;record&gt;&lt;isbn&gt;0159-8090&lt;/isbn&gt;&lt;titles&gt;&lt;title&gt;Colorectal cancer: molecular features and clinical opportunities&lt;/title&gt;&lt;secondary-title&gt;The Clinical biochemist. Reviews / Australian Association of Clinical Biochemists&lt;/secondary-title&gt;&lt;/titles&gt;&lt;pages&gt;31&lt;/pages&gt;&lt;number&gt;2&lt;/number&gt;&lt;contributors&gt;&lt;authors&gt;&lt;author&gt;Worthley, Daniel L.&lt;/author&gt;&lt;author&gt;Leggett, Barbara A.&lt;/author&gt;&lt;/authors&gt;&lt;/contributors&gt;&lt;added-date format="utc"&gt;1425999469&lt;/added-date&gt;&lt;ref-type name="Journal Article"&gt;17&lt;/ref-type&gt;&lt;dates&gt;&lt;year&gt;2010&lt;/year&gt;&lt;/dates&gt;&lt;rec-number&gt;108&lt;/rec-number&gt;&lt;last-updated-date format="utc"&gt;1447344368&lt;/last-updated-date&gt;&lt;volume&gt;31&lt;/volume&gt;&lt;/record&gt;&lt;/Cite&gt;&lt;/EndNote&gt;</w:instrText>
      </w:r>
      <w:r>
        <w:rPr>
          <w:rFonts w:asciiTheme="majorHAnsi" w:hAnsiTheme="majorHAnsi"/>
        </w:rPr>
        <w:fldChar w:fldCharType="separate"/>
      </w:r>
      <w:r>
        <w:rPr>
          <w:rFonts w:asciiTheme="majorHAnsi" w:hAnsiTheme="majorHAnsi"/>
          <w:noProof/>
        </w:rPr>
        <w:t>(Worthley and Leggett, 2010)</w:t>
      </w:r>
      <w:r>
        <w:rPr>
          <w:rFonts w:asciiTheme="majorHAnsi" w:hAnsiTheme="majorHAnsi"/>
        </w:rPr>
        <w:fldChar w:fldCharType="end"/>
      </w:r>
      <w:r>
        <w:rPr>
          <w:rFonts w:asciiTheme="majorHAnsi" w:hAnsiTheme="majorHAnsi"/>
        </w:rPr>
        <w:t>.</w:t>
      </w:r>
      <w:r w:rsidRPr="000D1DAD">
        <w:rPr>
          <w:rFonts w:asciiTheme="majorHAnsi" w:hAnsiTheme="majorHAnsi"/>
        </w:rPr>
        <w:t xml:space="preserve"> MSI has to be established using Bethesda markers, these are five repeating sequences used as markers, either mononucleotide repeats- BAT25 or BAT26 or dinucleotide repeats- D2S123, D5S346 or D17S250 </w:t>
      </w:r>
      <w:r>
        <w:rPr>
          <w:rFonts w:asciiTheme="majorHAnsi" w:hAnsiTheme="majorHAnsi"/>
        </w:rPr>
        <w:fldChar w:fldCharType="begin"/>
      </w:r>
      <w:r>
        <w:rPr>
          <w:rFonts w:asciiTheme="majorHAnsi" w:hAnsiTheme="majorHAnsi"/>
        </w:rPr>
        <w:instrText xml:space="preserve"> ADDIN EN.CITE &lt;EndNote&gt;&lt;Cite&gt;&lt;Author&gt;Loukola&lt;/Author&gt;&lt;Year&gt;2001&lt;/Year&gt;&lt;IDText&gt;Microsatellite marker analysis in screening for hereditary nonpolyposis colorectal cancer (HNPCC)&lt;/IDText&gt;&lt;DisplayText&gt;(Loukola et al., 2001)&lt;/DisplayText&gt;&lt;record&gt;&lt;dates&gt;&lt;pub-dates&gt;&lt;date&gt;Jun&lt;/date&gt;&lt;/pub-dates&gt;&lt;year&gt;2001&lt;/year&gt;&lt;/dates&gt;&lt;keywords&gt;&lt;keyword&gt;Adaptor Proteins, Signal Transducing&lt;/keyword&gt;&lt;keyword&gt;Adult&lt;/keyword&gt;&lt;keyword&gt;Aged&lt;/keyword&gt;&lt;keyword&gt;Aged, 80 and over&lt;/keyword&gt;&lt;keyword&gt;Carrier Proteins&lt;/keyword&gt;&lt;keyword&gt;Colorectal Neoplasms, Hereditary Nonpolyposis&lt;/keyword&gt;&lt;keyword&gt;DNA-Binding Proteins&lt;/keyword&gt;&lt;keyword&gt;Genetic Testing&lt;/keyword&gt;&lt;keyword&gt;Germ-Line Mutation&lt;/keyword&gt;&lt;keyword&gt;Humans&lt;/keyword&gt;&lt;keyword&gt;Microsatellite Repeats&lt;/keyword&gt;&lt;keyword&gt;Middle Aged&lt;/keyword&gt;&lt;keyword&gt;MutS Homolog 2 Protein&lt;/keyword&gt;&lt;keyword&gt;Neoplasm Proteins&lt;/keyword&gt;&lt;keyword&gt;Nuclear Proteins&lt;/keyword&gt;&lt;keyword&gt;Proto-Oncogene Proteins&lt;/keyword&gt;&lt;/keywords&gt;&lt;urls&gt;&lt;related-urls&gt;&lt;url&gt;http://www.ncbi.nlm.nih.gov/pubmed/11389088&lt;/url&gt;&lt;/related-urls&gt;&lt;/urls&gt;&lt;isbn&gt;0008-5472&lt;/isbn&gt;&lt;titles&gt;&lt;title&gt;Microsatellite marker analysis in screening for hereditary nonpolyposis colorectal cancer (HNPCC)&lt;/title&gt;&lt;secondary-title&gt;Cancer Res&lt;/secondary-title&gt;&lt;/titles&gt;&lt;pages&gt;4545-9&lt;/pages&gt;&lt;number&gt;11&lt;/number&gt;&lt;contributors&gt;&lt;authors&gt;&lt;author&gt;Loukola, A.&lt;/author&gt;&lt;author&gt;Eklin, K.&lt;/author&gt;&lt;author&gt;Laiho, P.&lt;/author&gt;&lt;author&gt;Salovaara, R.&lt;/author&gt;&lt;author&gt;Kristo, P.&lt;/author&gt;&lt;author&gt;Järvinen, H.&lt;/author&gt;&lt;author&gt;Mecklin, J. P.&lt;/author&gt;&lt;author&gt;Launonen, V.&lt;/author&gt;&lt;author&gt;Aaltonen, L. A.&lt;/author&gt;&lt;/authors&gt;&lt;/contributors&gt;&lt;language&gt;eng&lt;/language&gt;&lt;added-date format="utc"&gt;1428162008&lt;/added-date&gt;&lt;ref-type name="Journal Article"&gt;17&lt;/ref-type&gt;&lt;rec-number&gt;125&lt;/rec-number&gt;&lt;last-updated-date format="utc"&gt;1428162008&lt;/last-updated-date&gt;&lt;accession-num&gt;11389088&lt;/accession-num&gt;&lt;volume&gt;61&lt;/volume&gt;&lt;/record&gt;&lt;/Cite&gt;&lt;/EndNote&gt;</w:instrText>
      </w:r>
      <w:r>
        <w:rPr>
          <w:rFonts w:asciiTheme="majorHAnsi" w:hAnsiTheme="majorHAnsi"/>
        </w:rPr>
        <w:fldChar w:fldCharType="separate"/>
      </w:r>
      <w:r>
        <w:rPr>
          <w:rFonts w:asciiTheme="majorHAnsi" w:hAnsiTheme="majorHAnsi"/>
          <w:noProof/>
        </w:rPr>
        <w:t>(Loukola et al., 2001)</w:t>
      </w:r>
      <w:r>
        <w:rPr>
          <w:rFonts w:asciiTheme="majorHAnsi" w:hAnsiTheme="majorHAnsi"/>
        </w:rPr>
        <w:fldChar w:fldCharType="end"/>
      </w:r>
      <w:r>
        <w:rPr>
          <w:rFonts w:asciiTheme="majorHAnsi" w:hAnsiTheme="majorHAnsi"/>
        </w:rPr>
        <w:t>.</w:t>
      </w:r>
      <w:r w:rsidRPr="000D1DAD">
        <w:rPr>
          <w:rFonts w:asciiTheme="majorHAnsi" w:hAnsiTheme="majorHAnsi"/>
        </w:rPr>
        <w:t xml:space="preserve"> If even one of these markers is altered then the tumour is </w:t>
      </w:r>
      <w:r w:rsidR="00733C16">
        <w:rPr>
          <w:rFonts w:asciiTheme="majorHAnsi" w:hAnsiTheme="majorHAnsi"/>
        </w:rPr>
        <w:t xml:space="preserve">classed as </w:t>
      </w:r>
      <w:r w:rsidRPr="000D1DAD">
        <w:rPr>
          <w:rFonts w:asciiTheme="majorHAnsi" w:hAnsiTheme="majorHAnsi"/>
        </w:rPr>
        <w:t>MSI. This status is then grouped into MSI high (MSI-H) or MSI low (MSI-L) depending on the number of markers that differ. One variation in markers is classed as low and 2 or more is high</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&lt;EndNote&gt;&lt;Cite&gt;&lt;Author&gt;Boland&lt;/Author&gt;&lt;Year&gt;1998&lt;/Year&gt;&lt;IDText&gt;A National Cancer Institute Workshop on Microsatellite Instability for cancer detection and familial predisposition: development of international criteria for the determination of microsatellite instability in colorectal cancer&lt;/IDText&gt;&lt;DisplayText&gt;(Boland et al., 1998)&lt;/DisplayText&gt;&lt;record&gt;&lt;dates&gt;&lt;pub-dates&gt;&lt;date&gt;Nov&lt;/date&gt;&lt;/pub-dates&gt;&lt;year&gt;1998&lt;/year&gt;&lt;/dates&gt;&lt;keywords&gt;&lt;keyword&gt;Colorectal Neoplasms&lt;/keyword&gt;&lt;keyword&gt;Colorectal Neoplasms, Hereditary Nonpolyposis&lt;/keyword&gt;&lt;keyword&gt;Forecasting&lt;/keyword&gt;&lt;keyword&gt;Genetic Predisposition to Disease&lt;/keyword&gt;&lt;keyword&gt;Humans&lt;/keyword&gt;&lt;keyword&gt;Loss of Heterozygosity&lt;/keyword&gt;&lt;keyword&gt;Microsatellite Repeats&lt;/keyword&gt;&lt;keyword&gt;Prognosis&lt;/keyword&gt;&lt;keyword&gt;United States&lt;/keyword&gt;&lt;/keywords&gt;&lt;urls&gt;&lt;related-urls&gt;&lt;url&gt;http://www.ncbi.nlm.nih.gov/pubmed/9823339&lt;/url&gt;&lt;/related-urls&gt;&lt;/urls&gt;&lt;isbn&gt;0008-5472&lt;/isbn&gt;&lt;titles&gt;&lt;title&gt;A National Cancer Institute Workshop on Microsatellite Instability for cancer detection and familial predisposition: development of international criteria for the determination of microsatellite instability in colorectal cancer&lt;/title&gt;&lt;secondary-title&gt;Cancer Res&lt;/secondary-title&gt;&lt;/titles&gt;&lt;pages&gt;5248-57&lt;/pages&gt;&lt;number&gt;22&lt;/number&gt;&lt;contributors&gt;&lt;authors&gt;&lt;author&gt;Boland, C. R.&lt;/author&gt;&lt;author&gt;Thibodeau, S. N.&lt;/author&gt;&lt;author&gt;Hamilton, S. R.&lt;/author&gt;&lt;author&gt;Sidransky, D.&lt;/author&gt;&lt;author&gt;Eshleman, J. R.&lt;/author&gt;&lt;author&gt;Burt, R. W.&lt;/author&gt;&lt;author&gt;Meltzer, S. J.&lt;/author&gt;&lt;author&gt;Rodriguez-Bigas, M. A.&lt;/author&gt;&lt;author&gt;Fodde, R.&lt;/author&gt;&lt;author&gt;Ranzani, G. N.&lt;/author&gt;&lt;author&gt;Srivastava, S.&lt;/author&gt;&lt;/authors&gt;&lt;/contributors&gt;&lt;language&gt;eng&lt;/language&gt;&lt;added-date format="utc"&gt;1425918510&lt;/added-date&gt;&lt;ref-type name="Journal Article"&gt;17&lt;/ref-type&gt;&lt;rec-number&gt;18&lt;/rec-number&gt;&lt;last-updated-date format="utc"&gt;1425918510&lt;/last-updated-date&gt;&lt;accession-num&gt;9823339&lt;/accession-num&gt;&lt;volume&gt;58&lt;/volume&gt;&lt;/record&gt;&lt;/Cite&gt;&lt;/EndNote&gt;</w:instrText>
      </w:r>
      <w:r>
        <w:rPr>
          <w:rFonts w:asciiTheme="majorHAnsi" w:hAnsiTheme="majorHAnsi"/>
        </w:rPr>
        <w:fldChar w:fldCharType="separate"/>
      </w:r>
      <w:r>
        <w:rPr>
          <w:rFonts w:asciiTheme="majorHAnsi" w:hAnsiTheme="majorHAnsi"/>
          <w:noProof/>
        </w:rPr>
        <w:t>(Boland et al., 1998)</w:t>
      </w:r>
      <w:r>
        <w:rPr>
          <w:rFonts w:asciiTheme="majorHAnsi" w:hAnsiTheme="majorHAnsi"/>
        </w:rPr>
        <w:fldChar w:fldCharType="end"/>
      </w:r>
      <w:r>
        <w:rPr>
          <w:rFonts w:asciiTheme="majorHAnsi" w:hAnsiTheme="majorHAnsi"/>
        </w:rPr>
        <w:t xml:space="preserve">. </w:t>
      </w:r>
    </w:p>
    <w:p w14:paraId="029776C1" w14:textId="77777777" w:rsidR="00B15A35" w:rsidRPr="000D1DAD" w:rsidRDefault="00B15A35" w:rsidP="00B15A35">
      <w:pPr>
        <w:pStyle w:val="NoSpacing"/>
        <w:spacing w:line="360" w:lineRule="auto"/>
        <w:jc w:val="both"/>
        <w:rPr>
          <w:rFonts w:asciiTheme="majorHAnsi" w:hAnsiTheme="majorHAnsi"/>
          <w:b/>
        </w:rPr>
      </w:pPr>
    </w:p>
    <w:p w14:paraId="07B38E9A" w14:textId="571F4B42" w:rsidR="00B15A35" w:rsidRDefault="00D66FC3" w:rsidP="00B15A35">
      <w:pPr>
        <w:pStyle w:val="NoSpacing"/>
        <w:spacing w:line="360" w:lineRule="auto"/>
        <w:jc w:val="both"/>
        <w:rPr>
          <w:rFonts w:asciiTheme="majorHAnsi" w:hAnsiTheme="majorHAnsi"/>
        </w:rPr>
      </w:pPr>
      <w:r w:rsidRPr="00E82D3B">
        <w:rPr>
          <w:rFonts w:asciiTheme="majorHAnsi" w:hAnsiTheme="majorHAnsi"/>
        </w:rPr>
        <w:t>As previously mentioned</w:t>
      </w:r>
      <w:r w:rsidR="00A73840" w:rsidRPr="00E82D3B">
        <w:rPr>
          <w:rFonts w:asciiTheme="majorHAnsi" w:hAnsiTheme="majorHAnsi"/>
        </w:rPr>
        <w:t>,</w:t>
      </w:r>
      <w:r w:rsidR="00B15A35" w:rsidRPr="00E82D3B">
        <w:rPr>
          <w:rFonts w:asciiTheme="majorHAnsi" w:hAnsiTheme="majorHAnsi"/>
        </w:rPr>
        <w:t xml:space="preserve"> in HNPCC the majority of aberrations are due to inherited mutations</w:t>
      </w:r>
      <w:r w:rsidR="00733C16" w:rsidRPr="00E82D3B">
        <w:rPr>
          <w:rFonts w:asciiTheme="majorHAnsi" w:hAnsiTheme="majorHAnsi"/>
        </w:rPr>
        <w:t xml:space="preserve"> </w:t>
      </w:r>
      <w:r w:rsidR="00A73840" w:rsidRPr="00E82D3B">
        <w:rPr>
          <w:rFonts w:asciiTheme="majorHAnsi" w:hAnsiTheme="majorHAnsi"/>
        </w:rPr>
        <w:t xml:space="preserve">to mismatch repair genes (e.g. </w:t>
      </w:r>
      <w:r w:rsidR="00A73840" w:rsidRPr="00E82D3B">
        <w:rPr>
          <w:rFonts w:asciiTheme="majorHAnsi" w:hAnsiTheme="majorHAnsi"/>
          <w:i/>
        </w:rPr>
        <w:t>hMLH1</w:t>
      </w:r>
      <w:r w:rsidR="00A73840" w:rsidRPr="00E82D3B">
        <w:rPr>
          <w:rFonts w:asciiTheme="majorHAnsi" w:hAnsiTheme="majorHAnsi"/>
        </w:rPr>
        <w:t xml:space="preserve">, </w:t>
      </w:r>
      <w:r w:rsidR="00A73840" w:rsidRPr="00E82D3B">
        <w:rPr>
          <w:rFonts w:asciiTheme="majorHAnsi" w:hAnsiTheme="majorHAnsi"/>
          <w:i/>
        </w:rPr>
        <w:t>hMSH2</w:t>
      </w:r>
      <w:r w:rsidR="00A73840" w:rsidRPr="00E82D3B">
        <w:rPr>
          <w:rFonts w:asciiTheme="majorHAnsi" w:hAnsiTheme="majorHAnsi"/>
        </w:rPr>
        <w:t xml:space="preserve">), </w:t>
      </w:r>
      <w:r w:rsidR="00733C16" w:rsidRPr="00E82D3B">
        <w:rPr>
          <w:rFonts w:asciiTheme="majorHAnsi" w:hAnsiTheme="majorHAnsi"/>
        </w:rPr>
        <w:t>followed by somatic loss of the second allele</w:t>
      </w:r>
      <w:r w:rsidR="00A73840" w:rsidRPr="00E82D3B">
        <w:rPr>
          <w:rFonts w:asciiTheme="majorHAnsi" w:hAnsiTheme="majorHAnsi"/>
        </w:rPr>
        <w:t>. However, i</w:t>
      </w:r>
      <w:r w:rsidR="00B15A35" w:rsidRPr="00E82D3B">
        <w:rPr>
          <w:rFonts w:asciiTheme="majorHAnsi" w:hAnsiTheme="majorHAnsi"/>
        </w:rPr>
        <w:t xml:space="preserve">n sporadic MSI CRC, a common mechanism of loss of MLH1 expression is through methylation silencing of the </w:t>
      </w:r>
      <w:r w:rsidR="00B15A35" w:rsidRPr="00E82D3B">
        <w:rPr>
          <w:rFonts w:asciiTheme="majorHAnsi" w:hAnsiTheme="majorHAnsi"/>
          <w:i/>
        </w:rPr>
        <w:t>hMLH1</w:t>
      </w:r>
      <w:r w:rsidR="00B15A35" w:rsidRPr="00E82D3B">
        <w:rPr>
          <w:rFonts w:asciiTheme="majorHAnsi" w:hAnsiTheme="majorHAnsi"/>
        </w:rPr>
        <w:t xml:space="preserve"> promoter (this accounts for ~80% of MSI cases). Inherited MSI occurs in younger patients and they usually display </w:t>
      </w:r>
      <w:r w:rsidR="00B15A35" w:rsidRPr="00E82D3B">
        <w:rPr>
          <w:rFonts w:asciiTheme="majorHAnsi" w:hAnsiTheme="majorHAnsi"/>
          <w:i/>
        </w:rPr>
        <w:t>KRAS</w:t>
      </w:r>
      <w:r w:rsidR="00B15A35" w:rsidRPr="00E82D3B">
        <w:rPr>
          <w:rFonts w:asciiTheme="majorHAnsi" w:hAnsiTheme="majorHAnsi"/>
        </w:rPr>
        <w:t xml:space="preserve"> mutations, however, sporadic MSI CRC occurs in older patients, as methylation increases with age, and often display </w:t>
      </w:r>
      <w:r w:rsidR="00B15A35" w:rsidRPr="00E82D3B">
        <w:rPr>
          <w:rFonts w:asciiTheme="majorHAnsi" w:hAnsiTheme="majorHAnsi"/>
          <w:i/>
        </w:rPr>
        <w:t>BRAF</w:t>
      </w:r>
      <w:r w:rsidR="00B15A35" w:rsidRPr="00E82D3B">
        <w:rPr>
          <w:rFonts w:asciiTheme="majorHAnsi" w:hAnsiTheme="majorHAnsi"/>
        </w:rPr>
        <w:t xml:space="preserve"> mutations </w:t>
      </w:r>
      <w:r w:rsidR="00B15A35" w:rsidRPr="00E82D3B">
        <w:rPr>
          <w:rFonts w:asciiTheme="majorHAnsi" w:hAnsiTheme="majorHAnsi"/>
        </w:rPr>
        <w:fldChar w:fldCharType="begin"/>
      </w:r>
      <w:r w:rsidR="00B15A35" w:rsidRPr="00E82D3B">
        <w:rPr>
          <w:rFonts w:asciiTheme="majorHAnsi" w:hAnsiTheme="majorHAnsi"/>
        </w:rPr>
        <w:instrText xml:space="preserve"> ADDIN EN.CITE &lt;EndNote&gt;&lt;Cite&gt;&lt;Author&gt;Boland&lt;/Author&gt;&lt;Year&gt;2010&lt;/Year&gt;&lt;IDText&gt;Microsatellite instability in colorectal cancer&lt;/IDText&gt;&lt;DisplayText&gt;(Boland and Goel, 2010)&lt;/DisplayText&gt;&lt;record&gt;&lt;dates&gt;&lt;pub-dates&gt;&lt;date&gt;Jun&lt;/date&gt;&lt;/pub-dates&gt;&lt;year&gt;2010&lt;/year&gt;&lt;/dates&gt;&lt;keywords&gt;&lt;keyword&gt;Animals&lt;/keyword&gt;&lt;keyword&gt;Cell Transformation, Neoplastic&lt;/keyword&gt;&lt;keyword&gt;Colorectal Neoplasms&lt;/keyword&gt;&lt;keyword&gt;Colorectal Neoplasms, Hereditary Nonpolyposis&lt;/keyword&gt;&lt;keyword&gt;DNA Mismatch Repair&lt;/keyword&gt;&lt;keyword&gt;Gene Expression Regulation, Neoplastic&lt;/keyword&gt;&lt;keyword&gt;Genetic Predisposition to Disease&lt;/keyword&gt;&lt;keyword&gt;Humans&lt;/keyword&gt;&lt;keyword&gt;Microsatellite Instability&lt;/keyword&gt;&lt;keyword&gt;Mutation&lt;/keyword&gt;&lt;keyword&gt;Phenotype&lt;/keyword&gt;&lt;keyword&gt;Risk Factors&lt;/keyword&gt;&lt;keyword&gt;Treatment Outcome&lt;/keyword&gt;&lt;/keywords&gt;&lt;urls&gt;&lt;related-urls&gt;&lt;url&gt;https://www.ncbi.nlm.nih.gov/pubmed/20420947&lt;/url&gt;&lt;/related-urls&gt;&lt;/urls&gt;&lt;isbn&gt;1528-0012&lt;/isbn&gt;&lt;custom2&gt;PMC3037515&lt;/custom2&gt;&lt;titles&gt;&lt;title&gt;Microsatellite instability in colorectal cancer&lt;/title&gt;&lt;secondary-title&gt;Gastroenterology&lt;/secondary-title&gt;&lt;/titles&gt;&lt;pages&gt;2073-2087.e3&lt;/pages&gt;&lt;number&gt;6&lt;/number&gt;&lt;contributors&gt;&lt;authors&gt;&lt;author&gt;Boland, C. R.&lt;/author&gt;&lt;author&gt;Goel, A.&lt;/author&gt;&lt;/authors&gt;&lt;/contributors&gt;&lt;language&gt;eng&lt;/language&gt;&lt;added-date format="utc"&gt;1509364704&lt;/added-date&gt;&lt;ref-type name="Journal Article"&gt;17&lt;/ref-type&gt;&lt;rec-number&gt;312&lt;/rec-number&gt;&lt;last-updated-date format="utc"&gt;1509364704&lt;/last-updated-date&gt;&lt;accession-num&gt;20420947&lt;/accession-num&gt;&lt;electronic-resource-num&gt;10.1053/j.gastro.2009.12.064&lt;/electronic-resource-num&gt;&lt;volume&gt;138&lt;/volume&gt;&lt;/record&gt;&lt;/Cite&gt;&lt;/EndNote&gt;</w:instrText>
      </w:r>
      <w:r w:rsidR="00B15A35" w:rsidRPr="00E82D3B">
        <w:rPr>
          <w:rFonts w:asciiTheme="majorHAnsi" w:hAnsiTheme="majorHAnsi"/>
        </w:rPr>
        <w:fldChar w:fldCharType="separate"/>
      </w:r>
      <w:r w:rsidR="00B15A35" w:rsidRPr="00E82D3B">
        <w:rPr>
          <w:rFonts w:asciiTheme="majorHAnsi" w:hAnsiTheme="majorHAnsi"/>
          <w:noProof/>
        </w:rPr>
        <w:t>(Boland and Goel, 2010)</w:t>
      </w:r>
      <w:r w:rsidR="00B15A35" w:rsidRPr="00E82D3B">
        <w:rPr>
          <w:rFonts w:asciiTheme="majorHAnsi" w:hAnsiTheme="majorHAnsi"/>
        </w:rPr>
        <w:fldChar w:fldCharType="end"/>
      </w:r>
      <w:r w:rsidR="00B15A35" w:rsidRPr="00E82D3B">
        <w:rPr>
          <w:rFonts w:asciiTheme="majorHAnsi" w:hAnsiTheme="majorHAnsi"/>
        </w:rPr>
        <w:t>. Although th</w:t>
      </w:r>
      <w:r w:rsidR="00733C16" w:rsidRPr="00E82D3B">
        <w:rPr>
          <w:rFonts w:asciiTheme="majorHAnsi" w:hAnsiTheme="majorHAnsi"/>
        </w:rPr>
        <w:t>ese</w:t>
      </w:r>
      <w:r w:rsidR="00B15A35" w:rsidRPr="00E82D3B">
        <w:rPr>
          <w:rFonts w:asciiTheme="majorHAnsi" w:hAnsiTheme="majorHAnsi"/>
        </w:rPr>
        <w:t xml:space="preserve"> activating mutations </w:t>
      </w:r>
      <w:r w:rsidR="00733C16" w:rsidRPr="00E82D3B">
        <w:rPr>
          <w:rFonts w:asciiTheme="majorHAnsi" w:hAnsiTheme="majorHAnsi"/>
        </w:rPr>
        <w:t xml:space="preserve">are </w:t>
      </w:r>
      <w:r w:rsidR="00B15A35" w:rsidRPr="00E82D3B">
        <w:rPr>
          <w:rFonts w:asciiTheme="majorHAnsi" w:hAnsiTheme="majorHAnsi"/>
        </w:rPr>
        <w:t>within different genes, due to both</w:t>
      </w:r>
      <w:r w:rsidR="00B15A35">
        <w:rPr>
          <w:rFonts w:asciiTheme="majorHAnsi" w:hAnsiTheme="majorHAnsi"/>
        </w:rPr>
        <w:t xml:space="preserve"> </w:t>
      </w:r>
      <w:r w:rsidR="00B15A35" w:rsidRPr="00A66403">
        <w:rPr>
          <w:rFonts w:asciiTheme="majorHAnsi" w:hAnsiTheme="majorHAnsi"/>
        </w:rPr>
        <w:t>KRAS</w:t>
      </w:r>
      <w:r w:rsidR="00B15A35">
        <w:rPr>
          <w:rFonts w:asciiTheme="majorHAnsi" w:hAnsiTheme="majorHAnsi"/>
        </w:rPr>
        <w:t xml:space="preserve"> and BRAFs roles within the mitogen associated kinase pathway</w:t>
      </w:r>
      <w:r w:rsidR="00733C16">
        <w:rPr>
          <w:rFonts w:asciiTheme="majorHAnsi" w:hAnsiTheme="majorHAnsi"/>
        </w:rPr>
        <w:t>,</w:t>
      </w:r>
      <w:r w:rsidR="00B15A35">
        <w:rPr>
          <w:rFonts w:asciiTheme="majorHAnsi" w:hAnsiTheme="majorHAnsi"/>
        </w:rPr>
        <w:t xml:space="preserve"> they are actually functionally equivalent (Figure 1.5) </w:t>
      </w:r>
      <w:r w:rsidR="00B15A35">
        <w:rPr>
          <w:rFonts w:asciiTheme="majorHAnsi" w:hAnsiTheme="majorHAnsi"/>
        </w:rPr>
        <w:fldChar w:fldCharType="begin"/>
      </w:r>
      <w:r w:rsidR="00B15A35">
        <w:rPr>
          <w:rFonts w:asciiTheme="majorHAnsi" w:hAnsiTheme="majorHAnsi"/>
        </w:rPr>
        <w:instrText xml:space="preserve"> ADDIN EN.CITE &lt;EndNote&gt;&lt;Cite&gt;&lt;Author&gt;Rajagopalan&lt;/Author&gt;&lt;Year&gt;2002&lt;/Year&gt;&lt;IDText&gt;Tumorigenesis: RAF/RAS oncogenes and mismatch-repair status&lt;/IDText&gt;&lt;DisplayText&gt;(Rajagopalan et al., 2002)&lt;/DisplayText&gt;&lt;record&gt;&lt;dates&gt;&lt;pub-dates&gt;&lt;date&gt;Aug&lt;/date&gt;&lt;/pub-dates&gt;&lt;year&gt;2002&lt;/year&gt;&lt;/dates&gt;&lt;keywords&gt;&lt;keyword&gt;Base Pair Mismatch&lt;/keyword&gt;&lt;keyword&gt;Colorectal Neoplasms&lt;/keyword&gt;&lt;keyword&gt;DNA Damage&lt;/keyword&gt;&lt;keyword&gt;DNA Repair&lt;/keyword&gt;&lt;keyword&gt;Gene Frequency&lt;/keyword&gt;&lt;keyword&gt;Genes, ras&lt;/keyword&gt;&lt;keyword&gt;Humans&lt;/keyword&gt;&lt;keyword&gt;Mutation&lt;/keyword&gt;&lt;keyword&gt;Oncogenes&lt;/keyword&gt;&lt;keyword&gt;Proto-Oncogene Proteins c-raf&lt;/keyword&gt;&lt;/keywords&gt;&lt;urls&gt;&lt;related-urls&gt;&lt;url&gt;https://www.ncbi.nlm.nih.gov/pubmed/12198537&lt;/url&gt;&lt;/related-urls&gt;&lt;/urls&gt;&lt;isbn&gt;0028-0836&lt;/isbn&gt;&lt;titles&gt;&lt;title&gt;Tumorigenesis: RAF/RAS oncogenes and mismatch-repair status&lt;/title&gt;&lt;secondary-title&gt;Nature&lt;/secondary-title&gt;&lt;/titles&gt;&lt;pages&gt;934&lt;/pages&gt;&lt;number&gt;6901&lt;/number&gt;&lt;contributors&gt;&lt;authors&gt;&lt;author&gt;Rajagopalan, H.&lt;/author&gt;&lt;author&gt;Bardelli, A.&lt;/author&gt;&lt;author&gt;Lengauer, C.&lt;/author&gt;&lt;author&gt;Kinzler, K. W.&lt;/author&gt;&lt;author&gt;Vogelstein, B.&lt;/author&gt;&lt;author&gt;Velculescu, V. E.&lt;/author&gt;&lt;/authors&gt;&lt;/contributors&gt;&lt;language&gt;eng&lt;/language&gt;&lt;added-date format="utc"&gt;1509364968&lt;/added-date&gt;&lt;ref-type name="Journal Article"&gt;17&lt;/ref-type&gt;&lt;rec-number&gt;314&lt;/rec-number&gt;&lt;last-updated-date format="utc"&gt;1509364968&lt;/last-updated-date&gt;&lt;accession-num&gt;12198537&lt;/accession-num&gt;&lt;electronic-resource-num&gt;10.1038/418934a&lt;/electronic-resource-num&gt;&lt;volume&gt;418&lt;/volume&gt;&lt;/record&gt;&lt;/Cite&gt;&lt;/EndNote&gt;</w:instrText>
      </w:r>
      <w:r w:rsidR="00B15A35">
        <w:rPr>
          <w:rFonts w:asciiTheme="majorHAnsi" w:hAnsiTheme="majorHAnsi"/>
        </w:rPr>
        <w:fldChar w:fldCharType="separate"/>
      </w:r>
      <w:r w:rsidR="00B15A35">
        <w:rPr>
          <w:rFonts w:asciiTheme="majorHAnsi" w:hAnsiTheme="majorHAnsi"/>
          <w:noProof/>
        </w:rPr>
        <w:t>(Rajagopalan et al., 2002)</w:t>
      </w:r>
      <w:r w:rsidR="00B15A35">
        <w:rPr>
          <w:rFonts w:asciiTheme="majorHAnsi" w:hAnsiTheme="majorHAnsi"/>
        </w:rPr>
        <w:fldChar w:fldCharType="end"/>
      </w:r>
      <w:r w:rsidR="00B15A35">
        <w:rPr>
          <w:rFonts w:asciiTheme="majorHAnsi" w:hAnsiTheme="majorHAnsi"/>
        </w:rPr>
        <w:t xml:space="preserve">. </w:t>
      </w:r>
    </w:p>
    <w:p w14:paraId="0E725E2D" w14:textId="77777777" w:rsidR="00B15A35" w:rsidRDefault="00B15A35" w:rsidP="00B15A35">
      <w:pPr>
        <w:pStyle w:val="NoSpacing"/>
        <w:spacing w:line="360" w:lineRule="auto"/>
        <w:jc w:val="both"/>
        <w:rPr>
          <w:rFonts w:asciiTheme="majorHAnsi" w:hAnsiTheme="majorHAnsi"/>
        </w:rPr>
      </w:pPr>
      <w:r>
        <w:rPr>
          <w:rFonts w:asciiTheme="majorHAnsi" w:hAnsiTheme="majorHAnsi"/>
          <w:noProof/>
        </w:rPr>
        <mc:AlternateContent>
          <mc:Choice Requires="wps">
            <w:drawing>
              <wp:anchor distT="0" distB="0" distL="114300" distR="114300" simplePos="0" relativeHeight="252130304" behindDoc="0" locked="0" layoutInCell="1" allowOverlap="1" wp14:anchorId="5ED47BD9" wp14:editId="5FD64DF5">
                <wp:simplePos x="0" y="0"/>
                <wp:positionH relativeFrom="column">
                  <wp:posOffset>0</wp:posOffset>
                </wp:positionH>
                <wp:positionV relativeFrom="paragraph">
                  <wp:posOffset>4114800</wp:posOffset>
                </wp:positionV>
                <wp:extent cx="5372100" cy="2743200"/>
                <wp:effectExtent l="0" t="0" r="0" b="0"/>
                <wp:wrapSquare wrapText="bothSides"/>
                <wp:docPr id="368" name="Text Box 368"/>
                <wp:cNvGraphicFramePr/>
                <a:graphic xmlns:a="http://schemas.openxmlformats.org/drawingml/2006/main">
                  <a:graphicData uri="http://schemas.microsoft.com/office/word/2010/wordprocessingShape">
                    <wps:wsp>
                      <wps:cNvSpPr txBox="1"/>
                      <wps:spPr>
                        <a:xfrm>
                          <a:off x="0" y="0"/>
                          <a:ext cx="53721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70574F" w14:textId="77777777" w:rsidR="00E82D3B" w:rsidRDefault="00E82D3B" w:rsidP="00B15A35">
                            <w:pPr>
                              <w:rPr>
                                <w:b/>
                                <w:i/>
                                <w:sz w:val="22"/>
                              </w:rPr>
                            </w:pPr>
                            <w:r w:rsidRPr="00917AA9">
                              <w:rPr>
                                <w:b/>
                                <w:i/>
                                <w:sz w:val="22"/>
                              </w:rPr>
                              <w:t>Figure 1.5 The RAS/RAF signalling pathway</w:t>
                            </w:r>
                          </w:p>
                          <w:p w14:paraId="1DD223AE" w14:textId="752C3EAD" w:rsidR="00E82D3B" w:rsidRPr="006D5624" w:rsidRDefault="00E82D3B" w:rsidP="00B15A35">
                            <w:pPr>
                              <w:jc w:val="both"/>
                              <w:rPr>
                                <w:i/>
                                <w:sz w:val="22"/>
                              </w:rPr>
                            </w:pPr>
                            <w:r>
                              <w:rPr>
                                <w:i/>
                                <w:sz w:val="22"/>
                              </w:rPr>
                              <w:t xml:space="preserve">This pathway is activated by the binding of a ligand to a receptor at the cell membrane, such as the binding of epidermal growth factor (EGF) to the epidermal growth factor receptor (EGFR). This in turn promotes the detachment of GDP from RAS and the subsequent binding of GTP, which activates RAS signalling. Activated RAS then begins a kinase-signalling cascade through RAF, which then phosphorylates MEK, and this kinase in turn phosphorylates ERK. ERK regulates many different transcription factors such as c-Myc and CREB; activation of these factors then regulates transcription of genes involved in the cell cycle and so increases cellular growth and survival. RAS activation also plays a role in the activation of the mTOR-signalling pathway, the activation of which again promotes cellular proliferation and survival. Mutations in CRC to RAS make it constitutively switched </w:t>
                            </w:r>
                            <w:proofErr w:type="gramStart"/>
                            <w:r>
                              <w:rPr>
                                <w:i/>
                                <w:sz w:val="22"/>
                              </w:rPr>
                              <w:t>on,</w:t>
                            </w:r>
                            <w:proofErr w:type="gramEnd"/>
                            <w:r>
                              <w:rPr>
                                <w:i/>
                                <w:sz w:val="22"/>
                              </w:rPr>
                              <w:t xml:space="preserve"> therefore the pathway is continually sending signals for transcription factors to enhance cellular proliferation independent of whether a ligand has bound to the receptors. RAF also displays frequent mutations and again positively affects the signalling pathway. These oncogenic mutations increase tumourigenesis. (Adapted and modified with permission from </w:t>
                            </w:r>
                            <w:r>
                              <w:rPr>
                                <w:i/>
                                <w:sz w:val="22"/>
                              </w:rPr>
                              <w:fldChar w:fldCharType="begin">
                                <w:fldData xml:space="preserve">PEVuZE5vdGU+PENpdGU+PEF1dGhvcj5UaWFuPC9BdXRob3I+PFllYXI+MjAxMzwvWWVhcj48SURU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</w:fldData>
                              </w:fldChar>
                            </w:r>
                            <w:r>
                              <w:rPr>
                                <w:i/>
                                <w:sz w:val="22"/>
                              </w:rPr>
                              <w:instrText xml:space="preserve"> ADDIN EN.CITE </w:instrText>
                            </w:r>
                            <w:r>
                              <w:rPr>
                                <w:i/>
                                <w:sz w:val="22"/>
                              </w:rPr>
                              <w:fldChar w:fldCharType="begin">
                                <w:fldData xml:space="preserve">PEVuZE5vdGU+PENpdGU+PEF1dGhvcj5UaWFuPC9BdXRob3I+PFllYXI+MjAxMzwvWWVhcj48SURU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</w:fldData>
                              </w:fldChar>
                            </w:r>
                            <w:r>
                              <w:rPr>
                                <w:i/>
                                <w:sz w:val="22"/>
                              </w:rPr>
                              <w:instrText xml:space="preserve"> ADDIN EN.CITE.DATA </w:instrText>
                            </w:r>
                            <w:r>
                              <w:rPr>
                                <w:i/>
                                <w:sz w:val="22"/>
                              </w:rPr>
                            </w:r>
                            <w:r>
                              <w:rPr>
                                <w:i/>
                                <w:sz w:val="22"/>
                              </w:rPr>
                              <w:fldChar w:fldCharType="end"/>
                            </w:r>
                            <w:r>
                              <w:rPr>
                                <w:i/>
                                <w:sz w:val="22"/>
                              </w:rPr>
                            </w:r>
                            <w:r>
                              <w:rPr>
                                <w:i/>
                                <w:sz w:val="22"/>
                              </w:rPr>
                              <w:fldChar w:fldCharType="separate"/>
                            </w:r>
                            <w:r>
                              <w:rPr>
                                <w:i/>
                                <w:noProof/>
                                <w:sz w:val="22"/>
                              </w:rPr>
                              <w:t>(Tian et al., 2013)</w:t>
                            </w:r>
                            <w:r>
                              <w:rPr>
                                <w:i/>
                                <w:sz w:val="22"/>
                              </w:rPr>
                              <w:fldChar w:fldCharType="end"/>
                            </w:r>
                            <w:r>
                              <w:rPr>
                                <w:i/>
                                <w:sz w:val="22"/>
                              </w:rPr>
                              <w:t>.</w:t>
                            </w:r>
                          </w:p>
                          <w:p w14:paraId="21AF839C" w14:textId="77777777" w:rsidR="00E82D3B" w:rsidRPr="00EC1CC3" w:rsidRDefault="00E82D3B" w:rsidP="00B15A35">
                            <w:pPr>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8" o:spid="_x0000_s1031" type="#_x0000_t202" style="position:absolute;left:0;text-align:left;margin-left:0;margin-top:324pt;width:423pt;height:3in;z-index:25213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EAsNQCAAAa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" filled="f" stroked="f">
                <v:textbox>
                  <w:txbxContent>
                    <w:p w14:paraId="1170574F" w14:textId="77777777" w:rsidR="000A1E0D" w:rsidRDefault="000A1E0D" w:rsidP="00B15A35">
                      <w:pPr>
                        <w:rPr>
                          <w:b/>
                          <w:i/>
                          <w:sz w:val="22"/>
                        </w:rPr>
                      </w:pPr>
                      <w:r w:rsidRPr="00917AA9">
                        <w:rPr>
                          <w:b/>
                          <w:i/>
                          <w:sz w:val="22"/>
                        </w:rPr>
                        <w:t>Figure 1.5 The RAS/RAF signalling pathway</w:t>
                      </w:r>
                    </w:p>
                    <w:p w14:paraId="1DD223AE" w14:textId="752C3EAD" w:rsidR="000A1E0D" w:rsidRPr="006D5624" w:rsidRDefault="000A1E0D" w:rsidP="00B15A35">
                      <w:pPr>
                        <w:jc w:val="both"/>
                        <w:rPr>
                          <w:i/>
                          <w:sz w:val="22"/>
                        </w:rPr>
                      </w:pPr>
                      <w:r>
                        <w:rPr>
                          <w:i/>
                          <w:sz w:val="22"/>
                        </w:rPr>
                        <w:t xml:space="preserve">This pathway is activated by the binding of a ligand to a receptor at the cell membrane, such as the binding of epidermal growth factor (EGF) to the epidermal growth factor receptor (EGFR). This in turn promotes the detachment of GDP from RAS and the subsequent binding of GTP, which activates RAS signalling. Activated RAS then begins a kinase-signalling cascade through RAF, which then phosphorylates MEK, and this kinase in turn phosphorylates ERK. ERK regulates many different transcription factors such as c-Myc and CREB; activation of these factors then regulates transcription of genes involved in the cell cycle and so increases cellular growth and survival. RAS activation also plays a role in the activation of the mTOR-signalling pathway, the activation of which again promotes cellular proliferation and survival. Mutations in CRC to RAS make it constitutively switched </w:t>
                      </w:r>
                      <w:proofErr w:type="gramStart"/>
                      <w:r>
                        <w:rPr>
                          <w:i/>
                          <w:sz w:val="22"/>
                        </w:rPr>
                        <w:t>on,</w:t>
                      </w:r>
                      <w:proofErr w:type="gramEnd"/>
                      <w:r>
                        <w:rPr>
                          <w:i/>
                          <w:sz w:val="22"/>
                        </w:rPr>
                        <w:t xml:space="preserve"> therefore the pathway is continually sending signals for transcription factors to enhance cellular proliferation independent of whether a ligand has bound to the receptors. RAF also displays frequent mutations and again positively affects the signalling pathway. These oncogenic mutations increase tumourigenesis. (Adapted and modified with permission from </w:t>
                      </w:r>
                      <w:r>
                        <w:rPr>
                          <w:i/>
                          <w:sz w:val="22"/>
                        </w:rPr>
                        <w:fldChar w:fldCharType="begin">
                          <w:fldData xml:space="preserve">PEVuZE5vdGU+PENpdGU+PEF1dGhvcj5UaWFuPC9BdXRob3I+PFllYXI+MjAxMzwvWWVhcj48SURU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</w:fldData>
                        </w:fldChar>
                      </w:r>
                      <w:r>
                        <w:rPr>
                          <w:i/>
                          <w:sz w:val="22"/>
                        </w:rPr>
                        <w:instrText xml:space="preserve"> ADDIN EN.CITE </w:instrText>
                      </w:r>
                      <w:r>
                        <w:rPr>
                          <w:i/>
                          <w:sz w:val="22"/>
                        </w:rPr>
                        <w:fldChar w:fldCharType="begin">
                          <w:fldData xml:space="preserve">PEVuZE5vdGU+PENpdGU+PEF1dGhvcj5UaWFuPC9BdXRob3I+PFllYXI+MjAxMzwvWWVhcj48SURU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</w:fldData>
                        </w:fldChar>
                      </w:r>
                      <w:r>
                        <w:rPr>
                          <w:i/>
                          <w:sz w:val="22"/>
                        </w:rPr>
                        <w:instrText xml:space="preserve"> ADDIN EN.CITE.DATA </w:instrText>
                      </w:r>
                      <w:r>
                        <w:rPr>
                          <w:i/>
                          <w:sz w:val="22"/>
                        </w:rPr>
                      </w:r>
                      <w:r>
                        <w:rPr>
                          <w:i/>
                          <w:sz w:val="22"/>
                        </w:rPr>
                        <w:fldChar w:fldCharType="end"/>
                      </w:r>
                      <w:r>
                        <w:rPr>
                          <w:i/>
                          <w:sz w:val="22"/>
                        </w:rPr>
                      </w:r>
                      <w:r>
                        <w:rPr>
                          <w:i/>
                          <w:sz w:val="22"/>
                        </w:rPr>
                        <w:fldChar w:fldCharType="separate"/>
                      </w:r>
                      <w:r>
                        <w:rPr>
                          <w:i/>
                          <w:noProof/>
                          <w:sz w:val="22"/>
                        </w:rPr>
                        <w:t>(Tian et al., 2013)</w:t>
                      </w:r>
                      <w:r>
                        <w:rPr>
                          <w:i/>
                          <w:sz w:val="22"/>
                        </w:rPr>
                        <w:fldChar w:fldCharType="end"/>
                      </w:r>
                      <w:r>
                        <w:rPr>
                          <w:i/>
                          <w:sz w:val="22"/>
                        </w:rPr>
                        <w:t>.</w:t>
                      </w:r>
                    </w:p>
                    <w:p w14:paraId="21AF839C" w14:textId="77777777" w:rsidR="000A1E0D" w:rsidRPr="00EC1CC3" w:rsidRDefault="000A1E0D" w:rsidP="00B15A35">
                      <w:pPr>
                        <w:rPr>
                          <w:i/>
                          <w:sz w:val="22"/>
                        </w:rPr>
                      </w:pPr>
                    </w:p>
                  </w:txbxContent>
                </v:textbox>
                <w10:wrap type="square"/>
              </v:shape>
            </w:pict>
          </mc:Fallback>
        </mc:AlternateContent>
      </w:r>
      <w:r>
        <w:rPr>
          <w:rFonts w:asciiTheme="majorHAnsi" w:hAnsiTheme="majorHAnsi"/>
          <w:noProof/>
        </w:rPr>
        <w:drawing>
          <wp:anchor distT="0" distB="0" distL="114300" distR="114300" simplePos="0" relativeHeight="252129280" behindDoc="0" locked="0" layoutInCell="1" allowOverlap="1" wp14:anchorId="53AE7DD0" wp14:editId="681D7B83">
            <wp:simplePos x="0" y="0"/>
            <wp:positionH relativeFrom="column">
              <wp:posOffset>800100</wp:posOffset>
            </wp:positionH>
            <wp:positionV relativeFrom="paragraph">
              <wp:posOffset>0</wp:posOffset>
            </wp:positionV>
            <wp:extent cx="3768725" cy="4003675"/>
            <wp:effectExtent l="0" t="0" r="0" b="9525"/>
            <wp:wrapTopAndBottom/>
            <wp:docPr id="375" name="Picture 375" descr="Macintosh HD:Users:ClairFellows:Desktop:Screen Shot 2017-11-02 at 10.5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airFellows:Desktop:Screen Shot 2017-11-02 at 10.57.5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8725" cy="400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939F9B" w14:textId="601C67AB" w:rsidR="00B15A35" w:rsidRDefault="00B15A35" w:rsidP="00B15A35">
      <w:pPr>
        <w:pStyle w:val="NoSpacing"/>
        <w:spacing w:line="360" w:lineRule="auto"/>
        <w:jc w:val="both"/>
        <w:rPr>
          <w:rFonts w:asciiTheme="majorHAnsi" w:hAnsiTheme="majorHAnsi"/>
        </w:rPr>
      </w:pPr>
      <w:r>
        <w:rPr>
          <w:rFonts w:asciiTheme="majorHAnsi" w:hAnsiTheme="majorHAnsi"/>
        </w:rPr>
        <w:t xml:space="preserve">MSI tumours have been shown to confer a better prognosis than CIN tumours </w:t>
      </w:r>
      <w:r>
        <w:rPr>
          <w:rFonts w:asciiTheme="majorHAnsi" w:hAnsiTheme="majorHAnsi"/>
        </w:rPr>
        <w:fldChar w:fldCharType="begin"/>
      </w:r>
      <w:r>
        <w:rPr>
          <w:rFonts w:asciiTheme="majorHAnsi" w:hAnsiTheme="majorHAnsi"/>
        </w:rPr>
        <w:instrText xml:space="preserve"> ADDIN EN.CITE &lt;EndNote&gt;&lt;Cite&gt;&lt;Author&gt;Hemminki&lt;/Author&gt;&lt;Year&gt;2000&lt;/Year&gt;&lt;IDText&gt;Microsatellite instability is a favorable prognostic indicator in patients with colorectal cancer receiving chemotherapy&lt;/IDText&gt;&lt;DisplayText&gt;(Hemminki et al., 2000)&lt;/DisplayText&gt;&lt;record&gt;&lt;isbn&gt;0016-5085&lt;/isbn&gt;&lt;titles&gt;&lt;title&gt;Microsatellite instability is a favorable prognostic indicator in patients with colorectal cancer receiving chemotherapy&lt;/title&gt;&lt;secondary-title&gt;Gastroenterology&lt;/secondary-title&gt;&lt;/titles&gt;&lt;pages&gt;921-928&lt;/pages&gt;&lt;number&gt;4&lt;/number&gt;&lt;contributors&gt;&lt;authors&gt;&lt;author&gt;Hemminki, A.&lt;/author&gt;&lt;author&gt;Mecklin, J. P.&lt;/author&gt;&lt;author&gt;Jarvinen, H.&lt;/author&gt;&lt;author&gt;Aaltonen, La&lt;/author&gt;&lt;author&gt;Joensuu, H.&lt;/author&gt;&lt;/authors&gt;&lt;/contributors&gt;&lt;added-date format="utc"&gt;1425982857&lt;/added-date&gt;&lt;ref-type name="Journal Article"&gt;17&lt;/ref-type&gt;&lt;dates&gt;&lt;year&gt;2000&lt;/year&gt;&lt;/dates&gt;&lt;rec-number&gt;49&lt;/rec-number&gt;&lt;last-updated-date format="utc"&gt;1447344014&lt;/last-updated-date&gt;&lt;volume&gt;119&lt;/volume&gt;&lt;/record&gt;&lt;/Cite&gt;&lt;/EndNote&gt;</w:instrText>
      </w:r>
      <w:r>
        <w:rPr>
          <w:rFonts w:asciiTheme="majorHAnsi" w:hAnsiTheme="majorHAnsi"/>
        </w:rPr>
        <w:fldChar w:fldCharType="separate"/>
      </w:r>
      <w:r>
        <w:rPr>
          <w:rFonts w:asciiTheme="majorHAnsi" w:hAnsiTheme="majorHAnsi"/>
          <w:noProof/>
        </w:rPr>
        <w:t>(Hemminki et al., 2000)</w:t>
      </w:r>
      <w:r>
        <w:rPr>
          <w:rFonts w:asciiTheme="majorHAnsi" w:hAnsiTheme="majorHAnsi"/>
        </w:rPr>
        <w:fldChar w:fldCharType="end"/>
      </w:r>
      <w:r>
        <w:rPr>
          <w:rFonts w:asciiTheme="majorHAnsi" w:hAnsiTheme="majorHAnsi"/>
        </w:rPr>
        <w:t>, however</w:t>
      </w:r>
      <w:r w:rsidR="00770EBD">
        <w:rPr>
          <w:rFonts w:asciiTheme="majorHAnsi" w:hAnsiTheme="majorHAnsi"/>
        </w:rPr>
        <w:t>,</w:t>
      </w:r>
      <w:r>
        <w:rPr>
          <w:rFonts w:asciiTheme="majorHAnsi" w:hAnsiTheme="majorHAnsi"/>
        </w:rPr>
        <w:t xml:space="preserve"> due to the older patient population within this cohort, overall survival is often hard to judge as these patients are more susceptible to infections and present with co-morbidities. C</w:t>
      </w:r>
      <w:r w:rsidRPr="007614F3">
        <w:rPr>
          <w:rFonts w:asciiTheme="majorHAnsi" w:hAnsiTheme="majorHAnsi"/>
        </w:rPr>
        <w:t xml:space="preserve">onflicting studies dismiss this and state that overall survival is not affected by MSI </w:t>
      </w:r>
      <w:r>
        <w:rPr>
          <w:rFonts w:asciiTheme="majorHAnsi" w:hAnsiTheme="majorHAnsi"/>
        </w:rPr>
        <w:fldChar w:fldCharType="begin">
          <w:fldData xml:space="preserve">PEVuZE5vdGU+PENpdGU+PEF1dGhvcj5GZWVsZXk8L0F1dGhvcj48WWVhcj4xOTk5PC9ZZWFyPjxJ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PEVuZE5vdGU+PENpdGU+PEF1dGhvcj5GZWVsZXk8L0F1dGhvcj48WWVhcj4xOTk5PC9ZZWFyPjxJ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(Feeley et al., 1999, Salahshor et al., 1999)</w:t>
      </w:r>
      <w:r>
        <w:rPr>
          <w:rFonts w:asciiTheme="majorHAnsi" w:hAnsiTheme="majorHAnsi"/>
        </w:rPr>
        <w:fldChar w:fldCharType="end"/>
      </w:r>
      <w:r w:rsidRPr="007614F3">
        <w:rPr>
          <w:rFonts w:asciiTheme="majorHAnsi" w:hAnsiTheme="majorHAnsi"/>
        </w:rPr>
        <w:t xml:space="preserve">. It is difficult to compare all of these studies due to their differing sample populations and follow up periods of time. The study by </w:t>
      </w:r>
      <w:proofErr w:type="spellStart"/>
      <w:r>
        <w:rPr>
          <w:rFonts w:asciiTheme="majorHAnsi" w:hAnsiTheme="majorHAnsi"/>
        </w:rPr>
        <w:t>Hemminki</w:t>
      </w:r>
      <w:proofErr w:type="spellEnd"/>
      <w:r>
        <w:rPr>
          <w:rFonts w:asciiTheme="majorHAnsi" w:hAnsiTheme="majorHAnsi"/>
        </w:rPr>
        <w:t xml:space="preserve"> et al. </w:t>
      </w:r>
      <w:r>
        <w:rPr>
          <w:rFonts w:asciiTheme="majorHAnsi" w:hAnsiTheme="majorHAnsi"/>
        </w:rPr>
        <w:fldChar w:fldCharType="begin"/>
      </w:r>
      <w:r>
        <w:rPr>
          <w:rFonts w:asciiTheme="majorHAnsi" w:hAnsiTheme="majorHAnsi"/>
        </w:rPr>
        <w:instrText xml:space="preserve"> ADDIN EN.CITE &lt;EndNote&gt;&lt;Cite ExcludeAuth="1"&gt;&lt;Author&gt;Hemminki&lt;/Author&gt;&lt;Year&gt;2000&lt;/Year&gt;&lt;IDText&gt;Microsatellite instability is a favorable prognostic indicator in patients with colorectal cancer receiving chemotherapy&lt;/IDText&gt;&lt;DisplayText&gt;(2000)&lt;/DisplayText&gt;&lt;record&gt;&lt;isbn&gt;0016-5085&lt;/isbn&gt;&lt;titles&gt;&lt;title&gt;Microsatellite instability is a favorable prognostic indicator in patients with colorectal cancer receiving chemotherapy&lt;/title&gt;&lt;secondary-title&gt;Gastroenterology&lt;/secondary-title&gt;&lt;/titles&gt;&lt;pages&gt;921-928&lt;/pages&gt;&lt;number&gt;4&lt;/number&gt;&lt;contributors&gt;&lt;authors&gt;&lt;author&gt;Hemminki, A.&lt;/author&gt;&lt;author&gt;Mecklin, J. P.&lt;/author&gt;&lt;author&gt;Jarvinen, H.&lt;/author&gt;&lt;author&gt;Aaltonen, La&lt;/author&gt;&lt;author&gt;Joensuu, H.&lt;/author&gt;&lt;/authors&gt;&lt;/contributors&gt;&lt;added-date format="utc"&gt;1425982857&lt;/added-date&gt;&lt;ref-type name="Journal Article"&gt;17&lt;/ref-type&gt;&lt;dates&gt;&lt;year&gt;2000&lt;/year&gt;&lt;/dates&gt;&lt;rec-number&gt;49&lt;/rec-number&gt;&lt;last-updated-date format="utc"&gt;1447344014&lt;/last-updated-date&gt;&lt;volume&gt;119&lt;/volume&gt;&lt;/record&gt;&lt;/Cite&gt;&lt;/EndNote&gt;</w:instrText>
      </w:r>
      <w:r>
        <w:rPr>
          <w:rFonts w:asciiTheme="majorHAnsi" w:hAnsiTheme="majorHAnsi"/>
        </w:rPr>
        <w:fldChar w:fldCharType="separate"/>
      </w:r>
      <w:r>
        <w:rPr>
          <w:rFonts w:asciiTheme="majorHAnsi" w:hAnsiTheme="majorHAnsi"/>
          <w:noProof/>
        </w:rPr>
        <w:t>(2000)</w:t>
      </w:r>
      <w:r>
        <w:rPr>
          <w:rFonts w:asciiTheme="majorHAnsi" w:hAnsiTheme="majorHAnsi"/>
        </w:rPr>
        <w:fldChar w:fldCharType="end"/>
      </w:r>
      <w:r>
        <w:rPr>
          <w:rFonts w:asciiTheme="majorHAnsi" w:hAnsiTheme="majorHAnsi"/>
        </w:rPr>
        <w:t xml:space="preserve"> </w:t>
      </w:r>
      <w:r w:rsidRPr="007614F3">
        <w:rPr>
          <w:rFonts w:asciiTheme="majorHAnsi" w:hAnsiTheme="majorHAnsi"/>
        </w:rPr>
        <w:t>used over double the number of samples (1044) compared to the others and also selected patients with a certain stage and therapeutic background. Whereas the other studies used a range of samples from 50 to 416 and these were from all stages or just noted as unselected. Therefore</w:t>
      </w:r>
      <w:r w:rsidR="00D56FD5">
        <w:rPr>
          <w:rFonts w:asciiTheme="majorHAnsi" w:hAnsiTheme="majorHAnsi"/>
        </w:rPr>
        <w:t>,</w:t>
      </w:r>
      <w:r w:rsidRPr="007614F3">
        <w:rPr>
          <w:rFonts w:asciiTheme="majorHAnsi" w:hAnsiTheme="majorHAnsi"/>
        </w:rPr>
        <w:t xml:space="preserve"> although </w:t>
      </w:r>
      <w:proofErr w:type="spellStart"/>
      <w:r w:rsidRPr="007614F3">
        <w:rPr>
          <w:rFonts w:asciiTheme="majorHAnsi" w:hAnsiTheme="majorHAnsi"/>
        </w:rPr>
        <w:t>Hemminki</w:t>
      </w:r>
      <w:proofErr w:type="spellEnd"/>
      <w:r w:rsidRPr="007614F3">
        <w:rPr>
          <w:rFonts w:asciiTheme="majorHAnsi" w:hAnsiTheme="majorHAnsi"/>
        </w:rPr>
        <w:t xml:space="preserve"> found that MSI confers a better outlook on survival this may only apply to certain subset of colorectal cancer patients. It is interesting to note that the </w:t>
      </w:r>
      <w:r w:rsidR="00733C16">
        <w:rPr>
          <w:rFonts w:asciiTheme="majorHAnsi" w:hAnsiTheme="majorHAnsi"/>
        </w:rPr>
        <w:t xml:space="preserve">conflicting </w:t>
      </w:r>
      <w:r w:rsidRPr="007614F3">
        <w:rPr>
          <w:rFonts w:asciiTheme="majorHAnsi" w:hAnsiTheme="majorHAnsi"/>
        </w:rPr>
        <w:t>studies comprised of a more variable set of samples.</w:t>
      </w:r>
    </w:p>
    <w:p w14:paraId="3E5EE1E6" w14:textId="77777777" w:rsidR="00B15A35" w:rsidRDefault="00B15A35" w:rsidP="00B15A35">
      <w:pPr>
        <w:pStyle w:val="NoSpacing"/>
        <w:spacing w:line="360" w:lineRule="auto"/>
        <w:jc w:val="both"/>
        <w:rPr>
          <w:rFonts w:asciiTheme="majorHAnsi" w:hAnsiTheme="majorHAnsi"/>
        </w:rPr>
      </w:pPr>
    </w:p>
    <w:p w14:paraId="590D1BF4" w14:textId="290FB053" w:rsidR="00B15A35" w:rsidRPr="007614F3" w:rsidRDefault="00A5506E" w:rsidP="00B15A35">
      <w:pPr>
        <w:pStyle w:val="NoSpacing"/>
        <w:spacing w:line="360" w:lineRule="auto"/>
        <w:jc w:val="both"/>
        <w:rPr>
          <w:rFonts w:asciiTheme="majorHAnsi" w:hAnsiTheme="majorHAnsi"/>
        </w:rPr>
      </w:pPr>
      <w:r>
        <w:rPr>
          <w:rFonts w:asciiTheme="majorHAnsi" w:hAnsiTheme="majorHAnsi"/>
        </w:rPr>
        <w:t>One</w:t>
      </w:r>
      <w:r w:rsidR="00B15A35">
        <w:rPr>
          <w:rFonts w:asciiTheme="majorHAnsi" w:hAnsiTheme="majorHAnsi"/>
        </w:rPr>
        <w:t xml:space="preserve"> theory behind MSI tumours having a better prognosis is that there is an increased active </w:t>
      </w:r>
      <w:r w:rsidR="00733C16">
        <w:rPr>
          <w:rFonts w:asciiTheme="majorHAnsi" w:hAnsiTheme="majorHAnsi"/>
        </w:rPr>
        <w:t xml:space="preserve">cytotoxic </w:t>
      </w:r>
      <w:r w:rsidR="00B15A35">
        <w:rPr>
          <w:rFonts w:asciiTheme="majorHAnsi" w:hAnsiTheme="majorHAnsi"/>
        </w:rPr>
        <w:t xml:space="preserve">lymphocyte population within the tumours compared to microsatellite stable (MSS) tumours </w:t>
      </w:r>
      <w:r w:rsidR="00B15A35">
        <w:rPr>
          <w:rFonts w:asciiTheme="majorHAnsi" w:hAnsiTheme="majorHAnsi"/>
        </w:rPr>
        <w:fldChar w:fldCharType="begin"/>
      </w:r>
      <w:r w:rsidR="00B15A35">
        <w:rPr>
          <w:rFonts w:asciiTheme="majorHAnsi" w:hAnsiTheme="majorHAnsi"/>
        </w:rPr>
        <w:instrText xml:space="preserve"> ADDIN EN.CITE &lt;EndNote&gt;&lt;Cite&gt;&lt;Author&gt;Phillips&lt;/Author&gt;&lt;Year&gt;2004&lt;/Year&gt;&lt;IDText&gt;Tumour-infiltrating lymphocytes in colorectal cancer with microsatellite instability are activated and cytotoxic&lt;/IDText&gt;&lt;DisplayText&gt;(Phillips et al., 2004)&lt;/DisplayText&gt;&lt;record&gt;&lt;dates&gt;&lt;pub-dates&gt;&lt;date&gt;Apr&lt;/date&gt;&lt;/pub-dates&gt;&lt;year&gt;2004&lt;/year&gt;&lt;/dates&gt;&lt;keywords&gt;&lt;keyword&gt;Aged&lt;/keyword&gt;&lt;keyword&gt;Antigens, CD3&lt;/keyword&gt;&lt;keyword&gt;Antigens, CD8&lt;/keyword&gt;&lt;keyword&gt;Colorectal Neoplasms&lt;/keyword&gt;&lt;keyword&gt;Female&lt;/keyword&gt;&lt;keyword&gt;Humans&lt;/keyword&gt;&lt;keyword&gt;Immunohistochemistry&lt;/keyword&gt;&lt;keyword&gt;Lymphocytes, Tumor-Infiltrating&lt;/keyword&gt;&lt;keyword&gt;Male&lt;/keyword&gt;&lt;keyword&gt;Microsatellite Repeats&lt;/keyword&gt;&lt;keyword&gt;Prognosis&lt;/keyword&gt;&lt;keyword&gt;Reverse Transcriptase Polymerase Chain Reaction&lt;/keyword&gt;&lt;/keywords&gt;&lt;urls&gt;&lt;related-urls&gt;&lt;url&gt;https://www.ncbi.nlm.nih.gov/pubmed/15048750&lt;/url&gt;&lt;/related-urls&gt;&lt;/urls&gt;&lt;isbn&gt;0007-1323&lt;/isbn&gt;&lt;titles&gt;&lt;title&gt;Tumour-infiltrating lymphocytes in colorectal cancer with microsatellite instability are activated and cytotoxic&lt;/title&gt;&lt;secondary-title&gt;Br J Surg&lt;/secondary-title&gt;&lt;/titles&gt;&lt;pages&gt;469-75&lt;/pages&gt;&lt;number&gt;4&lt;/number&gt;&lt;contributors&gt;&lt;authors&gt;&lt;author&gt;Phillips, S. M.&lt;/author&gt;&lt;author&gt;Banerjea, A.&lt;/author&gt;&lt;author&gt;Feakins, R.&lt;/author&gt;&lt;author&gt;Li, S. R.&lt;/author&gt;&lt;author&gt;Bustin, S. A.&lt;/author&gt;&lt;author&gt;Dorudi, S.&lt;/author&gt;&lt;/authors&gt;&lt;/contributors&gt;&lt;language&gt;eng&lt;/language&gt;&lt;added-date format="utc"&gt;1509364779&lt;/added-date&gt;&lt;ref-type name="Journal Article"&gt;17&lt;/ref-type&gt;&lt;rec-number&gt;313&lt;/rec-number&gt;&lt;last-updated-date format="utc"&gt;1509364779&lt;/last-updated-date&gt;&lt;accession-num&gt;15048750&lt;/accession-num&gt;&lt;electronic-resource-num&gt;10.1002/bjs.4472&lt;/electronic-resource-num&gt;&lt;volume&gt;91&lt;/volume&gt;&lt;/record&gt;&lt;/Cite&gt;&lt;/EndNote&gt;</w:instrText>
      </w:r>
      <w:r w:rsidR="00B15A35">
        <w:rPr>
          <w:rFonts w:asciiTheme="majorHAnsi" w:hAnsiTheme="majorHAnsi"/>
        </w:rPr>
        <w:fldChar w:fldCharType="separate"/>
      </w:r>
      <w:r w:rsidR="00B15A35">
        <w:rPr>
          <w:rFonts w:asciiTheme="majorHAnsi" w:hAnsiTheme="majorHAnsi"/>
          <w:noProof/>
        </w:rPr>
        <w:t>(Phillips et al., 2004)</w:t>
      </w:r>
      <w:r w:rsidR="00B15A35">
        <w:rPr>
          <w:rFonts w:asciiTheme="majorHAnsi" w:hAnsiTheme="majorHAnsi"/>
        </w:rPr>
        <w:fldChar w:fldCharType="end"/>
      </w:r>
      <w:r w:rsidR="00B15A35">
        <w:rPr>
          <w:rFonts w:asciiTheme="majorHAnsi" w:hAnsiTheme="majorHAnsi"/>
        </w:rPr>
        <w:t>.</w:t>
      </w:r>
      <w:r w:rsidR="00B15A35" w:rsidRPr="00427C58">
        <w:rPr>
          <w:rFonts w:asciiTheme="majorHAnsi" w:hAnsiTheme="majorHAnsi"/>
        </w:rPr>
        <w:t xml:space="preserve"> </w:t>
      </w:r>
      <w:r w:rsidR="00B15A35">
        <w:rPr>
          <w:rFonts w:asciiTheme="majorHAnsi" w:hAnsiTheme="majorHAnsi"/>
        </w:rPr>
        <w:t xml:space="preserve">There is, however, some </w:t>
      </w:r>
      <w:r w:rsidR="00B15A35" w:rsidRPr="007614F3">
        <w:rPr>
          <w:rFonts w:asciiTheme="majorHAnsi" w:hAnsiTheme="majorHAnsi"/>
        </w:rPr>
        <w:t>debate as to whet</w:t>
      </w:r>
      <w:r w:rsidR="00B15A35">
        <w:rPr>
          <w:rFonts w:asciiTheme="majorHAnsi" w:hAnsiTheme="majorHAnsi"/>
        </w:rPr>
        <w:t>her tumours displaying the MSI</w:t>
      </w:r>
      <w:r w:rsidR="00B15A35" w:rsidRPr="007614F3">
        <w:rPr>
          <w:rFonts w:asciiTheme="majorHAnsi" w:hAnsiTheme="majorHAnsi"/>
        </w:rPr>
        <w:t xml:space="preserve"> genotype are drug resistant </w:t>
      </w:r>
      <w:r w:rsidR="00B15A35">
        <w:rPr>
          <w:rFonts w:asciiTheme="majorHAnsi" w:hAnsiTheme="majorHAnsi"/>
        </w:rPr>
        <w:fldChar w:fldCharType="begin"/>
      </w:r>
      <w:r w:rsidR="00B15A35">
        <w:rPr>
          <w:rFonts w:asciiTheme="majorHAnsi" w:hAnsiTheme="majorHAnsi"/>
        </w:rPr>
        <w:instrText xml:space="preserve"> ADDIN EN.CITE &lt;EndNote&gt;&lt;Cite&gt;&lt;Author&gt;Ribic&lt;/Author&gt;&lt;Year&gt;2003&lt;/Year&gt;&lt;IDText&gt;Tumor microsatellite-instability status as a predictor of benefit from fluorouracil-based adjuvant chemotherapy for colon cancer&lt;/IDText&gt;&lt;DisplayText&gt;(Ribic et al., 2003)&lt;/DisplayText&gt;&lt;record&gt;&lt;dates&gt;&lt;pub-dates&gt;&lt;date&gt;Jul&lt;/date&gt;&lt;/pub-dates&gt;&lt;year&gt;2003&lt;/year&gt;&lt;/dates&gt;&lt;keywords&gt;&lt;keyword&gt;Analysis of Variance&lt;/keyword&gt;&lt;keyword&gt;Antimetabolites, Antineoplastic&lt;/keyword&gt;&lt;keyword&gt;Base Pair Mismatch&lt;/keyword&gt;&lt;keyword&gt;Chemotherapy, Adjuvant&lt;/keyword&gt;&lt;keyword&gt;Colorectal Neoplasms&lt;/keyword&gt;&lt;keyword&gt;DNA Repair&lt;/keyword&gt;&lt;keyword&gt;DNA, Neoplasm&lt;/keyword&gt;&lt;keyword&gt;Fluorouracil&lt;/keyword&gt;&lt;keyword&gt;Follow-Up Studies&lt;/keyword&gt;&lt;keyword&gt;Humans&lt;/keyword&gt;&lt;keyword&gt;Microsatellite Repeats&lt;/keyword&gt;&lt;keyword&gt;Neoplasm Staging&lt;/keyword&gt;&lt;keyword&gt;Prognosis&lt;/keyword&gt;&lt;keyword&gt;Survival Analysis&lt;/keyword&gt;&lt;/keywords&gt;&lt;urls&gt;&lt;related-urls&gt;&lt;url&gt;http://www.ncbi.nlm.nih.gov/pubmed/12867608&lt;/url&gt;&lt;/related-urls&gt;&lt;/urls&gt;&lt;isbn&gt;1533-4406&lt;/isbn&gt;&lt;custom2&gt;PMC3584639&lt;/custom2&gt;&lt;titles&gt;&lt;title&gt;Tumor microsatellite-instability status as a predictor of benefit from fluorouracil-based adjuvant chemotherapy for colon cancer&lt;/title&gt;&lt;secondary-title&gt;N Engl J Med&lt;/secondary-title&gt;&lt;/titles&gt;&lt;pages&gt;247-57&lt;/pages&gt;&lt;number&gt;3&lt;/number&gt;&lt;contributors&gt;&lt;authors&gt;&lt;author&gt;Ribic, C. M.&lt;/author&gt;&lt;author&gt;Sargent, D. J.&lt;/author&gt;&lt;author&gt;Moore, M. J.&lt;/author&gt;&lt;author&gt;Thibodeau, S. N.&lt;/author&gt;&lt;author&gt;French, A. J.&lt;/author&gt;&lt;author&gt;Goldberg, R. M.&lt;/author&gt;&lt;author&gt;Hamilton, S. R.&lt;/author&gt;&lt;author&gt;Laurent-Puig, P.&lt;/author&gt;&lt;author&gt;Gryfe, R.&lt;/author&gt;&lt;author&gt;Shepherd, L. E.&lt;/author&gt;&lt;author&gt;Tu, D.&lt;/author&gt;&lt;author&gt;Redston, M.&lt;/author&gt;&lt;author&gt;Gallinger, S.&lt;/author&gt;&lt;/authors&gt;&lt;/contributors&gt;&lt;language&gt;eng&lt;/language&gt;&lt;added-date format="utc"&gt;1425998496&lt;/added-date&gt;&lt;ref-type name="Journal Article"&gt;17&lt;/ref-type&gt;&lt;rec-number&gt;90&lt;/rec-number&gt;&lt;last-updated-date format="utc"&gt;1447344448&lt;/last-updated-date&gt;&lt;accession-num&gt;12867608&lt;/accession-num&gt;&lt;electronic-resource-num&gt;10.1056/NEJMoa022289&lt;/electronic-resource-num&gt;&lt;volume&gt;349&lt;/volume&gt;&lt;/record&gt;&lt;/Cite&gt;&lt;/EndNote&gt;</w:instrText>
      </w:r>
      <w:r w:rsidR="00B15A35">
        <w:rPr>
          <w:rFonts w:asciiTheme="majorHAnsi" w:hAnsiTheme="majorHAnsi"/>
        </w:rPr>
        <w:fldChar w:fldCharType="separate"/>
      </w:r>
      <w:r w:rsidR="00B15A35">
        <w:rPr>
          <w:rFonts w:asciiTheme="majorHAnsi" w:hAnsiTheme="majorHAnsi"/>
          <w:noProof/>
        </w:rPr>
        <w:t>(Ribic et al., 2003)</w:t>
      </w:r>
      <w:r w:rsidR="00B15A35">
        <w:rPr>
          <w:rFonts w:asciiTheme="majorHAnsi" w:hAnsiTheme="majorHAnsi"/>
        </w:rPr>
        <w:fldChar w:fldCharType="end"/>
      </w:r>
      <w:r w:rsidR="00B15A35">
        <w:rPr>
          <w:rFonts w:asciiTheme="majorHAnsi" w:hAnsiTheme="majorHAnsi"/>
        </w:rPr>
        <w:t>.</w:t>
      </w:r>
      <w:r w:rsidR="00B15A35" w:rsidRPr="007614F3">
        <w:rPr>
          <w:rFonts w:asciiTheme="majorHAnsi" w:hAnsiTheme="majorHAnsi"/>
        </w:rPr>
        <w:t xml:space="preserve"> For example 5-FU inhibits the enzyme thymidylate synthase and </w:t>
      </w:r>
      <w:r w:rsidR="00733C16">
        <w:rPr>
          <w:rFonts w:asciiTheme="majorHAnsi" w:hAnsiTheme="majorHAnsi"/>
        </w:rPr>
        <w:t xml:space="preserve">thus </w:t>
      </w:r>
      <w:r w:rsidR="00B15A35" w:rsidRPr="007614F3">
        <w:rPr>
          <w:rFonts w:asciiTheme="majorHAnsi" w:hAnsiTheme="majorHAnsi"/>
        </w:rPr>
        <w:t>stimulates mutations in the DNA and therefore triggers the apoptotic pathway. However without an intact misma</w:t>
      </w:r>
      <w:r w:rsidR="00B15A35">
        <w:rPr>
          <w:rFonts w:asciiTheme="majorHAnsi" w:hAnsiTheme="majorHAnsi"/>
        </w:rPr>
        <w:t>tch repair response (which MSI</w:t>
      </w:r>
      <w:r w:rsidR="00B15A35" w:rsidRPr="007614F3">
        <w:rPr>
          <w:rFonts w:asciiTheme="majorHAnsi" w:hAnsiTheme="majorHAnsi"/>
        </w:rPr>
        <w:t xml:space="preserve"> cells lack) 5-FU is ineffective </w:t>
      </w:r>
      <w:r w:rsidR="00B15A35">
        <w:rPr>
          <w:rFonts w:asciiTheme="majorHAnsi" w:hAnsiTheme="majorHAnsi"/>
        </w:rPr>
        <w:fldChar w:fldCharType="begin">
          <w:fldData xml:space="preserve">PEVuZE5vdGU+PENpdGU+PEF1dGhvcj5GaXNjaGVyPC9BdXRob3I+PFllYXI+MjAwNzwvWWVhcj48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</w:fldData>
        </w:fldChar>
      </w:r>
      <w:r w:rsidR="00B15A35">
        <w:rPr>
          <w:rFonts w:asciiTheme="majorHAnsi" w:hAnsiTheme="majorHAnsi"/>
        </w:rPr>
        <w:instrText xml:space="preserve"> ADDIN EN.CITE </w:instrText>
      </w:r>
      <w:r w:rsidR="00B15A35">
        <w:rPr>
          <w:rFonts w:asciiTheme="majorHAnsi" w:hAnsiTheme="majorHAnsi"/>
        </w:rPr>
        <w:fldChar w:fldCharType="begin">
          <w:fldData xml:space="preserve">PEVuZE5vdGU+PENpdGU+PEF1dGhvcj5GaXNjaGVyPC9BdXRob3I+PFllYXI+MjAwNzwvWWVhcj48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</w:fldData>
        </w:fldChar>
      </w:r>
      <w:r w:rsidR="00B15A35">
        <w:rPr>
          <w:rFonts w:asciiTheme="majorHAnsi" w:hAnsiTheme="majorHAnsi"/>
        </w:rPr>
        <w:instrText xml:space="preserve"> ADDIN EN.CITE.DATA </w:instrText>
      </w:r>
      <w:r w:rsidR="00B15A35">
        <w:rPr>
          <w:rFonts w:asciiTheme="majorHAnsi" w:hAnsiTheme="majorHAnsi"/>
        </w:rPr>
      </w:r>
      <w:r w:rsidR="00B15A35">
        <w:rPr>
          <w:rFonts w:asciiTheme="majorHAnsi" w:hAnsiTheme="majorHAnsi"/>
        </w:rPr>
        <w:fldChar w:fldCharType="end"/>
      </w:r>
      <w:r w:rsidR="00B15A35">
        <w:rPr>
          <w:rFonts w:asciiTheme="majorHAnsi" w:hAnsiTheme="majorHAnsi"/>
        </w:rPr>
      </w:r>
      <w:r w:rsidR="00B15A35">
        <w:rPr>
          <w:rFonts w:asciiTheme="majorHAnsi" w:hAnsiTheme="majorHAnsi"/>
        </w:rPr>
        <w:fldChar w:fldCharType="separate"/>
      </w:r>
      <w:r w:rsidR="00B15A35">
        <w:rPr>
          <w:rFonts w:asciiTheme="majorHAnsi" w:hAnsiTheme="majorHAnsi"/>
          <w:noProof/>
        </w:rPr>
        <w:t>(Fischer et al., 2007, Jover et al., 2006, Carethers et al., 2004)</w:t>
      </w:r>
      <w:r w:rsidR="00B15A35">
        <w:rPr>
          <w:rFonts w:asciiTheme="majorHAnsi" w:hAnsiTheme="majorHAnsi"/>
        </w:rPr>
        <w:fldChar w:fldCharType="end"/>
      </w:r>
      <w:r w:rsidR="00B15A35">
        <w:rPr>
          <w:rFonts w:asciiTheme="majorHAnsi" w:hAnsiTheme="majorHAnsi"/>
        </w:rPr>
        <w:t>.</w:t>
      </w:r>
      <w:r w:rsidR="00B15A35" w:rsidRPr="00427C58">
        <w:rPr>
          <w:rFonts w:asciiTheme="majorHAnsi" w:hAnsiTheme="majorHAnsi"/>
        </w:rPr>
        <w:t xml:space="preserve"> </w:t>
      </w:r>
      <w:r w:rsidR="00B15A35">
        <w:rPr>
          <w:rFonts w:asciiTheme="majorHAnsi" w:hAnsiTheme="majorHAnsi"/>
        </w:rPr>
        <w:t xml:space="preserve">There have also been </w:t>
      </w:r>
      <w:r w:rsidR="00B15A35" w:rsidRPr="007614F3">
        <w:rPr>
          <w:rFonts w:asciiTheme="majorHAnsi" w:hAnsiTheme="majorHAnsi"/>
        </w:rPr>
        <w:t>differing reports from clinical trials surrounding the efficacy of these treatments for MSI and MSS patients. Some studies contradict the findings</w:t>
      </w:r>
      <w:r w:rsidR="00B15A35">
        <w:rPr>
          <w:rFonts w:asciiTheme="majorHAnsi" w:hAnsiTheme="majorHAnsi"/>
        </w:rPr>
        <w:t xml:space="preserve">, </w:t>
      </w:r>
      <w:r w:rsidR="00B15A35" w:rsidRPr="007614F3">
        <w:rPr>
          <w:rFonts w:asciiTheme="majorHAnsi" w:hAnsiTheme="majorHAnsi"/>
        </w:rPr>
        <w:t xml:space="preserve">or don’t show any difference in drug response between MSI and MSS tumours </w:t>
      </w:r>
      <w:r w:rsidR="00B15A35">
        <w:rPr>
          <w:rFonts w:asciiTheme="majorHAnsi" w:hAnsiTheme="majorHAnsi"/>
        </w:rPr>
        <w:fldChar w:fldCharType="begin">
          <w:fldData xml:space="preserve">PEVuZE5vdGU+PENpdGU+PEF1dGhvcj5MYW1iZXJ0aTwvQXV0aG9yPjxZZWFyPjIwMDc8L1llYXI+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</w:fldData>
        </w:fldChar>
      </w:r>
      <w:r w:rsidR="00B15A35">
        <w:rPr>
          <w:rFonts w:asciiTheme="majorHAnsi" w:hAnsiTheme="majorHAnsi"/>
        </w:rPr>
        <w:instrText xml:space="preserve"> ADDIN EN.CITE </w:instrText>
      </w:r>
      <w:r w:rsidR="00B15A35">
        <w:rPr>
          <w:rFonts w:asciiTheme="majorHAnsi" w:hAnsiTheme="majorHAnsi"/>
        </w:rPr>
        <w:fldChar w:fldCharType="begin">
          <w:fldData xml:space="preserve">PEVuZE5vdGU+PENpdGU+PEF1dGhvcj5MYW1iZXJ0aTwvQXV0aG9yPjxZZWFyPjIwMDc8L1llYXI+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</w:fldData>
        </w:fldChar>
      </w:r>
      <w:r w:rsidR="00B15A35">
        <w:rPr>
          <w:rFonts w:asciiTheme="majorHAnsi" w:hAnsiTheme="majorHAnsi"/>
        </w:rPr>
        <w:instrText xml:space="preserve"> ADDIN EN.CITE.DATA </w:instrText>
      </w:r>
      <w:r w:rsidR="00B15A35">
        <w:rPr>
          <w:rFonts w:asciiTheme="majorHAnsi" w:hAnsiTheme="majorHAnsi"/>
        </w:rPr>
      </w:r>
      <w:r w:rsidR="00B15A35">
        <w:rPr>
          <w:rFonts w:asciiTheme="majorHAnsi" w:hAnsiTheme="majorHAnsi"/>
        </w:rPr>
        <w:fldChar w:fldCharType="end"/>
      </w:r>
      <w:r w:rsidR="00B15A35">
        <w:rPr>
          <w:rFonts w:asciiTheme="majorHAnsi" w:hAnsiTheme="majorHAnsi"/>
        </w:rPr>
      </w:r>
      <w:r w:rsidR="00B15A35">
        <w:rPr>
          <w:rFonts w:asciiTheme="majorHAnsi" w:hAnsiTheme="majorHAnsi"/>
        </w:rPr>
        <w:fldChar w:fldCharType="separate"/>
      </w:r>
      <w:r w:rsidR="00B15A35">
        <w:rPr>
          <w:rFonts w:asciiTheme="majorHAnsi" w:hAnsiTheme="majorHAnsi"/>
          <w:noProof/>
        </w:rPr>
        <w:t>(Lamberti et al., 2007, Barratt et al., 2002)</w:t>
      </w:r>
      <w:r w:rsidR="00B15A35">
        <w:rPr>
          <w:rFonts w:asciiTheme="majorHAnsi" w:hAnsiTheme="majorHAnsi"/>
        </w:rPr>
        <w:fldChar w:fldCharType="end"/>
      </w:r>
      <w:r w:rsidR="00B15A35">
        <w:rPr>
          <w:rFonts w:asciiTheme="majorHAnsi" w:hAnsiTheme="majorHAnsi"/>
        </w:rPr>
        <w:t xml:space="preserve">. </w:t>
      </w:r>
      <w:r w:rsidR="00B15A35" w:rsidRPr="007614F3">
        <w:rPr>
          <w:rFonts w:asciiTheme="majorHAnsi" w:hAnsiTheme="majorHAnsi"/>
        </w:rPr>
        <w:t>However</w:t>
      </w:r>
      <w:r w:rsidR="00D56FD5">
        <w:rPr>
          <w:rFonts w:asciiTheme="majorHAnsi" w:hAnsiTheme="majorHAnsi"/>
        </w:rPr>
        <w:t>,</w:t>
      </w:r>
      <w:r w:rsidR="00B15A35" w:rsidRPr="007614F3">
        <w:rPr>
          <w:rFonts w:asciiTheme="majorHAnsi" w:hAnsiTheme="majorHAnsi"/>
        </w:rPr>
        <w:t xml:space="preserve"> MSI with defects in the DNA repair re</w:t>
      </w:r>
      <w:r w:rsidR="00B15A35">
        <w:rPr>
          <w:rFonts w:asciiTheme="majorHAnsi" w:hAnsiTheme="majorHAnsi"/>
        </w:rPr>
        <w:t xml:space="preserve">sponse are, as mentioned previously, </w:t>
      </w:r>
      <w:r w:rsidR="00B15A35" w:rsidRPr="007614F3">
        <w:rPr>
          <w:rFonts w:asciiTheme="majorHAnsi" w:hAnsiTheme="majorHAnsi"/>
        </w:rPr>
        <w:t>often seen in older patients who appear to be</w:t>
      </w:r>
      <w:r w:rsidR="00B15A35">
        <w:rPr>
          <w:rFonts w:asciiTheme="majorHAnsi" w:hAnsiTheme="majorHAnsi"/>
        </w:rPr>
        <w:t xml:space="preserve"> generally</w:t>
      </w:r>
      <w:r w:rsidR="00B15A35" w:rsidRPr="007614F3">
        <w:rPr>
          <w:rFonts w:asciiTheme="majorHAnsi" w:hAnsiTheme="majorHAnsi"/>
        </w:rPr>
        <w:t xml:space="preserve"> under represented in the analyzed cohorts, possibly due to co-morbidities. Also it is </w:t>
      </w:r>
      <w:r w:rsidR="00B15A35">
        <w:rPr>
          <w:rFonts w:asciiTheme="majorHAnsi" w:hAnsiTheme="majorHAnsi"/>
        </w:rPr>
        <w:t>difficult</w:t>
      </w:r>
      <w:r w:rsidR="00B15A35" w:rsidRPr="007614F3">
        <w:rPr>
          <w:rFonts w:asciiTheme="majorHAnsi" w:hAnsiTheme="majorHAnsi"/>
        </w:rPr>
        <w:t xml:space="preserve"> to conclusively compare studies when they all vary in whether they include </w:t>
      </w:r>
      <w:r w:rsidR="00733C16">
        <w:rPr>
          <w:rFonts w:asciiTheme="majorHAnsi" w:hAnsiTheme="majorHAnsi"/>
        </w:rPr>
        <w:t xml:space="preserve">both colon and rectal tumours </w:t>
      </w:r>
      <w:r w:rsidR="00B15A35">
        <w:rPr>
          <w:rFonts w:asciiTheme="majorHAnsi" w:hAnsiTheme="majorHAnsi"/>
        </w:rPr>
        <w:fldChar w:fldCharType="begin"/>
      </w:r>
      <w:r w:rsidR="00B15A35">
        <w:rPr>
          <w:rFonts w:asciiTheme="majorHAnsi" w:hAnsiTheme="majorHAnsi"/>
        </w:rPr>
        <w:instrText xml:space="preserve"> ADDIN EN.CITE &lt;EndNote&gt;&lt;Cite&gt;&lt;Author&gt;Lamberti&lt;/Author&gt;&lt;Year&gt;2007&lt;/Year&gt;&lt;IDText&gt;Microsatellite instability did not predict individual survival of unselected patients with colorectal cancer&lt;/IDText&gt;&lt;DisplayText&gt;(Lamberti et al., 2007)&lt;/DisplayText&gt;&lt;record&gt;&lt;keywords&gt;&lt;keyword&gt;Chemotherapy&lt;/keyword&gt;&lt;keyword&gt;Colorectal Cancer&lt;/keyword&gt;&lt;keyword&gt;Microsatellite Instability&lt;/keyword&gt;&lt;keyword&gt;Prognosis&lt;/keyword&gt;&lt;/keywords&gt;&lt;isbn&gt;01791958&lt;/isbn&gt;&lt;titles&gt;&lt;title&gt;Microsatellite instability did not predict individual survival of unselected patients with colorectal cancer&lt;/title&gt;&lt;secondary-title&gt;International Journal of Colorectal Disease&lt;/secondary-title&gt;&lt;/titles&gt;&lt;pages&gt;145-152&lt;/pages&gt;&lt;number&gt;2&lt;/number&gt;&lt;contributors&gt;&lt;authors&gt;&lt;author&gt;Lamberti, Christof&lt;/author&gt;&lt;author&gt;Lundin, Christof&lt;/author&gt;&lt;author&gt;Sauerbruch, Christof&lt;/author&gt;&lt;author&gt;Friedrichs, Christof&lt;/author&gt;&lt;author&gt;Büttner, Christof&lt;/author&gt;&lt;author&gt;Bogdanow, Christof&lt;/author&gt;&lt;author&gt;Pagenstecher, Christof&lt;/author&gt;&lt;/authors&gt;&lt;/contributors&gt;&lt;added-date format="utc"&gt;1425983826&lt;/added-date&gt;&lt;ref-type name="Journal Article"&gt;17&lt;/ref-type&gt;&lt;dates&gt;&lt;year&gt;2007&lt;/year&gt;&lt;/dates&gt;&lt;rec-number&gt;62&lt;/rec-number&gt;&lt;last-updated-date format="utc"&gt;1447344658&lt;/last-updated-date&gt;&lt;electronic-resource-num&gt;10.1007/s00384-006-0131-8&lt;/electronic-resource-num&gt;&lt;volume&gt;22&lt;/volume&gt;&lt;/record&gt;&lt;/Cite&gt;&lt;/EndNote&gt;</w:instrText>
      </w:r>
      <w:r w:rsidR="00B15A35">
        <w:rPr>
          <w:rFonts w:asciiTheme="majorHAnsi" w:hAnsiTheme="majorHAnsi"/>
        </w:rPr>
        <w:fldChar w:fldCharType="separate"/>
      </w:r>
      <w:r w:rsidR="00B15A35">
        <w:rPr>
          <w:rFonts w:asciiTheme="majorHAnsi" w:hAnsiTheme="majorHAnsi"/>
          <w:noProof/>
        </w:rPr>
        <w:t>(Lamberti et al., 2007)</w:t>
      </w:r>
      <w:r w:rsidR="00B15A35">
        <w:rPr>
          <w:rFonts w:asciiTheme="majorHAnsi" w:hAnsiTheme="majorHAnsi"/>
        </w:rPr>
        <w:fldChar w:fldCharType="end"/>
      </w:r>
      <w:r w:rsidR="00B15A35">
        <w:rPr>
          <w:rFonts w:asciiTheme="majorHAnsi" w:hAnsiTheme="majorHAnsi"/>
        </w:rPr>
        <w:t>.</w:t>
      </w:r>
      <w:r w:rsidR="00B15A35" w:rsidRPr="007614F3">
        <w:rPr>
          <w:rFonts w:asciiTheme="majorHAnsi" w:hAnsiTheme="majorHAnsi"/>
        </w:rPr>
        <w:t xml:space="preserve"> </w:t>
      </w:r>
      <w:r w:rsidR="00B15A35">
        <w:rPr>
          <w:rFonts w:asciiTheme="majorHAnsi" w:hAnsiTheme="majorHAnsi"/>
        </w:rPr>
        <w:t xml:space="preserve">One hypothesis to the lack of response </w:t>
      </w:r>
      <w:r w:rsidR="000417E8">
        <w:rPr>
          <w:rFonts w:asciiTheme="majorHAnsi" w:hAnsiTheme="majorHAnsi"/>
        </w:rPr>
        <w:t>of MSI tumours</w:t>
      </w:r>
      <w:r w:rsidR="005A4565">
        <w:rPr>
          <w:rFonts w:asciiTheme="majorHAnsi" w:hAnsiTheme="majorHAnsi"/>
        </w:rPr>
        <w:t xml:space="preserve"> to therapeutics</w:t>
      </w:r>
      <w:r w:rsidR="000417E8">
        <w:rPr>
          <w:rFonts w:asciiTheme="majorHAnsi" w:hAnsiTheme="majorHAnsi"/>
        </w:rPr>
        <w:t xml:space="preserve"> </w:t>
      </w:r>
      <w:r w:rsidR="00B15A35">
        <w:rPr>
          <w:rFonts w:asciiTheme="majorHAnsi" w:hAnsiTheme="majorHAnsi"/>
        </w:rPr>
        <w:t xml:space="preserve">is that </w:t>
      </w:r>
      <w:r w:rsidR="005A4565">
        <w:rPr>
          <w:rFonts w:asciiTheme="majorHAnsi" w:hAnsiTheme="majorHAnsi"/>
        </w:rPr>
        <w:t xml:space="preserve">standard chemotherapeutics </w:t>
      </w:r>
      <w:r w:rsidR="00B15A35">
        <w:rPr>
          <w:rFonts w:asciiTheme="majorHAnsi" w:hAnsiTheme="majorHAnsi"/>
        </w:rPr>
        <w:t>tend to dampen the immune system of the patients and in MSI it appears that the high levels of lymphatic infiltrates cause an anti-tumour response</w:t>
      </w:r>
      <w:r w:rsidR="005A4565">
        <w:rPr>
          <w:rFonts w:asciiTheme="majorHAnsi" w:hAnsiTheme="majorHAnsi"/>
        </w:rPr>
        <w:t xml:space="preserve"> and so a better prognosis</w:t>
      </w:r>
      <w:r w:rsidR="00B15A35">
        <w:rPr>
          <w:rFonts w:asciiTheme="majorHAnsi" w:hAnsiTheme="majorHAnsi"/>
        </w:rPr>
        <w:t xml:space="preserve">, </w:t>
      </w:r>
      <w:r w:rsidR="005A4565">
        <w:rPr>
          <w:rFonts w:asciiTheme="majorHAnsi" w:hAnsiTheme="majorHAnsi"/>
        </w:rPr>
        <w:t>this increased lymphatic response</w:t>
      </w:r>
      <w:r w:rsidR="00B15A35">
        <w:rPr>
          <w:rFonts w:asciiTheme="majorHAnsi" w:hAnsiTheme="majorHAnsi"/>
        </w:rPr>
        <w:t xml:space="preserve"> is </w:t>
      </w:r>
      <w:r w:rsidR="005A4565">
        <w:rPr>
          <w:rFonts w:asciiTheme="majorHAnsi" w:hAnsiTheme="majorHAnsi"/>
        </w:rPr>
        <w:t xml:space="preserve">therefore </w:t>
      </w:r>
      <w:r w:rsidR="00B15A35">
        <w:rPr>
          <w:rFonts w:asciiTheme="majorHAnsi" w:hAnsiTheme="majorHAnsi"/>
        </w:rPr>
        <w:t xml:space="preserve">decreased in the presence of treatments such as 5-FU </w:t>
      </w:r>
      <w:r w:rsidR="000417E8">
        <w:rPr>
          <w:rFonts w:asciiTheme="majorHAnsi" w:hAnsiTheme="majorHAnsi"/>
        </w:rPr>
        <w:t>due to killing of the lymphocytes</w:t>
      </w:r>
      <w:r w:rsidR="005A4565">
        <w:rPr>
          <w:rFonts w:asciiTheme="majorHAnsi" w:hAnsiTheme="majorHAnsi"/>
        </w:rPr>
        <w:t xml:space="preserve"> and so shows little benefit to tumour response </w:t>
      </w:r>
      <w:r w:rsidR="00B15A35">
        <w:rPr>
          <w:rFonts w:asciiTheme="majorHAnsi" w:hAnsiTheme="majorHAnsi"/>
        </w:rPr>
        <w:fldChar w:fldCharType="begin"/>
      </w:r>
      <w:r w:rsidR="00B15A35">
        <w:rPr>
          <w:rFonts w:asciiTheme="majorHAnsi" w:hAnsiTheme="majorHAnsi"/>
        </w:rPr>
        <w:instrText xml:space="preserve"> ADDIN EN.CITE &lt;EndNote&gt;&lt;Cite&gt;&lt;Author&gt;Boland&lt;/Author&gt;&lt;Year&gt;2010&lt;/Year&gt;&lt;IDText&gt;Microsatellite instability in colorectal cancer&lt;/IDText&gt;&lt;DisplayText&gt;(Boland and Goel, 2010)&lt;/DisplayText&gt;&lt;record&gt;&lt;dates&gt;&lt;pub-dates&gt;&lt;date&gt;Jun&lt;/date&gt;&lt;/pub-dates&gt;&lt;year&gt;2010&lt;/year&gt;&lt;/dates&gt;&lt;keywords&gt;&lt;keyword&gt;Animals&lt;/keyword&gt;&lt;keyword&gt;Cell Transformation, Neoplastic&lt;/keyword&gt;&lt;keyword&gt;Colorectal Neoplasms&lt;/keyword&gt;&lt;keyword&gt;Colorectal Neoplasms, Hereditary Nonpolyposis&lt;/keyword&gt;&lt;keyword&gt;DNA Mismatch Repair&lt;/keyword&gt;&lt;keyword&gt;Gene Expression Regulation, Neoplastic&lt;/keyword&gt;&lt;keyword&gt;Genetic Predisposition to Disease&lt;/keyword&gt;&lt;keyword&gt;Humans&lt;/keyword&gt;&lt;keyword&gt;Microsatellite Instability&lt;/keyword&gt;&lt;keyword&gt;Mutation&lt;/keyword&gt;&lt;keyword&gt;Phenotype&lt;/keyword&gt;&lt;keyword&gt;Risk Factors&lt;/keyword&gt;&lt;keyword&gt;Treatment Outcome&lt;/keyword&gt;&lt;/keywords&gt;&lt;urls&gt;&lt;related-urls&gt;&lt;url&gt;https://www.ncbi.nlm.nih.gov/pubmed/20420947&lt;/url&gt;&lt;/related-urls&gt;&lt;/urls&gt;&lt;isbn&gt;1528-0012&lt;/isbn&gt;&lt;custom2&gt;PMC3037515&lt;/custom2&gt;&lt;titles&gt;&lt;title&gt;Microsatellite instability in colorectal cancer&lt;/title&gt;&lt;secondary-title&gt;Gastroenterology&lt;/secondary-title&gt;&lt;/titles&gt;&lt;pages&gt;2073-2087.e3&lt;/pages&gt;&lt;number&gt;6&lt;/number&gt;&lt;contributors&gt;&lt;authors&gt;&lt;author&gt;Boland, C. R.&lt;/author&gt;&lt;author&gt;Goel, A.&lt;/author&gt;&lt;/authors&gt;&lt;/contributors&gt;&lt;language&gt;eng&lt;/language&gt;&lt;added-date format="utc"&gt;1509364704&lt;/added-date&gt;&lt;ref-type name="Journal Article"&gt;17&lt;/ref-type&gt;&lt;rec-number&gt;312&lt;/rec-number&gt;&lt;last-updated-date format="utc"&gt;1509364704&lt;/last-updated-date&gt;&lt;accession-num&gt;20420947&lt;/accession-num&gt;&lt;electronic-resource-num&gt;10.1053/j.gastro.2009.12.064&lt;/electronic-resource-num&gt;&lt;volume&gt;138&lt;/volume&gt;&lt;/record&gt;&lt;/Cite&gt;&lt;/EndNote&gt;</w:instrText>
      </w:r>
      <w:r w:rsidR="00B15A35">
        <w:rPr>
          <w:rFonts w:asciiTheme="majorHAnsi" w:hAnsiTheme="majorHAnsi"/>
        </w:rPr>
        <w:fldChar w:fldCharType="separate"/>
      </w:r>
      <w:r w:rsidR="00B15A35">
        <w:rPr>
          <w:rFonts w:asciiTheme="majorHAnsi" w:hAnsiTheme="majorHAnsi"/>
          <w:noProof/>
        </w:rPr>
        <w:t>(Boland and Goel, 2010)</w:t>
      </w:r>
      <w:r w:rsidR="00B15A35">
        <w:rPr>
          <w:rFonts w:asciiTheme="majorHAnsi" w:hAnsiTheme="majorHAnsi"/>
        </w:rPr>
        <w:fldChar w:fldCharType="end"/>
      </w:r>
      <w:r w:rsidR="00B15A35">
        <w:rPr>
          <w:rFonts w:asciiTheme="majorHAnsi" w:hAnsiTheme="majorHAnsi"/>
        </w:rPr>
        <w:t>.</w:t>
      </w:r>
    </w:p>
    <w:p w14:paraId="66F652F4" w14:textId="77777777" w:rsidR="00B15A35" w:rsidRPr="007614F3" w:rsidRDefault="00B15A35" w:rsidP="00B15A35">
      <w:pPr>
        <w:pStyle w:val="NoSpacing"/>
        <w:spacing w:line="360" w:lineRule="auto"/>
        <w:jc w:val="both"/>
        <w:rPr>
          <w:rFonts w:asciiTheme="majorHAnsi" w:hAnsiTheme="majorHAnsi"/>
        </w:rPr>
      </w:pPr>
    </w:p>
    <w:p w14:paraId="38B8D2A3" w14:textId="77777777" w:rsidR="000417E8" w:rsidRPr="005A4565" w:rsidRDefault="000417E8" w:rsidP="005A4565">
      <w:pPr>
        <w:spacing w:line="360" w:lineRule="auto"/>
        <w:jc w:val="both"/>
        <w:rPr>
          <w:rFonts w:asciiTheme="majorHAnsi" w:hAnsiTheme="majorHAnsi"/>
          <w:b/>
          <w:i/>
          <w:lang w:val="en-US"/>
        </w:rPr>
      </w:pPr>
    </w:p>
    <w:p w14:paraId="02F7C294" w14:textId="77777777" w:rsidR="00B15A35" w:rsidRPr="00761CB9" w:rsidRDefault="00B15A35" w:rsidP="002F41C6">
      <w:pPr>
        <w:pStyle w:val="ListParagraph"/>
        <w:numPr>
          <w:ilvl w:val="0"/>
          <w:numId w:val="35"/>
        </w:numPr>
        <w:spacing w:line="360" w:lineRule="auto"/>
        <w:jc w:val="both"/>
        <w:rPr>
          <w:rFonts w:asciiTheme="majorHAnsi" w:hAnsiTheme="majorHAnsi"/>
          <w:b/>
          <w:i/>
          <w:lang w:val="en-US"/>
        </w:rPr>
      </w:pPr>
      <w:r>
        <w:rPr>
          <w:rFonts w:asciiTheme="majorHAnsi" w:hAnsiTheme="majorHAnsi"/>
          <w:b/>
          <w:i/>
        </w:rPr>
        <w:t>Methylation Status (CIMP)</w:t>
      </w:r>
    </w:p>
    <w:p w14:paraId="75F05C10" w14:textId="3CC1F3DF" w:rsidR="00B15A35" w:rsidRDefault="00B15A35" w:rsidP="00B15A35">
      <w:pPr>
        <w:spacing w:line="360" w:lineRule="auto"/>
        <w:jc w:val="both"/>
        <w:rPr>
          <w:rFonts w:asciiTheme="majorHAnsi" w:hAnsiTheme="majorHAnsi"/>
        </w:rPr>
      </w:pPr>
      <w:r w:rsidRPr="00761CB9">
        <w:rPr>
          <w:rFonts w:asciiTheme="majorHAnsi" w:hAnsiTheme="majorHAnsi"/>
        </w:rPr>
        <w:t xml:space="preserve">Another emerging tumourigenesis pathway in CRC is </w:t>
      </w:r>
      <w:r w:rsidR="000417E8">
        <w:rPr>
          <w:rFonts w:asciiTheme="majorHAnsi" w:hAnsiTheme="majorHAnsi"/>
        </w:rPr>
        <w:t xml:space="preserve">characterised by </w:t>
      </w:r>
      <w:r w:rsidRPr="00761CB9">
        <w:rPr>
          <w:rFonts w:asciiTheme="majorHAnsi" w:hAnsiTheme="majorHAnsi"/>
        </w:rPr>
        <w:t xml:space="preserve">DNA methylation of important regulatory genes, which alters the expression of these genes, or in some cases </w:t>
      </w:r>
      <w:r>
        <w:rPr>
          <w:rFonts w:asciiTheme="majorHAnsi" w:hAnsiTheme="majorHAnsi"/>
        </w:rPr>
        <w:t xml:space="preserve">leads to </w:t>
      </w:r>
      <w:r w:rsidRPr="00761CB9">
        <w:rPr>
          <w:rFonts w:asciiTheme="majorHAnsi" w:hAnsiTheme="majorHAnsi"/>
        </w:rPr>
        <w:t xml:space="preserve">gene silencing </w:t>
      </w:r>
      <w:r>
        <w:rPr>
          <w:rFonts w:asciiTheme="majorHAnsi" w:hAnsiTheme="majorHAnsi"/>
        </w:rPr>
        <w:fldChar w:fldCharType="begin"/>
      </w:r>
      <w:r>
        <w:rPr>
          <w:rFonts w:asciiTheme="majorHAnsi" w:hAnsiTheme="majorHAnsi"/>
        </w:rPr>
        <w:instrText xml:space="preserve"> ADDIN EN.CITE &lt;EndNote&gt;&lt;Cite&gt;&lt;Author&gt;Lee&lt;/Author&gt;&lt;Year&gt;2004&lt;/Year&gt;&lt;IDText&gt;Aberrant CpG island hypermethylation of multiple genes in colorectal neoplasia&lt;/IDText&gt;&lt;DisplayText&gt;(Lee et al., 2004)&lt;/DisplayText&gt;&lt;record&gt;&lt;isbn&gt;0023-6837&lt;/isbn&gt;&lt;titles&gt;&lt;title&gt;Aberrant CpG island hypermethylation of multiple genes in colorectal neoplasia&lt;/title&gt;&lt;secondary-title&gt;Lab. Invest.&lt;/secondary-title&gt;&lt;/titles&gt;&lt;pages&gt;884-893&lt;/pages&gt;&lt;number&gt;7&lt;/number&gt;&lt;contributors&gt;&lt;authors&gt;&lt;author&gt;Lee, S.&lt;/author&gt;&lt;author&gt;Hwang, K. S.&lt;/author&gt;&lt;author&gt;Lee, Hj&lt;/author&gt;&lt;author&gt;Kim, Js&lt;/author&gt;&lt;author&gt;Kang, Gh&lt;/author&gt;&lt;/authors&gt;&lt;/contributors&gt;&lt;added-date format="utc"&gt;1425983976&lt;/added-date&gt;&lt;ref-type name="Journal Article"&gt;17&lt;/ref-type&gt;&lt;dates&gt;&lt;year&gt;2004&lt;/year&gt;&lt;/dates&gt;&lt;rec-number&gt;65&lt;/rec-number&gt;&lt;last-updated-date format="utc"&gt;1447344165&lt;/last-updated-date&gt;&lt;volume&gt;84&lt;/volume&gt;&lt;/record&gt;&lt;/Cite&gt;&lt;/EndNote&gt;</w:instrText>
      </w:r>
      <w:r>
        <w:rPr>
          <w:rFonts w:asciiTheme="majorHAnsi" w:hAnsiTheme="majorHAnsi"/>
        </w:rPr>
        <w:fldChar w:fldCharType="separate"/>
      </w:r>
      <w:r>
        <w:rPr>
          <w:rFonts w:asciiTheme="majorHAnsi" w:hAnsiTheme="majorHAnsi"/>
          <w:noProof/>
        </w:rPr>
        <w:t>(Lee et al., 2004)</w:t>
      </w:r>
      <w:r>
        <w:rPr>
          <w:rFonts w:asciiTheme="majorHAnsi" w:hAnsiTheme="majorHAnsi"/>
        </w:rPr>
        <w:fldChar w:fldCharType="end"/>
      </w:r>
      <w:r>
        <w:rPr>
          <w:rFonts w:asciiTheme="majorHAnsi" w:hAnsiTheme="majorHAnsi"/>
        </w:rPr>
        <w:t>.</w:t>
      </w:r>
      <w:r w:rsidRPr="00761CB9">
        <w:rPr>
          <w:rFonts w:asciiTheme="majorHAnsi" w:hAnsiTheme="majorHAnsi"/>
        </w:rPr>
        <w:t xml:space="preserve"> Methylation usually occurs at CpG islands; these are typically unmethylated when gene expression is </w:t>
      </w:r>
      <w:r>
        <w:rPr>
          <w:rFonts w:asciiTheme="majorHAnsi" w:hAnsiTheme="majorHAnsi"/>
        </w:rPr>
        <w:t>activated</w:t>
      </w:r>
      <w:r w:rsidRPr="00761CB9">
        <w:rPr>
          <w:rFonts w:asciiTheme="majorHAnsi" w:hAnsiTheme="majorHAnsi"/>
        </w:rPr>
        <w:t xml:space="preserve">, and these areas of repeating cysteine-guanine nucleotides are associated with 70% of gene promoters </w:t>
      </w:r>
      <w:r>
        <w:rPr>
          <w:rFonts w:asciiTheme="majorHAnsi" w:hAnsiTheme="majorHAnsi"/>
        </w:rPr>
        <w:fldChar w:fldCharType="begin"/>
      </w:r>
      <w:r>
        <w:rPr>
          <w:rFonts w:asciiTheme="majorHAnsi" w:hAnsiTheme="majorHAnsi"/>
        </w:rPr>
        <w:instrText xml:space="preserve"> ADDIN EN.CITE &lt;EndNote&gt;&lt;Cite&gt;&lt;Author&gt;Deaton&lt;/Author&gt;&lt;Year&gt;2011&lt;/Year&gt;&lt;IDText&gt;CpG islands and the regulation of transcription&lt;/IDText&gt;&lt;DisplayText&gt;(Deaton and Bird, 2011)&lt;/DisplayText&gt;&lt;record&gt;&lt;dates&gt;&lt;pub-dates&gt;&lt;date&gt;May&lt;/date&gt;&lt;/pub-dates&gt;&lt;year&gt;2011&lt;/year&gt;&lt;/dates&gt;&lt;keywords&gt;&lt;keyword&gt;Animals&lt;/keyword&gt;&lt;keyword&gt;Chromatin&lt;/keyword&gt;&lt;keyword&gt;CpG Islands&lt;/keyword&gt;&lt;keyword&gt;DNA Methylation&lt;/keyword&gt;&lt;keyword&gt;Gene Expression Regulation&lt;/keyword&gt;&lt;keyword&gt;Gene Silencing&lt;/keyword&gt;&lt;keyword&gt;Humans&lt;/keyword&gt;&lt;keyword&gt;Polycomb-Group Proteins&lt;/keyword&gt;&lt;keyword&gt;Promoter Regions, Genetic&lt;/keyword&gt;&lt;keyword&gt;Repressor Proteins&lt;/keyword&gt;&lt;keyword&gt;Transcription Initiation Site&lt;/keyword&gt;&lt;/keywords&gt;&lt;urls&gt;&lt;related-urls&gt;&lt;url&gt;http://www.ncbi.nlm.nih.gov/pubmed/21576262&lt;/url&gt;&lt;/related-urls&gt;&lt;/urls&gt;&lt;isbn&gt;1549-5477&lt;/isbn&gt;&lt;custom2&gt;PMC3093116&lt;/custom2&gt;&lt;titles&gt;&lt;title&gt;CpG islands and the regulation of transcription&lt;/title&gt;&lt;secondary-title&gt;Genes Dev&lt;/secondary-title&gt;&lt;/titles&gt;&lt;pages&gt;1010-22&lt;/pages&gt;&lt;number&gt;10&lt;/number&gt;&lt;contributors&gt;&lt;authors&gt;&lt;author&gt;Deaton, A. M.&lt;/author&gt;&lt;author&gt;Bird, A.&lt;/author&gt;&lt;/authors&gt;&lt;/contributors&gt;&lt;language&gt;eng&lt;/language&gt;&lt;added-date format="utc"&gt;1425919087&lt;/added-date&gt;&lt;ref-type name="Journal Article"&gt;17&lt;/ref-type&gt;&lt;rec-number&gt;27&lt;/rec-number&gt;&lt;last-updated-date format="utc"&gt;1447343920&lt;/last-updated-date&gt;&lt;accession-num&gt;21576262&lt;/accession-num&gt;&lt;electronic-resource-num&gt;10.1101/gad.2037511&lt;/electronic-resource-num&gt;&lt;volume&gt;25&lt;/volume&gt;&lt;/record&gt;&lt;/Cite&gt;&lt;/EndNote&gt;</w:instrText>
      </w:r>
      <w:r>
        <w:rPr>
          <w:rFonts w:asciiTheme="majorHAnsi" w:hAnsiTheme="majorHAnsi"/>
        </w:rPr>
        <w:fldChar w:fldCharType="separate"/>
      </w:r>
      <w:r>
        <w:rPr>
          <w:rFonts w:asciiTheme="majorHAnsi" w:hAnsiTheme="majorHAnsi"/>
          <w:noProof/>
        </w:rPr>
        <w:t>(Deaton and Bird, 2011)</w:t>
      </w:r>
      <w:r>
        <w:rPr>
          <w:rFonts w:asciiTheme="majorHAnsi" w:hAnsiTheme="majorHAnsi"/>
        </w:rPr>
        <w:fldChar w:fldCharType="end"/>
      </w:r>
      <w:r>
        <w:rPr>
          <w:rFonts w:asciiTheme="majorHAnsi" w:hAnsiTheme="majorHAnsi"/>
        </w:rPr>
        <w:t xml:space="preserve">. As mentioned in the previous section, </w:t>
      </w:r>
      <w:r w:rsidRPr="00761CB9">
        <w:rPr>
          <w:rFonts w:asciiTheme="majorHAnsi" w:hAnsiTheme="majorHAnsi"/>
        </w:rPr>
        <w:t>tumours</w:t>
      </w:r>
      <w:r>
        <w:rPr>
          <w:rFonts w:asciiTheme="majorHAnsi" w:hAnsiTheme="majorHAnsi"/>
        </w:rPr>
        <w:t xml:space="preserve"> can</w:t>
      </w:r>
      <w:r w:rsidRPr="00761CB9">
        <w:rPr>
          <w:rFonts w:asciiTheme="majorHAnsi" w:hAnsiTheme="majorHAnsi"/>
        </w:rPr>
        <w:t xml:space="preserve"> acquire epigenetic changes that </w:t>
      </w:r>
      <w:r>
        <w:rPr>
          <w:rFonts w:asciiTheme="majorHAnsi" w:hAnsiTheme="majorHAnsi"/>
        </w:rPr>
        <w:t>lead to</w:t>
      </w:r>
      <w:r w:rsidRPr="00761CB9">
        <w:rPr>
          <w:rFonts w:asciiTheme="majorHAnsi" w:hAnsiTheme="majorHAnsi"/>
        </w:rPr>
        <w:t xml:space="preserve"> MSI</w:t>
      </w:r>
      <w:r>
        <w:rPr>
          <w:rFonts w:asciiTheme="majorHAnsi" w:hAnsiTheme="majorHAnsi"/>
        </w:rPr>
        <w:t>.</w:t>
      </w:r>
      <w:r w:rsidRPr="00761CB9">
        <w:rPr>
          <w:rFonts w:asciiTheme="majorHAnsi" w:hAnsiTheme="majorHAnsi"/>
        </w:rPr>
        <w:t xml:space="preserve"> For instance it has bee</w:t>
      </w:r>
      <w:r>
        <w:rPr>
          <w:rFonts w:asciiTheme="majorHAnsi" w:hAnsiTheme="majorHAnsi"/>
        </w:rPr>
        <w:t xml:space="preserve">n shown that in nearly all </w:t>
      </w:r>
      <w:r w:rsidR="000417E8">
        <w:rPr>
          <w:rFonts w:asciiTheme="majorHAnsi" w:hAnsiTheme="majorHAnsi"/>
        </w:rPr>
        <w:t xml:space="preserve">sporadic </w:t>
      </w:r>
      <w:r>
        <w:rPr>
          <w:rFonts w:asciiTheme="majorHAnsi" w:hAnsiTheme="majorHAnsi"/>
        </w:rPr>
        <w:t>MSI</w:t>
      </w:r>
      <w:r w:rsidRPr="00761CB9">
        <w:rPr>
          <w:rFonts w:asciiTheme="majorHAnsi" w:hAnsiTheme="majorHAnsi"/>
        </w:rPr>
        <w:t xml:space="preserve"> </w:t>
      </w:r>
      <w:r w:rsidR="000417E8">
        <w:rPr>
          <w:rFonts w:asciiTheme="majorHAnsi" w:hAnsiTheme="majorHAnsi"/>
        </w:rPr>
        <w:t xml:space="preserve">CRC </w:t>
      </w:r>
      <w:r w:rsidRPr="00761CB9">
        <w:rPr>
          <w:rFonts w:asciiTheme="majorHAnsi" w:hAnsiTheme="majorHAnsi"/>
        </w:rPr>
        <w:t xml:space="preserve">cases, the reason behind inadequate replication fidelity is the hypermethylation, and hence inactivation of </w:t>
      </w:r>
      <w:r w:rsidR="000417E8">
        <w:rPr>
          <w:rFonts w:asciiTheme="majorHAnsi" w:hAnsiTheme="majorHAnsi"/>
        </w:rPr>
        <w:t xml:space="preserve">the </w:t>
      </w:r>
      <w:r w:rsidRPr="00761CB9">
        <w:rPr>
          <w:rFonts w:asciiTheme="majorHAnsi" w:hAnsiTheme="majorHAnsi"/>
        </w:rPr>
        <w:t>hMLH1 and</w:t>
      </w:r>
      <w:r>
        <w:rPr>
          <w:rFonts w:asciiTheme="majorHAnsi" w:hAnsiTheme="majorHAnsi"/>
        </w:rPr>
        <w:t>/or</w:t>
      </w:r>
      <w:r w:rsidRPr="00761CB9">
        <w:rPr>
          <w:rFonts w:asciiTheme="majorHAnsi" w:hAnsiTheme="majorHAnsi"/>
        </w:rPr>
        <w:t xml:space="preserve"> hMSH2 gene promoters </w:t>
      </w:r>
      <w:r>
        <w:rPr>
          <w:rFonts w:asciiTheme="majorHAnsi" w:hAnsiTheme="majorHAnsi"/>
        </w:rPr>
        <w:fldChar w:fldCharType="begin"/>
      </w:r>
      <w:r>
        <w:rPr>
          <w:rFonts w:asciiTheme="majorHAnsi" w:hAnsiTheme="majorHAnsi"/>
        </w:rPr>
        <w:instrText xml:space="preserve"> ADDIN EN.CITE &lt;EndNote&gt;&lt;Cite&gt;&lt;Author&gt;Kanth&lt;/Author&gt;&lt;Year&gt;2014&lt;/Year&gt;&lt;IDText&gt;Microsatellite instability and promoter hypermethylation in colorectal cancer in India&lt;/IDText&gt;&lt;DisplayText&gt;(Kanth et al., 2014)&lt;/DisplayText&gt;&lt;record&gt;&lt;isbn&gt;1010-4283&lt;/isbn&gt;&lt;titles&gt;&lt;title&gt;Microsatellite instability and promoter hypermethylation in colorectal cancer in India&lt;/title&gt;&lt;secondary-title&gt;Tumor Biol.&lt;/secondary-title&gt;&lt;/titles&gt;&lt;pages&gt;4347-4355&lt;/pages&gt;&lt;number&gt;5&lt;/number&gt;&lt;contributors&gt;&lt;authors&gt;&lt;author&gt;Kanth, Vvr&lt;/author&gt;&lt;author&gt;Bhalsing, S.&lt;/author&gt;&lt;author&gt;Sasikala, M.&lt;/author&gt;&lt;author&gt;Rao, Gv&lt;/author&gt;&lt;author&gt;Pradeep, R.&lt;/author&gt;&lt;author&gt;Avanthi, Us&lt;/author&gt;&lt;author&gt;Reddy, Dn&lt;/author&gt;&lt;/authors&gt;&lt;/contributors&gt;&lt;added-date format="utc"&gt;1425983649&lt;/added-date&gt;&lt;ref-type name="Journal Article"&gt;17&lt;/ref-type&gt;&lt;dates&gt;&lt;year&gt;2014&lt;/year&gt;&lt;/dates&gt;&lt;rec-number&gt;60&lt;/rec-number&gt;&lt;last-updated-date format="utc"&gt;1447344612&lt;/last-updated-date&gt;&lt;electronic-resource-num&gt;10.1007/s13277-013-1570-9&lt;/electronic-resource-num&gt;&lt;volume&gt;35&lt;/volume&gt;&lt;/record&gt;&lt;/Cite&gt;&lt;/EndNote&gt;</w:instrText>
      </w:r>
      <w:r>
        <w:rPr>
          <w:rFonts w:asciiTheme="majorHAnsi" w:hAnsiTheme="majorHAnsi"/>
        </w:rPr>
        <w:fldChar w:fldCharType="separate"/>
      </w:r>
      <w:r>
        <w:rPr>
          <w:rFonts w:asciiTheme="majorHAnsi" w:hAnsiTheme="majorHAnsi"/>
          <w:noProof/>
        </w:rPr>
        <w:t>(Kanth et al., 2014)</w:t>
      </w:r>
      <w:r>
        <w:rPr>
          <w:rFonts w:asciiTheme="majorHAnsi" w:hAnsiTheme="majorHAnsi"/>
        </w:rPr>
        <w:fldChar w:fldCharType="end"/>
      </w:r>
      <w:r>
        <w:rPr>
          <w:rFonts w:asciiTheme="majorHAnsi" w:hAnsiTheme="majorHAnsi"/>
        </w:rPr>
        <w:t>, t</w:t>
      </w:r>
      <w:r w:rsidRPr="00761CB9">
        <w:rPr>
          <w:rFonts w:asciiTheme="majorHAnsi" w:hAnsiTheme="majorHAnsi"/>
        </w:rPr>
        <w:t xml:space="preserve">his has also been corroborated in other cancers such as gastric </w:t>
      </w:r>
      <w:r w:rsidR="000417E8">
        <w:rPr>
          <w:rFonts w:asciiTheme="majorHAnsi" w:hAnsiTheme="majorHAnsi"/>
        </w:rPr>
        <w:t xml:space="preserve">cancer </w:t>
      </w:r>
      <w:r>
        <w:rPr>
          <w:rFonts w:asciiTheme="majorHAnsi" w:hAnsiTheme="majorHAnsi"/>
        </w:rPr>
        <w:fldChar w:fldCharType="begin"/>
      </w:r>
      <w:r>
        <w:rPr>
          <w:rFonts w:asciiTheme="majorHAnsi" w:hAnsiTheme="majorHAnsi"/>
        </w:rPr>
        <w:instrText xml:space="preserve"> ADDIN EN.CITE &lt;EndNote&gt;&lt;Cite&gt;&lt;Author&gt;Leung&lt;/Author&gt;&lt;Year&gt;1999&lt;/Year&gt;&lt;IDText&gt;hMLH1 promoter methylation and lack of hMLH1 expression in sporadic gastric carcinomas with high-frequency microsatellite instability&lt;/IDText&gt;&lt;DisplayText&gt;(Leung et al., 1999)&lt;/DisplayText&gt;&lt;record&gt;&lt;isbn&gt;0008-5472&lt;/isbn&gt;&lt;titles&gt;&lt;title&gt;hMLH1 promoter methylation and lack of hMLH1 expression in sporadic gastric carcinomas with high-frequency microsatellite instability&lt;/title&gt;&lt;secondary-title&gt;Cancer Res.&lt;/secondary-title&gt;&lt;/titles&gt;&lt;pages&gt;159-164&lt;/pages&gt;&lt;number&gt;1&lt;/number&gt;&lt;contributors&gt;&lt;authors&gt;&lt;author&gt;Leung, Sy&lt;/author&gt;&lt;author&gt;Yuen, St&lt;/author&gt;&lt;author&gt;Chung, Lp&lt;/author&gt;&lt;author&gt;Chu, Km&lt;/author&gt;&lt;author&gt;Chan, Asy&lt;/author&gt;&lt;author&gt;Ho, Jci&lt;/author&gt;&lt;/authors&gt;&lt;/contributors&gt;&lt;added-date format="utc"&gt;1425996747&lt;/added-date&gt;&lt;ref-type name="Journal Article"&gt;17&lt;/ref-type&gt;&lt;dates&gt;&lt;year&gt;1999&lt;/year&gt;&lt;/dates&gt;&lt;rec-number&gt;68&lt;/rec-number&gt;&lt;last-updated-date format="utc"&gt;1447344165&lt;/last-updated-date&gt;&lt;volume&gt;59&lt;/volume&gt;&lt;/record&gt;&lt;/Cite&gt;&lt;/EndNote&gt;</w:instrText>
      </w:r>
      <w:r>
        <w:rPr>
          <w:rFonts w:asciiTheme="majorHAnsi" w:hAnsiTheme="majorHAnsi"/>
        </w:rPr>
        <w:fldChar w:fldCharType="separate"/>
      </w:r>
      <w:r>
        <w:rPr>
          <w:rFonts w:asciiTheme="majorHAnsi" w:hAnsiTheme="majorHAnsi"/>
          <w:noProof/>
        </w:rPr>
        <w:t>(Leung et al., 1999)</w:t>
      </w:r>
      <w:r>
        <w:rPr>
          <w:rFonts w:asciiTheme="majorHAnsi" w:hAnsiTheme="majorHAnsi"/>
        </w:rPr>
        <w:fldChar w:fldCharType="end"/>
      </w:r>
      <w:r>
        <w:rPr>
          <w:rFonts w:asciiTheme="majorHAnsi" w:hAnsiTheme="majorHAnsi"/>
        </w:rPr>
        <w:t xml:space="preserve">. </w:t>
      </w:r>
    </w:p>
    <w:p w14:paraId="2108C9C7" w14:textId="77777777" w:rsidR="00B15A35" w:rsidRDefault="00B15A35" w:rsidP="00B15A35">
      <w:pPr>
        <w:spacing w:line="360" w:lineRule="auto"/>
        <w:jc w:val="both"/>
        <w:rPr>
          <w:rFonts w:asciiTheme="majorHAnsi" w:hAnsiTheme="majorHAnsi"/>
        </w:rPr>
      </w:pPr>
    </w:p>
    <w:p w14:paraId="69319A5A" w14:textId="60F24752" w:rsidR="00B15A35" w:rsidRDefault="00B15A35" w:rsidP="00B15A35">
      <w:pPr>
        <w:spacing w:line="360" w:lineRule="auto"/>
        <w:jc w:val="both"/>
        <w:rPr>
          <w:rFonts w:asciiTheme="majorHAnsi" w:hAnsiTheme="majorHAnsi"/>
        </w:rPr>
      </w:pPr>
      <w:r>
        <w:rPr>
          <w:rFonts w:asciiTheme="majorHAnsi" w:hAnsiTheme="majorHAnsi"/>
        </w:rPr>
        <w:t>It is not just MMR genes that are methylated within CRC, but also other tumour suppressor genes, and it is this multiple regional hypermethylation that is termed the CpG island methylator phenotype (CIMP). For example, it has been shown that Necdin (</w:t>
      </w:r>
      <w:r w:rsidRPr="00A66403">
        <w:rPr>
          <w:rFonts w:asciiTheme="majorHAnsi" w:hAnsiTheme="majorHAnsi"/>
          <w:i/>
        </w:rPr>
        <w:t>NDN</w:t>
      </w:r>
      <w:r w:rsidR="000417E8">
        <w:rPr>
          <w:rFonts w:asciiTheme="majorHAnsi" w:hAnsiTheme="majorHAnsi"/>
        </w:rPr>
        <w:t xml:space="preserve">) is </w:t>
      </w:r>
      <w:proofErr w:type="gramStart"/>
      <w:r w:rsidR="000417E8">
        <w:rPr>
          <w:rFonts w:asciiTheme="majorHAnsi" w:hAnsiTheme="majorHAnsi"/>
        </w:rPr>
        <w:t>down-</w:t>
      </w:r>
      <w:r>
        <w:rPr>
          <w:rFonts w:asciiTheme="majorHAnsi" w:hAnsiTheme="majorHAnsi"/>
        </w:rPr>
        <w:t>regulated</w:t>
      </w:r>
      <w:proofErr w:type="gramEnd"/>
      <w:r>
        <w:rPr>
          <w:rFonts w:asciiTheme="majorHAnsi" w:hAnsiTheme="majorHAnsi"/>
        </w:rPr>
        <w:t xml:space="preserve"> in CRC through hypermethylation of CpG islands in its promoter. NDN is a transcriptional repressor, which negatively regulates cell proliferation thro</w:t>
      </w:r>
      <w:r w:rsidR="005A4565">
        <w:rPr>
          <w:rFonts w:asciiTheme="majorHAnsi" w:hAnsiTheme="majorHAnsi"/>
        </w:rPr>
        <w:t>ugh its association with the WNT</w:t>
      </w:r>
      <w:r>
        <w:rPr>
          <w:rFonts w:asciiTheme="majorHAnsi" w:hAnsiTheme="majorHAnsi"/>
        </w:rPr>
        <w:t xml:space="preserve"> co-receptor gene </w:t>
      </w:r>
      <w:r w:rsidRPr="00A66403">
        <w:rPr>
          <w:rFonts w:asciiTheme="majorHAnsi" w:hAnsiTheme="majorHAnsi"/>
          <w:i/>
        </w:rPr>
        <w:t>LRP6</w:t>
      </w:r>
      <w:r>
        <w:rPr>
          <w:rFonts w:asciiTheme="majorHAnsi" w:hAnsiTheme="majorHAnsi"/>
        </w:rPr>
        <w:t>. Therefore upon gene sile</w:t>
      </w:r>
      <w:r w:rsidR="005A4565">
        <w:rPr>
          <w:rFonts w:asciiTheme="majorHAnsi" w:hAnsiTheme="majorHAnsi"/>
        </w:rPr>
        <w:t>ncing, LRP6 can activate the WNT</w:t>
      </w:r>
      <w:r>
        <w:rPr>
          <w:rFonts w:asciiTheme="majorHAnsi" w:hAnsiTheme="majorHAnsi"/>
        </w:rPr>
        <w:t xml:space="preserve"> pathway without regulation and increase cellular proliferation </w:t>
      </w:r>
      <w:r>
        <w:rPr>
          <w:rFonts w:asciiTheme="majorHAnsi" w:hAnsiTheme="majorHAnsi"/>
        </w:rPr>
        <w:fldChar w:fldCharType="begin"/>
      </w:r>
      <w:r>
        <w:rPr>
          <w:rFonts w:asciiTheme="majorHAnsi" w:hAnsiTheme="majorHAnsi"/>
        </w:rPr>
        <w:instrText xml:space="preserve"> ADDIN EN.CITE &lt;EndNote&gt;&lt;Cite&gt;&lt;Author&gt;Hu&lt;/Author&gt;&lt;Year&gt;2017&lt;/Year&gt;&lt;IDText&gt;Hypermethylation of NDN promotes cell proliferation by activating the Wnt signaling pathway in colorectal cancer&lt;/IDText&gt;&lt;DisplayText&gt;(Hu et al., 2017)&lt;/DisplayText&gt;&lt;record&gt;&lt;dates&gt;&lt;pub-dates&gt;&lt;date&gt;Jul&lt;/date&gt;&lt;/pub-dates&gt;&lt;year&gt;2017&lt;/year&gt;&lt;/dates&gt;&lt;urls&gt;&lt;related-urls&gt;&lt;url&gt;https://www.ncbi.nlm.nih.gov/pubmed/28521288&lt;/url&gt;&lt;/related-urls&gt;&lt;/urls&gt;&lt;isbn&gt;1949-2553&lt;/isbn&gt;&lt;custom2&gt;PMC5542259&lt;/custom2&gt;&lt;titles&gt;&lt;title&gt;Hypermethylation of NDN promotes cell proliferation by activating the Wnt signaling pathway in colorectal cancer&lt;/title&gt;&lt;secondary-title&gt;Oncotarget&lt;/secondary-title&gt;&lt;/titles&gt;&lt;pages&gt;46191-46203&lt;/pages&gt;&lt;number&gt;28&lt;/number&gt;&lt;contributors&gt;&lt;authors&gt;&lt;author&gt;Hu, Y. H.&lt;/author&gt;&lt;author&gt;Chen, Q.&lt;/author&gt;&lt;author&gt;Lu, Y. X.&lt;/author&gt;&lt;author&gt;Zhang, J. M.&lt;/author&gt;&lt;author&gt;Lin, C.&lt;/author&gt;&lt;author&gt;Zhang, F.&lt;/author&gt;&lt;author&gt;Zhang, W. J.&lt;/author&gt;&lt;author&gt;Li, X. M.&lt;/author&gt;&lt;author&gt;Zhang, W.&lt;/author&gt;&lt;author&gt;Li, X. N.&lt;/author&gt;&lt;/authors&gt;&lt;/contributors&gt;&lt;language&gt;eng&lt;/language&gt;&lt;added-date format="utc"&gt;1509370361&lt;/added-date&gt;&lt;ref-type name="Journal Article"&gt;17&lt;/ref-type&gt;&lt;rec-number&gt;317&lt;/rec-number&gt;&lt;last-updated-date format="utc"&gt;1509370361&lt;/last-updated-date&gt;&lt;accession-num&gt;28521288&lt;/accession-num&gt;&lt;electronic-resource-num&gt;10.18632/oncotarget.17580&lt;/electronic-resource-num&gt;&lt;volume&gt;8&lt;/volume&gt;&lt;/record&gt;&lt;/Cite&gt;&lt;/EndNote&gt;</w:instrText>
      </w:r>
      <w:r>
        <w:rPr>
          <w:rFonts w:asciiTheme="majorHAnsi" w:hAnsiTheme="majorHAnsi"/>
        </w:rPr>
        <w:fldChar w:fldCharType="separate"/>
      </w:r>
      <w:r>
        <w:rPr>
          <w:rFonts w:asciiTheme="majorHAnsi" w:hAnsiTheme="majorHAnsi"/>
          <w:noProof/>
        </w:rPr>
        <w:t>(Hu et al., 2017)</w:t>
      </w:r>
      <w:r>
        <w:rPr>
          <w:rFonts w:asciiTheme="majorHAnsi" w:hAnsiTheme="majorHAnsi"/>
        </w:rPr>
        <w:fldChar w:fldCharType="end"/>
      </w:r>
      <w:r>
        <w:rPr>
          <w:rFonts w:asciiTheme="majorHAnsi" w:hAnsiTheme="majorHAnsi"/>
        </w:rPr>
        <w:t xml:space="preserve">. The cell cycle regulator </w:t>
      </w:r>
      <w:r w:rsidRPr="00A66403">
        <w:rPr>
          <w:rFonts w:asciiTheme="majorHAnsi" w:hAnsiTheme="majorHAnsi"/>
          <w:i/>
        </w:rPr>
        <w:t>p16</w:t>
      </w:r>
      <w:r>
        <w:rPr>
          <w:rFonts w:asciiTheme="majorHAnsi" w:hAnsiTheme="majorHAnsi"/>
        </w:rPr>
        <w:t xml:space="preserve"> is another important gene that has been investigated with regards to hypermethylation in CRC. In fact, methylation of </w:t>
      </w:r>
      <w:r w:rsidRPr="00A66403">
        <w:rPr>
          <w:rFonts w:asciiTheme="majorHAnsi" w:hAnsiTheme="majorHAnsi"/>
          <w:i/>
        </w:rPr>
        <w:t>p16</w:t>
      </w:r>
      <w:r>
        <w:rPr>
          <w:rFonts w:asciiTheme="majorHAnsi" w:hAnsiTheme="majorHAnsi"/>
        </w:rPr>
        <w:t xml:space="preserve"> has been detected within blood samples</w:t>
      </w:r>
      <w:r w:rsidR="008A0D76">
        <w:rPr>
          <w:rFonts w:asciiTheme="majorHAnsi" w:hAnsiTheme="majorHAnsi"/>
        </w:rPr>
        <w:t xml:space="preserve"> from CRC patients</w:t>
      </w:r>
      <w:r>
        <w:rPr>
          <w:rFonts w:asciiTheme="majorHAnsi" w:hAnsiTheme="majorHAnsi"/>
        </w:rPr>
        <w:t xml:space="preserve"> and correlated to an advanced metastatic tumour type with poor survival </w:t>
      </w:r>
      <w:r>
        <w:rPr>
          <w:rFonts w:asciiTheme="majorHAnsi" w:hAnsiTheme="majorHAnsi"/>
        </w:rPr>
        <w:fldChar w:fldCharType="begin"/>
      </w:r>
      <w:r>
        <w:rPr>
          <w:rFonts w:asciiTheme="majorHAnsi" w:hAnsiTheme="majorHAnsi"/>
        </w:rPr>
        <w:instrText xml:space="preserve"> ADDIN EN.CITE &lt;EndNote&gt;&lt;Cite&gt;&lt;Author&gt;Nakayama&lt;/Author&gt;&lt;Year&gt;2007&lt;/Year&gt;&lt;IDText&gt;P16 methylation in serum as a potential marker for the malignancy of colorectal carcinoma&lt;/IDText&gt;&lt;DisplayText&gt;(Nakayama et al., 2007)&lt;/DisplayText&gt;&lt;record&gt;&lt;dates&gt;&lt;pub-dates&gt;&lt;date&gt;2007 Sep-Oct&lt;/date&gt;&lt;/pub-dates&gt;&lt;year&gt;2007&lt;/year&gt;&lt;/dates&gt;&lt;keywords&gt;&lt;keyword&gt;Aged&lt;/keyword&gt;&lt;keyword&gt;Colorectal Neoplasms&lt;/keyword&gt;&lt;keyword&gt;DNA Methylation&lt;/keyword&gt;&lt;keyword&gt;DNA, Neoplasm&lt;/keyword&gt;&lt;keyword&gt;Female&lt;/keyword&gt;&lt;keyword&gt;Genes, p16&lt;/keyword&gt;&lt;keyword&gt;Humans&lt;/keyword&gt;&lt;keyword&gt;Male&lt;/keyword&gt;&lt;keyword&gt;Middle Aged&lt;/keyword&gt;&lt;keyword&gt;Neoplasm Staging&lt;/keyword&gt;&lt;keyword&gt;Polymerase Chain Reaction&lt;/keyword&gt;&lt;/keywords&gt;&lt;urls&gt;&lt;related-urls&gt;&lt;url&gt;https://www.ncbi.nlm.nih.gov/pubmed/17970082&lt;/url&gt;&lt;/related-urls&gt;&lt;/urls&gt;&lt;isbn&gt;0250-7005&lt;/isbn&gt;&lt;titles&gt;&lt;title&gt;P16 methylation in serum as a potential marker for the malignancy of colorectal carcinoma&lt;/title&gt;&lt;secondary-title&gt;Anticancer Res&lt;/secondary-title&gt;&lt;/titles&gt;&lt;pages&gt;3367-70&lt;/pages&gt;&lt;number&gt;5A&lt;/number&gt;&lt;contributors&gt;&lt;authors&gt;&lt;author&gt;Nakayama, G.&lt;/author&gt;&lt;author&gt;Hibi, K.&lt;/author&gt;&lt;author&gt;Kodera, Y.&lt;/author&gt;&lt;author&gt;Koike, M.&lt;/author&gt;&lt;author&gt;Fujiwara, M.&lt;/author&gt;&lt;author&gt;Nakao, A.&lt;/author&gt;&lt;/authors&gt;&lt;/contributors&gt;&lt;language&gt;eng&lt;/language&gt;&lt;added-date format="utc"&gt;1509372871&lt;/added-date&gt;&lt;ref-type name="Journal Article"&gt;17&lt;/ref-type&gt;&lt;rec-number&gt;320&lt;/rec-number&gt;&lt;last-updated-date format="utc"&gt;1509372871&lt;/last-updated-date&gt;&lt;accession-num&gt;17970082&lt;/accession-num&gt;&lt;volume&gt;27&lt;/volume&gt;&lt;/record&gt;&lt;/Cite&gt;&lt;/EndNote&gt;</w:instrText>
      </w:r>
      <w:r>
        <w:rPr>
          <w:rFonts w:asciiTheme="majorHAnsi" w:hAnsiTheme="majorHAnsi"/>
        </w:rPr>
        <w:fldChar w:fldCharType="separate"/>
      </w:r>
      <w:r>
        <w:rPr>
          <w:rFonts w:asciiTheme="majorHAnsi" w:hAnsiTheme="majorHAnsi"/>
          <w:noProof/>
        </w:rPr>
        <w:t>(Nakayama et al., 2007)</w:t>
      </w:r>
      <w:r>
        <w:rPr>
          <w:rFonts w:asciiTheme="majorHAnsi" w:hAnsiTheme="majorHAnsi"/>
        </w:rPr>
        <w:fldChar w:fldCharType="end"/>
      </w:r>
      <w:r>
        <w:rPr>
          <w:rFonts w:asciiTheme="majorHAnsi" w:hAnsiTheme="majorHAnsi"/>
        </w:rPr>
        <w:t xml:space="preserve">. </w:t>
      </w:r>
    </w:p>
    <w:p w14:paraId="2EFB5E57" w14:textId="77777777" w:rsidR="00B15A35" w:rsidRDefault="00B15A35" w:rsidP="00B15A35">
      <w:pPr>
        <w:spacing w:line="360" w:lineRule="auto"/>
        <w:jc w:val="both"/>
        <w:rPr>
          <w:rFonts w:asciiTheme="majorHAnsi" w:hAnsiTheme="majorHAnsi"/>
        </w:rPr>
      </w:pPr>
    </w:p>
    <w:p w14:paraId="7C5EFBCE" w14:textId="70DC3199" w:rsidR="00B15A35" w:rsidRDefault="00B15A35" w:rsidP="00B15A35">
      <w:pPr>
        <w:spacing w:line="360" w:lineRule="auto"/>
        <w:jc w:val="both"/>
        <w:rPr>
          <w:rFonts w:asciiTheme="majorHAnsi" w:hAnsiTheme="majorHAnsi"/>
        </w:rPr>
      </w:pPr>
      <w:r>
        <w:rPr>
          <w:rFonts w:asciiTheme="majorHAnsi" w:hAnsiTheme="majorHAnsi"/>
        </w:rPr>
        <w:t xml:space="preserve">These are only a small sample of the genes that are currently being investigated as markers of CRC progression </w:t>
      </w:r>
      <w:r w:rsidR="008A0D76">
        <w:rPr>
          <w:rFonts w:asciiTheme="majorHAnsi" w:hAnsiTheme="majorHAnsi"/>
        </w:rPr>
        <w:t>resulting from a</w:t>
      </w:r>
      <w:r>
        <w:rPr>
          <w:rFonts w:asciiTheme="majorHAnsi" w:hAnsiTheme="majorHAnsi"/>
        </w:rPr>
        <w:t xml:space="preserve"> hypermethylation</w:t>
      </w:r>
      <w:r w:rsidR="008A0D76">
        <w:rPr>
          <w:rFonts w:asciiTheme="majorHAnsi" w:hAnsiTheme="majorHAnsi"/>
        </w:rPr>
        <w:t xml:space="preserve"> phenotype</w:t>
      </w:r>
      <w:r>
        <w:rPr>
          <w:rFonts w:asciiTheme="majorHAnsi" w:hAnsiTheme="majorHAnsi"/>
        </w:rPr>
        <w:t xml:space="preserve">. A systematic review of the literature by Rasmussen et al. (2016) highlights the </w:t>
      </w:r>
      <w:r w:rsidR="008A0D76">
        <w:rPr>
          <w:rFonts w:asciiTheme="majorHAnsi" w:hAnsiTheme="majorHAnsi"/>
        </w:rPr>
        <w:t>large</w:t>
      </w:r>
      <w:r>
        <w:rPr>
          <w:rFonts w:asciiTheme="majorHAnsi" w:hAnsiTheme="majorHAnsi"/>
        </w:rPr>
        <w:t xml:space="preserve"> </w:t>
      </w:r>
      <w:r w:rsidR="008A0D76">
        <w:rPr>
          <w:rFonts w:asciiTheme="majorHAnsi" w:hAnsiTheme="majorHAnsi"/>
        </w:rPr>
        <w:t>number</w:t>
      </w:r>
      <w:r>
        <w:rPr>
          <w:rFonts w:asciiTheme="majorHAnsi" w:hAnsiTheme="majorHAnsi"/>
        </w:rPr>
        <w:t xml:space="preserve"> of epigenetic changes that can be detected within blood and stool samples including genes such as </w:t>
      </w:r>
      <w:r w:rsidRPr="00A66403">
        <w:rPr>
          <w:rFonts w:asciiTheme="majorHAnsi" w:hAnsiTheme="majorHAnsi"/>
          <w:i/>
        </w:rPr>
        <w:t>APC</w:t>
      </w:r>
      <w:r>
        <w:rPr>
          <w:rFonts w:asciiTheme="majorHAnsi" w:hAnsiTheme="majorHAnsi"/>
        </w:rPr>
        <w:t xml:space="preserve">, </w:t>
      </w:r>
      <w:r w:rsidRPr="00A66403">
        <w:rPr>
          <w:rFonts w:asciiTheme="majorHAnsi" w:hAnsiTheme="majorHAnsi"/>
          <w:i/>
        </w:rPr>
        <w:t>HIC1</w:t>
      </w:r>
      <w:r>
        <w:rPr>
          <w:rFonts w:asciiTheme="majorHAnsi" w:hAnsiTheme="majorHAnsi"/>
        </w:rPr>
        <w:t xml:space="preserve">, </w:t>
      </w:r>
      <w:r w:rsidRPr="00A66403">
        <w:rPr>
          <w:rFonts w:asciiTheme="majorHAnsi" w:hAnsiTheme="majorHAnsi"/>
          <w:i/>
        </w:rPr>
        <w:t>MGMT</w:t>
      </w:r>
      <w:r>
        <w:rPr>
          <w:rFonts w:asciiTheme="majorHAnsi" w:hAnsiTheme="majorHAnsi"/>
        </w:rPr>
        <w:t xml:space="preserve"> and </w:t>
      </w:r>
      <w:r w:rsidRPr="00A66403">
        <w:rPr>
          <w:rFonts w:asciiTheme="majorHAnsi" w:hAnsiTheme="majorHAnsi"/>
          <w:i/>
        </w:rPr>
        <w:t>RUNX3</w:t>
      </w:r>
      <w:r>
        <w:rPr>
          <w:rFonts w:asciiTheme="majorHAnsi" w:hAnsiTheme="majorHAnsi"/>
        </w:rPr>
        <w:t>. And that depending on optimisation of methods, such methylation changes coul</w:t>
      </w:r>
      <w:r w:rsidR="008A0D76">
        <w:rPr>
          <w:rFonts w:asciiTheme="majorHAnsi" w:hAnsiTheme="majorHAnsi"/>
        </w:rPr>
        <w:t>d become predictive markers useful for</w:t>
      </w:r>
      <w:r>
        <w:rPr>
          <w:rFonts w:asciiTheme="majorHAnsi" w:hAnsiTheme="majorHAnsi"/>
        </w:rPr>
        <w:t xml:space="preserve"> screening, prognosis and recurrence detection. It is also well recognised that a single methylation change may not be enough to push a cell towards tumourigenesis, but that it is often a pattern of methylation within a specific subset of genes which then confers a specific subtype of CRC tumour and prognosis </w:t>
      </w:r>
      <w:r>
        <w:rPr>
          <w:rFonts w:asciiTheme="majorHAnsi" w:hAnsiTheme="majorHAnsi"/>
        </w:rPr>
        <w:fldChar w:fldCharType="begin"/>
      </w:r>
      <w:r>
        <w:rPr>
          <w:rFonts w:asciiTheme="majorHAnsi" w:hAnsiTheme="majorHAnsi"/>
        </w:rPr>
        <w:instrText xml:space="preserve"> ADDIN EN.CITE &lt;EndNote&gt;&lt;Cite&gt;&lt;Author&gt;Rasmussen&lt;/Author&gt;&lt;Year&gt;2016&lt;/Year&gt;&lt;IDText&gt;Hypermethylated DNA as a biomarker for colorectal cancer: a systematic review&lt;/IDText&gt;&lt;DisplayText&gt;(Rasmussen et al., 2016)&lt;/DisplayText&gt;&lt;record&gt;&lt;dates&gt;&lt;pub-dates&gt;&lt;date&gt;Jun&lt;/date&gt;&lt;/pub-dates&gt;&lt;year&gt;2016&lt;/year&gt;&lt;/dates&gt;&lt;keywords&gt;&lt;keyword&gt;Biomarkers, Tumor&lt;/keyword&gt;&lt;keyword&gt;Colorectal Neoplasms&lt;/keyword&gt;&lt;keyword&gt;DNA Methylation&lt;/keyword&gt;&lt;keyword&gt;DNA, Neoplasm&lt;/keyword&gt;&lt;keyword&gt;Early Detection of Cancer&lt;/keyword&gt;&lt;keyword&gt;Feces&lt;/keyword&gt;&lt;keyword&gt;Humans&lt;/keyword&gt;&lt;/keywords&gt;&lt;urls&gt;&lt;related-urls&gt;&lt;url&gt;https://www.ncbi.nlm.nih.gov/pubmed/26998585&lt;/url&gt;&lt;/related-urls&gt;&lt;/urls&gt;&lt;isbn&gt;1463-1318&lt;/isbn&gt;&lt;titles&gt;&lt;title&gt;Hypermethylated DNA as a biomarker for colorectal cancer: a systematic review&lt;/title&gt;&lt;secondary-title&gt;Colorectal Dis&lt;/secondary-title&gt;&lt;/titles&gt;&lt;pages&gt;549-61&lt;/pages&gt;&lt;number&gt;6&lt;/number&gt;&lt;contributors&gt;&lt;authors&gt;&lt;author&gt;Rasmussen, S. L.&lt;/author&gt;&lt;author&gt;Krarup, H. B.&lt;/author&gt;&lt;author&gt;Sunesen, K. G.&lt;/author&gt;&lt;author&gt;Pedersen, I. S.&lt;/author&gt;&lt;author&gt;Madsen, P. H.&lt;/author&gt;&lt;author&gt;Thorlacius-Ussing, O.&lt;/author&gt;&lt;/authors&gt;&lt;/contributors&gt;&lt;language&gt;eng&lt;/language&gt;&lt;added-date format="utc"&gt;1509372784&lt;/added-date&gt;&lt;ref-type name="Journal Article"&gt;17&lt;/ref-type&gt;&lt;rec-number&gt;319&lt;/rec-number&gt;&lt;last-updated-date format="utc"&gt;1509372784&lt;/last-updated-date&gt;&lt;accession-num&gt;26998585&lt;/accession-num&gt;&lt;electronic-resource-num&gt;10.1111/codi.13336&lt;/electronic-resource-num&gt;&lt;volume&gt;18&lt;/volume&gt;&lt;/record&gt;&lt;/Cite&gt;&lt;/EndNote&gt;</w:instrText>
      </w:r>
      <w:r>
        <w:rPr>
          <w:rFonts w:asciiTheme="majorHAnsi" w:hAnsiTheme="majorHAnsi"/>
        </w:rPr>
        <w:fldChar w:fldCharType="separate"/>
      </w:r>
      <w:r>
        <w:rPr>
          <w:rFonts w:asciiTheme="majorHAnsi" w:hAnsiTheme="majorHAnsi"/>
          <w:noProof/>
        </w:rPr>
        <w:t>(Rasmussen et al., 2016)</w:t>
      </w:r>
      <w:r>
        <w:rPr>
          <w:rFonts w:asciiTheme="majorHAnsi" w:hAnsiTheme="majorHAnsi"/>
        </w:rPr>
        <w:fldChar w:fldCharType="end"/>
      </w:r>
      <w:r>
        <w:rPr>
          <w:rFonts w:asciiTheme="majorHAnsi" w:hAnsiTheme="majorHAnsi"/>
        </w:rPr>
        <w:t>.</w:t>
      </w:r>
    </w:p>
    <w:p w14:paraId="62EF039F" w14:textId="77777777" w:rsidR="00B15A35" w:rsidRPr="00761CB9" w:rsidRDefault="00B15A35" w:rsidP="00B15A35">
      <w:pPr>
        <w:pStyle w:val="NoSpacing"/>
        <w:spacing w:line="360" w:lineRule="auto"/>
        <w:jc w:val="both"/>
        <w:rPr>
          <w:rFonts w:asciiTheme="majorHAnsi" w:hAnsiTheme="majorHAnsi"/>
        </w:rPr>
      </w:pPr>
    </w:p>
    <w:p w14:paraId="066AD949" w14:textId="4F5B2C8A" w:rsidR="00B15A35" w:rsidRDefault="00B15A35" w:rsidP="00B15A35">
      <w:pPr>
        <w:spacing w:line="360" w:lineRule="auto"/>
        <w:jc w:val="both"/>
        <w:rPr>
          <w:rFonts w:asciiTheme="majorHAnsi" w:hAnsiTheme="majorHAnsi"/>
        </w:rPr>
      </w:pPr>
      <w:r w:rsidRPr="00761CB9">
        <w:rPr>
          <w:rFonts w:asciiTheme="majorHAnsi" w:hAnsiTheme="majorHAnsi"/>
        </w:rPr>
        <w:t xml:space="preserve">Although regions of the genome are hypermethylated, there is also evidence to suggest large-scale methyl group losses along the length of the chromosome in adenomas and other cancers, and these early changes can affect chromosome stability. For example, methylation can affect chromatin condensation and therefore correct separation during mitosis. This further emphasizes the interconnecting mechanisms for CRC progression, and how the complex genetic framework behind these has yet to be fully elucidated </w:t>
      </w:r>
      <w:r>
        <w:rPr>
          <w:rFonts w:asciiTheme="majorHAnsi" w:hAnsiTheme="majorHAnsi"/>
        </w:rPr>
        <w:fldChar w:fldCharType="begin">
          <w:fldData xml:space="preserve">PEVuZE5vdGU+PENpdGU+PEF1dGhvcj5IZXJuYW5kZXotIEJsYXpxdWV6PC9BdXRob3I+PFllYXI+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</w:fldData>
        </w:fldChar>
      </w:r>
      <w:r w:rsidR="005C6BE9">
        <w:rPr>
          <w:rFonts w:asciiTheme="majorHAnsi" w:hAnsiTheme="majorHAnsi"/>
        </w:rPr>
        <w:instrText xml:space="preserve"> ADDIN EN.CITE </w:instrText>
      </w:r>
      <w:r w:rsidR="005C6BE9">
        <w:rPr>
          <w:rFonts w:asciiTheme="majorHAnsi" w:hAnsiTheme="majorHAnsi"/>
        </w:rPr>
        <w:fldChar w:fldCharType="begin">
          <w:fldData xml:space="preserve">PEVuZE5vdGU+PENpdGU+PEF1dGhvcj5IZXJuYW5kZXotIEJsYXpxdWV6PC9BdXRob3I+PFllYXI+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</w:fldData>
        </w:fldChar>
      </w:r>
      <w:r w:rsidR="005C6BE9">
        <w:rPr>
          <w:rFonts w:asciiTheme="majorHAnsi" w:hAnsiTheme="majorHAnsi"/>
        </w:rPr>
        <w:instrText xml:space="preserve"> ADDIN EN.CITE.DATA </w:instrText>
      </w:r>
      <w:r w:rsidR="005C6BE9">
        <w:rPr>
          <w:rFonts w:asciiTheme="majorHAnsi" w:hAnsiTheme="majorHAnsi"/>
        </w:rPr>
      </w:r>
      <w:r w:rsidR="005C6BE9">
        <w:rPr>
          <w:rFonts w:asciiTheme="majorHAnsi" w:hAnsiTheme="majorHAnsi"/>
        </w:rPr>
        <w:fldChar w:fldCharType="end"/>
      </w:r>
      <w:r>
        <w:rPr>
          <w:rFonts w:asciiTheme="majorHAnsi" w:hAnsiTheme="majorHAnsi"/>
        </w:rPr>
      </w:r>
      <w:r>
        <w:rPr>
          <w:rFonts w:asciiTheme="majorHAnsi" w:hAnsiTheme="majorHAnsi"/>
        </w:rPr>
        <w:fldChar w:fldCharType="separate"/>
      </w:r>
      <w:r w:rsidR="005C6BE9">
        <w:rPr>
          <w:rFonts w:asciiTheme="majorHAnsi" w:hAnsiTheme="majorHAnsi"/>
          <w:noProof/>
        </w:rPr>
        <w:t>(Hernandez- Blazquez et al., 2000, Okugawa et al., 2015)</w:t>
      </w:r>
      <w:r>
        <w:rPr>
          <w:rFonts w:asciiTheme="majorHAnsi" w:hAnsiTheme="majorHAnsi"/>
        </w:rPr>
        <w:fldChar w:fldCharType="end"/>
      </w:r>
      <w:r>
        <w:rPr>
          <w:rFonts w:asciiTheme="majorHAnsi" w:hAnsiTheme="majorHAnsi"/>
        </w:rPr>
        <w:t>.</w:t>
      </w:r>
    </w:p>
    <w:p w14:paraId="4C1E75EC" w14:textId="77777777" w:rsidR="00B15A35" w:rsidRDefault="00B15A35" w:rsidP="00B15A35">
      <w:pPr>
        <w:spacing w:line="360" w:lineRule="auto"/>
        <w:jc w:val="both"/>
        <w:rPr>
          <w:rFonts w:asciiTheme="majorHAnsi" w:hAnsiTheme="majorHAnsi"/>
        </w:rPr>
      </w:pPr>
      <w:r>
        <w:rPr>
          <w:rFonts w:asciiTheme="majorHAnsi" w:hAnsiTheme="majorHAnsi"/>
          <w:noProof/>
          <w:lang w:val="en-US"/>
        </w:rPr>
        <w:drawing>
          <wp:anchor distT="0" distB="0" distL="114300" distR="114300" simplePos="0" relativeHeight="252136448" behindDoc="0" locked="0" layoutInCell="1" allowOverlap="1" wp14:anchorId="4E184075" wp14:editId="02881ABB">
            <wp:simplePos x="0" y="0"/>
            <wp:positionH relativeFrom="column">
              <wp:posOffset>-114300</wp:posOffset>
            </wp:positionH>
            <wp:positionV relativeFrom="paragraph">
              <wp:posOffset>423545</wp:posOffset>
            </wp:positionV>
            <wp:extent cx="5696585" cy="1956435"/>
            <wp:effectExtent l="0" t="0" r="0" b="0"/>
            <wp:wrapSquare wrapText="bothSides"/>
            <wp:docPr id="376" name="Picture 376" descr="Macintosh HD:Users:ClairFellows:Desktop:Screen Shot 2017-11-24 at 13.2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11-24 at 13.23.4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6585" cy="1956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FDA93" w14:textId="49C411F1" w:rsidR="00B15A35" w:rsidRPr="00761CB9" w:rsidRDefault="00B15A35" w:rsidP="00B15A35">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137472" behindDoc="0" locked="0" layoutInCell="1" allowOverlap="1" wp14:anchorId="7110AF18" wp14:editId="39545C57">
                <wp:simplePos x="0" y="0"/>
                <wp:positionH relativeFrom="column">
                  <wp:posOffset>0</wp:posOffset>
                </wp:positionH>
                <wp:positionV relativeFrom="paragraph">
                  <wp:posOffset>2315845</wp:posOffset>
                </wp:positionV>
                <wp:extent cx="5372100" cy="914400"/>
                <wp:effectExtent l="0" t="0" r="0" b="0"/>
                <wp:wrapSquare wrapText="bothSides"/>
                <wp:docPr id="369" name="Text Box 369"/>
                <wp:cNvGraphicFramePr/>
                <a:graphic xmlns:a="http://schemas.openxmlformats.org/drawingml/2006/main">
                  <a:graphicData uri="http://schemas.microsoft.com/office/word/2010/wordprocessingShape">
                    <wps:wsp>
                      <wps:cNvSpPr txBox="1"/>
                      <wps:spPr>
                        <a:xfrm>
                          <a:off x="0" y="0"/>
                          <a:ext cx="5372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73D96D" w14:textId="77777777" w:rsidR="00E82D3B" w:rsidRDefault="00E82D3B" w:rsidP="00B15A35">
                            <w:pPr>
                              <w:jc w:val="both"/>
                              <w:rPr>
                                <w:b/>
                                <w:i/>
                                <w:sz w:val="22"/>
                              </w:rPr>
                            </w:pPr>
                            <w:r w:rsidRPr="00136852">
                              <w:rPr>
                                <w:b/>
                                <w:i/>
                                <w:sz w:val="22"/>
                              </w:rPr>
                              <w:t>Figure 1.6 Typical pathways to colon cancer progression.</w:t>
                            </w:r>
                          </w:p>
                          <w:p w14:paraId="7568F00E" w14:textId="4C22226E" w:rsidR="00E82D3B" w:rsidRPr="00136852" w:rsidRDefault="00E82D3B" w:rsidP="00B15A35">
                            <w:pPr>
                              <w:jc w:val="both"/>
                              <w:rPr>
                                <w:i/>
                                <w:sz w:val="22"/>
                              </w:rPr>
                            </w:pPr>
                            <w:proofErr w:type="gramStart"/>
                            <w:r>
                              <w:rPr>
                                <w:i/>
                                <w:sz w:val="22"/>
                              </w:rPr>
                              <w:t>The three typical pathways of colon carcinogenesis as described in this section.</w:t>
                            </w:r>
                            <w:proofErr w:type="gramEnd"/>
                            <w:r>
                              <w:rPr>
                                <w:i/>
                                <w:sz w:val="22"/>
                              </w:rPr>
                              <w:t xml:space="preserve"> This is a simplistic representation as the three pathways aren’t exclusive, with some tumours showing features from more than one pathway (Adapted and modified with permission from </w:t>
                            </w:r>
                            <w:r>
                              <w:rPr>
                                <w:i/>
                                <w:sz w:val="22"/>
                              </w:rPr>
                              <w:fldChar w:fldCharType="begin"/>
                            </w:r>
                            <w:r>
                              <w:rPr>
                                <w:i/>
                                <w:sz w:val="22"/>
                              </w:rPr>
                              <w:instrText xml:space="preserve"> ADDIN EN.CITE &lt;EndNote&gt;&lt;Cite&gt;&lt;Author&gt;Issa&lt;/Author&gt;&lt;Year&gt;2008&lt;/Year&gt;&lt;IDText&gt;Colon cancer: it&amp;apos;s CIN or CIMP&lt;/IDText&gt;&lt;DisplayText&gt;(Issa, 2008)&lt;/DisplayText&gt;&lt;record&gt;&lt;dates&gt;&lt;pub-dates&gt;&lt;date&gt;Oct&lt;/date&gt;&lt;/pub-dates&gt;&lt;year&gt;2008&lt;/year&gt;&lt;/dates&gt;&lt;keywords&gt;&lt;keyword&gt;Chromosomal Instability&lt;/keyword&gt;&lt;keyword&gt;Colonic Neoplasms&lt;/keyword&gt;&lt;keyword&gt;CpG Islands&lt;/keyword&gt;&lt;keyword&gt;DNA Methylation&lt;/keyword&gt;&lt;keyword&gt;Disease Progression&lt;/keyword&gt;&lt;keyword&gt;Epigenesis, Genetic&lt;/keyword&gt;&lt;keyword&gt;Humans&lt;/keyword&gt;&lt;keyword&gt;Loss of Heterozygosity&lt;/keyword&gt;&lt;keyword&gt;Methylation&lt;/keyword&gt;&lt;keyword&gt;Microsatellite Repeats&lt;/keyword&gt;&lt;keyword&gt;Models, Biological&lt;/keyword&gt;&lt;keyword&gt;Models, Genetic&lt;/keyword&gt;&lt;keyword&gt;Neoplasm Metastasis&lt;/keyword&gt;&lt;keyword&gt;Phenotype&lt;/keyword&gt;&lt;keyword&gt;Prognosis&lt;/keyword&gt;&lt;/keywords&gt;&lt;urls&gt;&lt;related-urls&gt;&lt;url&gt;http://www.ncbi.nlm.nih.gov/pubmed/18829469&lt;/url&gt;&lt;/related-urls&gt;&lt;/urls&gt;&lt;isbn&gt;1078-0432&lt;/isbn&gt;&lt;titles&gt;&lt;title&gt;Colon cancer: it&amp;apos;s CIN or CIMP&lt;/title&gt;&lt;secondary-title&gt;Clin Cancer Res&lt;/secondary-title&gt;&lt;/titles&gt;&lt;pages&gt;5939-40&lt;/pages&gt;&lt;number&gt;19&lt;/number&gt;&lt;contributors&gt;&lt;authors&gt;&lt;author&gt;Issa, J. P.&lt;/author&gt;&lt;/authors&gt;&lt;/contributors&gt;&lt;language&gt;eng&lt;/language&gt;&lt;added-date format="utc"&gt;1460650703&lt;/added-date&gt;&lt;ref-type name="Journal Article"&gt;17&lt;/ref-type&gt;&lt;rec-number&gt;159&lt;/rec-number&gt;&lt;last-updated-date format="utc"&gt;1460650703&lt;/last-updated-date&gt;&lt;accession-num&gt;18829469&lt;/accession-num&gt;&lt;electronic-resource-num&gt;10.1158/1078-0432.CCR-08-1596&lt;/electronic-resource-num&gt;&lt;volume&gt;14&lt;/volume&gt;&lt;/record&gt;&lt;/Cite&gt;&lt;/EndNote&gt;</w:instrText>
                            </w:r>
                            <w:r>
                              <w:rPr>
                                <w:i/>
                                <w:sz w:val="22"/>
                              </w:rPr>
                              <w:fldChar w:fldCharType="separate"/>
                            </w:r>
                            <w:r>
                              <w:rPr>
                                <w:i/>
                                <w:noProof/>
                                <w:sz w:val="22"/>
                              </w:rPr>
                              <w:t>(Issa, 2008)</w:t>
                            </w:r>
                            <w:r>
                              <w:rPr>
                                <w:i/>
                                <w:sz w:val="22"/>
                              </w:rPr>
                              <w:fldChar w:fldCharType="end"/>
                            </w:r>
                            <w:r>
                              <w:rPr>
                                <w:i/>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9" o:spid="_x0000_s1032" type="#_x0000_t202" style="position:absolute;left:0;text-align:left;margin-left:0;margin-top:182.35pt;width:423pt;height:1in;z-index:252137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" filled="f" stroked="f">
                <v:textbox>
                  <w:txbxContent>
                    <w:p w14:paraId="1673D96D" w14:textId="77777777" w:rsidR="000A1E0D" w:rsidRDefault="000A1E0D" w:rsidP="00B15A35">
                      <w:pPr>
                        <w:jc w:val="both"/>
                        <w:rPr>
                          <w:b/>
                          <w:i/>
                          <w:sz w:val="22"/>
                        </w:rPr>
                      </w:pPr>
                      <w:r w:rsidRPr="00136852">
                        <w:rPr>
                          <w:b/>
                          <w:i/>
                          <w:sz w:val="22"/>
                        </w:rPr>
                        <w:t>Figure 1.6 Typical pathways to colon cancer progression.</w:t>
                      </w:r>
                    </w:p>
                    <w:p w14:paraId="7568F00E" w14:textId="4C22226E" w:rsidR="000A1E0D" w:rsidRPr="00136852" w:rsidRDefault="000A1E0D" w:rsidP="00B15A35">
                      <w:pPr>
                        <w:jc w:val="both"/>
                        <w:rPr>
                          <w:i/>
                          <w:sz w:val="22"/>
                        </w:rPr>
                      </w:pPr>
                      <w:proofErr w:type="gramStart"/>
                      <w:r>
                        <w:rPr>
                          <w:i/>
                          <w:sz w:val="22"/>
                        </w:rPr>
                        <w:t>The three typical pathways of colon carcinogenesis as described in this section.</w:t>
                      </w:r>
                      <w:proofErr w:type="gramEnd"/>
                      <w:r>
                        <w:rPr>
                          <w:i/>
                          <w:sz w:val="22"/>
                        </w:rPr>
                        <w:t xml:space="preserve"> This is a simplistic representation as the three pathways aren’t exclusive, with some tumours showing features from more than one pathway (Adapted and modified with permission from </w:t>
                      </w:r>
                      <w:r>
                        <w:rPr>
                          <w:i/>
                          <w:sz w:val="22"/>
                        </w:rPr>
                        <w:fldChar w:fldCharType="begin"/>
                      </w:r>
                      <w:r>
                        <w:rPr>
                          <w:i/>
                          <w:sz w:val="22"/>
                        </w:rPr>
                        <w:instrText xml:space="preserve"> ADDIN EN.CITE &lt;EndNote&gt;&lt;Cite&gt;&lt;Author&gt;Issa&lt;/Author&gt;&lt;Year&gt;2008&lt;/Year&gt;&lt;IDText&gt;Colon cancer: it&amp;apos;s CIN or CIMP&lt;/IDText&gt;&lt;DisplayText&gt;(Issa, 2008)&lt;/DisplayText&gt;&lt;record&gt;&lt;dates&gt;&lt;pub-dates&gt;&lt;date&gt;Oct&lt;/date&gt;&lt;/pub-dates&gt;&lt;year&gt;2008&lt;/year&gt;&lt;/dates&gt;&lt;keywords&gt;&lt;keyword&gt;Chromosomal Instability&lt;/keyword&gt;&lt;keyword&gt;Colonic Neoplasms&lt;/keyword&gt;&lt;keyword&gt;CpG Islands&lt;/keyword&gt;&lt;keyword&gt;DNA Methylation&lt;/keyword&gt;&lt;keyword&gt;Disease Progression&lt;/keyword&gt;&lt;keyword&gt;Epigenesis, Genetic&lt;/keyword&gt;&lt;keyword&gt;Humans&lt;/keyword&gt;&lt;keyword&gt;Loss of Heterozygosity&lt;/keyword&gt;&lt;keyword&gt;Methylation&lt;/keyword&gt;&lt;keyword&gt;Microsatellite Repeats&lt;/keyword&gt;&lt;keyword&gt;Models, Biological&lt;/keyword&gt;&lt;keyword&gt;Models, Genetic&lt;/keyword&gt;&lt;keyword&gt;Neoplasm Metastasis&lt;/keyword&gt;&lt;keyword&gt;Phenotype&lt;/keyword&gt;&lt;keyword&gt;Prognosis&lt;/keyword&gt;&lt;/keywords&gt;&lt;urls&gt;&lt;related-urls&gt;&lt;url&gt;http://www.ncbi.nlm.nih.gov/pubmed/18829469&lt;/url&gt;&lt;/related-urls&gt;&lt;/urls&gt;&lt;isbn&gt;1078-0432&lt;/isbn&gt;&lt;titles&gt;&lt;title&gt;Colon cancer: it&amp;apos;s CIN or CIMP&lt;/title&gt;&lt;secondary-title&gt;Clin Cancer Res&lt;/secondary-title&gt;&lt;/titles&gt;&lt;pages&gt;5939-40&lt;/pages&gt;&lt;number&gt;19&lt;/number&gt;&lt;contributors&gt;&lt;authors&gt;&lt;author&gt;Issa, J. P.&lt;/author&gt;&lt;/authors&gt;&lt;/contributors&gt;&lt;language&gt;eng&lt;/language&gt;&lt;added-date format="utc"&gt;1460650703&lt;/added-date&gt;&lt;ref-type name="Journal Article"&gt;17&lt;/ref-type&gt;&lt;rec-number&gt;159&lt;/rec-number&gt;&lt;last-updated-date format="utc"&gt;1460650703&lt;/last-updated-date&gt;&lt;accession-num&gt;18829469&lt;/accession-num&gt;&lt;electronic-resource-num&gt;10.1158/1078-0432.CCR-08-1596&lt;/electronic-resource-num&gt;&lt;volume&gt;14&lt;/volume&gt;&lt;/record&gt;&lt;/Cite&gt;&lt;/EndNote&gt;</w:instrText>
                      </w:r>
                      <w:r>
                        <w:rPr>
                          <w:i/>
                          <w:sz w:val="22"/>
                        </w:rPr>
                        <w:fldChar w:fldCharType="separate"/>
                      </w:r>
                      <w:r>
                        <w:rPr>
                          <w:i/>
                          <w:noProof/>
                          <w:sz w:val="22"/>
                        </w:rPr>
                        <w:t>(Issa, 2008)</w:t>
                      </w:r>
                      <w:r>
                        <w:rPr>
                          <w:i/>
                          <w:sz w:val="22"/>
                        </w:rPr>
                        <w:fldChar w:fldCharType="end"/>
                      </w:r>
                      <w:r>
                        <w:rPr>
                          <w:i/>
                          <w:sz w:val="22"/>
                        </w:rPr>
                        <w:t xml:space="preserve">. </w:t>
                      </w:r>
                    </w:p>
                  </w:txbxContent>
                </v:textbox>
                <w10:wrap type="square"/>
              </v:shape>
            </w:pict>
          </mc:Fallback>
        </mc:AlternateContent>
      </w:r>
    </w:p>
    <w:p w14:paraId="4840F844" w14:textId="77777777" w:rsidR="00B15A35" w:rsidRPr="007A7EDE" w:rsidRDefault="00B15A35" w:rsidP="002F41C6">
      <w:pPr>
        <w:pStyle w:val="ListParagraph"/>
        <w:numPr>
          <w:ilvl w:val="0"/>
          <w:numId w:val="35"/>
        </w:numPr>
        <w:spacing w:line="360" w:lineRule="auto"/>
        <w:jc w:val="both"/>
        <w:rPr>
          <w:rFonts w:asciiTheme="majorHAnsi" w:hAnsiTheme="majorHAnsi"/>
          <w:b/>
        </w:rPr>
      </w:pPr>
      <w:r>
        <w:rPr>
          <w:rFonts w:asciiTheme="majorHAnsi" w:hAnsiTheme="majorHAnsi"/>
          <w:b/>
        </w:rPr>
        <w:t>New Models of Colorectal Cancer</w:t>
      </w:r>
      <w:r w:rsidRPr="007A7EDE">
        <w:rPr>
          <w:rFonts w:asciiTheme="majorHAnsi" w:hAnsiTheme="majorHAnsi"/>
          <w:b/>
        </w:rPr>
        <w:t xml:space="preserve"> </w:t>
      </w:r>
    </w:p>
    <w:p w14:paraId="1A5E85EB" w14:textId="3DA1C6F9" w:rsidR="00B15A35" w:rsidRPr="00761CB9" w:rsidRDefault="00B15A35" w:rsidP="00B15A35">
      <w:pPr>
        <w:spacing w:line="360" w:lineRule="auto"/>
        <w:jc w:val="both"/>
        <w:rPr>
          <w:rFonts w:asciiTheme="majorHAnsi" w:hAnsiTheme="majorHAnsi"/>
        </w:rPr>
      </w:pPr>
      <w:r w:rsidRPr="00761CB9">
        <w:rPr>
          <w:rFonts w:asciiTheme="majorHAnsi" w:hAnsiTheme="majorHAnsi"/>
        </w:rPr>
        <w:t>Recently there has been some criticism about how CRC tumours are categorised based on their genetics and that the th</w:t>
      </w:r>
      <w:r>
        <w:rPr>
          <w:rFonts w:asciiTheme="majorHAnsi" w:hAnsiTheme="majorHAnsi"/>
        </w:rPr>
        <w:t>ree current categories- CIN, MSI</w:t>
      </w:r>
      <w:r w:rsidRPr="00761CB9">
        <w:rPr>
          <w:rFonts w:asciiTheme="majorHAnsi" w:hAnsiTheme="majorHAnsi"/>
        </w:rPr>
        <w:t xml:space="preserve"> and </w:t>
      </w:r>
      <w:r>
        <w:rPr>
          <w:rFonts w:asciiTheme="majorHAnsi" w:hAnsiTheme="majorHAnsi"/>
        </w:rPr>
        <w:t>CIMP</w:t>
      </w:r>
      <w:r w:rsidRPr="00761CB9">
        <w:rPr>
          <w:rFonts w:asciiTheme="majorHAnsi" w:hAnsiTheme="majorHAnsi"/>
        </w:rPr>
        <w:t xml:space="preserve"> </w:t>
      </w:r>
      <w:r w:rsidR="008A0D76">
        <w:rPr>
          <w:rFonts w:asciiTheme="majorHAnsi" w:hAnsiTheme="majorHAnsi"/>
        </w:rPr>
        <w:t>are not</w:t>
      </w:r>
      <w:r w:rsidRPr="00761CB9">
        <w:rPr>
          <w:rFonts w:asciiTheme="majorHAnsi" w:hAnsiTheme="majorHAnsi"/>
        </w:rPr>
        <w:t xml:space="preserve"> stringent enough</w:t>
      </w:r>
      <w:r>
        <w:rPr>
          <w:rFonts w:asciiTheme="majorHAnsi" w:hAnsiTheme="majorHAnsi"/>
        </w:rPr>
        <w:t xml:space="preserve"> to distinguish between patient</w:t>
      </w:r>
      <w:r w:rsidR="008A0D76">
        <w:rPr>
          <w:rFonts w:asciiTheme="majorHAnsi" w:hAnsiTheme="majorHAnsi"/>
        </w:rPr>
        <w:t>s with differing</w:t>
      </w:r>
      <w:r w:rsidRPr="00761CB9">
        <w:rPr>
          <w:rFonts w:asciiTheme="majorHAnsi" w:hAnsiTheme="majorHAnsi"/>
        </w:rPr>
        <w:t xml:space="preserve"> outcome, response to treatment and recurrence</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&lt;EndNote&gt;&lt;Cite&gt;&lt;Author&gt;Del Rio&lt;/Author&gt;&lt;Year&gt;2017&lt;/Year&gt;&lt;IDText&gt;Molecular subtypes of metastatic colorectal cancer are associated with patient response to irinotecan-based therapies&lt;/IDText&gt;&lt;DisplayText&gt;(Del Rio et al., 2017)&lt;/DisplayText&gt;&lt;record&gt;&lt;dates&gt;&lt;pub-dates&gt;&lt;date&gt;May&lt;/date&gt;&lt;/pub-dates&gt;&lt;year&gt;2017&lt;/year&gt;&lt;/dates&gt;&lt;urls&gt;&lt;related-urls&gt;&lt;url&gt;https://www.ncbi.nlm.nih.gov/pubmed/28284171&lt;/url&gt;&lt;/related-urls&gt;&lt;/urls&gt;&lt;isbn&gt;1879-0852&lt;/isbn&gt;&lt;titles&gt;&lt;title&gt;Molecular subtypes of metastatic colorectal cancer are associated with patient response to irinotecan-based therapies&lt;/title&gt;&lt;secondary-title&gt;Eur J Cancer&lt;/secondary-title&gt;&lt;/titles&gt;&lt;pages&gt;68-75&lt;/pages&gt;&lt;contributors&gt;&lt;authors&gt;&lt;author&gt;Del Rio, M.&lt;/author&gt;&lt;author&gt;Mollevi, C.&lt;/author&gt;&lt;author&gt;Bibeau, F.&lt;/author&gt;&lt;author&gt;Vie, N.&lt;/author&gt;&lt;author&gt;Selves, J.&lt;/author&gt;&lt;author&gt;Emile, J. F.&lt;/author&gt;&lt;author&gt;Roger, P.&lt;/author&gt;&lt;author&gt;Gongora, C.&lt;/author&gt;&lt;author&gt;Robert, J.&lt;/author&gt;&lt;author&gt;Tubiana-Mathieu, N.&lt;/author&gt;&lt;author&gt;Ychou, M.&lt;/author&gt;&lt;author&gt;Martineau, P.&lt;/author&gt;&lt;/authors&gt;&lt;/contributors&gt;&lt;edition&gt;2017/03/08&lt;/edition&gt;&lt;language&gt;eng&lt;/language&gt;&lt;added-date format="utc"&gt;1501508700&lt;/added-date&gt;&lt;ref-type name="Journal Article"&gt;17&lt;/ref-type&gt;&lt;rec-number&gt;224&lt;/rec-number&gt;&lt;last-updated-date format="utc"&gt;1501508700&lt;/last-updated-date&gt;&lt;accession-num&gt;28284171&lt;/accession-num&gt;&lt;electronic-resource-num&gt;10.1016/j.ejca.2017.02.003&lt;/electronic-resource-num&gt;&lt;volume&gt;76&lt;/volume&gt;&lt;/record&gt;&lt;/Cite&gt;&lt;/EndNote&gt;</w:instrText>
      </w:r>
      <w:r>
        <w:rPr>
          <w:rFonts w:asciiTheme="majorHAnsi" w:hAnsiTheme="majorHAnsi"/>
        </w:rPr>
        <w:fldChar w:fldCharType="separate"/>
      </w:r>
      <w:r>
        <w:rPr>
          <w:rFonts w:asciiTheme="majorHAnsi" w:hAnsiTheme="majorHAnsi"/>
          <w:noProof/>
        </w:rPr>
        <w:t>(Del Rio et al., 2017)</w:t>
      </w:r>
      <w:r>
        <w:rPr>
          <w:rFonts w:asciiTheme="majorHAnsi" w:hAnsiTheme="majorHAnsi"/>
        </w:rPr>
        <w:fldChar w:fldCharType="end"/>
      </w:r>
      <w:r w:rsidRPr="00761CB9">
        <w:rPr>
          <w:rFonts w:asciiTheme="majorHAnsi" w:hAnsiTheme="majorHAnsi"/>
        </w:rPr>
        <w:t xml:space="preserve">. Therefore, several papers have tried to </w:t>
      </w:r>
      <w:r>
        <w:rPr>
          <w:rFonts w:asciiTheme="majorHAnsi" w:hAnsiTheme="majorHAnsi"/>
        </w:rPr>
        <w:t>develop</w:t>
      </w:r>
      <w:r w:rsidRPr="00761CB9">
        <w:rPr>
          <w:rFonts w:asciiTheme="majorHAnsi" w:hAnsiTheme="majorHAnsi"/>
        </w:rPr>
        <w:t xml:space="preserve"> new strategies on how to classify CRC</w:t>
      </w:r>
      <w:r w:rsidR="00D56FD5">
        <w:rPr>
          <w:rFonts w:asciiTheme="majorHAnsi" w:hAnsiTheme="majorHAnsi"/>
        </w:rPr>
        <w:t>,</w:t>
      </w:r>
      <w:r w:rsidRPr="00761CB9">
        <w:rPr>
          <w:rFonts w:asciiTheme="majorHAnsi" w:hAnsiTheme="majorHAnsi"/>
        </w:rPr>
        <w:t xml:space="preserve"> and therefore more easily identify biomarkers and </w:t>
      </w:r>
      <w:r>
        <w:rPr>
          <w:rFonts w:asciiTheme="majorHAnsi" w:hAnsiTheme="majorHAnsi"/>
        </w:rPr>
        <w:t xml:space="preserve">individualised </w:t>
      </w:r>
      <w:r w:rsidRPr="00761CB9">
        <w:rPr>
          <w:rFonts w:asciiTheme="majorHAnsi" w:hAnsiTheme="majorHAnsi"/>
        </w:rPr>
        <w:t>therapeutic r</w:t>
      </w:r>
      <w:r>
        <w:rPr>
          <w:rFonts w:asciiTheme="majorHAnsi" w:hAnsiTheme="majorHAnsi"/>
        </w:rPr>
        <w:t>egimens.</w:t>
      </w:r>
    </w:p>
    <w:p w14:paraId="7D667A44" w14:textId="77777777" w:rsidR="008A0D76" w:rsidRDefault="008A0D76" w:rsidP="00B15A35">
      <w:pPr>
        <w:spacing w:line="360" w:lineRule="auto"/>
        <w:jc w:val="both"/>
        <w:rPr>
          <w:rFonts w:asciiTheme="majorHAnsi" w:hAnsiTheme="majorHAnsi"/>
        </w:rPr>
      </w:pPr>
    </w:p>
    <w:p w14:paraId="374442E4" w14:textId="77B5894D" w:rsidR="00B15A35" w:rsidRDefault="00B15A35" w:rsidP="00B15A35">
      <w:pPr>
        <w:spacing w:line="360" w:lineRule="auto"/>
        <w:jc w:val="both"/>
        <w:rPr>
          <w:rFonts w:asciiTheme="majorHAnsi" w:hAnsiTheme="majorHAnsi"/>
        </w:rPr>
      </w:pPr>
      <w:proofErr w:type="spellStart"/>
      <w:r>
        <w:rPr>
          <w:rFonts w:asciiTheme="majorHAnsi" w:hAnsiTheme="majorHAnsi"/>
        </w:rPr>
        <w:t>Sadanandam</w:t>
      </w:r>
      <w:proofErr w:type="spellEnd"/>
      <w:r>
        <w:rPr>
          <w:rFonts w:asciiTheme="majorHAnsi" w:hAnsiTheme="majorHAnsi"/>
        </w:rPr>
        <w:t xml:space="preserve"> et al. </w:t>
      </w:r>
      <w:r w:rsidRPr="00761CB9">
        <w:rPr>
          <w:rFonts w:asciiTheme="majorHAnsi" w:hAnsiTheme="majorHAnsi"/>
        </w:rPr>
        <w:fldChar w:fldCharType="begin">
          <w:fldData xml:space="preserve">PEVuZE5vdGU+PENpdGUgRXhjbHVkZUF1dGg9IjEiPjxBdXRob3I+U2FkYW5hbmRhbTwvQXV0aG9y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</w:fldData>
        </w:fldChar>
      </w:r>
      <w:r>
        <w:rPr>
          <w:rFonts w:asciiTheme="majorHAnsi" w:hAnsiTheme="majorHAnsi"/>
        </w:rPr>
        <w:instrText xml:space="preserve"> ADDIN EN.CITE </w:instrText>
      </w:r>
      <w:r>
        <w:rPr>
          <w:rFonts w:asciiTheme="majorHAnsi" w:hAnsiTheme="majorHAnsi"/>
        </w:rPr>
        <w:fldChar w:fldCharType="begin">
          <w:fldData xml:space="preserve">PEVuZE5vdGU+PENpdGUgRXhjbHVkZUF1dGg9IjEiPjxBdXRob3I+U2FkYW5hbmRhbTwvQXV0aG9y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sidRPr="00761CB9">
        <w:rPr>
          <w:rFonts w:asciiTheme="majorHAnsi" w:hAnsiTheme="majorHAnsi"/>
        </w:rPr>
      </w:r>
      <w:r w:rsidRPr="00761CB9">
        <w:rPr>
          <w:rFonts w:asciiTheme="majorHAnsi" w:hAnsiTheme="majorHAnsi"/>
        </w:rPr>
        <w:fldChar w:fldCharType="separate"/>
      </w:r>
      <w:r>
        <w:rPr>
          <w:rFonts w:asciiTheme="majorHAnsi" w:hAnsiTheme="majorHAnsi"/>
          <w:noProof/>
        </w:rPr>
        <w:t>(2013)</w:t>
      </w:r>
      <w:r w:rsidRPr="00761CB9">
        <w:rPr>
          <w:rFonts w:asciiTheme="majorHAnsi" w:hAnsiTheme="majorHAnsi"/>
          <w:lang w:val="en-US"/>
        </w:rPr>
        <w:fldChar w:fldCharType="end"/>
      </w:r>
      <w:r w:rsidRPr="00761CB9">
        <w:rPr>
          <w:rFonts w:asciiTheme="majorHAnsi" w:hAnsiTheme="majorHAnsi"/>
        </w:rPr>
        <w:t xml:space="preserve"> used gene expression profiles of resected primary CRC tumours and classified them into five subtypes depend</w:t>
      </w:r>
      <w:r>
        <w:rPr>
          <w:rFonts w:asciiTheme="majorHAnsi" w:hAnsiTheme="majorHAnsi"/>
        </w:rPr>
        <w:t>ing on the genes they expressed</w:t>
      </w:r>
      <w:proofErr w:type="gramStart"/>
      <w:r>
        <w:rPr>
          <w:rFonts w:asciiTheme="majorHAnsi" w:hAnsiTheme="majorHAnsi"/>
        </w:rPr>
        <w:t>;</w:t>
      </w:r>
      <w:proofErr w:type="gramEnd"/>
      <w:r w:rsidRPr="00761CB9">
        <w:rPr>
          <w:rFonts w:asciiTheme="majorHAnsi" w:hAnsiTheme="majorHAnsi"/>
        </w:rPr>
        <w:t xml:space="preserve"> goblet-like, enterocyte, stem-like, inflammatory and transit amplifying. They found that the subtypes were situated in distinct anatomical </w:t>
      </w:r>
      <w:r>
        <w:rPr>
          <w:rFonts w:asciiTheme="majorHAnsi" w:hAnsiTheme="majorHAnsi"/>
        </w:rPr>
        <w:t>regions</w:t>
      </w:r>
      <w:r w:rsidRPr="00761CB9">
        <w:rPr>
          <w:rFonts w:asciiTheme="majorHAnsi" w:hAnsiTheme="majorHAnsi"/>
        </w:rPr>
        <w:t xml:space="preserve"> within the colon crypts and that they had differing responses to standard chemotherapy combinations such as 5-FU and irinotecan. They also made </w:t>
      </w:r>
      <w:r>
        <w:rPr>
          <w:rFonts w:asciiTheme="majorHAnsi" w:hAnsiTheme="majorHAnsi"/>
        </w:rPr>
        <w:t>progress in</w:t>
      </w:r>
      <w:r w:rsidRPr="00761CB9">
        <w:rPr>
          <w:rFonts w:asciiTheme="majorHAnsi" w:hAnsiTheme="majorHAnsi"/>
        </w:rPr>
        <w:t xml:space="preserve"> defining biomarkers for each subtype whether immunohistochemically or using qRT-PCR</w:t>
      </w:r>
      <w:r w:rsidR="00770EBD">
        <w:rPr>
          <w:rFonts w:asciiTheme="majorHAnsi" w:hAnsiTheme="majorHAnsi"/>
        </w:rPr>
        <w:t>,</w:t>
      </w:r>
      <w:r w:rsidRPr="00761CB9">
        <w:rPr>
          <w:rFonts w:asciiTheme="majorHAnsi" w:hAnsiTheme="majorHAnsi"/>
        </w:rPr>
        <w:t xml:space="preserve"> and that each sub-type was also displayed in well-characterised CRC cell lines.</w:t>
      </w:r>
    </w:p>
    <w:p w14:paraId="50C6F959" w14:textId="77777777" w:rsidR="00B15A35" w:rsidRDefault="00B15A35" w:rsidP="00B15A35">
      <w:pPr>
        <w:spacing w:line="360" w:lineRule="auto"/>
        <w:jc w:val="both"/>
        <w:rPr>
          <w:rFonts w:asciiTheme="majorHAnsi" w:hAnsiTheme="majorHAnsi"/>
        </w:rPr>
      </w:pPr>
    </w:p>
    <w:p w14:paraId="7C58A0F9" w14:textId="4FEB3CC1" w:rsidR="00B15A35" w:rsidRDefault="00B15A35" w:rsidP="00B15A35">
      <w:pPr>
        <w:spacing w:line="360" w:lineRule="auto"/>
        <w:jc w:val="both"/>
        <w:rPr>
          <w:rFonts w:asciiTheme="majorHAnsi" w:hAnsiTheme="majorHAnsi"/>
        </w:rPr>
      </w:pPr>
      <w:r>
        <w:rPr>
          <w:rFonts w:asciiTheme="majorHAnsi" w:hAnsiTheme="majorHAnsi"/>
        </w:rPr>
        <w:t xml:space="preserve">De Sousa E </w:t>
      </w:r>
      <w:proofErr w:type="spellStart"/>
      <w:r>
        <w:rPr>
          <w:rFonts w:asciiTheme="majorHAnsi" w:hAnsiTheme="majorHAnsi"/>
        </w:rPr>
        <w:t>Melo</w:t>
      </w:r>
      <w:proofErr w:type="spellEnd"/>
      <w:r>
        <w:rPr>
          <w:rFonts w:asciiTheme="majorHAnsi" w:hAnsiTheme="majorHAnsi"/>
        </w:rPr>
        <w:t xml:space="preserve"> et al. </w:t>
      </w:r>
      <w:r>
        <w:rPr>
          <w:rFonts w:asciiTheme="majorHAnsi" w:hAnsiTheme="majorHAnsi"/>
        </w:rPr>
        <w:fldChar w:fldCharType="begin">
          <w:fldData xml:space="preserve">PEVuZE5vdGU+PENpdGUgRXhjbHVkZUF1dGg9IjEiPjxBdXRob3I+RGUgU291c2EgRSBNZWxvPC9B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</w:fldData>
        </w:fldChar>
      </w:r>
      <w:r>
        <w:rPr>
          <w:rFonts w:asciiTheme="majorHAnsi" w:hAnsiTheme="majorHAnsi"/>
        </w:rPr>
        <w:instrText xml:space="preserve"> ADDIN EN.CITE </w:instrText>
      </w:r>
      <w:r>
        <w:rPr>
          <w:rFonts w:asciiTheme="majorHAnsi" w:hAnsiTheme="majorHAnsi"/>
        </w:rPr>
        <w:fldChar w:fldCharType="begin">
          <w:fldData xml:space="preserve">PEVuZE5vdGU+PENpdGUgRXhjbHVkZUF1dGg9IjEiPjxBdXRob3I+RGUgU291c2EgRSBNZWxvPC9B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(2013)</w:t>
      </w:r>
      <w:r>
        <w:rPr>
          <w:rFonts w:asciiTheme="majorHAnsi" w:hAnsiTheme="majorHAnsi"/>
        </w:rPr>
        <w:fldChar w:fldCharType="end"/>
      </w:r>
      <w:r>
        <w:rPr>
          <w:rFonts w:asciiTheme="majorHAnsi" w:hAnsiTheme="majorHAnsi"/>
        </w:rPr>
        <w:t xml:space="preserve">, focused on just three colon cancer subtypes (CCS1/2/3) </w:t>
      </w:r>
      <w:r w:rsidR="00A625F7">
        <w:rPr>
          <w:rFonts w:asciiTheme="majorHAnsi" w:hAnsiTheme="majorHAnsi"/>
        </w:rPr>
        <w:t>with</w:t>
      </w:r>
      <w:r>
        <w:rPr>
          <w:rFonts w:asciiTheme="majorHAnsi" w:hAnsiTheme="majorHAnsi"/>
        </w:rPr>
        <w:t xml:space="preserve"> a 90 patient cohort, the results were then validated on further independent data sets as well as CRC cell lines. The CCS1 group contained tumours displaying </w:t>
      </w:r>
      <w:r w:rsidRPr="004E7606">
        <w:rPr>
          <w:rFonts w:asciiTheme="majorHAnsi" w:hAnsiTheme="majorHAnsi"/>
          <w:i/>
        </w:rPr>
        <w:t>KRAS</w:t>
      </w:r>
      <w:r w:rsidR="00770EBD">
        <w:rPr>
          <w:rFonts w:asciiTheme="majorHAnsi" w:hAnsiTheme="majorHAnsi"/>
        </w:rPr>
        <w:t xml:space="preserve"> and/</w:t>
      </w:r>
      <w:r>
        <w:rPr>
          <w:rFonts w:asciiTheme="majorHAnsi" w:hAnsiTheme="majorHAnsi"/>
        </w:rPr>
        <w:t xml:space="preserve">or </w:t>
      </w:r>
      <w:r w:rsidRPr="004E7606">
        <w:rPr>
          <w:rFonts w:asciiTheme="majorHAnsi" w:hAnsiTheme="majorHAnsi"/>
          <w:i/>
        </w:rPr>
        <w:t>TP53</w:t>
      </w:r>
      <w:r>
        <w:rPr>
          <w:rFonts w:asciiTheme="majorHAnsi" w:hAnsiTheme="majorHAnsi"/>
        </w:rPr>
        <w:t xml:space="preserve"> mutations and so were mostly CIN in phenotype, CCS2 corresponded to MSI and CIMP positive tumours, whilst CCS3 were a MS and CIMP mixed set of tumours, which displayed a serrated histology. </w:t>
      </w:r>
      <w:r w:rsidR="008A0D76">
        <w:rPr>
          <w:rFonts w:asciiTheme="majorHAnsi" w:hAnsiTheme="majorHAnsi"/>
        </w:rPr>
        <w:t xml:space="preserve">Thus while </w:t>
      </w:r>
      <w:r>
        <w:rPr>
          <w:rFonts w:asciiTheme="majorHAnsi" w:hAnsiTheme="majorHAnsi"/>
        </w:rPr>
        <w:t xml:space="preserve">CCS1 and 2 were similar to already mentioned subtypes of CRC, CCS3 represented a novel subtype which had a poor response to treatment and a 50% recurrence rate, therefore indicating a subset of patients which may benefit from further research. </w:t>
      </w:r>
    </w:p>
    <w:p w14:paraId="6F2461E5" w14:textId="77777777" w:rsidR="00B15A35" w:rsidRDefault="00B15A35" w:rsidP="00B15A35">
      <w:pPr>
        <w:spacing w:line="360" w:lineRule="auto"/>
        <w:jc w:val="both"/>
        <w:rPr>
          <w:rFonts w:asciiTheme="majorHAnsi" w:hAnsiTheme="majorHAnsi"/>
        </w:rPr>
      </w:pPr>
    </w:p>
    <w:p w14:paraId="61CC8EB1" w14:textId="5974FFFE" w:rsidR="00B15A35" w:rsidRDefault="00B15A35" w:rsidP="00B15A35">
      <w:pPr>
        <w:spacing w:line="360" w:lineRule="auto"/>
        <w:jc w:val="both"/>
        <w:rPr>
          <w:rFonts w:asciiTheme="majorHAnsi" w:hAnsiTheme="majorHAnsi"/>
        </w:rPr>
      </w:pPr>
      <w:r>
        <w:rPr>
          <w:rFonts w:asciiTheme="majorHAnsi" w:hAnsiTheme="majorHAnsi"/>
        </w:rPr>
        <w:t xml:space="preserve">Based on gene expression data Marisa et al. </w:t>
      </w:r>
      <w:r>
        <w:rPr>
          <w:rFonts w:asciiTheme="majorHAnsi" w:hAnsiTheme="majorHAnsi"/>
        </w:rPr>
        <w:fldChar w:fldCharType="begin">
          <w:fldData xml:space="preserve">PEVuZE5vdGU+PENpdGUgRXhjbHVkZUF1dGg9IjEiPjxBdXRob3I+TWFyaXNhPC9BdXRob3I+PFll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</w:fldData>
        </w:fldChar>
      </w:r>
      <w:r>
        <w:rPr>
          <w:rFonts w:asciiTheme="majorHAnsi" w:hAnsiTheme="majorHAnsi"/>
        </w:rPr>
        <w:instrText xml:space="preserve"> ADDIN EN.CITE </w:instrText>
      </w:r>
      <w:r>
        <w:rPr>
          <w:rFonts w:asciiTheme="majorHAnsi" w:hAnsiTheme="majorHAnsi"/>
        </w:rPr>
        <w:fldChar w:fldCharType="begin">
          <w:fldData xml:space="preserve">PEVuZE5vdGU+PENpdGUgRXhjbHVkZUF1dGg9IjEiPjxBdXRob3I+TWFyaXNhPC9BdXRob3I+PFll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(2013)</w:t>
      </w:r>
      <w:r>
        <w:rPr>
          <w:rFonts w:asciiTheme="majorHAnsi" w:hAnsiTheme="majorHAnsi"/>
        </w:rPr>
        <w:fldChar w:fldCharType="end"/>
      </w:r>
      <w:r>
        <w:rPr>
          <w:rFonts w:asciiTheme="majorHAnsi" w:hAnsiTheme="majorHAnsi"/>
        </w:rPr>
        <w:t xml:space="preserve">, classified CRC tumours from 750 patients into six groups. </w:t>
      </w:r>
      <w:proofErr w:type="gramStart"/>
      <w:r>
        <w:rPr>
          <w:rFonts w:asciiTheme="majorHAnsi" w:hAnsiTheme="majorHAnsi"/>
        </w:rPr>
        <w:t>1- CIN with a deregulation of immune pathways, 2- MSI, 3-</w:t>
      </w:r>
      <w:r w:rsidRPr="004E7606">
        <w:rPr>
          <w:rFonts w:asciiTheme="majorHAnsi" w:hAnsiTheme="majorHAnsi"/>
          <w:i/>
        </w:rPr>
        <w:t>KRAS</w:t>
      </w:r>
      <w:r>
        <w:rPr>
          <w:rFonts w:asciiTheme="majorHAnsi" w:hAnsiTheme="majorHAnsi"/>
        </w:rPr>
        <w:t xml:space="preserve"> mutations, 4- CIN with stem-like phenotype, 5- CIN wi</w:t>
      </w:r>
      <w:r w:rsidR="00642915">
        <w:rPr>
          <w:rFonts w:asciiTheme="majorHAnsi" w:hAnsiTheme="majorHAnsi"/>
        </w:rPr>
        <w:t>th aberrant up regulation of WNT</w:t>
      </w:r>
      <w:r>
        <w:rPr>
          <w:rFonts w:asciiTheme="majorHAnsi" w:hAnsiTheme="majorHAnsi"/>
        </w:rPr>
        <w:t xml:space="preserve"> and 6- CIN with serrated carcinoma.</w:t>
      </w:r>
      <w:proofErr w:type="gramEnd"/>
      <w:r>
        <w:rPr>
          <w:rFonts w:asciiTheme="majorHAnsi" w:hAnsiTheme="majorHAnsi"/>
        </w:rPr>
        <w:t xml:space="preserve"> Here it can be seen that the CIN pathway, which corresponds to the majority of CRC, has been split into a number of different categories depending on gene e</w:t>
      </w:r>
      <w:r w:rsidR="00620344">
        <w:rPr>
          <w:rFonts w:asciiTheme="majorHAnsi" w:hAnsiTheme="majorHAnsi"/>
        </w:rPr>
        <w:t xml:space="preserve">xpression and histology. A </w:t>
      </w:r>
      <w:proofErr w:type="gramStart"/>
      <w:r w:rsidR="00620344">
        <w:rPr>
          <w:rFonts w:asciiTheme="majorHAnsi" w:hAnsiTheme="majorHAnsi"/>
        </w:rPr>
        <w:t>down-</w:t>
      </w:r>
      <w:r>
        <w:rPr>
          <w:rFonts w:asciiTheme="majorHAnsi" w:hAnsiTheme="majorHAnsi"/>
        </w:rPr>
        <w:t>side</w:t>
      </w:r>
      <w:proofErr w:type="gramEnd"/>
      <w:r>
        <w:rPr>
          <w:rFonts w:asciiTheme="majorHAnsi" w:hAnsiTheme="majorHAnsi"/>
        </w:rPr>
        <w:t xml:space="preserve"> to the study however was that tumour grade was not known; so before this classification system can be used it would need further verification.</w:t>
      </w:r>
    </w:p>
    <w:p w14:paraId="7F8B09EB" w14:textId="77777777" w:rsidR="00B15A35" w:rsidRDefault="00B15A35" w:rsidP="00B15A35">
      <w:pPr>
        <w:spacing w:line="360" w:lineRule="auto"/>
        <w:jc w:val="both"/>
        <w:rPr>
          <w:rFonts w:asciiTheme="majorHAnsi" w:hAnsiTheme="majorHAnsi"/>
        </w:rPr>
      </w:pPr>
    </w:p>
    <w:p w14:paraId="1408729C" w14:textId="37CDE021" w:rsidR="00B15A35" w:rsidRDefault="00B15A35" w:rsidP="00B15A35">
      <w:pPr>
        <w:spacing w:line="360" w:lineRule="auto"/>
        <w:jc w:val="both"/>
        <w:rPr>
          <w:rFonts w:asciiTheme="majorHAnsi" w:hAnsiTheme="majorHAnsi"/>
        </w:rPr>
      </w:pPr>
      <w:r>
        <w:rPr>
          <w:rFonts w:asciiTheme="majorHAnsi" w:hAnsiTheme="majorHAnsi"/>
        </w:rPr>
        <w:t xml:space="preserve">And finally a more recent international consortium put together a four-group classification using large scale data sharing and analysis, of which included the information from Marisa et al. and De Sousa E </w:t>
      </w:r>
      <w:proofErr w:type="spellStart"/>
      <w:r>
        <w:rPr>
          <w:rFonts w:asciiTheme="majorHAnsi" w:hAnsiTheme="majorHAnsi"/>
        </w:rPr>
        <w:t>Melo</w:t>
      </w:r>
      <w:proofErr w:type="spellEnd"/>
      <w:r>
        <w:rPr>
          <w:rFonts w:asciiTheme="majorHAnsi" w:hAnsiTheme="majorHAnsi"/>
        </w:rPr>
        <w:t xml:space="preserve"> et al. </w:t>
      </w:r>
      <w:r>
        <w:rPr>
          <w:rFonts w:asciiTheme="majorHAnsi" w:hAnsiTheme="majorHAnsi"/>
        </w:rPr>
        <w:fldChar w:fldCharType="begin">
          <w:fldData xml:space="preserve">PEVuZE5vdGU+PENpdGU+PEF1dGhvcj5HdWlubmV5PC9BdXRob3I+PFllYXI+MjAxNTwvWWVhcj48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PEVuZE5vdGU+PENpdGU+PEF1dGhvcj5HdWlubmV5PC9BdXRob3I+PFllYXI+MjAxNTwvWWVhcj48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(Guinney et al., 2015)</w:t>
      </w:r>
      <w:r>
        <w:rPr>
          <w:rFonts w:asciiTheme="majorHAnsi" w:hAnsiTheme="majorHAnsi"/>
        </w:rPr>
        <w:fldChar w:fldCharType="end"/>
      </w:r>
      <w:r>
        <w:rPr>
          <w:rFonts w:asciiTheme="majorHAnsi" w:hAnsiTheme="majorHAnsi"/>
        </w:rPr>
        <w:t xml:space="preserve">. They </w:t>
      </w:r>
      <w:r w:rsidR="00620344">
        <w:rPr>
          <w:rFonts w:asciiTheme="majorHAnsi" w:hAnsiTheme="majorHAnsi"/>
        </w:rPr>
        <w:t>identified</w:t>
      </w:r>
      <w:r>
        <w:rPr>
          <w:rFonts w:asciiTheme="majorHAnsi" w:hAnsiTheme="majorHAnsi"/>
        </w:rPr>
        <w:t xml:space="preserve">: 1- MSI with strong immune activation, 2- Canonical with CIN and </w:t>
      </w:r>
      <w:r w:rsidR="00642915">
        <w:rPr>
          <w:rFonts w:asciiTheme="majorHAnsi" w:hAnsiTheme="majorHAnsi"/>
        </w:rPr>
        <w:t xml:space="preserve">WNT </w:t>
      </w:r>
      <w:r>
        <w:rPr>
          <w:rFonts w:asciiTheme="majorHAnsi" w:hAnsiTheme="majorHAnsi"/>
        </w:rPr>
        <w:t>and MYC activation, 3- metabolic deregulation and 4- TGF-</w:t>
      </w:r>
      <w:r>
        <w:rPr>
          <w:rFonts w:ascii="Calibri" w:hAnsi="Calibri"/>
        </w:rPr>
        <w:t>β</w:t>
      </w:r>
      <w:r>
        <w:rPr>
          <w:rFonts w:asciiTheme="majorHAnsi" w:hAnsiTheme="majorHAnsi"/>
        </w:rPr>
        <w:t xml:space="preserve"> activation with stromal invasion and increased angiogenesis. This was considered a robust model, which could be taken into the clinic for use in therapeutic interventions. </w:t>
      </w:r>
    </w:p>
    <w:p w14:paraId="2321966D" w14:textId="77777777" w:rsidR="00B15A35" w:rsidRDefault="00B15A35" w:rsidP="00B15A35">
      <w:pPr>
        <w:spacing w:line="360" w:lineRule="auto"/>
        <w:jc w:val="both"/>
        <w:rPr>
          <w:rFonts w:asciiTheme="majorHAnsi" w:hAnsiTheme="majorHAnsi"/>
        </w:rPr>
      </w:pPr>
    </w:p>
    <w:p w14:paraId="5A949F93" w14:textId="433E3E2D" w:rsidR="00B15A35" w:rsidRDefault="00B15A35" w:rsidP="00B15A35">
      <w:pPr>
        <w:spacing w:line="360" w:lineRule="auto"/>
        <w:jc w:val="both"/>
        <w:rPr>
          <w:rFonts w:asciiTheme="majorHAnsi" w:hAnsiTheme="majorHAnsi"/>
        </w:rPr>
      </w:pPr>
      <w:r>
        <w:rPr>
          <w:rFonts w:asciiTheme="majorHAnsi" w:hAnsiTheme="majorHAnsi"/>
        </w:rPr>
        <w:t>These four papers show the heterogeneity of CRC and how it can be differentially subtyped. It will still take many more years to fully elucidate the differing mechanisms in which CRC progresses and how this then affects patient outcomes and treatment responses.</w:t>
      </w:r>
    </w:p>
    <w:p w14:paraId="290D8C87" w14:textId="77777777" w:rsidR="00EB3408" w:rsidRPr="00EB3408" w:rsidRDefault="00EB3408" w:rsidP="00B15A35">
      <w:pPr>
        <w:spacing w:line="360" w:lineRule="auto"/>
        <w:jc w:val="both"/>
        <w:rPr>
          <w:rFonts w:asciiTheme="majorHAnsi" w:hAnsiTheme="majorHAnsi"/>
          <w:sz w:val="28"/>
          <w:u w:val="single"/>
        </w:rPr>
      </w:pPr>
    </w:p>
    <w:p w14:paraId="07D4DD7B" w14:textId="649A9BF4" w:rsidR="00EB3408" w:rsidRPr="00EB3408" w:rsidRDefault="00EB3408" w:rsidP="00EB3408">
      <w:pPr>
        <w:spacing w:line="360" w:lineRule="auto"/>
        <w:jc w:val="both"/>
        <w:rPr>
          <w:rFonts w:asciiTheme="majorHAnsi" w:hAnsiTheme="majorHAnsi"/>
          <w:sz w:val="28"/>
          <w:u w:val="single"/>
        </w:rPr>
      </w:pPr>
      <w:r w:rsidRPr="00E82D3B">
        <w:rPr>
          <w:rFonts w:asciiTheme="majorHAnsi" w:hAnsiTheme="majorHAnsi"/>
          <w:sz w:val="28"/>
          <w:u w:val="single"/>
        </w:rPr>
        <w:t>1.5 Diagnosis and Treatments of Colorectal Cancer</w:t>
      </w:r>
    </w:p>
    <w:p w14:paraId="7F620471" w14:textId="77777777" w:rsidR="00EB3408" w:rsidRPr="00EB3408" w:rsidRDefault="00EB3408" w:rsidP="00EB3408">
      <w:pPr>
        <w:spacing w:line="360" w:lineRule="auto"/>
        <w:jc w:val="both"/>
        <w:rPr>
          <w:rFonts w:asciiTheme="majorHAnsi" w:hAnsiTheme="majorHAnsi"/>
          <w:sz w:val="28"/>
          <w:u w:val="single"/>
        </w:rPr>
      </w:pPr>
    </w:p>
    <w:p w14:paraId="34C9A0C7" w14:textId="77777777" w:rsidR="00EB3408" w:rsidRPr="00EB3408" w:rsidRDefault="00EB3408" w:rsidP="00EB3408">
      <w:pPr>
        <w:pStyle w:val="NoSpacing"/>
        <w:numPr>
          <w:ilvl w:val="0"/>
          <w:numId w:val="49"/>
        </w:numPr>
        <w:spacing w:line="360" w:lineRule="auto"/>
        <w:jc w:val="both"/>
        <w:rPr>
          <w:rFonts w:asciiTheme="majorHAnsi" w:hAnsiTheme="majorHAnsi"/>
          <w:b/>
          <w:i/>
        </w:rPr>
      </w:pPr>
      <w:r w:rsidRPr="00EB3408">
        <w:rPr>
          <w:rFonts w:asciiTheme="majorHAnsi" w:hAnsiTheme="majorHAnsi"/>
          <w:b/>
          <w:i/>
        </w:rPr>
        <w:t>Diagnosis</w:t>
      </w:r>
    </w:p>
    <w:p w14:paraId="3629C9E3" w14:textId="77777777" w:rsidR="00EB3408" w:rsidRDefault="00EB3408" w:rsidP="00EB3408">
      <w:pPr>
        <w:pStyle w:val="NoSpacing"/>
        <w:spacing w:line="360" w:lineRule="auto"/>
        <w:jc w:val="both"/>
        <w:rPr>
          <w:rFonts w:asciiTheme="majorHAnsi" w:hAnsiTheme="majorHAnsi"/>
        </w:rPr>
      </w:pPr>
      <w:r w:rsidRPr="004E2D72">
        <w:rPr>
          <w:rFonts w:asciiTheme="majorHAnsi" w:hAnsiTheme="majorHAnsi"/>
        </w:rPr>
        <w:t xml:space="preserve">Currently the clinical method of choice for colorectal cancer </w:t>
      </w:r>
      <w:r>
        <w:rPr>
          <w:rFonts w:asciiTheme="majorHAnsi" w:hAnsiTheme="majorHAnsi"/>
        </w:rPr>
        <w:t>staging</w:t>
      </w:r>
      <w:r w:rsidRPr="004E2D72">
        <w:rPr>
          <w:rFonts w:asciiTheme="majorHAnsi" w:hAnsiTheme="majorHAnsi"/>
        </w:rPr>
        <w:t xml:space="preserve"> is </w:t>
      </w:r>
      <w:r>
        <w:rPr>
          <w:rFonts w:asciiTheme="majorHAnsi" w:hAnsiTheme="majorHAnsi"/>
        </w:rPr>
        <w:t xml:space="preserve">the standard TNM (Tumour, node, metastasis) classification used for most cancer types, which gives a wide range of information, however, the historical </w:t>
      </w:r>
      <w:r w:rsidRPr="004E2D72">
        <w:rPr>
          <w:rFonts w:asciiTheme="majorHAnsi" w:hAnsiTheme="majorHAnsi"/>
        </w:rPr>
        <w:t>Dukes</w:t>
      </w:r>
      <w:r>
        <w:rPr>
          <w:rFonts w:asciiTheme="majorHAnsi" w:hAnsiTheme="majorHAnsi"/>
        </w:rPr>
        <w:t>’</w:t>
      </w:r>
      <w:r w:rsidRPr="004E2D72">
        <w:rPr>
          <w:rFonts w:asciiTheme="majorHAnsi" w:hAnsiTheme="majorHAnsi"/>
        </w:rPr>
        <w:t xml:space="preserve"> staging</w:t>
      </w:r>
      <w:r>
        <w:rPr>
          <w:rFonts w:asciiTheme="majorHAnsi" w:hAnsiTheme="majorHAnsi"/>
        </w:rPr>
        <w:t xml:space="preserve"> system to classify CRC tumours is still used by many. This is where the tumour is given a letter from A-D depending on the degree of invasion and metastasis. “A” means the tumour is still within the inner lining of the bowel. “B” indicates the tumour has progressed through the muscle lining of the bowel, “C” means a spread to at least 1 lymph node within close proximity to the bowel, and finally “D” refers to metastasis to other parts of the body </w:t>
      </w:r>
      <w:r>
        <w:rPr>
          <w:rFonts w:asciiTheme="majorHAnsi" w:hAnsiTheme="majorHAnsi"/>
        </w:rPr>
        <w:fldChar w:fldCharType="begin"/>
      </w:r>
      <w:r>
        <w:rPr>
          <w:rFonts w:asciiTheme="majorHAnsi" w:hAnsiTheme="majorHAnsi"/>
        </w:rPr>
        <w:instrText xml:space="preserve"> ADDIN EN.CITE &lt;EndNote&gt;&lt;Cite&gt;&lt;Author&gt;Dukes&lt;/Author&gt;&lt;Year&gt;1932&lt;/Year&gt;&lt;IDText&gt;The classification of cancer of the rectum&lt;/IDText&gt;&lt;DisplayText&gt;(Dukes, 1932)&lt;/DisplayText&gt;&lt;record&gt;&lt;titles&gt;&lt;title&gt;The classification of cancer of the rectum&lt;/title&gt;&lt;secondary-title&gt;Journal of Pathology&lt;/secondary-title&gt;&lt;/titles&gt;&lt;pages&gt;323-332&lt;/pages&gt;&lt;number&gt;3&lt;/number&gt;&lt;contributors&gt;&lt;authors&gt;&lt;author&gt;Dukes, C.E&lt;/author&gt;&lt;/authors&gt;&lt;/contributors&gt;&lt;added-date format="utc"&gt;1508933526&lt;/added-date&gt;&lt;ref-type name="Journal Article"&gt;17&lt;/ref-type&gt;&lt;dates&gt;&lt;year&gt;1932&lt;/year&gt;&lt;/dates&gt;&lt;rec-number&gt;302&lt;/rec-number&gt;&lt;last-updated-date format="utc"&gt;1508933678&lt;/last-updated-date&gt;&lt;volume&gt;35&lt;/volume&gt;&lt;/record&gt;&lt;/Cite&gt;&lt;/EndNote&gt;</w:instrText>
      </w:r>
      <w:r>
        <w:rPr>
          <w:rFonts w:asciiTheme="majorHAnsi" w:hAnsiTheme="majorHAnsi"/>
        </w:rPr>
        <w:fldChar w:fldCharType="separate"/>
      </w:r>
      <w:r>
        <w:rPr>
          <w:rFonts w:asciiTheme="majorHAnsi" w:hAnsiTheme="majorHAnsi"/>
          <w:noProof/>
        </w:rPr>
        <w:t>(Dukes, 1932)</w:t>
      </w:r>
      <w:r>
        <w:rPr>
          <w:rFonts w:asciiTheme="majorHAnsi" w:hAnsiTheme="majorHAnsi"/>
        </w:rPr>
        <w:fldChar w:fldCharType="end"/>
      </w:r>
      <w:r>
        <w:rPr>
          <w:rFonts w:asciiTheme="majorHAnsi" w:hAnsiTheme="majorHAnsi"/>
        </w:rPr>
        <w:t>.</w:t>
      </w:r>
    </w:p>
    <w:p w14:paraId="7C32C9E6" w14:textId="77777777" w:rsidR="00EB3408" w:rsidRDefault="00EB3408" w:rsidP="00EB3408">
      <w:pPr>
        <w:pStyle w:val="NoSpacing"/>
        <w:spacing w:line="360" w:lineRule="auto"/>
        <w:jc w:val="both"/>
        <w:rPr>
          <w:rFonts w:asciiTheme="majorHAnsi" w:hAnsiTheme="majorHAnsi"/>
        </w:rPr>
      </w:pPr>
    </w:p>
    <w:p w14:paraId="437884D9" w14:textId="6FBB18F1" w:rsidR="00EB3408" w:rsidRPr="00404048" w:rsidRDefault="00EB3408" w:rsidP="00EB3408">
      <w:pPr>
        <w:pStyle w:val="NoSpacing"/>
        <w:spacing w:line="360" w:lineRule="auto"/>
        <w:jc w:val="both"/>
        <w:rPr>
          <w:rFonts w:asciiTheme="majorHAnsi" w:hAnsiTheme="majorHAnsi"/>
        </w:rPr>
      </w:pPr>
      <w:r w:rsidRPr="00404048">
        <w:rPr>
          <w:rFonts w:asciiTheme="majorHAnsi" w:hAnsiTheme="majorHAnsi"/>
        </w:rPr>
        <w:t>In recent years CRC screening has been introduced</w:t>
      </w:r>
      <w:r>
        <w:rPr>
          <w:rFonts w:asciiTheme="majorHAnsi" w:hAnsiTheme="majorHAnsi"/>
        </w:rPr>
        <w:t xml:space="preserve"> in the UK,</w:t>
      </w:r>
      <w:r w:rsidRPr="00404048">
        <w:rPr>
          <w:rFonts w:asciiTheme="majorHAnsi" w:hAnsiTheme="majorHAnsi"/>
        </w:rPr>
        <w:t xml:space="preserve"> in the form of a yearly standard test sent to </w:t>
      </w:r>
      <w:r>
        <w:rPr>
          <w:rFonts w:asciiTheme="majorHAnsi" w:hAnsiTheme="majorHAnsi"/>
        </w:rPr>
        <w:t>adults aged</w:t>
      </w:r>
      <w:r w:rsidRPr="00404048">
        <w:rPr>
          <w:rFonts w:asciiTheme="majorHAnsi" w:hAnsiTheme="majorHAnsi"/>
        </w:rPr>
        <w:t xml:space="preserve"> 60-69</w:t>
      </w:r>
      <w:r>
        <w:rPr>
          <w:rFonts w:asciiTheme="majorHAnsi" w:hAnsiTheme="majorHAnsi"/>
        </w:rPr>
        <w:t xml:space="preserve"> years</w:t>
      </w:r>
      <w:r w:rsidRPr="00404048">
        <w:rPr>
          <w:rFonts w:asciiTheme="majorHAnsi" w:hAnsiTheme="majorHAnsi"/>
        </w:rPr>
        <w:t xml:space="preserve">. This involves the collection of </w:t>
      </w:r>
      <w:r>
        <w:rPr>
          <w:rFonts w:asciiTheme="majorHAnsi" w:hAnsiTheme="majorHAnsi"/>
        </w:rPr>
        <w:t>stool samples and return</w:t>
      </w:r>
      <w:r w:rsidRPr="00404048">
        <w:rPr>
          <w:rFonts w:asciiTheme="majorHAnsi" w:hAnsiTheme="majorHAnsi"/>
        </w:rPr>
        <w:t xml:space="preserve"> of the kit within 14 days. The stools are tested for faecal </w:t>
      </w:r>
      <w:r w:rsidR="00A57C28">
        <w:rPr>
          <w:rFonts w:asciiTheme="majorHAnsi" w:hAnsiTheme="majorHAnsi"/>
        </w:rPr>
        <w:t>occult blood, which usually is no</w:t>
      </w:r>
      <w:r w:rsidRPr="00404048">
        <w:rPr>
          <w:rFonts w:asciiTheme="majorHAnsi" w:hAnsiTheme="majorHAnsi"/>
        </w:rPr>
        <w:t xml:space="preserve">t visible, and if there are any abnormalities, the individuals are contacted and asked to attend a clinic for further testing. In this way early detection of CRC is increasing </w:t>
      </w:r>
      <w:r>
        <w:rPr>
          <w:rFonts w:asciiTheme="majorHAnsi" w:hAnsiTheme="majorHAnsi"/>
        </w:rPr>
        <w:t>in the UK</w:t>
      </w:r>
      <w:r w:rsidRPr="00404048">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&lt;EndNote&gt;&lt;Cite&gt;&lt;Author&gt;NHS&lt;/Author&gt;&lt;Year&gt;2014&lt;/Year&gt;&lt;IDText&gt;Bowel Cancer Screening Programme&lt;/IDText&gt;&lt;DisplayText&gt;(NHS, 2014)&lt;/DisplayText&gt;&lt;record&gt;&lt;dates&gt;&lt;pub-dates&gt;&lt;date&gt;13th February 2015&lt;/date&gt;&lt;/pub-dates&gt;&lt;year&gt;2014&lt;/year&gt;&lt;/dates&gt;&lt;titles&gt;&lt;title&gt;Bowel Cancer Screening Programme&lt;/title&gt;&lt;/titles&gt;&lt;contributors&gt;&lt;authors&gt;&lt;author&gt;NHS&lt;/author&gt;&lt;/authors&gt;&lt;/contributors&gt;&lt;added-date format="utc"&gt;1426500543&lt;/added-date&gt;&lt;pub-location&gt;http://www.cancerscreening.nhs.uk/bowel/&lt;/pub-location&gt;&lt;ref-type name="Online Database"&gt;45&lt;/ref-type&gt;&lt;rec-number&gt;118&lt;/rec-number&gt;&lt;last-updated-date format="utc"&gt;1426500803&lt;/last-updated-date&gt;&lt;/record&gt;&lt;/Cite&gt;&lt;/EndNote&gt;</w:instrText>
      </w:r>
      <w:r>
        <w:rPr>
          <w:rFonts w:asciiTheme="majorHAnsi" w:hAnsiTheme="majorHAnsi"/>
        </w:rPr>
        <w:fldChar w:fldCharType="separate"/>
      </w:r>
      <w:r>
        <w:rPr>
          <w:rFonts w:asciiTheme="majorHAnsi" w:hAnsiTheme="majorHAnsi"/>
          <w:noProof/>
        </w:rPr>
        <w:t>(NHS, 2014)</w:t>
      </w:r>
      <w:r>
        <w:rPr>
          <w:rFonts w:asciiTheme="majorHAnsi" w:hAnsiTheme="majorHAnsi"/>
        </w:rPr>
        <w:fldChar w:fldCharType="end"/>
      </w:r>
      <w:r>
        <w:rPr>
          <w:rFonts w:asciiTheme="majorHAnsi" w:hAnsiTheme="majorHAnsi"/>
        </w:rPr>
        <w:t xml:space="preserve">. </w:t>
      </w:r>
      <w:r w:rsidRPr="00404048">
        <w:rPr>
          <w:rFonts w:asciiTheme="majorHAnsi" w:hAnsiTheme="majorHAnsi"/>
        </w:rPr>
        <w:t xml:space="preserve">However in economically less developed countries this </w:t>
      </w:r>
      <w:r>
        <w:rPr>
          <w:rFonts w:asciiTheme="majorHAnsi" w:hAnsiTheme="majorHAnsi"/>
        </w:rPr>
        <w:t>is not</w:t>
      </w:r>
      <w:r w:rsidRPr="00404048">
        <w:rPr>
          <w:rFonts w:asciiTheme="majorHAnsi" w:hAnsiTheme="majorHAnsi"/>
        </w:rPr>
        <w:t xml:space="preserve"> yet a possibility, </w:t>
      </w:r>
      <w:r>
        <w:rPr>
          <w:rFonts w:asciiTheme="majorHAnsi" w:hAnsiTheme="majorHAnsi"/>
        </w:rPr>
        <w:t>and CRC incidence</w:t>
      </w:r>
      <w:r w:rsidRPr="00404048">
        <w:rPr>
          <w:rFonts w:asciiTheme="majorHAnsi" w:hAnsiTheme="majorHAnsi"/>
        </w:rPr>
        <w:t xml:space="preserve"> in India</w:t>
      </w:r>
      <w:r>
        <w:rPr>
          <w:rFonts w:asciiTheme="majorHAnsi" w:hAnsiTheme="majorHAnsi"/>
        </w:rPr>
        <w:t>,</w:t>
      </w:r>
      <w:r w:rsidRPr="00404048">
        <w:rPr>
          <w:rFonts w:asciiTheme="majorHAnsi" w:hAnsiTheme="majorHAnsi"/>
        </w:rPr>
        <w:t xml:space="preserve"> </w:t>
      </w:r>
      <w:r>
        <w:rPr>
          <w:rFonts w:asciiTheme="majorHAnsi" w:hAnsiTheme="majorHAnsi"/>
        </w:rPr>
        <w:t xml:space="preserve">for example, is </w:t>
      </w:r>
      <w:r w:rsidRPr="00404048">
        <w:rPr>
          <w:rFonts w:asciiTheme="majorHAnsi" w:hAnsiTheme="majorHAnsi"/>
        </w:rPr>
        <w:t xml:space="preserve">still on the rise </w:t>
      </w:r>
      <w:r>
        <w:rPr>
          <w:rFonts w:asciiTheme="majorHAnsi" w:hAnsiTheme="majorHAnsi"/>
        </w:rPr>
        <w:fldChar w:fldCharType="begin"/>
      </w:r>
      <w:r>
        <w:rPr>
          <w:rFonts w:asciiTheme="majorHAnsi" w:hAnsiTheme="majorHAnsi"/>
        </w:rPr>
        <w:instrText xml:space="preserve"> ADDIN EN.CITE &lt;EndNote&gt;&lt;Cite&gt;&lt;Author&gt;Kanth&lt;/Author&gt;&lt;Year&gt;2014&lt;/Year&gt;&lt;IDText&gt;Microsatellite instability and promoter hypermethylation in colorectal cancer in India&lt;/IDText&gt;&lt;DisplayText&gt;(Kanth et al., 2014)&lt;/DisplayText&gt;&lt;record&gt;&lt;isbn&gt;1010-4283&lt;/isbn&gt;&lt;titles&gt;&lt;title&gt;Microsatellite instability and promoter hypermethylation in colorectal cancer in India&lt;/title&gt;&lt;secondary-title&gt;Tumor Biol.&lt;/secondary-title&gt;&lt;/titles&gt;&lt;pages&gt;4347-4355&lt;/pages&gt;&lt;number&gt;5&lt;/number&gt;&lt;contributors&gt;&lt;authors&gt;&lt;author&gt;Kanth, Vvr&lt;/author&gt;&lt;author&gt;Bhalsing, S.&lt;/author&gt;&lt;author&gt;Sasikala, M.&lt;/author&gt;&lt;author&gt;Rao, Gv&lt;/author&gt;&lt;author&gt;Pradeep, R.&lt;/author&gt;&lt;author&gt;Avanthi, Us&lt;/author&gt;&lt;author&gt;Reddy, Dn&lt;/author&gt;&lt;/authors&gt;&lt;/contributors&gt;&lt;added-date format="utc"&gt;1425983649&lt;/added-date&gt;&lt;ref-type name="Journal Article"&gt;17&lt;/ref-type&gt;&lt;dates&gt;&lt;year&gt;2014&lt;/year&gt;&lt;/dates&gt;&lt;rec-number&gt;60&lt;/rec-number&gt;&lt;last-updated-date format="utc"&gt;1447344612&lt;/last-updated-date&gt;&lt;electronic-resource-num&gt;10.1007/s13277-013-1570-9&lt;/electronic-resource-num&gt;&lt;volume&gt;35&lt;/volume&gt;&lt;/record&gt;&lt;/Cite&gt;&lt;/EndNote&gt;</w:instrText>
      </w:r>
      <w:r>
        <w:rPr>
          <w:rFonts w:asciiTheme="majorHAnsi" w:hAnsiTheme="majorHAnsi"/>
        </w:rPr>
        <w:fldChar w:fldCharType="separate"/>
      </w:r>
      <w:r>
        <w:rPr>
          <w:rFonts w:asciiTheme="majorHAnsi" w:hAnsiTheme="majorHAnsi"/>
          <w:noProof/>
        </w:rPr>
        <w:t>(Kanth et al., 2014)</w:t>
      </w:r>
      <w:r>
        <w:rPr>
          <w:rFonts w:asciiTheme="majorHAnsi" w:hAnsiTheme="majorHAnsi"/>
        </w:rPr>
        <w:fldChar w:fldCharType="end"/>
      </w:r>
      <w:r>
        <w:rPr>
          <w:rFonts w:asciiTheme="majorHAnsi" w:hAnsiTheme="majorHAnsi"/>
        </w:rPr>
        <w:t>.</w:t>
      </w:r>
    </w:p>
    <w:p w14:paraId="018D6243" w14:textId="77777777" w:rsidR="00EB3408" w:rsidRDefault="00EB3408" w:rsidP="00EB3408">
      <w:pPr>
        <w:pStyle w:val="NoSpacing"/>
        <w:spacing w:line="360" w:lineRule="auto"/>
        <w:jc w:val="both"/>
        <w:rPr>
          <w:rFonts w:asciiTheme="majorHAnsi" w:hAnsiTheme="majorHAnsi"/>
        </w:rPr>
      </w:pPr>
    </w:p>
    <w:p w14:paraId="27FF4742" w14:textId="77777777" w:rsidR="00EB3408" w:rsidRPr="00E82D3B" w:rsidRDefault="00EB3408" w:rsidP="00EB3408">
      <w:pPr>
        <w:pStyle w:val="NoSpacing"/>
        <w:numPr>
          <w:ilvl w:val="0"/>
          <w:numId w:val="49"/>
        </w:numPr>
        <w:spacing w:line="360" w:lineRule="auto"/>
        <w:jc w:val="both"/>
        <w:rPr>
          <w:rFonts w:asciiTheme="majorHAnsi" w:hAnsiTheme="majorHAnsi"/>
          <w:b/>
          <w:i/>
        </w:rPr>
      </w:pPr>
      <w:r w:rsidRPr="00E82D3B">
        <w:rPr>
          <w:rFonts w:asciiTheme="majorHAnsi" w:hAnsiTheme="majorHAnsi"/>
          <w:b/>
          <w:i/>
        </w:rPr>
        <w:t>Treatment Overview</w:t>
      </w:r>
    </w:p>
    <w:p w14:paraId="075D7B2F" w14:textId="77777777" w:rsidR="00EB3408" w:rsidRPr="004E2D72" w:rsidRDefault="00EB3408" w:rsidP="00EB3408">
      <w:pPr>
        <w:pStyle w:val="NoSpacing"/>
        <w:spacing w:line="360" w:lineRule="auto"/>
        <w:jc w:val="both"/>
        <w:rPr>
          <w:rFonts w:asciiTheme="majorHAnsi" w:hAnsiTheme="majorHAnsi"/>
        </w:rPr>
      </w:pPr>
      <w:r w:rsidRPr="004E2D72">
        <w:rPr>
          <w:rFonts w:asciiTheme="majorHAnsi" w:hAnsiTheme="majorHAnsi"/>
        </w:rPr>
        <w:t>The main treatment for early stage disease is surgery to remove the tumour</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&lt;EndNote&gt;&lt;Cite&gt;&lt;Author&gt;CRUK&lt;/Author&gt;&lt;Year&gt;2015&lt;/Year&gt;&lt;IDText&gt;Which treatment for early Bowel Cancer ?&lt;/IDText&gt;&lt;DisplayText&gt;(CRUK, 2015b)&lt;/DisplayText&gt;&lt;record&gt;&lt;titles&gt;&lt;title&gt;Which treatment for early Bowel Cancer ?&lt;/title&gt;&lt;/titles&gt;&lt;contributors&gt;&lt;authors&gt;&lt;author&gt;CRUK&lt;/author&gt;&lt;/authors&gt;&lt;/contributors&gt;&lt;added-date format="utc"&gt;1447344912&lt;/added-date&gt;&lt;pub-location&gt;Online&lt;/pub-location&gt;&lt;ref-type name="Generic"&gt;13&lt;/ref-type&gt;&lt;dates&gt;&lt;year&gt;2015&lt;/year&gt;&lt;/dates&gt;&lt;rec-number&gt;133&lt;/rec-number&gt;&lt;last-updated-date format="utc"&gt;1515418367&lt;/last-updated-date&gt;&lt;/record&gt;&lt;/Cite&gt;&lt;/EndNote&gt;</w:instrText>
      </w:r>
      <w:r>
        <w:rPr>
          <w:rFonts w:asciiTheme="majorHAnsi" w:hAnsiTheme="majorHAnsi"/>
        </w:rPr>
        <w:fldChar w:fldCharType="separate"/>
      </w:r>
      <w:r>
        <w:rPr>
          <w:rFonts w:asciiTheme="majorHAnsi" w:hAnsiTheme="majorHAnsi"/>
          <w:noProof/>
        </w:rPr>
        <w:t>(CRUK, 2015b)</w:t>
      </w:r>
      <w:r>
        <w:rPr>
          <w:rFonts w:asciiTheme="majorHAnsi" w:hAnsiTheme="majorHAnsi"/>
        </w:rPr>
        <w:fldChar w:fldCharType="end"/>
      </w:r>
      <w:r>
        <w:rPr>
          <w:rFonts w:asciiTheme="majorHAnsi" w:hAnsiTheme="majorHAnsi"/>
        </w:rPr>
        <w:t>.</w:t>
      </w:r>
      <w:r w:rsidRPr="004E2D72">
        <w:rPr>
          <w:rFonts w:asciiTheme="majorHAnsi" w:hAnsiTheme="majorHAnsi"/>
        </w:rPr>
        <w:t xml:space="preserve"> However, patients often present with metastasis upon first examination, and at this point prognosis is poor, with chemotherapy usually being palliative</w:t>
      </w:r>
      <w:r>
        <w:rPr>
          <w:rFonts w:asciiTheme="majorHAnsi" w:hAnsiTheme="majorHAnsi"/>
        </w:rPr>
        <w:t xml:space="preserve"> </w:t>
      </w:r>
      <w:r>
        <w:rPr>
          <w:rFonts w:asciiTheme="majorHAnsi" w:hAnsiTheme="majorHAnsi"/>
        </w:rPr>
        <w:fldChar w:fldCharType="begin">
          <w:fldData xml:space="preserve">PEVuZE5vdGU+PENpdGU+PEF1dGhvcj5HcmFoYW08L0F1dGhvcj48WWVhcj4yMDE0PC9ZZWFyPjxJ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PEVuZE5vdGU+PENpdGU+PEF1dGhvcj5HcmFoYW08L0F1dGhvcj48WWVhcj4yMDE0PC9ZZWFyPjxJ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(Graham et al., 2014)</w:t>
      </w:r>
      <w:r>
        <w:rPr>
          <w:rFonts w:asciiTheme="majorHAnsi" w:hAnsiTheme="majorHAnsi"/>
        </w:rPr>
        <w:fldChar w:fldCharType="end"/>
      </w:r>
      <w:r w:rsidRPr="004E2D72">
        <w:rPr>
          <w:rFonts w:asciiTheme="majorHAnsi" w:hAnsiTheme="majorHAnsi"/>
        </w:rPr>
        <w:t>. Distant metastasis in bowel cancer is usually to the liver or lungs. Metastasis of the liver can often be removed surgically along with the primary tumour, giving t</w:t>
      </w:r>
      <w:r>
        <w:rPr>
          <w:rFonts w:asciiTheme="majorHAnsi" w:hAnsiTheme="majorHAnsi"/>
        </w:rPr>
        <w:t>he patients a better outlook, and t</w:t>
      </w:r>
      <w:r w:rsidRPr="004E2D72">
        <w:rPr>
          <w:rFonts w:asciiTheme="majorHAnsi" w:hAnsiTheme="majorHAnsi"/>
        </w:rPr>
        <w:t>his is usually preceded by chemotherapy to downstage the metastasis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&lt;EndNote&gt;&lt;Cite&gt;&lt;Author&gt;Tappenden&lt;/Author&gt;&lt;Year&gt;2012&lt;/Year&gt;&lt;IDText&gt;Colorectal cancer and its detection, diagnosis, treatment and follow-up: disease and treatment pathways&lt;/IDText&gt;&lt;DisplayText&gt;(Tappenden et al., 2012)&lt;/DisplayText&gt;&lt;record&gt;&lt;titles&gt;&lt;title&gt;Colorectal cancer and its detection, diagnosis, treatment and follow-up: disease and treatment pathways&lt;/title&gt;&lt;/titles&gt;&lt;pages&gt;nden, P., Glynne-Jones, R., Shorthouse, A., Youssef, J., Squires, H. and Chilcott, J. (2012) Colorectal cancer and its detection, diagnosis, treatment and follow-up: disease and treatment pathways. HEDS Discussion Paper 12/09 . (Unpublished)&lt;/pages&gt;&lt;contributors&gt;&lt;authors&gt;&lt;author&gt;Tappenden, P.&lt;/author&gt;&lt;author&gt;Glynne - Jones, R.&lt;/author&gt;&lt;author&gt;Shorthouse, A.&lt;/author&gt;&lt;author&gt;Youssef, J.&lt;/author&gt;&lt;author&gt;Squires, H.&lt;/author&gt;&lt;author&gt;Chilcott, J.&lt;/author&gt;&lt;/authors&gt;&lt;/contributors&gt;&lt;added-date format="utc"&gt;1425999149&lt;/added-date&gt;&lt;ref-type name="Journal Article"&gt;17&lt;/ref-type&gt;&lt;dates&gt;&lt;year&gt;2012&lt;/year&gt;&lt;/dates&gt;&lt;rec-number&gt;102&lt;/rec-number&gt;&lt;last-updated-date format="utc"&gt;1447344368&lt;/last-updated-date&gt;&lt;/record&gt;&lt;/Cite&gt;&lt;/EndNote&gt;</w:instrText>
      </w:r>
      <w:r>
        <w:rPr>
          <w:rFonts w:asciiTheme="majorHAnsi" w:hAnsiTheme="majorHAnsi"/>
        </w:rPr>
        <w:fldChar w:fldCharType="separate"/>
      </w:r>
      <w:r>
        <w:rPr>
          <w:rFonts w:asciiTheme="majorHAnsi" w:hAnsiTheme="majorHAnsi"/>
          <w:noProof/>
        </w:rPr>
        <w:t>(Tappenden et al., 2012)</w:t>
      </w:r>
      <w:r>
        <w:rPr>
          <w:rFonts w:asciiTheme="majorHAnsi" w:hAnsiTheme="majorHAnsi"/>
        </w:rPr>
        <w:fldChar w:fldCharType="end"/>
      </w:r>
      <w:r w:rsidRPr="004E2D72">
        <w:rPr>
          <w:rFonts w:asciiTheme="majorHAnsi" w:hAnsiTheme="majorHAnsi"/>
        </w:rPr>
        <w:t xml:space="preserve">. Sporadic CRC, because it typically presents at </w:t>
      </w:r>
      <w:r>
        <w:rPr>
          <w:rFonts w:asciiTheme="majorHAnsi" w:hAnsiTheme="majorHAnsi"/>
        </w:rPr>
        <w:t xml:space="preserve">an </w:t>
      </w:r>
      <w:r w:rsidRPr="004E2D72">
        <w:rPr>
          <w:rFonts w:asciiTheme="majorHAnsi" w:hAnsiTheme="majorHAnsi"/>
        </w:rPr>
        <w:t xml:space="preserve">older age, often has a worse prognosis than familial tumours, </w:t>
      </w:r>
      <w:r>
        <w:rPr>
          <w:rFonts w:asciiTheme="majorHAnsi" w:hAnsiTheme="majorHAnsi"/>
        </w:rPr>
        <w:t xml:space="preserve">and this is </w:t>
      </w:r>
      <w:r w:rsidRPr="004E2D72">
        <w:rPr>
          <w:rFonts w:asciiTheme="majorHAnsi" w:hAnsiTheme="majorHAnsi"/>
        </w:rPr>
        <w:t xml:space="preserve">usually due to co-morbidities affecting the treatment of the disease. In CRC, tumours presenting in the clinic with the same stage </w:t>
      </w:r>
      <w:r>
        <w:rPr>
          <w:rFonts w:asciiTheme="majorHAnsi" w:hAnsiTheme="majorHAnsi"/>
        </w:rPr>
        <w:t xml:space="preserve">also </w:t>
      </w:r>
      <w:r w:rsidRPr="004E2D72">
        <w:rPr>
          <w:rFonts w:asciiTheme="majorHAnsi" w:hAnsiTheme="majorHAnsi"/>
        </w:rPr>
        <w:t>often have diff</w:t>
      </w:r>
      <w:r>
        <w:rPr>
          <w:rFonts w:asciiTheme="majorHAnsi" w:hAnsiTheme="majorHAnsi"/>
        </w:rPr>
        <w:t xml:space="preserve">ering responses to treatments, </w:t>
      </w:r>
      <w:r w:rsidRPr="004E2D72">
        <w:rPr>
          <w:rFonts w:asciiTheme="majorHAnsi" w:hAnsiTheme="majorHAnsi"/>
        </w:rPr>
        <w:t xml:space="preserve">highlighting the molecular heterogeneity and the need for personalized therapies, as many patients go through the traumatic effects of unsuccessful chemotherapy </w:t>
      </w:r>
      <w:r>
        <w:rPr>
          <w:rFonts w:asciiTheme="majorHAnsi" w:hAnsiTheme="majorHAnsi"/>
        </w:rPr>
        <w:fldChar w:fldCharType="begin"/>
      </w:r>
      <w:r>
        <w:rPr>
          <w:rFonts w:asciiTheme="majorHAnsi" w:hAnsiTheme="majorHAnsi"/>
        </w:rPr>
        <w:instrText xml:space="preserve"> ADDIN EN.CITE &lt;EndNote&gt;&lt;Cite&gt;&lt;Author&gt;Horvat&lt;/Author&gt;&lt;Year&gt;2011&lt;/Year&gt;&lt;IDText&gt;Microsatellite instability in colorectal cancer&lt;/IDText&gt;&lt;DisplayText&gt;(Horvat and Stabuc, 2011)&lt;/DisplayText&gt;&lt;record&gt;&lt;keywords&gt;&lt;keyword&gt;Chemotherapy&lt;/keyword&gt;&lt;keyword&gt;Colorectal Cancer&lt;/keyword&gt;&lt;keyword&gt;Microsatellite Instability&lt;/keyword&gt;&lt;/keywords&gt;&lt;isbn&gt;13182099&lt;/isbn&gt;&lt;titles&gt;&lt;title&gt;Microsatellite instability in colorectal cancer&lt;/title&gt;&lt;secondary-title&gt;Radiology and Oncology&lt;/secondary-title&gt;&lt;/titles&gt;&lt;pages&gt;75-81&lt;/pages&gt;&lt;number&gt;2&lt;/number&gt;&lt;contributors&gt;&lt;authors&gt;&lt;author&gt;Horvat, Matej&lt;/author&gt;&lt;author&gt;Stabuc, Borut&lt;/author&gt;&lt;/authors&gt;&lt;/contributors&gt;&lt;added-date format="utc"&gt;1425982953&lt;/added-date&gt;&lt;ref-type name="Journal Article"&gt;17&lt;/ref-type&gt;&lt;dates&gt;&lt;year&gt;2011&lt;/year&gt;&lt;/dates&gt;&lt;rec-number&gt;51&lt;/rec-number&gt;&lt;last-updated-date format="utc"&gt;1447344014&lt;/last-updated-date&gt;&lt;electronic-resource-num&gt;10.2478/v10019-011-0005-8&lt;/electronic-resource-num&gt;&lt;volume&gt;45&lt;/volume&gt;&lt;/record&gt;&lt;/Cite&gt;&lt;/EndNote&gt;</w:instrText>
      </w:r>
      <w:r>
        <w:rPr>
          <w:rFonts w:asciiTheme="majorHAnsi" w:hAnsiTheme="majorHAnsi"/>
        </w:rPr>
        <w:fldChar w:fldCharType="separate"/>
      </w:r>
      <w:r>
        <w:rPr>
          <w:rFonts w:asciiTheme="majorHAnsi" w:hAnsiTheme="majorHAnsi"/>
          <w:noProof/>
        </w:rPr>
        <w:t>(Horvat and Stabuc, 2011)</w:t>
      </w:r>
      <w:r>
        <w:rPr>
          <w:rFonts w:asciiTheme="majorHAnsi" w:hAnsiTheme="majorHAnsi"/>
        </w:rPr>
        <w:fldChar w:fldCharType="end"/>
      </w:r>
      <w:r>
        <w:rPr>
          <w:rFonts w:asciiTheme="majorHAnsi" w:hAnsiTheme="majorHAnsi"/>
        </w:rPr>
        <w:t>.</w:t>
      </w:r>
    </w:p>
    <w:p w14:paraId="284B6EA3" w14:textId="77777777" w:rsidR="00EB3408" w:rsidRPr="004E2D72" w:rsidRDefault="00EB3408" w:rsidP="00EB3408">
      <w:pPr>
        <w:pStyle w:val="NoSpacing"/>
        <w:spacing w:line="360" w:lineRule="auto"/>
        <w:jc w:val="both"/>
        <w:rPr>
          <w:rFonts w:asciiTheme="majorHAnsi" w:hAnsiTheme="majorHAnsi"/>
        </w:rPr>
      </w:pPr>
    </w:p>
    <w:p w14:paraId="70E03A04" w14:textId="0CBE07E1" w:rsidR="00EB3408" w:rsidRPr="004E2D72" w:rsidRDefault="00EB3408" w:rsidP="00EB3408">
      <w:pPr>
        <w:spacing w:line="360" w:lineRule="auto"/>
        <w:jc w:val="both"/>
        <w:rPr>
          <w:rFonts w:asciiTheme="majorHAnsi" w:hAnsiTheme="majorHAnsi"/>
        </w:rPr>
      </w:pPr>
      <w:r w:rsidRPr="004E2D72">
        <w:rPr>
          <w:rFonts w:asciiTheme="majorHAnsi" w:hAnsiTheme="majorHAnsi"/>
        </w:rPr>
        <w:t>An example of this is the commonly admini</w:t>
      </w:r>
      <w:r>
        <w:rPr>
          <w:rFonts w:asciiTheme="majorHAnsi" w:hAnsiTheme="majorHAnsi"/>
        </w:rPr>
        <w:t>stered antimetabolite drug 5-fl</w:t>
      </w:r>
      <w:r w:rsidRPr="004E2D72">
        <w:rPr>
          <w:rFonts w:asciiTheme="majorHAnsi" w:hAnsiTheme="majorHAnsi"/>
        </w:rPr>
        <w:t>urouracil (5-FU), which only leads to a response in 20-25% of patients. The outcome is a little better (45-50%)</w:t>
      </w:r>
      <w:r>
        <w:rPr>
          <w:rFonts w:asciiTheme="majorHAnsi" w:hAnsiTheme="majorHAnsi"/>
        </w:rPr>
        <w:t xml:space="preserve"> </w:t>
      </w:r>
      <w:r w:rsidRPr="004E2D72">
        <w:rPr>
          <w:rFonts w:asciiTheme="majorHAnsi" w:hAnsiTheme="majorHAnsi"/>
        </w:rPr>
        <w:t xml:space="preserve">when 5-FU is combined with novel treatments, such as </w:t>
      </w:r>
      <w:r>
        <w:rPr>
          <w:rFonts w:asciiTheme="majorHAnsi" w:hAnsiTheme="majorHAnsi"/>
        </w:rPr>
        <w:t xml:space="preserve">immunotherapy </w:t>
      </w:r>
      <w:r>
        <w:rPr>
          <w:rFonts w:asciiTheme="majorHAnsi" w:hAnsiTheme="majorHAnsi"/>
        </w:rPr>
        <w:fldChar w:fldCharType="begin"/>
      </w:r>
      <w:r>
        <w:rPr>
          <w:rFonts w:asciiTheme="majorHAnsi" w:hAnsiTheme="majorHAnsi"/>
        </w:rPr>
        <w:instrText xml:space="preserve"> ADDIN EN.CITE &lt;EndNote&gt;&lt;Cite&gt;&lt;Author&gt;CRUK&lt;/Author&gt;&lt;Year&gt;2015&lt;/Year&gt;&lt;IDText&gt;Which treatment for early Bowel Cancer ?&lt;/IDText&gt;&lt;DisplayText&gt;(CRUK, 2015b)&lt;/DisplayText&gt;&lt;record&gt;&lt;titles&gt;&lt;title&gt;Which treatment for early Bowel Cancer ?&lt;/title&gt;&lt;/titles&gt;&lt;contributors&gt;&lt;authors&gt;&lt;author&gt;CRUK&lt;/author&gt;&lt;/authors&gt;&lt;/contributors&gt;&lt;added-date format="utc"&gt;1447344912&lt;/added-date&gt;&lt;pub-location&gt;Online&lt;/pub-location&gt;&lt;ref-type name="Generic"&gt;13&lt;/ref-type&gt;&lt;dates&gt;&lt;year&gt;2015&lt;/year&gt;&lt;/dates&gt;&lt;rec-number&gt;133&lt;/rec-number&gt;&lt;last-updated-date format="utc"&gt;1515418367&lt;/last-updated-date&gt;&lt;/record&gt;&lt;/Cite&gt;&lt;/EndNote&gt;</w:instrText>
      </w:r>
      <w:r>
        <w:rPr>
          <w:rFonts w:asciiTheme="majorHAnsi" w:hAnsiTheme="majorHAnsi"/>
        </w:rPr>
        <w:fldChar w:fldCharType="separate"/>
      </w:r>
      <w:r>
        <w:rPr>
          <w:rFonts w:asciiTheme="majorHAnsi" w:hAnsiTheme="majorHAnsi"/>
          <w:noProof/>
        </w:rPr>
        <w:t>(CRUK, 2015b)</w:t>
      </w:r>
      <w:r>
        <w:rPr>
          <w:rFonts w:asciiTheme="majorHAnsi" w:hAnsiTheme="majorHAnsi"/>
        </w:rPr>
        <w:fldChar w:fldCharType="end"/>
      </w:r>
      <w:r>
        <w:rPr>
          <w:rFonts w:asciiTheme="majorHAnsi" w:hAnsiTheme="majorHAnsi"/>
        </w:rPr>
        <w:t xml:space="preserve">. </w:t>
      </w:r>
      <w:r w:rsidRPr="004E2D72">
        <w:rPr>
          <w:rFonts w:asciiTheme="majorHAnsi" w:hAnsiTheme="majorHAnsi"/>
        </w:rPr>
        <w:t xml:space="preserve">5-FU plus oxaliplatin is currently recommended by NICE for </w:t>
      </w:r>
      <w:r>
        <w:rPr>
          <w:rFonts w:asciiTheme="majorHAnsi" w:hAnsiTheme="majorHAnsi"/>
        </w:rPr>
        <w:t xml:space="preserve">Dukes </w:t>
      </w:r>
      <w:r w:rsidRPr="004E2D72">
        <w:rPr>
          <w:rFonts w:asciiTheme="majorHAnsi" w:hAnsiTheme="majorHAnsi"/>
        </w:rPr>
        <w:t>stage C cancer patients; this is usually a 6-8 week course and can also be given to stage B patients if they were particularly young or with poorly differentiated tumours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&lt;EndNote&gt;&lt;Cite&gt;&lt;Author&gt;NICE&lt;/Author&gt;&lt;Year&gt;2006&lt;/Year&gt;&lt;IDText&gt;Capecitabine and Oxaliplatin in the adjuvant treatment of stage III (Dukes&amp;apos; C) colon cancer.&lt;/IDText&gt;&lt;DisplayText&gt;(NICE, 2006)&lt;/DisplayText&gt;&lt;record&gt;&lt;titles&gt;&lt;title&gt;Capecitabine and Oxaliplatin in the adjuvant treatment of stage III (Dukes&amp;apos; C) colon cancer.&lt;/title&gt;&lt;secondary-title&gt;Technology Appraisal Guidance 100&lt;/secondary-title&gt;&lt;/titles&gt;&lt;contributors&gt;&lt;authors&gt;&lt;author&gt;NICE&lt;/author&gt;&lt;/authors&gt;&lt;/contributors&gt;&lt;added-date format="utc"&gt;1426500350&lt;/added-date&gt;&lt;ref-type name="Generic"&gt;13&lt;/ref-type&gt;&lt;dates&gt;&lt;year&gt;2006&lt;/year&gt;&lt;/dates&gt;&lt;rec-number&gt;116&lt;/rec-number&gt;&lt;publisher&gt;NICE&lt;/publisher&gt;&lt;last-updated-date format="utc"&gt;1515418271&lt;/last-updated-date&gt;&lt;/record&gt;&lt;/Cite&gt;&lt;/EndNote&gt;</w:instrText>
      </w:r>
      <w:r>
        <w:rPr>
          <w:rFonts w:asciiTheme="majorHAnsi" w:hAnsiTheme="majorHAnsi"/>
        </w:rPr>
        <w:fldChar w:fldCharType="separate"/>
      </w:r>
      <w:r>
        <w:rPr>
          <w:rFonts w:asciiTheme="majorHAnsi" w:hAnsiTheme="majorHAnsi"/>
          <w:noProof/>
        </w:rPr>
        <w:t>(NICE, 2006)</w:t>
      </w:r>
      <w:r>
        <w:rPr>
          <w:rFonts w:asciiTheme="majorHAnsi" w:hAnsiTheme="majorHAnsi"/>
        </w:rPr>
        <w:fldChar w:fldCharType="end"/>
      </w:r>
      <w:r>
        <w:rPr>
          <w:rFonts w:asciiTheme="majorHAnsi" w:hAnsiTheme="majorHAnsi"/>
        </w:rPr>
        <w:t xml:space="preserve">. </w:t>
      </w:r>
      <w:r w:rsidRPr="004E2D72">
        <w:rPr>
          <w:rFonts w:asciiTheme="majorHAnsi" w:hAnsiTheme="majorHAnsi"/>
        </w:rPr>
        <w:t xml:space="preserve">However, there needs to be alternative </w:t>
      </w:r>
      <w:r>
        <w:rPr>
          <w:rFonts w:asciiTheme="majorHAnsi" w:hAnsiTheme="majorHAnsi"/>
        </w:rPr>
        <w:t xml:space="preserve">therapeutic interventions </w:t>
      </w:r>
      <w:r w:rsidRPr="004E2D72">
        <w:rPr>
          <w:rFonts w:asciiTheme="majorHAnsi" w:hAnsiTheme="majorHAnsi"/>
        </w:rPr>
        <w:t xml:space="preserve">for the other 50% </w:t>
      </w:r>
      <w:r>
        <w:rPr>
          <w:rFonts w:asciiTheme="majorHAnsi" w:hAnsiTheme="majorHAnsi"/>
        </w:rPr>
        <w:t xml:space="preserve">of patients </w:t>
      </w:r>
      <w:r w:rsidRPr="004E2D72">
        <w:rPr>
          <w:rFonts w:asciiTheme="majorHAnsi" w:hAnsiTheme="majorHAnsi"/>
        </w:rPr>
        <w:t>who</w:t>
      </w:r>
      <w:r>
        <w:rPr>
          <w:rFonts w:asciiTheme="majorHAnsi" w:hAnsiTheme="majorHAnsi"/>
        </w:rPr>
        <w:t>se tumours</w:t>
      </w:r>
      <w:r w:rsidRPr="004E2D72">
        <w:rPr>
          <w:rFonts w:asciiTheme="majorHAnsi" w:hAnsiTheme="majorHAnsi"/>
        </w:rPr>
        <w:t xml:space="preserve"> have a </w:t>
      </w:r>
      <w:r>
        <w:rPr>
          <w:rFonts w:asciiTheme="majorHAnsi" w:hAnsiTheme="majorHAnsi"/>
        </w:rPr>
        <w:t xml:space="preserve">level of </w:t>
      </w:r>
      <w:r w:rsidRPr="004E2D72">
        <w:rPr>
          <w:rFonts w:asciiTheme="majorHAnsi" w:hAnsiTheme="majorHAnsi"/>
        </w:rPr>
        <w:t>resistance to these drugs</w:t>
      </w:r>
      <w:r>
        <w:rPr>
          <w:rFonts w:asciiTheme="majorHAnsi" w:hAnsiTheme="majorHAnsi"/>
        </w:rPr>
        <w:t>,</w:t>
      </w:r>
      <w:r w:rsidRPr="004E2D72">
        <w:rPr>
          <w:rFonts w:asciiTheme="majorHAnsi" w:hAnsiTheme="majorHAnsi"/>
        </w:rPr>
        <w:t xml:space="preserve"> which could be indicative of </w:t>
      </w:r>
      <w:r>
        <w:rPr>
          <w:rFonts w:asciiTheme="majorHAnsi" w:hAnsiTheme="majorHAnsi"/>
        </w:rPr>
        <w:t xml:space="preserve">differing genome abnormalities </w:t>
      </w:r>
      <w:r>
        <w:rPr>
          <w:rFonts w:asciiTheme="majorHAnsi" w:hAnsiTheme="majorHAnsi"/>
        </w:rPr>
        <w:fldChar w:fldCharType="begin"/>
      </w:r>
      <w:r>
        <w:rPr>
          <w:rFonts w:asciiTheme="majorHAnsi" w:hAnsiTheme="majorHAnsi"/>
        </w:rPr>
        <w:instrText xml:space="preserve"> ADDIN EN.CITE &lt;EndNote&gt;&lt;Cite&gt;&lt;Author&gt;Ocvirk&lt;/Author&gt;&lt;Year&gt;2009&lt;/Year&gt;&lt;IDText&gt;Advances in the treatment of metastatic colorectal carcinoma&lt;/IDText&gt;&lt;DisplayText&gt;(Ocvirk, 2009)&lt;/DisplayText&gt;&lt;record&gt;&lt;keywords&gt;&lt;keyword&gt;Chemotherapy&lt;/keyword&gt;&lt;keyword&gt;Kras&lt;/keyword&gt;&lt;keyword&gt;Metastatic Colorectal Cancer&lt;/keyword&gt;&lt;keyword&gt;Targeted Therapy&lt;/keyword&gt;&lt;/keywords&gt;&lt;isbn&gt;13182099&lt;/isbn&gt;&lt;titles&gt;&lt;title&gt;Advances in the treatment of metastatic colorectal carcinoma&lt;/title&gt;&lt;secondary-title&gt;Radiology and Oncology&lt;/secondary-title&gt;&lt;/titles&gt;&lt;pages&gt;1-8&lt;/pages&gt;&lt;number&gt;1&lt;/number&gt;&lt;contributors&gt;&lt;authors&gt;&lt;author&gt;Ocvirk, Janja&lt;/author&gt;&lt;/authors&gt;&lt;/contributors&gt;&lt;added-date format="utc"&gt;1425997618&lt;/added-date&gt;&lt;ref-type name="Journal Article"&gt;17&lt;/ref-type&gt;&lt;dates&gt;&lt;year&gt;2009&lt;/year&gt;&lt;/dates&gt;&lt;rec-number&gt;78&lt;/rec-number&gt;&lt;last-updated-date format="utc"&gt;1447344165&lt;/last-updated-date&gt;&lt;electronic-resource-num&gt;10.2478/v10019-009-0004-1&lt;/electronic-resource-num&gt;&lt;volume&gt;43&lt;/volume&gt;&lt;/record&gt;&lt;/Cite&gt;&lt;/EndNote&gt;</w:instrText>
      </w:r>
      <w:r>
        <w:rPr>
          <w:rFonts w:asciiTheme="majorHAnsi" w:hAnsiTheme="majorHAnsi"/>
        </w:rPr>
        <w:fldChar w:fldCharType="separate"/>
      </w:r>
      <w:r>
        <w:rPr>
          <w:rFonts w:asciiTheme="majorHAnsi" w:hAnsiTheme="majorHAnsi"/>
          <w:noProof/>
        </w:rPr>
        <w:t>(Ocvirk, 2009)</w:t>
      </w:r>
      <w:r>
        <w:rPr>
          <w:rFonts w:asciiTheme="majorHAnsi" w:hAnsiTheme="majorHAnsi"/>
        </w:rPr>
        <w:fldChar w:fldCharType="end"/>
      </w:r>
      <w:r>
        <w:rPr>
          <w:rFonts w:asciiTheme="majorHAnsi" w:hAnsiTheme="majorHAnsi"/>
        </w:rPr>
        <w:t>.</w:t>
      </w:r>
    </w:p>
    <w:p w14:paraId="651EA8FE" w14:textId="77777777" w:rsidR="00EB3408" w:rsidRPr="004E2D72" w:rsidRDefault="00EB3408" w:rsidP="00EB3408">
      <w:pPr>
        <w:pStyle w:val="NoSpacing"/>
        <w:spacing w:line="360" w:lineRule="auto"/>
        <w:jc w:val="both"/>
        <w:rPr>
          <w:rFonts w:asciiTheme="majorHAnsi" w:hAnsiTheme="majorHAnsi"/>
        </w:rPr>
      </w:pPr>
    </w:p>
    <w:p w14:paraId="64461254" w14:textId="77777777" w:rsidR="00EB3408" w:rsidRDefault="00EB3408" w:rsidP="00EB3408">
      <w:pPr>
        <w:pStyle w:val="NoSpacing"/>
        <w:spacing w:line="360" w:lineRule="auto"/>
        <w:jc w:val="both"/>
        <w:rPr>
          <w:rFonts w:asciiTheme="majorHAnsi" w:hAnsiTheme="majorHAnsi"/>
        </w:rPr>
      </w:pPr>
      <w:r>
        <w:rPr>
          <w:rFonts w:asciiTheme="majorHAnsi" w:hAnsiTheme="majorHAnsi"/>
        </w:rPr>
        <w:t>The majority of the</w:t>
      </w:r>
      <w:r w:rsidRPr="004E2D72">
        <w:rPr>
          <w:rFonts w:asciiTheme="majorHAnsi" w:hAnsiTheme="majorHAnsi"/>
        </w:rPr>
        <w:t xml:space="preserve"> genetic </w:t>
      </w:r>
      <w:r>
        <w:rPr>
          <w:rFonts w:asciiTheme="majorHAnsi" w:hAnsiTheme="majorHAnsi"/>
        </w:rPr>
        <w:t>research effort</w:t>
      </w:r>
      <w:r w:rsidRPr="004E2D72">
        <w:rPr>
          <w:rFonts w:asciiTheme="majorHAnsi" w:hAnsiTheme="majorHAnsi"/>
        </w:rPr>
        <w:t xml:space="preserve"> not only </w:t>
      </w:r>
      <w:r>
        <w:rPr>
          <w:rFonts w:asciiTheme="majorHAnsi" w:hAnsiTheme="majorHAnsi"/>
        </w:rPr>
        <w:t xml:space="preserve">aims </w:t>
      </w:r>
      <w:r w:rsidRPr="004E2D72">
        <w:rPr>
          <w:rFonts w:asciiTheme="majorHAnsi" w:hAnsiTheme="majorHAnsi"/>
        </w:rPr>
        <w:t>to identify differing molecular signatures between tumours</w:t>
      </w:r>
      <w:r>
        <w:rPr>
          <w:rFonts w:asciiTheme="majorHAnsi" w:hAnsiTheme="majorHAnsi"/>
        </w:rPr>
        <w:t>,</w:t>
      </w:r>
      <w:r w:rsidRPr="004E2D72">
        <w:rPr>
          <w:rFonts w:asciiTheme="majorHAnsi" w:hAnsiTheme="majorHAnsi"/>
        </w:rPr>
        <w:t xml:space="preserve"> but also to apply this knowledge in order to distinguish specific clinical markers</w:t>
      </w:r>
      <w:r>
        <w:rPr>
          <w:rFonts w:asciiTheme="majorHAnsi" w:hAnsiTheme="majorHAnsi"/>
        </w:rPr>
        <w:t>,</w:t>
      </w:r>
      <w:r w:rsidRPr="004E2D72">
        <w:rPr>
          <w:rFonts w:asciiTheme="majorHAnsi" w:hAnsiTheme="majorHAnsi"/>
        </w:rPr>
        <w:t xml:space="preserve"> and ascertain targets for </w:t>
      </w:r>
      <w:r>
        <w:rPr>
          <w:rFonts w:asciiTheme="majorHAnsi" w:hAnsiTheme="majorHAnsi"/>
        </w:rPr>
        <w:t xml:space="preserve">novel </w:t>
      </w:r>
      <w:r w:rsidRPr="004E2D72">
        <w:rPr>
          <w:rFonts w:asciiTheme="majorHAnsi" w:hAnsiTheme="majorHAnsi"/>
        </w:rPr>
        <w:t>drug</w:t>
      </w:r>
      <w:r>
        <w:rPr>
          <w:rFonts w:asciiTheme="majorHAnsi" w:hAnsiTheme="majorHAnsi"/>
        </w:rPr>
        <w:t>s</w:t>
      </w:r>
      <w:r w:rsidRPr="004E2D72">
        <w:rPr>
          <w:rFonts w:asciiTheme="majorHAnsi" w:hAnsiTheme="majorHAnsi"/>
        </w:rPr>
        <w:t>, which could lead to personalized m</w:t>
      </w:r>
      <w:r>
        <w:rPr>
          <w:rFonts w:asciiTheme="majorHAnsi" w:hAnsiTheme="majorHAnsi"/>
        </w:rPr>
        <w:t xml:space="preserve">edicine </w:t>
      </w:r>
      <w:r>
        <w:rPr>
          <w:rFonts w:asciiTheme="majorHAnsi" w:hAnsiTheme="majorHAnsi"/>
        </w:rPr>
        <w:fldChar w:fldCharType="begin"/>
      </w:r>
      <w:r>
        <w:rPr>
          <w:rFonts w:asciiTheme="majorHAnsi" w:hAnsiTheme="majorHAnsi"/>
        </w:rPr>
        <w:instrText xml:space="preserve"> ADDIN EN.CITE &lt;EndNote&gt;&lt;Cite&gt;&lt;Author&gt;Papamichael&lt;/Author&gt;&lt;Year&gt;2015&lt;/Year&gt;&lt;IDText&gt;Treatment of colorectal cancer in older patients: International Society of Geriatric Oncology (SIOG) consensus recommendations 2013&lt;/IDText&gt;&lt;DisplayText&gt;(Papamichael et al., 2015)&lt;/DisplayText&gt;&lt;record&gt;&lt;dates&gt;&lt;pub-dates&gt;&lt;date&gt;Mar&lt;/date&gt;&lt;/pub-dates&gt;&lt;year&gt;2015&lt;/year&gt;&lt;/dates&gt;&lt;urls&gt;&lt;related-urls&gt;&lt;url&gt;http://www.ncbi.nlm.nih.gov/pubmed/25015334&lt;/url&gt;&lt;/related-urls&gt;&lt;/urls&gt;&lt;isbn&gt;1569-8041&lt;/isbn&gt;&lt;titles&gt;&lt;title&gt;Treatment of colorectal cancer in older patients: International Society of Geriatric Oncology (SIOG) consensus recommendations 2013&lt;/title&gt;&lt;secondary-title&gt;Ann Oncol&lt;/secondary-title&gt;&lt;/titles&gt;&lt;pages&gt;463-476&lt;/pages&gt;&lt;number&gt;3&lt;/number&gt;&lt;contributors&gt;&lt;authors&gt;&lt;author&gt;Papamichael, D.&lt;/author&gt;&lt;author&gt;Audisio, R. A.&lt;/author&gt;&lt;author&gt;Glimelius, B.&lt;/author&gt;&lt;author&gt;de Gramont, A.&lt;/author&gt;&lt;author&gt;Glynne-Jones, R.&lt;/author&gt;&lt;author&gt;Haller, D.&lt;/author&gt;&lt;author&gt;Köhne, C. H.&lt;/author&gt;&lt;author&gt;Rostoft, S.&lt;/author&gt;&lt;author&gt;Lemmens, V.&lt;/author&gt;&lt;author&gt;Mitry, E.&lt;/author&gt;&lt;author&gt;Rutten, H.&lt;/author&gt;&lt;author&gt;Sargent, D.&lt;/author&gt;&lt;author&gt;Sastre, J.&lt;/author&gt;&lt;author&gt;Seymour, M.&lt;/author&gt;&lt;author&gt;Starling, N.&lt;/author&gt;&lt;author&gt;Van Cutsem, E.&lt;/author&gt;&lt;author&gt;Aapro, M.&lt;/author&gt;&lt;/authors&gt;&lt;/contributors&gt;&lt;language&gt;ENG&lt;/language&gt;&lt;added-date format="utc"&gt;1425997822&lt;/added-date&gt;&lt;ref-type name="Journal Article"&gt;17&lt;/ref-type&gt;&lt;rec-number&gt;81&lt;/rec-number&gt;&lt;last-updated-date format="utc"&gt;1447344215&lt;/last-updated-date&gt;&lt;accession-num&gt;25015334&lt;/accession-num&gt;&lt;electronic-resource-num&gt;10.1093/annonc/mdu253&lt;/electronic-resource-num&gt;&lt;volume&gt;26&lt;/volume&gt;&lt;/record&gt;&lt;/Cite&gt;&lt;/EndNote&gt;</w:instrText>
      </w:r>
      <w:r>
        <w:rPr>
          <w:rFonts w:asciiTheme="majorHAnsi" w:hAnsiTheme="majorHAnsi"/>
        </w:rPr>
        <w:fldChar w:fldCharType="separate"/>
      </w:r>
      <w:r>
        <w:rPr>
          <w:rFonts w:asciiTheme="majorHAnsi" w:hAnsiTheme="majorHAnsi"/>
          <w:noProof/>
        </w:rPr>
        <w:t>(Papamichael et al., 2015)</w:t>
      </w:r>
      <w:r>
        <w:rPr>
          <w:rFonts w:asciiTheme="majorHAnsi" w:hAnsiTheme="majorHAnsi"/>
        </w:rPr>
        <w:fldChar w:fldCharType="end"/>
      </w:r>
      <w:r w:rsidRPr="004E2D72">
        <w:rPr>
          <w:rFonts w:asciiTheme="majorHAnsi" w:hAnsiTheme="majorHAnsi"/>
        </w:rPr>
        <w:t xml:space="preserve">. Although a large number of cancer driver genes have been identified, Workman and </w:t>
      </w:r>
      <w:proofErr w:type="spellStart"/>
      <w:r w:rsidRPr="004E2D72">
        <w:rPr>
          <w:rFonts w:asciiTheme="majorHAnsi" w:hAnsiTheme="majorHAnsi"/>
        </w:rPr>
        <w:t>Lazikani</w:t>
      </w:r>
      <w:proofErr w:type="spellEnd"/>
      <w:r w:rsidRPr="004E2D72">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&lt;EndNote&gt;&lt;Cite&gt;&lt;Author&gt;Workman&lt;/Author&gt;&lt;Year&gt;2013&lt;/Year&gt;&lt;IDText&gt;Drugging cancer genomes&lt;/IDText&gt;&lt;DisplayText&gt;(Workman et al., 2013)&lt;/DisplayText&gt;&lt;record&gt;&lt;isbn&gt;14741776&lt;/isbn&gt;&lt;titles&gt;&lt;title&gt;Drugging cancer genomes&lt;/title&gt;&lt;/titles&gt;&lt;pages&gt;889-890&lt;/pages&gt;&lt;contributors&gt;&lt;authors&gt;&lt;author&gt;Workman, Paul&lt;/author&gt;&lt;author&gt;Al- Lazikani, Bissan&lt;/author&gt;&lt;author&gt;Al-Lazikani, Bissan&lt;/author&gt;&lt;/authors&gt;&lt;/contributors&gt;&lt;added-date format="utc"&gt;1425999416&lt;/added-date&gt;&lt;ref-type name="Generic"&gt;13&lt;/ref-type&gt;&lt;dates&gt;&lt;year&gt;2013&lt;/year&gt;&lt;/dates&gt;&lt;rec-number&gt;107&lt;/rec-number&gt;&lt;last-updated-date format="utc"&gt;1447344368&lt;/last-updated-date&gt;&lt;electronic-resource-num&gt;10.1038/nrd4184&lt;/electronic-resource-num&gt;&lt;volume&gt;12&lt;/volume&gt;&lt;/record&gt;&lt;/Cite&gt;&lt;/EndNote&gt;</w:instrText>
      </w:r>
      <w:r>
        <w:rPr>
          <w:rFonts w:asciiTheme="majorHAnsi" w:hAnsiTheme="majorHAnsi"/>
        </w:rPr>
        <w:fldChar w:fldCharType="separate"/>
      </w:r>
      <w:r>
        <w:rPr>
          <w:rFonts w:asciiTheme="majorHAnsi" w:hAnsiTheme="majorHAnsi"/>
          <w:noProof/>
        </w:rPr>
        <w:t>(Workman et al., 2013)</w:t>
      </w:r>
      <w:r>
        <w:rPr>
          <w:rFonts w:asciiTheme="majorHAnsi" w:hAnsiTheme="majorHAnsi"/>
        </w:rPr>
        <w:fldChar w:fldCharType="end"/>
      </w:r>
      <w:r>
        <w:rPr>
          <w:rFonts w:asciiTheme="majorHAnsi" w:hAnsiTheme="majorHAnsi"/>
        </w:rPr>
        <w:t xml:space="preserve"> have suggested </w:t>
      </w:r>
      <w:r w:rsidRPr="004E2D72">
        <w:rPr>
          <w:rFonts w:asciiTheme="majorHAnsi" w:hAnsiTheme="majorHAnsi"/>
        </w:rPr>
        <w:t xml:space="preserve">that only 5% of these known targets actually have approved drugs in use. This may come to down to the fact that drugs targeting oncoproteins have a limited </w:t>
      </w:r>
      <w:r>
        <w:rPr>
          <w:rFonts w:asciiTheme="majorHAnsi" w:hAnsiTheme="majorHAnsi"/>
        </w:rPr>
        <w:t>efficacy</w:t>
      </w:r>
      <w:r w:rsidRPr="004E2D72">
        <w:rPr>
          <w:rFonts w:asciiTheme="majorHAnsi" w:hAnsiTheme="majorHAnsi"/>
        </w:rPr>
        <w:t xml:space="preserve"> owing to the complex and distinct genetic profiles within individuals.</w:t>
      </w:r>
    </w:p>
    <w:p w14:paraId="6F3A1C98" w14:textId="77777777" w:rsidR="00EB3408" w:rsidRDefault="00EB3408" w:rsidP="00EB3408">
      <w:pPr>
        <w:pStyle w:val="NoSpacing"/>
        <w:spacing w:line="360" w:lineRule="auto"/>
        <w:jc w:val="both"/>
        <w:rPr>
          <w:rFonts w:asciiTheme="majorHAnsi" w:hAnsiTheme="majorHAnsi"/>
        </w:rPr>
      </w:pPr>
    </w:p>
    <w:p w14:paraId="2367EBA1" w14:textId="77777777" w:rsidR="00EB3408" w:rsidRPr="00E82D3B" w:rsidRDefault="00EB3408" w:rsidP="00EB3408">
      <w:pPr>
        <w:pStyle w:val="NoSpacing"/>
        <w:numPr>
          <w:ilvl w:val="0"/>
          <w:numId w:val="49"/>
        </w:numPr>
        <w:spacing w:line="360" w:lineRule="auto"/>
        <w:jc w:val="both"/>
        <w:rPr>
          <w:rFonts w:asciiTheme="majorHAnsi" w:hAnsiTheme="majorHAnsi"/>
          <w:b/>
          <w:i/>
        </w:rPr>
      </w:pPr>
      <w:r w:rsidRPr="00E82D3B">
        <w:rPr>
          <w:rFonts w:asciiTheme="majorHAnsi" w:hAnsiTheme="majorHAnsi"/>
          <w:b/>
          <w:i/>
        </w:rPr>
        <w:t>5-Fluorouracil</w:t>
      </w:r>
    </w:p>
    <w:p w14:paraId="64C7556E" w14:textId="77777777" w:rsidR="00EB3408" w:rsidRPr="00846628" w:rsidRDefault="00EB3408" w:rsidP="00EB3408">
      <w:pPr>
        <w:spacing w:line="360" w:lineRule="auto"/>
        <w:jc w:val="both"/>
        <w:rPr>
          <w:rFonts w:asciiTheme="majorHAnsi" w:hAnsiTheme="majorHAnsi"/>
        </w:rPr>
      </w:pPr>
      <w:r w:rsidRPr="00846628">
        <w:rPr>
          <w:rFonts w:asciiTheme="majorHAnsi" w:hAnsiTheme="majorHAnsi"/>
        </w:rPr>
        <w:t>5-Fluorouracil (5-FU) is a commonly administered fluoropyrimidine chemotherapy drug that has been used for around 50 years in many dif</w:t>
      </w:r>
      <w:r>
        <w:rPr>
          <w:rFonts w:asciiTheme="majorHAnsi" w:hAnsiTheme="majorHAnsi"/>
        </w:rPr>
        <w:t xml:space="preserve">ferent cancers, such as breast and </w:t>
      </w:r>
      <w:r w:rsidRPr="00846628">
        <w:rPr>
          <w:rFonts w:asciiTheme="majorHAnsi" w:hAnsiTheme="majorHAnsi"/>
        </w:rPr>
        <w:t>head and neck</w:t>
      </w:r>
      <w:r>
        <w:rPr>
          <w:rFonts w:asciiTheme="majorHAnsi" w:hAnsiTheme="majorHAnsi"/>
        </w:rPr>
        <w:t xml:space="preserve"> cancer</w:t>
      </w:r>
      <w:r w:rsidRPr="00846628">
        <w:rPr>
          <w:rFonts w:asciiTheme="majorHAnsi" w:hAnsiTheme="majorHAnsi"/>
        </w:rPr>
        <w:t xml:space="preserve">. However, it is in the treatment of CRC that 5-FU has proved most effective, although in metastatic CRC, patient response to 5-FU is only 10-15% </w:t>
      </w:r>
      <w:r>
        <w:rPr>
          <w:rFonts w:asciiTheme="majorHAnsi" w:hAnsiTheme="majorHAnsi"/>
        </w:rPr>
        <w:fldChar w:fldCharType="begin"/>
      </w:r>
      <w:r>
        <w:rPr>
          <w:rFonts w:asciiTheme="majorHAnsi" w:hAnsiTheme="majorHAnsi"/>
        </w:rPr>
        <w:instrText xml:space="preserve"> ADDIN EN.CITE &lt;EndNote&gt;&lt;Cite&gt;&lt;Author&gt;Johnston&lt;/Author&gt;&lt;Year&gt;2001&lt;/Year&gt;&lt;IDText&gt;Capecitabine: a novel agent for the treatment of solid tumors&lt;/IDText&gt;&lt;DisplayText&gt;(Johnston and Kaye, 2001)&lt;/DisplayText&gt;&lt;record&gt;&lt;dates&gt;&lt;pub-dates&gt;&lt;date&gt;Sep&lt;/date&gt;&lt;/pub-dates&gt;&lt;year&gt;2001&lt;/year&gt;&lt;/dates&gt;&lt;keywords&gt;&lt;keyword&gt;Administration, Oral&lt;/keyword&gt;&lt;keyword&gt;Antineoplastic Agents&lt;/keyword&gt;&lt;keyword&gt;Breast Neoplasms&lt;/keyword&gt;&lt;keyword&gt;Capecitabine&lt;/keyword&gt;&lt;keyword&gt;Colorectal Neoplasms&lt;/keyword&gt;&lt;keyword&gt;Deoxycytidine&lt;/keyword&gt;&lt;keyword&gt;Female&lt;/keyword&gt;&lt;keyword&gt;Fluorouracil&lt;/keyword&gt;&lt;keyword&gt;Humans&lt;/keyword&gt;&lt;keyword&gt;Male&lt;/keyword&gt;&lt;keyword&gt;Prodrugs&lt;/keyword&gt;&lt;/keywords&gt;&lt;urls&gt;&lt;related-urls&gt;&lt;url&gt;https://www.ncbi.nlm.nih.gov/pubmed/11604550&lt;/url&gt;&lt;/related-urls&gt;&lt;/urls&gt;&lt;isbn&gt;0959-4973&lt;/isbn&gt;&lt;titles&gt;&lt;title&gt;Capecitabine: a novel agent for the treatment of solid tumors&lt;/title&gt;&lt;secondary-title&gt;Anticancer Drugs&lt;/secondary-title&gt;&lt;/titles&gt;&lt;pages&gt;639-46&lt;/pages&gt;&lt;number&gt;8&lt;/number&gt;&lt;contributors&gt;&lt;authors&gt;&lt;author&gt;Johnston, P. G.&lt;/author&gt;&lt;author&gt;Kaye, S.&lt;/author&gt;&lt;/authors&gt;&lt;/contributors&gt;&lt;language&gt;eng&lt;/language&gt;&lt;added-date format="utc"&gt;1506519080&lt;/added-date&gt;&lt;ref-type name="Journal Article"&gt;17&lt;/ref-type&gt;&lt;rec-number&gt;288&lt;/rec-number&gt;&lt;last-updated-date format="utc"&gt;1506519080&lt;/last-updated-date&gt;&lt;accession-num&gt;11604550&lt;/accession-num&gt;&lt;volume&gt;12&lt;/volume&gt;&lt;/record&gt;&lt;/Cite&gt;&lt;/EndNote&gt;</w:instrText>
      </w:r>
      <w:r>
        <w:rPr>
          <w:rFonts w:asciiTheme="majorHAnsi" w:hAnsiTheme="majorHAnsi"/>
        </w:rPr>
        <w:fldChar w:fldCharType="separate"/>
      </w:r>
      <w:r>
        <w:rPr>
          <w:rFonts w:asciiTheme="majorHAnsi" w:hAnsiTheme="majorHAnsi"/>
          <w:noProof/>
        </w:rPr>
        <w:t>(Johnston and Kaye, 2001)</w:t>
      </w:r>
      <w:r>
        <w:rPr>
          <w:rFonts w:asciiTheme="majorHAnsi" w:hAnsiTheme="majorHAnsi"/>
        </w:rPr>
        <w:fldChar w:fldCharType="end"/>
      </w:r>
      <w:r>
        <w:rPr>
          <w:rFonts w:asciiTheme="majorHAnsi" w:hAnsiTheme="majorHAnsi"/>
        </w:rPr>
        <w:t xml:space="preserve"> </w:t>
      </w:r>
      <w:r w:rsidRPr="00846628">
        <w:rPr>
          <w:rFonts w:asciiTheme="majorHAnsi" w:hAnsiTheme="majorHAnsi"/>
        </w:rPr>
        <w:t>and this increases to 40-50% when 5-FU is used in combination with other therapeutic agents</w:t>
      </w:r>
      <w:r>
        <w:rPr>
          <w:rFonts w:asciiTheme="majorHAnsi" w:hAnsiTheme="majorHAnsi"/>
        </w:rPr>
        <w:t xml:space="preserve"> </w:t>
      </w:r>
      <w:r>
        <w:rPr>
          <w:rFonts w:asciiTheme="majorHAnsi" w:hAnsiTheme="majorHAnsi"/>
        </w:rPr>
        <w:fldChar w:fldCharType="begin">
          <w:fldData xml:space="preserve">PEVuZE5vdGU+PENpdGU+PEF1dGhvcj5HaWFjY2hldHRpPC9BdXRob3I+PFllYXI+MjAwMDwvWWVh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PEVuZE5vdGU+PENpdGU+PEF1dGhvcj5HaWFjY2hldHRpPC9BdXRob3I+PFllYXI+MjAwMDwvWWVh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(Giacchetti et al., 2000, Douillard et al., 2000)</w:t>
      </w:r>
      <w:r>
        <w:rPr>
          <w:rFonts w:asciiTheme="majorHAnsi" w:hAnsiTheme="majorHAnsi"/>
        </w:rPr>
        <w:fldChar w:fldCharType="end"/>
      </w:r>
    </w:p>
    <w:p w14:paraId="4E2543E9" w14:textId="77777777" w:rsidR="00EB3408" w:rsidRPr="00846628" w:rsidRDefault="00EB3408" w:rsidP="00EB3408">
      <w:pPr>
        <w:spacing w:line="360" w:lineRule="auto"/>
        <w:jc w:val="both"/>
        <w:rPr>
          <w:rFonts w:asciiTheme="majorHAnsi" w:hAnsiTheme="majorHAnsi"/>
        </w:rPr>
      </w:pPr>
    </w:p>
    <w:p w14:paraId="4D2CFEEC" w14:textId="16B34FE6" w:rsidR="003E533C" w:rsidRDefault="00EB3408" w:rsidP="00EB3408">
      <w:pPr>
        <w:spacing w:line="360" w:lineRule="auto"/>
        <w:jc w:val="both"/>
        <w:rPr>
          <w:rFonts w:asciiTheme="majorHAnsi" w:hAnsiTheme="majorHAnsi"/>
        </w:rPr>
      </w:pPr>
      <w:r w:rsidRPr="00846628">
        <w:rPr>
          <w:rFonts w:asciiTheme="majorHAnsi" w:hAnsiTheme="majorHAnsi"/>
        </w:rPr>
        <w:t xml:space="preserve">The 5-FU mechanism of </w:t>
      </w:r>
      <w:r w:rsidR="007F7907">
        <w:rPr>
          <w:rFonts w:asciiTheme="majorHAnsi" w:hAnsiTheme="majorHAnsi"/>
        </w:rPr>
        <w:t>action</w:t>
      </w:r>
      <w:r w:rsidRPr="00846628">
        <w:rPr>
          <w:rFonts w:asciiTheme="majorHAnsi" w:hAnsiTheme="majorHAnsi"/>
        </w:rPr>
        <w:t xml:space="preserve"> is </w:t>
      </w:r>
      <w:r>
        <w:rPr>
          <w:rFonts w:asciiTheme="majorHAnsi" w:hAnsiTheme="majorHAnsi"/>
        </w:rPr>
        <w:t>through</w:t>
      </w:r>
      <w:r w:rsidRPr="00846628">
        <w:rPr>
          <w:rFonts w:asciiTheme="majorHAnsi" w:hAnsiTheme="majorHAnsi"/>
        </w:rPr>
        <w:t xml:space="preserve"> its conversion into active metabolites (</w:t>
      </w:r>
      <w:proofErr w:type="spellStart"/>
      <w:r w:rsidRPr="00846628">
        <w:rPr>
          <w:rFonts w:asciiTheme="majorHAnsi" w:hAnsiTheme="majorHAnsi"/>
        </w:rPr>
        <w:t>fl</w:t>
      </w:r>
      <w:r>
        <w:rPr>
          <w:rFonts w:asciiTheme="majorHAnsi" w:hAnsiTheme="majorHAnsi"/>
        </w:rPr>
        <w:t>uorodeoxyuridine</w:t>
      </w:r>
      <w:proofErr w:type="spellEnd"/>
      <w:r>
        <w:rPr>
          <w:rFonts w:asciiTheme="majorHAnsi" w:hAnsiTheme="majorHAnsi"/>
        </w:rPr>
        <w:t xml:space="preserve">-monophosphate, </w:t>
      </w:r>
      <w:proofErr w:type="spellStart"/>
      <w:r w:rsidRPr="00846628">
        <w:rPr>
          <w:rFonts w:asciiTheme="majorHAnsi" w:hAnsiTheme="majorHAnsi"/>
        </w:rPr>
        <w:t>fluorodeoxyuridine</w:t>
      </w:r>
      <w:proofErr w:type="spellEnd"/>
      <w:r w:rsidRPr="00846628">
        <w:rPr>
          <w:rFonts w:asciiTheme="majorHAnsi" w:hAnsiTheme="majorHAnsi"/>
        </w:rPr>
        <w:t>-triphosphate and fluorouridine triphosphate), which inhibit RNA synthesis and thymidylate synthase (TS) action. TS is an enzyme which catalyses the reduction of 2’-deoxyuridine-5’-</w:t>
      </w:r>
      <w:r w:rsidRPr="00E82D3B">
        <w:rPr>
          <w:rFonts w:asciiTheme="majorHAnsi" w:hAnsiTheme="majorHAnsi"/>
        </w:rPr>
        <w:t>monophosphate b</w:t>
      </w:r>
      <w:r w:rsidRPr="00846628">
        <w:rPr>
          <w:rFonts w:asciiTheme="majorHAnsi" w:hAnsiTheme="majorHAnsi"/>
        </w:rPr>
        <w:t>y addition of a methylene group from folate (CH</w:t>
      </w:r>
      <w:r w:rsidRPr="00846628">
        <w:rPr>
          <w:rFonts w:asciiTheme="majorHAnsi" w:hAnsiTheme="majorHAnsi"/>
          <w:vertAlign w:val="subscript"/>
        </w:rPr>
        <w:t>2</w:t>
      </w:r>
      <w:r w:rsidRPr="00846628">
        <w:rPr>
          <w:rFonts w:asciiTheme="majorHAnsi" w:hAnsiTheme="majorHAnsi"/>
        </w:rPr>
        <w:t>H</w:t>
      </w:r>
      <w:r w:rsidRPr="00846628">
        <w:rPr>
          <w:rFonts w:asciiTheme="majorHAnsi" w:hAnsiTheme="majorHAnsi"/>
          <w:vertAlign w:val="subscript"/>
        </w:rPr>
        <w:t>4</w:t>
      </w:r>
      <w:r w:rsidRPr="00846628">
        <w:rPr>
          <w:rFonts w:asciiTheme="majorHAnsi" w:hAnsiTheme="majorHAnsi"/>
        </w:rPr>
        <w:t xml:space="preserve">) to create deoxythymidine-5’-monophosphate. After phosphorylation this becomes 2’deoxythymindine-5’-triphosphate, which is an intracellular source of thymidylate, essential for DNA replication and repair. When 5-FU is present it is catabolised by </w:t>
      </w:r>
      <w:proofErr w:type="spellStart"/>
      <w:r w:rsidRPr="00846628">
        <w:rPr>
          <w:rFonts w:asciiTheme="majorHAnsi" w:hAnsiTheme="majorHAnsi"/>
        </w:rPr>
        <w:t>dihydropyrimidine</w:t>
      </w:r>
      <w:proofErr w:type="spellEnd"/>
      <w:r w:rsidRPr="00846628">
        <w:rPr>
          <w:rFonts w:asciiTheme="majorHAnsi" w:hAnsiTheme="majorHAnsi"/>
        </w:rPr>
        <w:t xml:space="preserve"> dehydrogenase (DPD) and one of its metabolites- 5-fluoro-deoxyuridine-monophosphate- binds to TS and creates a stable complex that prevents TS from catalysing its normal reaction through direct competition for the active site. </w:t>
      </w:r>
      <w:r w:rsidR="00F60A22">
        <w:rPr>
          <w:rFonts w:asciiTheme="majorHAnsi" w:hAnsiTheme="majorHAnsi"/>
        </w:rPr>
        <w:t>This inhibition therefore means t</w:t>
      </w:r>
      <w:r w:rsidR="00A57C28">
        <w:rPr>
          <w:rFonts w:asciiTheme="majorHAnsi" w:hAnsiTheme="majorHAnsi"/>
        </w:rPr>
        <w:t>hat thymidylate ultimately is not</w:t>
      </w:r>
      <w:r w:rsidR="00F60A22">
        <w:rPr>
          <w:rFonts w:asciiTheme="majorHAnsi" w:hAnsiTheme="majorHAnsi"/>
        </w:rPr>
        <w:t xml:space="preserve"> produced and there is an imbalance in the dNTP pools due to a lack of dTTP. These types of imbalances can directly disrupt DNA synthesis and repair, causing DNA damage and ultimately cell death. Another DNA disruption mechanism is through the accumulation of dUTP and the 5-FU metabolite</w:t>
      </w:r>
      <w:r w:rsidR="003E533C" w:rsidRPr="003E533C">
        <w:rPr>
          <w:rFonts w:asciiTheme="majorHAnsi" w:hAnsiTheme="majorHAnsi"/>
        </w:rPr>
        <w:t xml:space="preserve"> </w:t>
      </w:r>
      <w:proofErr w:type="spellStart"/>
      <w:r w:rsidR="003E533C" w:rsidRPr="00846628">
        <w:rPr>
          <w:rFonts w:asciiTheme="majorHAnsi" w:hAnsiTheme="majorHAnsi"/>
        </w:rPr>
        <w:t>fluorodeoxyuridine</w:t>
      </w:r>
      <w:proofErr w:type="spellEnd"/>
      <w:r w:rsidR="003E533C" w:rsidRPr="00846628">
        <w:rPr>
          <w:rFonts w:asciiTheme="majorHAnsi" w:hAnsiTheme="majorHAnsi"/>
        </w:rPr>
        <w:t>-triphosphate</w:t>
      </w:r>
      <w:r w:rsidR="00F60A22">
        <w:rPr>
          <w:rFonts w:asciiTheme="majorHAnsi" w:hAnsiTheme="majorHAnsi"/>
        </w:rPr>
        <w:t xml:space="preserve">, </w:t>
      </w:r>
      <w:r w:rsidR="00A57C28">
        <w:rPr>
          <w:rFonts w:asciiTheme="majorHAnsi" w:hAnsiTheme="majorHAnsi"/>
        </w:rPr>
        <w:t>which</w:t>
      </w:r>
      <w:r w:rsidR="00F60A22">
        <w:rPr>
          <w:rFonts w:asciiTheme="majorHAnsi" w:hAnsiTheme="majorHAnsi"/>
        </w:rPr>
        <w:t xml:space="preserve"> can be misincorporated into DNA. </w:t>
      </w:r>
      <w:r w:rsidRPr="00846628">
        <w:rPr>
          <w:rFonts w:asciiTheme="majorHAnsi" w:hAnsiTheme="majorHAnsi"/>
        </w:rPr>
        <w:t xml:space="preserve">Attempted nucleotide-excision repair of these misincorporations actually results in more </w:t>
      </w:r>
      <w:r w:rsidR="003E533C" w:rsidRPr="00846628">
        <w:rPr>
          <w:rFonts w:asciiTheme="majorHAnsi" w:hAnsiTheme="majorHAnsi"/>
        </w:rPr>
        <w:t>mutations</w:t>
      </w:r>
      <w:r w:rsidR="003E533C">
        <w:rPr>
          <w:rFonts w:asciiTheme="majorHAnsi" w:hAnsiTheme="majorHAnsi"/>
        </w:rPr>
        <w:t>; DNA breaks and consequently cell death and therefore reduction in tumour burden. A further 5-FU metabolite</w:t>
      </w:r>
      <w:r w:rsidR="00A57C28">
        <w:rPr>
          <w:rFonts w:asciiTheme="majorHAnsi" w:hAnsiTheme="majorHAnsi"/>
        </w:rPr>
        <w:t>,</w:t>
      </w:r>
      <w:r w:rsidR="003E533C">
        <w:rPr>
          <w:rFonts w:asciiTheme="majorHAnsi" w:hAnsiTheme="majorHAnsi"/>
        </w:rPr>
        <w:t xml:space="preserve"> </w:t>
      </w:r>
      <w:r w:rsidR="003E533C" w:rsidRPr="00846628">
        <w:rPr>
          <w:rFonts w:asciiTheme="majorHAnsi" w:hAnsiTheme="majorHAnsi"/>
        </w:rPr>
        <w:t>fluorouridine triphosphate</w:t>
      </w:r>
      <w:r w:rsidR="00A57C28">
        <w:rPr>
          <w:rFonts w:asciiTheme="majorHAnsi" w:hAnsiTheme="majorHAnsi"/>
        </w:rPr>
        <w:t>,</w:t>
      </w:r>
      <w:r w:rsidR="003E533C">
        <w:rPr>
          <w:rFonts w:asciiTheme="majorHAnsi" w:hAnsiTheme="majorHAnsi"/>
        </w:rPr>
        <w:t xml:space="preserve"> can also be incorporated into RNA, which inhibits RNA maturation, post-transcriptional modifications and splicing</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&lt;EndNote&gt;&lt;Cite&gt;&lt;Author&gt;Longley&lt;/Author&gt;&lt;Year&gt;2003&lt;/Year&gt;&lt;IDText&gt;5-fluorouracil: mechanisms of action and clinical strategies&lt;/IDText&gt;&lt;DisplayText&gt;(Longley et al., 2003)&lt;/DisplayText&gt;&lt;record&gt;&lt;dates&gt;&lt;pub-dates&gt;&lt;date&gt;May&lt;/date&gt;&lt;/pub-dates&gt;&lt;year&gt;2003&lt;/year&gt;&lt;/dates&gt;&lt;keywords&gt;&lt;keyword&gt;Animals&lt;/keyword&gt;&lt;keyword&gt;Antimetabolites, Antineoplastic&lt;/keyword&gt;&lt;keyword&gt;Biomarkers&lt;/keyword&gt;&lt;keyword&gt;Dihydrouracil Dehydrogenase (NADP)&lt;/keyword&gt;&lt;keyword&gt;Fluorouracil&lt;/keyword&gt;&lt;keyword&gt;Humans&lt;/keyword&gt;&lt;keyword&gt;Interferons&lt;/keyword&gt;&lt;keyword&gt;Microsatellite Repeats&lt;/keyword&gt;&lt;keyword&gt;Oligonucleotide Array Sequence Analysis&lt;/keyword&gt;&lt;keyword&gt;Oxidoreductases&lt;/keyword&gt;&lt;keyword&gt;RNA&lt;/keyword&gt;&lt;keyword&gt;Thymidine Phosphorylase&lt;/keyword&gt;&lt;keyword&gt;Thymidylate Synthase&lt;/keyword&gt;&lt;keyword&gt;Tumor Suppressor Protein p53&lt;/keyword&gt;&lt;/keywords&gt;&lt;urls&gt;&lt;related-urls&gt;&lt;url&gt;https://www.ncbi.nlm.nih.gov/pubmed/12724731&lt;/url&gt;&lt;/related-urls&gt;&lt;/urls&gt;&lt;isbn&gt;1474-175X&lt;/isbn&gt;&lt;titles&gt;&lt;title&gt;5-fluorouracil: mechanisms of action and clinical strategies&lt;/title&gt;&lt;secondary-title&gt;Nat Rev Cancer&lt;/secondary-title&gt;&lt;/titles&gt;&lt;pages&gt;330-8&lt;/pages&gt;&lt;number&gt;5&lt;/number&gt;&lt;contributors&gt;&lt;authors&gt;&lt;author&gt;Longley, D. B.&lt;/author&gt;&lt;author&gt;Harkin, D. P.&lt;/author&gt;&lt;author&gt;Johnston, P. G.&lt;/author&gt;&lt;/authors&gt;&lt;/contributors&gt;&lt;language&gt;eng&lt;/language&gt;&lt;added-date format="utc"&gt;1485523629&lt;/added-date&gt;&lt;ref-type name="Journal Article"&gt;17&lt;/ref-type&gt;&lt;rec-number&gt;183&lt;/rec-number&gt;&lt;last-updated-date format="utc"&gt;1485523629&lt;/last-updated-date&gt;&lt;accession-num&gt;12724731&lt;/accession-num&gt;&lt;electronic-resource-num&gt;10.1038/nrc1074&lt;/electronic-resource-num&gt;&lt;volume&gt;3&lt;/volume&gt;&lt;/record&gt;&lt;/Cite&gt;&lt;/EndNote&gt;</w:instrText>
      </w:r>
      <w:r>
        <w:rPr>
          <w:rFonts w:asciiTheme="majorHAnsi" w:hAnsiTheme="majorHAnsi"/>
        </w:rPr>
        <w:fldChar w:fldCharType="separate"/>
      </w:r>
      <w:r>
        <w:rPr>
          <w:rFonts w:asciiTheme="majorHAnsi" w:hAnsiTheme="majorHAnsi"/>
          <w:noProof/>
        </w:rPr>
        <w:t>(Longley et al., 2003)</w:t>
      </w:r>
      <w:r>
        <w:rPr>
          <w:rFonts w:asciiTheme="majorHAnsi" w:hAnsiTheme="majorHAnsi"/>
        </w:rPr>
        <w:fldChar w:fldCharType="end"/>
      </w:r>
      <w:r w:rsidRPr="00846628">
        <w:rPr>
          <w:rFonts w:asciiTheme="majorHAnsi" w:hAnsiTheme="majorHAnsi"/>
        </w:rPr>
        <w:t>.</w:t>
      </w:r>
      <w:r w:rsidR="00B271AE">
        <w:rPr>
          <w:rFonts w:asciiTheme="majorHAnsi" w:hAnsiTheme="majorHAnsi"/>
        </w:rPr>
        <w:t xml:space="preserve"> Patients </w:t>
      </w:r>
      <w:r w:rsidR="00A57C28">
        <w:rPr>
          <w:rFonts w:asciiTheme="majorHAnsi" w:hAnsiTheme="majorHAnsi"/>
        </w:rPr>
        <w:t>with</w:t>
      </w:r>
      <w:r w:rsidR="00B271AE">
        <w:rPr>
          <w:rFonts w:asciiTheme="majorHAnsi" w:hAnsiTheme="majorHAnsi"/>
        </w:rPr>
        <w:t xml:space="preserve"> MSI tumours do not seem to respond to 5-FU treatment</w:t>
      </w:r>
      <w:r w:rsidR="00F36BF4">
        <w:rPr>
          <w:rFonts w:asciiTheme="majorHAnsi" w:hAnsiTheme="majorHAnsi"/>
        </w:rPr>
        <w:t>, with some reports claiming it is even detrimental</w:t>
      </w:r>
      <w:r w:rsidR="00A57C28">
        <w:rPr>
          <w:rFonts w:asciiTheme="majorHAnsi" w:hAnsiTheme="majorHAnsi"/>
        </w:rPr>
        <w:t>;</w:t>
      </w:r>
      <w:r w:rsidR="00B271AE">
        <w:rPr>
          <w:rFonts w:asciiTheme="majorHAnsi" w:hAnsiTheme="majorHAnsi"/>
        </w:rPr>
        <w:t xml:space="preserve"> this could be due to the mutated MMR pathway and therefore</w:t>
      </w:r>
      <w:r w:rsidR="00A57C28">
        <w:rPr>
          <w:rFonts w:asciiTheme="majorHAnsi" w:hAnsiTheme="majorHAnsi"/>
        </w:rPr>
        <w:t xml:space="preserve"> incorrect</w:t>
      </w:r>
      <w:r w:rsidR="00B271AE">
        <w:rPr>
          <w:rFonts w:asciiTheme="majorHAnsi" w:hAnsiTheme="majorHAnsi"/>
        </w:rPr>
        <w:t xml:space="preserve"> base incorporation are not sensed</w:t>
      </w:r>
      <w:r w:rsidR="00F36BF4">
        <w:rPr>
          <w:rFonts w:asciiTheme="majorHAnsi" w:hAnsiTheme="majorHAnsi"/>
        </w:rPr>
        <w:t xml:space="preserve"> or repaired. In cell line models</w:t>
      </w:r>
      <w:r w:rsidR="00A57C28">
        <w:rPr>
          <w:rFonts w:asciiTheme="majorHAnsi" w:hAnsiTheme="majorHAnsi"/>
        </w:rPr>
        <w:t>,</w:t>
      </w:r>
      <w:r w:rsidR="00F36BF4">
        <w:rPr>
          <w:rFonts w:asciiTheme="majorHAnsi" w:hAnsiTheme="majorHAnsi"/>
        </w:rPr>
        <w:t xml:space="preserve"> restoration of MMR function induces a G2-M cell cycle arrest typically seen in MMR proficient cells, which have a 5-FU response </w:t>
      </w:r>
      <w:r w:rsidR="00F36BF4">
        <w:rPr>
          <w:rFonts w:asciiTheme="majorHAnsi" w:hAnsiTheme="majorHAnsi"/>
        </w:rPr>
        <w:fldChar w:fldCharType="begin"/>
      </w:r>
      <w:r w:rsidR="00F36BF4">
        <w:rPr>
          <w:rFonts w:asciiTheme="majorHAnsi" w:hAnsiTheme="majorHAnsi"/>
        </w:rPr>
        <w:instrText xml:space="preserve"> ADDIN EN.CITE &lt;EndNote&gt;&lt;Cite&gt;&lt;Author&gt;Jo&lt;/Author&gt;&lt;Year&gt;2006&lt;/Year&gt;&lt;IDText&gt;Chemotherapeutic implications in microsatellite unstable colorectal cancer&lt;/IDText&gt;&lt;DisplayText&gt;(Jo and Carethers, 2006)&lt;/DisplayText&gt;&lt;record&gt;&lt;keywords&gt;&lt;keyword&gt;Antineoplastic Agents&lt;/keyword&gt;&lt;keyword&gt;Colorectal Neoplasms, Hereditary Nonpolyposis&lt;/keyword&gt;&lt;keyword&gt;Humans&lt;/keyword&gt;&lt;keyword&gt;Microsatellite Instability&lt;/keyword&gt;&lt;keyword&gt;Microsatellite Repeats&lt;/keyword&gt;&lt;/keywords&gt;&lt;urls&gt;&lt;related-urls&gt;&lt;url&gt;https://www.ncbi.nlm.nih.gov/pubmed/17192059&lt;/url&gt;&lt;/related-urls&gt;&lt;/urls&gt;&lt;isbn&gt;1574-0153&lt;/isbn&gt;&lt;custom2&gt;PMC4948976&lt;/custom2&gt;&lt;titles&gt;&lt;title&gt;Chemotherapeutic implications in microsatellite unstable colorectal cancer&lt;/title&gt;&lt;secondary-title&gt;Cancer Biomark&lt;/secondary-title&gt;&lt;/titles&gt;&lt;pages&gt;51-60&lt;/pages&gt;&lt;number&gt;1-2&lt;/number&gt;&lt;contributors&gt;&lt;authors&gt;&lt;author&gt;Jo, W. S.&lt;/author&gt;&lt;author&gt;Carethers, J. M.&lt;/author&gt;&lt;/authors&gt;&lt;/contributors&gt;&lt;language&gt;eng&lt;/language&gt;&lt;added-date format="utc"&gt;1523879423&lt;/added-date&gt;&lt;ref-type name="Journal Article"&gt;17&lt;/ref-type&gt;&lt;dates&gt;&lt;year&gt;2006&lt;/year&gt;&lt;/dates&gt;&lt;rec-number&gt;407&lt;/rec-number&gt;&lt;last-updated-date format="utc"&gt;1523879423&lt;/last-updated-date&gt;&lt;accession-num&gt;17192059&lt;/accession-num&gt;&lt;volume&gt;2&lt;/volume&gt;&lt;/record&gt;&lt;/Cite&gt;&lt;/EndNote&gt;</w:instrText>
      </w:r>
      <w:r w:rsidR="00F36BF4">
        <w:rPr>
          <w:rFonts w:asciiTheme="majorHAnsi" w:hAnsiTheme="majorHAnsi"/>
        </w:rPr>
        <w:fldChar w:fldCharType="separate"/>
      </w:r>
      <w:r w:rsidR="00F36BF4">
        <w:rPr>
          <w:rFonts w:asciiTheme="majorHAnsi" w:hAnsiTheme="majorHAnsi"/>
          <w:noProof/>
        </w:rPr>
        <w:t>(Jo and Carethers, 2006)</w:t>
      </w:r>
      <w:r w:rsidR="00F36BF4">
        <w:rPr>
          <w:rFonts w:asciiTheme="majorHAnsi" w:hAnsiTheme="majorHAnsi"/>
        </w:rPr>
        <w:fldChar w:fldCharType="end"/>
      </w:r>
      <w:r w:rsidR="00F36BF4">
        <w:rPr>
          <w:rFonts w:asciiTheme="majorHAnsi" w:hAnsiTheme="majorHAnsi"/>
        </w:rPr>
        <w:t xml:space="preserve">. </w:t>
      </w:r>
    </w:p>
    <w:p w14:paraId="737F7B08" w14:textId="77777777" w:rsidR="003E533C" w:rsidRDefault="003E533C" w:rsidP="00EB3408">
      <w:pPr>
        <w:spacing w:line="360" w:lineRule="auto"/>
        <w:jc w:val="both"/>
        <w:rPr>
          <w:rFonts w:asciiTheme="majorHAnsi" w:hAnsiTheme="majorHAnsi"/>
        </w:rPr>
      </w:pPr>
    </w:p>
    <w:p w14:paraId="06AB3184" w14:textId="3BC7A37A" w:rsidR="00EB3408" w:rsidRPr="00846628" w:rsidRDefault="00EB3408" w:rsidP="00EB3408">
      <w:pPr>
        <w:spacing w:line="360" w:lineRule="auto"/>
        <w:jc w:val="both"/>
        <w:rPr>
          <w:rFonts w:asciiTheme="majorHAnsi" w:hAnsiTheme="majorHAnsi"/>
        </w:rPr>
      </w:pPr>
      <w:r w:rsidRPr="00846628">
        <w:rPr>
          <w:rFonts w:asciiTheme="majorHAnsi" w:hAnsiTheme="majorHAnsi"/>
        </w:rPr>
        <w:t xml:space="preserve">Importantly, the level of TS expression within cancer cells appears to be a prognostic factor for response to treatment and relapse. Studies have shown that low TS expression in patient tumours corresponds to sensitivity to 5-FU, with the opposite effect being seen when TS levels are high, plus these patients have worst survival outcomes </w:t>
      </w:r>
      <w:r>
        <w:rPr>
          <w:rFonts w:asciiTheme="majorHAnsi" w:hAnsiTheme="majorHAnsi"/>
        </w:rPr>
        <w:fldChar w:fldCharType="begin"/>
      </w:r>
      <w:r>
        <w:rPr>
          <w:rFonts w:asciiTheme="majorHAnsi" w:hAnsiTheme="majorHAnsi"/>
        </w:rPr>
        <w:instrText xml:space="preserve"> ADDIN EN.CITE &lt;EndNote&gt;&lt;Cite&gt;&lt;Author&gt;Johnston&lt;/Author&gt;&lt;Year&gt;1995&lt;/Year&gt;&lt;IDText&gt;Thymidylate synthase gene and protein expression correlate and are associated with response to 5-fluorouracil in human colorectal and gastric tumors&lt;/IDText&gt;&lt;DisplayText&gt;(Johnston et al., 1995)&lt;/DisplayText&gt;&lt;record&gt;&lt;dates&gt;&lt;pub-dates&gt;&lt;date&gt;Apr&lt;/date&gt;&lt;/pub-dates&gt;&lt;year&gt;1995&lt;/year&gt;&lt;/dates&gt;&lt;keywords&gt;&lt;keyword&gt;Actins&lt;/keyword&gt;&lt;keyword&gt;Adult&lt;/keyword&gt;&lt;keyword&gt;Aged&lt;/keyword&gt;&lt;keyword&gt;Base Sequence&lt;/keyword&gt;&lt;keyword&gt;Colorectal Neoplasms&lt;/keyword&gt;&lt;keyword&gt;Female&lt;/keyword&gt;&lt;keyword&gt;Fluorouracil&lt;/keyword&gt;&lt;keyword&gt;Gene Expression Regulation, Enzymologic&lt;/keyword&gt;&lt;keyword&gt;Gene Expression Regulation, Neoplastic&lt;/keyword&gt;&lt;keyword&gt;Humans&lt;/keyword&gt;&lt;keyword&gt;Immunohistochemistry&lt;/keyword&gt;&lt;keyword&gt;Male&lt;/keyword&gt;&lt;keyword&gt;Middle Aged&lt;/keyword&gt;&lt;keyword&gt;Molecular Sequence Data&lt;/keyword&gt;&lt;keyword&gt;Neoplasm Proteins&lt;/keyword&gt;&lt;keyword&gt;Polymerase Chain Reaction&lt;/keyword&gt;&lt;keyword&gt;RNA, Messenger&lt;/keyword&gt;&lt;keyword&gt;Stomach Neoplasms&lt;/keyword&gt;&lt;keyword&gt;Thymidylate Synthase&lt;/keyword&gt;&lt;/keywords&gt;&lt;urls&gt;&lt;related-urls&gt;&lt;url&gt;https://www.ncbi.nlm.nih.gov/pubmed/7882343&lt;/url&gt;&lt;/related-urls&gt;&lt;/urls&gt;&lt;isbn&gt;0008-5472&lt;/isbn&gt;&lt;titles&gt;&lt;title&gt;Thymidylate synthase gene and protein expression correlate and are associated with response to 5-fluorouracil in human colorectal and gastric tumors&lt;/title&gt;&lt;secondary-title&gt;Cancer Res&lt;/secondary-title&gt;&lt;/titles&gt;&lt;pages&gt;1407-12&lt;/pages&gt;&lt;number&gt;7&lt;/number&gt;&lt;contributors&gt;&lt;authors&gt;&lt;author&gt;Johnston, P. G.&lt;/author&gt;&lt;author&gt;Lenz, H. J.&lt;/author&gt;&lt;author&gt;Leichman, C. G.&lt;/author&gt;&lt;author&gt;Danenberg, K. D.&lt;/author&gt;&lt;author&gt;Allegra, C. J.&lt;/author&gt;&lt;author&gt;Danenberg, P. V.&lt;/author&gt;&lt;author&gt;Leichman, L.&lt;/author&gt;&lt;/authors&gt;&lt;/contributors&gt;&lt;language&gt;eng&lt;/language&gt;&lt;added-date format="utc"&gt;1505387431&lt;/added-date&gt;&lt;ref-type name="Journal Article"&gt;17&lt;/ref-type&gt;&lt;rec-number&gt;280&lt;/rec-number&gt;&lt;last-updated-date format="utc"&gt;1505387431&lt;/last-updated-date&gt;&lt;accession-num&gt;7882343&lt;/accession-num&gt;&lt;volume&gt;55&lt;/volume&gt;&lt;/record&gt;&lt;/Cite&gt;&lt;/EndNote&gt;</w:instrText>
      </w:r>
      <w:r>
        <w:rPr>
          <w:rFonts w:asciiTheme="majorHAnsi" w:hAnsiTheme="majorHAnsi"/>
        </w:rPr>
        <w:fldChar w:fldCharType="separate"/>
      </w:r>
      <w:r>
        <w:rPr>
          <w:rFonts w:asciiTheme="majorHAnsi" w:hAnsiTheme="majorHAnsi"/>
          <w:noProof/>
        </w:rPr>
        <w:t>(Johnston et al., 1995)</w:t>
      </w:r>
      <w:r>
        <w:rPr>
          <w:rFonts w:asciiTheme="majorHAnsi" w:hAnsiTheme="majorHAnsi"/>
        </w:rPr>
        <w:fldChar w:fldCharType="end"/>
      </w:r>
      <w:r w:rsidRPr="00846628">
        <w:rPr>
          <w:rFonts w:asciiTheme="majorHAnsi" w:hAnsiTheme="majorHAnsi"/>
        </w:rPr>
        <w:t xml:space="preserve">. Therefore many effective TS inhibitors have been created such as raltitrexed and ZD9331. However, over time </w:t>
      </w:r>
      <w:r>
        <w:rPr>
          <w:rFonts w:asciiTheme="majorHAnsi" w:hAnsiTheme="majorHAnsi"/>
        </w:rPr>
        <w:t>tumours</w:t>
      </w:r>
      <w:r w:rsidRPr="00846628">
        <w:rPr>
          <w:rFonts w:asciiTheme="majorHAnsi" w:hAnsiTheme="majorHAnsi"/>
        </w:rPr>
        <w:t xml:space="preserve"> begin to up-regulate TS expression and therefore patients </w:t>
      </w:r>
      <w:r>
        <w:rPr>
          <w:rFonts w:asciiTheme="majorHAnsi" w:hAnsiTheme="majorHAnsi"/>
        </w:rPr>
        <w:t>become resistant</w:t>
      </w:r>
      <w:r w:rsidRPr="00846628">
        <w:rPr>
          <w:rFonts w:asciiTheme="majorHAnsi" w:hAnsiTheme="majorHAnsi"/>
        </w:rPr>
        <w:t xml:space="preserve"> to 5-FU</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&lt;EndNote&gt;&lt;Cite&gt;&lt;Author&gt;Chu&lt;/Author&gt;&lt;Year&gt;2003&lt;/Year&gt;&lt;IDText&gt;Thymidylate synthase inhibitors as anticancer agents: from bench to bedside&lt;/IDText&gt;&lt;DisplayText&gt;(Chu et al., 2003)&lt;/DisplayText&gt;&lt;record&gt;&lt;dates&gt;&lt;pub-dates&gt;&lt;date&gt;Jul&lt;/date&gt;&lt;/pub-dates&gt;&lt;year&gt;2003&lt;/year&gt;&lt;/dates&gt;&lt;keywords&gt;&lt;keyword&gt;Antineoplastic Agents&lt;/keyword&gt;&lt;keyword&gt;Enzyme Inhibitors&lt;/keyword&gt;&lt;keyword&gt;Humans&lt;/keyword&gt;&lt;keyword&gt;Indoles&lt;/keyword&gt;&lt;keyword&gt;Isoindoles&lt;/keyword&gt;&lt;keyword&gt;Neoplasms&lt;/keyword&gt;&lt;keyword&gt;Quinazolines&lt;/keyword&gt;&lt;keyword&gt;Randomized Controlled Trials as Topic&lt;/keyword&gt;&lt;keyword&gt;Thiophenes&lt;/keyword&gt;&lt;keyword&gt;Thymidylate Synthase&lt;/keyword&gt;&lt;/keywords&gt;&lt;urls&gt;&lt;related-urls&gt;&lt;url&gt;https://www.ncbi.nlm.nih.gov/pubmed/12819937&lt;/url&gt;&lt;/related-urls&gt;&lt;/urls&gt;&lt;isbn&gt;0344-5704&lt;/isbn&gt;&lt;titles&gt;&lt;title&gt;Thymidylate synthase inhibitors as anticancer agents: from bench to bedside&lt;/title&gt;&lt;secondary-title&gt;Cancer Chemother Pharmacol&lt;/secondary-title&gt;&lt;/titles&gt;&lt;pages&gt;S80-9&lt;/pages&gt;&lt;contributors&gt;&lt;authors&gt;&lt;author&gt;Chu, E.&lt;/author&gt;&lt;author&gt;Callender, M. A.&lt;/author&gt;&lt;author&gt;Farrell, M. P.&lt;/author&gt;&lt;author&gt;Schmitz, J. C.&lt;/author&gt;&lt;/authors&gt;&lt;/contributors&gt;&lt;edition&gt;2003/06/18&lt;/edition&gt;&lt;language&gt;eng&lt;/language&gt;&lt;added-date format="utc"&gt;1505387791&lt;/added-date&gt;&lt;ref-type name="Journal Article"&gt;17&lt;/ref-type&gt;&lt;rec-number&gt;281&lt;/rec-number&gt;&lt;last-updated-date format="utc"&gt;1505387791&lt;/last-updated-date&gt;&lt;accession-num&gt;12819937&lt;/accession-num&gt;&lt;electronic-resource-num&gt;10.1007/s00280-003-0625-9&lt;/electronic-resource-num&gt;&lt;volume&gt;52 Suppl 1&lt;/volume&gt;&lt;/record&gt;&lt;/Cite&gt;&lt;/EndNote&gt;</w:instrText>
      </w:r>
      <w:r>
        <w:rPr>
          <w:rFonts w:asciiTheme="majorHAnsi" w:hAnsiTheme="majorHAnsi"/>
        </w:rPr>
        <w:fldChar w:fldCharType="separate"/>
      </w:r>
      <w:r>
        <w:rPr>
          <w:rFonts w:asciiTheme="majorHAnsi" w:hAnsiTheme="majorHAnsi"/>
          <w:noProof/>
        </w:rPr>
        <w:t>(Chu et al., 2003)</w:t>
      </w:r>
      <w:r>
        <w:rPr>
          <w:rFonts w:asciiTheme="majorHAnsi" w:hAnsiTheme="majorHAnsi"/>
        </w:rPr>
        <w:fldChar w:fldCharType="end"/>
      </w:r>
      <w:r w:rsidRPr="00846628">
        <w:rPr>
          <w:rFonts w:asciiTheme="majorHAnsi" w:hAnsiTheme="majorHAnsi"/>
        </w:rPr>
        <w:t xml:space="preserve">. A further mechanism of 5-FU resistance is through the rescuing of thymidylate levels from thymidine, so </w:t>
      </w:r>
      <w:r>
        <w:rPr>
          <w:rFonts w:asciiTheme="majorHAnsi" w:hAnsiTheme="majorHAnsi"/>
        </w:rPr>
        <w:t xml:space="preserve">that DNA synthesis can still occur </w:t>
      </w:r>
      <w:r w:rsidRPr="00846628">
        <w:rPr>
          <w:rFonts w:asciiTheme="majorHAnsi" w:hAnsiTheme="majorHAnsi"/>
        </w:rPr>
        <w:t>even when TS is inhibited</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&lt;EndNote&gt;&lt;Cite&gt;&lt;Author&gt;Longley&lt;/Author&gt;&lt;Year&gt;2003&lt;/Year&gt;&lt;IDText&gt;5-fluorouracil: mechanisms of action and clinical strategies&lt;/IDText&gt;&lt;DisplayText&gt;(Longley et al., 2003)&lt;/DisplayText&gt;&lt;record&gt;&lt;dates&gt;&lt;pub-dates&gt;&lt;date&gt;May&lt;/date&gt;&lt;/pub-dates&gt;&lt;year&gt;2003&lt;/year&gt;&lt;/dates&gt;&lt;keywords&gt;&lt;keyword&gt;Animals&lt;/keyword&gt;&lt;keyword&gt;Antimetabolites, Antineoplastic&lt;/keyword&gt;&lt;keyword&gt;Biomarkers&lt;/keyword&gt;&lt;keyword&gt;Dihydrouracil Dehydrogenase (NADP)&lt;/keyword&gt;&lt;keyword&gt;Fluorouracil&lt;/keyword&gt;&lt;keyword&gt;Humans&lt;/keyword&gt;&lt;keyword&gt;Interferons&lt;/keyword&gt;&lt;keyword&gt;Microsatellite Repeats&lt;/keyword&gt;&lt;keyword&gt;Oligonucleotide Array Sequence Analysis&lt;/keyword&gt;&lt;keyword&gt;Oxidoreductases&lt;/keyword&gt;&lt;keyword&gt;RNA&lt;/keyword&gt;&lt;keyword&gt;Thymidine Phosphorylase&lt;/keyword&gt;&lt;keyword&gt;Thymidylate Synthase&lt;/keyword&gt;&lt;keyword&gt;Tumor Suppressor Protein p53&lt;/keyword&gt;&lt;/keywords&gt;&lt;urls&gt;&lt;related-urls&gt;&lt;url&gt;https://www.ncbi.nlm.nih.gov/pubmed/12724731&lt;/url&gt;&lt;/related-urls&gt;&lt;/urls&gt;&lt;isbn&gt;1474-175X&lt;/isbn&gt;&lt;titles&gt;&lt;title&gt;5-fluorouracil: mechanisms of action and clinical strategies&lt;/title&gt;&lt;secondary-title&gt;Nat Rev Cancer&lt;/secondary-title&gt;&lt;/titles&gt;&lt;pages&gt;330-8&lt;/pages&gt;&lt;number&gt;5&lt;/number&gt;&lt;contributors&gt;&lt;authors&gt;&lt;author&gt;Longley, D. B.&lt;/author&gt;&lt;author&gt;Harkin, D. P.&lt;/author&gt;&lt;author&gt;Johnston, P. G.&lt;/author&gt;&lt;/authors&gt;&lt;/contributors&gt;&lt;language&gt;eng&lt;/language&gt;&lt;added-date format="utc"&gt;1485523629&lt;/added-date&gt;&lt;ref-type name="Journal Article"&gt;17&lt;/ref-type&gt;&lt;rec-number&gt;183&lt;/rec-number&gt;&lt;last-updated-date format="utc"&gt;1485523629&lt;/last-updated-date&gt;&lt;accession-num&gt;12724731&lt;/accession-num&gt;&lt;electronic-resource-num&gt;10.1038/nrc1074&lt;/electronic-resource-num&gt;&lt;volume&gt;3&lt;/volume&gt;&lt;/record&gt;&lt;/Cite&gt;&lt;/EndNote&gt;</w:instrText>
      </w:r>
      <w:r>
        <w:rPr>
          <w:rFonts w:asciiTheme="majorHAnsi" w:hAnsiTheme="majorHAnsi"/>
        </w:rPr>
        <w:fldChar w:fldCharType="separate"/>
      </w:r>
      <w:r>
        <w:rPr>
          <w:rFonts w:asciiTheme="majorHAnsi" w:hAnsiTheme="majorHAnsi"/>
          <w:noProof/>
        </w:rPr>
        <w:t>(Longley et al., 2003)</w:t>
      </w:r>
      <w:r>
        <w:rPr>
          <w:rFonts w:asciiTheme="majorHAnsi" w:hAnsiTheme="majorHAnsi"/>
        </w:rPr>
        <w:fldChar w:fldCharType="end"/>
      </w:r>
      <w:r w:rsidRPr="00846628">
        <w:rPr>
          <w:rFonts w:asciiTheme="majorHAnsi" w:hAnsiTheme="majorHAnsi"/>
        </w:rPr>
        <w:t>.</w:t>
      </w:r>
      <w:r w:rsidRPr="00AE68B1">
        <w:rPr>
          <w:rFonts w:asciiTheme="majorHAnsi" w:hAnsiTheme="majorHAnsi"/>
        </w:rPr>
        <w:t xml:space="preserve"> </w:t>
      </w:r>
      <w:r w:rsidRPr="00846628">
        <w:rPr>
          <w:rFonts w:asciiTheme="majorHAnsi" w:hAnsiTheme="majorHAnsi"/>
        </w:rPr>
        <w:t>Within the clinic 5-FU is administered along side leucovorin, which enhances the cytotoxicity of the drug by increasing the concentration of folate</w:t>
      </w:r>
      <w:r w:rsidR="003E533C">
        <w:rPr>
          <w:rFonts w:asciiTheme="majorHAnsi" w:hAnsiTheme="majorHAnsi"/>
        </w:rPr>
        <w:t xml:space="preserve"> and stabilise the complex between TS and 5-FUs active metabolites, to enhance inhibition</w:t>
      </w:r>
      <w:r w:rsidRPr="00846628">
        <w:rPr>
          <w:rFonts w:asciiTheme="majorHAnsi" w:hAnsiTheme="majorHAnsi"/>
        </w:rPr>
        <w:t>. However, overall survival of patients did not increase when leucovorin was combined with 5-FU even though response rates were higher</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&lt;EndNote&gt;&lt;Cite&gt;&lt;Author&gt;AdvancedColorectalCancerMeta-AnalysisProject&lt;/Author&gt;&lt;Year&gt;1992&lt;/Year&gt;&lt;IDText&gt;Modulation of fluorouracil by leucovorin in patients with advanced colorectal cancer: evidence in terms of response rate. Advanced Colorectal Cancer Meta-Analysis Project&lt;/IDText&gt;&lt;DisplayText&gt;(AdvancedColorectalCancerMeta-AnalysisProject, 1992)&lt;/DisplayText&gt;&lt;record&gt;&lt;dates&gt;&lt;pub-dates&gt;&lt;date&gt;Jun&lt;/date&gt;&lt;/pub-dates&gt;&lt;year&gt;1992&lt;/year&gt;&lt;/dates&gt;&lt;keywords&gt;&lt;keyword&gt;Colorectal Neoplasms&lt;/keyword&gt;&lt;keyword&gt;Drug Synergism&lt;/keyword&gt;&lt;keyword&gt;Drug Therapy, Combination&lt;/keyword&gt;&lt;keyword&gt;Fluorouracil&lt;/keyword&gt;&lt;keyword&gt;Humans&lt;/keyword&gt;&lt;keyword&gt;Leucovorin&lt;/keyword&gt;&lt;keyword&gt;Meta-Analysis as Topic&lt;/keyword&gt;&lt;keyword&gt;Randomized Controlled Trials as Topic&lt;/keyword&gt;&lt;keyword&gt;Survival Rate&lt;/keyword&gt;&lt;/keywords&gt;&lt;urls&gt;&lt;related-urls&gt;&lt;url&gt;https://www.ncbi.nlm.nih.gov/pubmed/1534121&lt;/url&gt;&lt;/related-urls&gt;&lt;/urls&gt;&lt;isbn&gt;0732-183X&lt;/isbn&gt;&lt;titles&gt;&lt;title&gt;Modulation of fluorouracil by leucovorin in patients with advanced colorectal cancer: evidence in terms of response rate. Advanced Colorectal Cancer Meta-Analysis Project&lt;/title&gt;&lt;secondary-title&gt;J Clin Oncol&lt;/secondary-title&gt;&lt;/titles&gt;&lt;pages&gt;896-903&lt;/pages&gt;&lt;number&gt;6&lt;/number&gt;&lt;contributors&gt;&lt;authors&gt;&lt;author&gt;AdvancedColorectalCancerMeta-AnalysisProject&lt;/author&gt;&lt;/authors&gt;&lt;/contributors&gt;&lt;language&gt;eng&lt;/language&gt;&lt;added-date format="utc"&gt;1505387158&lt;/added-date&gt;&lt;ref-type name="Journal Article"&gt;17&lt;/ref-type&gt;&lt;rec-number&gt;279&lt;/rec-number&gt;&lt;last-updated-date format="utc"&gt;1518105404&lt;/last-updated-date&gt;&lt;accession-num&gt;1534121&lt;/accession-num&gt;&lt;electronic-resource-num&gt;10.1200/JCO.1992.10.6.896&lt;/electronic-resource-num&gt;&lt;volume&gt;10&lt;/volume&gt;&lt;/record&gt;&lt;/Cite&gt;&lt;/EndNote&gt;</w:instrText>
      </w:r>
      <w:r>
        <w:rPr>
          <w:rFonts w:asciiTheme="majorHAnsi" w:hAnsiTheme="majorHAnsi"/>
        </w:rPr>
        <w:fldChar w:fldCharType="separate"/>
      </w:r>
      <w:r>
        <w:rPr>
          <w:rFonts w:asciiTheme="majorHAnsi" w:hAnsiTheme="majorHAnsi"/>
          <w:noProof/>
        </w:rPr>
        <w:t>(AdvancedColorectalCancerMeta-AnalysisProject, 1992)</w:t>
      </w:r>
      <w:r>
        <w:rPr>
          <w:rFonts w:asciiTheme="majorHAnsi" w:hAnsiTheme="majorHAnsi"/>
        </w:rPr>
        <w:fldChar w:fldCharType="end"/>
      </w:r>
      <w:r w:rsidRPr="00846628">
        <w:rPr>
          <w:rFonts w:asciiTheme="majorHAnsi" w:hAnsiTheme="majorHAnsi"/>
        </w:rPr>
        <w:t>.</w:t>
      </w:r>
    </w:p>
    <w:p w14:paraId="05EA3CB4" w14:textId="77777777" w:rsidR="007F7907" w:rsidRPr="009C59E0" w:rsidRDefault="007F7907" w:rsidP="00EB3408">
      <w:pPr>
        <w:pStyle w:val="NoSpacing"/>
        <w:spacing w:line="360" w:lineRule="auto"/>
        <w:jc w:val="both"/>
        <w:rPr>
          <w:rFonts w:asciiTheme="majorHAnsi" w:hAnsiTheme="majorHAnsi"/>
        </w:rPr>
      </w:pPr>
    </w:p>
    <w:p w14:paraId="544ED95D" w14:textId="77777777" w:rsidR="00EB3408" w:rsidRPr="00E82D3B" w:rsidRDefault="00EB3408" w:rsidP="00EB3408">
      <w:pPr>
        <w:pStyle w:val="NoSpacing"/>
        <w:numPr>
          <w:ilvl w:val="0"/>
          <w:numId w:val="49"/>
        </w:numPr>
        <w:spacing w:line="360" w:lineRule="auto"/>
        <w:jc w:val="both"/>
        <w:rPr>
          <w:rFonts w:asciiTheme="majorHAnsi" w:hAnsiTheme="majorHAnsi"/>
          <w:b/>
          <w:i/>
        </w:rPr>
      </w:pPr>
      <w:r w:rsidRPr="00E82D3B">
        <w:rPr>
          <w:rFonts w:asciiTheme="majorHAnsi" w:hAnsiTheme="majorHAnsi"/>
          <w:b/>
          <w:i/>
        </w:rPr>
        <w:t>Irinotecan</w:t>
      </w:r>
    </w:p>
    <w:p w14:paraId="6FF5970E" w14:textId="562514A4" w:rsidR="00EB3408" w:rsidRDefault="00BC7586" w:rsidP="00EB3408">
      <w:pPr>
        <w:spacing w:line="360" w:lineRule="auto"/>
        <w:jc w:val="both"/>
        <w:rPr>
          <w:rFonts w:asciiTheme="majorHAnsi" w:hAnsiTheme="majorHAnsi"/>
        </w:rPr>
      </w:pPr>
      <w:r>
        <w:rPr>
          <w:rFonts w:asciiTheme="majorHAnsi" w:hAnsiTheme="majorHAnsi"/>
        </w:rPr>
        <w:t>Irinotecan is an</w:t>
      </w:r>
      <w:r w:rsidR="00EB3408">
        <w:rPr>
          <w:rFonts w:asciiTheme="majorHAnsi" w:hAnsiTheme="majorHAnsi"/>
        </w:rPr>
        <w:t xml:space="preserve"> </w:t>
      </w:r>
      <w:r w:rsidR="00EB3408" w:rsidRPr="00BD1CCF">
        <w:rPr>
          <w:rFonts w:asciiTheme="majorHAnsi" w:hAnsiTheme="majorHAnsi"/>
        </w:rPr>
        <w:t>inhibitor of topoisomerase I</w:t>
      </w:r>
      <w:r w:rsidR="00EB3408">
        <w:rPr>
          <w:rFonts w:asciiTheme="majorHAnsi" w:hAnsiTheme="majorHAnsi"/>
        </w:rPr>
        <w:t xml:space="preserve"> (TOP1)</w:t>
      </w:r>
      <w:r>
        <w:rPr>
          <w:rFonts w:asciiTheme="majorHAnsi" w:hAnsiTheme="majorHAnsi"/>
        </w:rPr>
        <w:t>,</w:t>
      </w:r>
      <w:r w:rsidR="00EB3408">
        <w:rPr>
          <w:rFonts w:asciiTheme="majorHAnsi" w:hAnsiTheme="majorHAnsi"/>
        </w:rPr>
        <w:t xml:space="preserve"> after conversion to the active metabolite SN-38. TOP1 is a nuclear enzyme, which upon formation of a covalent bond between the enzyme and the DNA creates single strand breaks in order to relax the DNA and allow DNA replication and transcription. TOP1 then plays a role in re-ligation of the break in order to maintain genomic integrity. Cancer cell death by irinotecan occurs through the trapping of DNA cleavage complexes containing the TOP1 enzyme, and leading to the inhibition of the enzyme and therefore no re-ligation of DNA strands, resulting in DSBs and ultimately the inhibition </w:t>
      </w:r>
      <w:r w:rsidR="00EB3408" w:rsidRPr="00BD1CCF">
        <w:rPr>
          <w:rFonts w:asciiTheme="majorHAnsi" w:hAnsiTheme="majorHAnsi"/>
        </w:rPr>
        <w:t>of DNA</w:t>
      </w:r>
      <w:r w:rsidR="00EB3408">
        <w:rPr>
          <w:rFonts w:asciiTheme="majorHAnsi" w:hAnsiTheme="majorHAnsi"/>
        </w:rPr>
        <w:t xml:space="preserve"> replication and transcription. The drugs are considered to be cell cycle specific as they have a 1000 fold more sensitivity in S phase cells in comparison to other phases of the cell cycle, due to the interaction between the inhibited, bound complex and advancing replication forks, which cause lethal DSBs </w:t>
      </w:r>
      <w:r w:rsidR="00EB3408">
        <w:rPr>
          <w:rFonts w:asciiTheme="majorHAnsi" w:hAnsiTheme="majorHAnsi"/>
        </w:rPr>
        <w:fldChar w:fldCharType="begin">
          <w:fldData xml:space="preserve">PEVuZE5vdGU+PENpdGU+PEF1dGhvcj5Sb3RoZW5iZXJnPC9BdXRob3I+PFllYXI+MTk5OTwvWWVh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</w:fldData>
        </w:fldChar>
      </w:r>
      <w:r w:rsidR="00EB3408">
        <w:rPr>
          <w:rFonts w:asciiTheme="majorHAnsi" w:hAnsiTheme="majorHAnsi"/>
        </w:rPr>
        <w:instrText xml:space="preserve"> ADDIN EN.CITE </w:instrText>
      </w:r>
      <w:r w:rsidR="00EB3408">
        <w:rPr>
          <w:rFonts w:asciiTheme="majorHAnsi" w:hAnsiTheme="majorHAnsi"/>
        </w:rPr>
        <w:fldChar w:fldCharType="begin">
          <w:fldData xml:space="preserve">PEVuZE5vdGU+PENpdGU+PEF1dGhvcj5Sb3RoZW5iZXJnPC9BdXRob3I+PFllYXI+MTk5OTwvWWVh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</w:fldData>
        </w:fldChar>
      </w:r>
      <w:r w:rsidR="00EB3408">
        <w:rPr>
          <w:rFonts w:asciiTheme="majorHAnsi" w:hAnsiTheme="majorHAnsi"/>
        </w:rPr>
        <w:instrText xml:space="preserve"> ADDIN EN.CITE.DATA </w:instrText>
      </w:r>
      <w:r w:rsidR="00EB3408">
        <w:rPr>
          <w:rFonts w:asciiTheme="majorHAnsi" w:hAnsiTheme="majorHAnsi"/>
        </w:rPr>
      </w:r>
      <w:r w:rsidR="00EB3408">
        <w:rPr>
          <w:rFonts w:asciiTheme="majorHAnsi" w:hAnsiTheme="majorHAnsi"/>
        </w:rPr>
        <w:fldChar w:fldCharType="end"/>
      </w:r>
      <w:r w:rsidR="00EB3408">
        <w:rPr>
          <w:rFonts w:asciiTheme="majorHAnsi" w:hAnsiTheme="majorHAnsi"/>
        </w:rPr>
      </w:r>
      <w:r w:rsidR="00EB3408">
        <w:rPr>
          <w:rFonts w:asciiTheme="majorHAnsi" w:hAnsiTheme="majorHAnsi"/>
        </w:rPr>
        <w:fldChar w:fldCharType="separate"/>
      </w:r>
      <w:r w:rsidR="00EB3408">
        <w:rPr>
          <w:rFonts w:asciiTheme="majorHAnsi" w:hAnsiTheme="majorHAnsi"/>
          <w:noProof/>
        </w:rPr>
        <w:t>(Rothenberg et al., 1999)</w:t>
      </w:r>
      <w:r w:rsidR="00EB3408">
        <w:rPr>
          <w:rFonts w:asciiTheme="majorHAnsi" w:hAnsiTheme="majorHAnsi"/>
        </w:rPr>
        <w:fldChar w:fldCharType="end"/>
      </w:r>
      <w:r w:rsidR="00EB3408">
        <w:rPr>
          <w:rFonts w:asciiTheme="majorHAnsi" w:hAnsiTheme="majorHAnsi"/>
        </w:rPr>
        <w:t xml:space="preserve">. </w:t>
      </w:r>
      <w:r w:rsidR="00A62B0D">
        <w:rPr>
          <w:rFonts w:asciiTheme="majorHAnsi" w:hAnsiTheme="majorHAnsi"/>
        </w:rPr>
        <w:t xml:space="preserve">Irinotecan response also appears to be independent of the MMR status of the cell so can be used to treat MSI patients </w:t>
      </w:r>
      <w:r w:rsidR="00A62B0D">
        <w:rPr>
          <w:rFonts w:asciiTheme="majorHAnsi" w:hAnsiTheme="majorHAnsi"/>
        </w:rPr>
        <w:fldChar w:fldCharType="begin"/>
      </w:r>
      <w:r w:rsidR="00A62B0D">
        <w:rPr>
          <w:rFonts w:asciiTheme="majorHAnsi" w:hAnsiTheme="majorHAnsi"/>
        </w:rPr>
        <w:instrText xml:space="preserve"> ADDIN EN.CITE &lt;EndNote&gt;&lt;Cite&gt;&lt;Author&gt;Jo&lt;/Author&gt;&lt;Year&gt;2006&lt;/Year&gt;&lt;IDText&gt;Chemotherapeutic implications in microsatellite unstable colorectal cancer&lt;/IDText&gt;&lt;DisplayText&gt;(Jo and Carethers, 2006)&lt;/DisplayText&gt;&lt;record&gt;&lt;keywords&gt;&lt;keyword&gt;Antineoplastic Agents&lt;/keyword&gt;&lt;keyword&gt;Colorectal Neoplasms, Hereditary Nonpolyposis&lt;/keyword&gt;&lt;keyword&gt;Humans&lt;/keyword&gt;&lt;keyword&gt;Microsatellite Instability&lt;/keyword&gt;&lt;keyword&gt;Microsatellite Repeats&lt;/keyword&gt;&lt;/keywords&gt;&lt;urls&gt;&lt;related-urls&gt;&lt;url&gt;https://www.ncbi.nlm.nih.gov/pubmed/17192059&lt;/url&gt;&lt;/related-urls&gt;&lt;/urls&gt;&lt;isbn&gt;1574-0153&lt;/isbn&gt;&lt;custom2&gt;PMC4948976&lt;/custom2&gt;&lt;titles&gt;&lt;title&gt;Chemotherapeutic implications in microsatellite unstable colorectal cancer&lt;/title&gt;&lt;secondary-title&gt;Cancer Biomark&lt;/secondary-title&gt;&lt;/titles&gt;&lt;pages&gt;51-60&lt;/pages&gt;&lt;number&gt;1-2&lt;/number&gt;&lt;contributors&gt;&lt;authors&gt;&lt;author&gt;Jo, W. S.&lt;/author&gt;&lt;author&gt;Carethers, J. M.&lt;/author&gt;&lt;/authors&gt;&lt;/contributors&gt;&lt;language&gt;eng&lt;/language&gt;&lt;added-date format="utc"&gt;1523879423&lt;/added-date&gt;&lt;ref-type name="Journal Article"&gt;17&lt;/ref-type&gt;&lt;dates&gt;&lt;year&gt;2006&lt;/year&gt;&lt;/dates&gt;&lt;rec-number&gt;407&lt;/rec-number&gt;&lt;last-updated-date format="utc"&gt;1523879423&lt;/last-updated-date&gt;&lt;accession-num&gt;17192059&lt;/accession-num&gt;&lt;volume&gt;2&lt;/volume&gt;&lt;/record&gt;&lt;/Cite&gt;&lt;/EndNote&gt;</w:instrText>
      </w:r>
      <w:r w:rsidR="00A62B0D">
        <w:rPr>
          <w:rFonts w:asciiTheme="majorHAnsi" w:hAnsiTheme="majorHAnsi"/>
        </w:rPr>
        <w:fldChar w:fldCharType="separate"/>
      </w:r>
      <w:r w:rsidR="00A62B0D">
        <w:rPr>
          <w:rFonts w:asciiTheme="majorHAnsi" w:hAnsiTheme="majorHAnsi"/>
          <w:noProof/>
        </w:rPr>
        <w:t>(Jo and Carethers, 2006)</w:t>
      </w:r>
      <w:r w:rsidR="00A62B0D">
        <w:rPr>
          <w:rFonts w:asciiTheme="majorHAnsi" w:hAnsiTheme="majorHAnsi"/>
        </w:rPr>
        <w:fldChar w:fldCharType="end"/>
      </w:r>
      <w:r w:rsidR="00A62B0D">
        <w:rPr>
          <w:rFonts w:asciiTheme="majorHAnsi" w:hAnsiTheme="majorHAnsi"/>
        </w:rPr>
        <w:t>.</w:t>
      </w:r>
    </w:p>
    <w:p w14:paraId="3BB0DEDC" w14:textId="77777777" w:rsidR="00EB3408" w:rsidRDefault="00EB3408" w:rsidP="00EB3408">
      <w:pPr>
        <w:spacing w:line="360" w:lineRule="auto"/>
        <w:jc w:val="both"/>
        <w:rPr>
          <w:rFonts w:asciiTheme="majorHAnsi" w:hAnsiTheme="majorHAnsi"/>
        </w:rPr>
      </w:pPr>
    </w:p>
    <w:p w14:paraId="0B62719F" w14:textId="77777777" w:rsidR="00EB3408" w:rsidRPr="009C59E0" w:rsidRDefault="00EB3408" w:rsidP="00EB3408">
      <w:pPr>
        <w:pStyle w:val="NoSpacing"/>
        <w:spacing w:line="360" w:lineRule="auto"/>
        <w:jc w:val="both"/>
        <w:rPr>
          <w:rFonts w:asciiTheme="majorHAnsi" w:hAnsiTheme="majorHAnsi"/>
        </w:rPr>
      </w:pPr>
      <w:r>
        <w:rPr>
          <w:rFonts w:asciiTheme="majorHAnsi" w:hAnsiTheme="majorHAnsi"/>
        </w:rPr>
        <w:t xml:space="preserve">It was previously shown that irinotecan as a single agent had anti-tumour potential in metastatic colorectal cancer that was not responsive to the traditional and widely used 5-FU chemotherapy </w:t>
      </w:r>
      <w:r>
        <w:rPr>
          <w:rFonts w:asciiTheme="majorHAnsi" w:hAnsiTheme="majorHAnsi"/>
        </w:rPr>
        <w:fldChar w:fldCharType="begin">
          <w:fldData xml:space="preserve">PEVuZE5vdGU+PENpdGU+PEF1dGhvcj5DdW5uaW5naGFtPC9BdXRob3I+PFllYXI+MTk5ODwvWWVh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==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PEVuZE5vdGU+PENpdGU+PEF1dGhvcj5DdW5uaW5naGFtPC9BdXRob3I+PFllYXI+MTk5ODwvWWVh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==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(Cunningham et al., 1998)</w:t>
      </w:r>
      <w:r>
        <w:rPr>
          <w:rFonts w:asciiTheme="majorHAnsi" w:hAnsiTheme="majorHAnsi"/>
        </w:rPr>
        <w:fldChar w:fldCharType="end"/>
      </w:r>
      <w:r>
        <w:rPr>
          <w:rFonts w:asciiTheme="majorHAnsi" w:hAnsiTheme="majorHAnsi"/>
        </w:rPr>
        <w:t xml:space="preserve">. Therefore, in 1999 the first phase II trial took place of irinotecan in combination with the standard bimonthly 5-FU and leucovorin </w:t>
      </w:r>
      <w:r w:rsidRPr="00BD1CCF">
        <w:rPr>
          <w:rFonts w:asciiTheme="majorHAnsi" w:hAnsiTheme="majorHAnsi"/>
        </w:rPr>
        <w:t>(known as FOLFIRI</w:t>
      </w:r>
      <w:r>
        <w:rPr>
          <w:rFonts w:asciiTheme="majorHAnsi" w:hAnsiTheme="majorHAnsi"/>
        </w:rPr>
        <w:t xml:space="preserve">) as a third line therapy, in order to investigate toxicity and feasibility </w:t>
      </w:r>
      <w:r>
        <w:rPr>
          <w:rFonts w:asciiTheme="majorHAnsi" w:hAnsiTheme="majorHAnsi"/>
        </w:rPr>
        <w:fldChar w:fldCharType="begin"/>
      </w:r>
      <w:r>
        <w:rPr>
          <w:rFonts w:asciiTheme="majorHAnsi" w:hAnsiTheme="majorHAnsi"/>
        </w:rPr>
        <w:instrText xml:space="preserve"> ADDIN EN.CITE &lt;EndNote&gt;&lt;Cite&gt;&lt;Author&gt;André&lt;/Author&gt;&lt;Year&gt;1999&lt;/Year&gt;&lt;IDText&gt;CPT-11 (irinotecan) addition to bimonthly, high-dose leucovorin and bolus and continuous-infusion 5-fluorouracil (FOLFIRI) for pretreated metastatic colorectal cancer. GERCOR&lt;/IDText&gt;&lt;DisplayText&gt;(André et al., 1999)&lt;/DisplayText&gt;&lt;record&gt;&lt;dates&gt;&lt;pub-dates&gt;&lt;date&gt;Sep&lt;/date&gt;&lt;/pub-dates&gt;&lt;year&gt;1999&lt;/year&gt;&lt;/dates&gt;&lt;keywords&gt;&lt;keyword&gt;Adult&lt;/keyword&gt;&lt;keyword&gt;Aged&lt;/keyword&gt;&lt;keyword&gt;Antineoplastic Combined Chemotherapy Protocols&lt;/keyword&gt;&lt;keyword&gt;Camptothecin&lt;/keyword&gt;&lt;keyword&gt;Colorectal Neoplasms&lt;/keyword&gt;&lt;keyword&gt;Disease-Free Survival&lt;/keyword&gt;&lt;keyword&gt;Female&lt;/keyword&gt;&lt;keyword&gt;Fluorouracil&lt;/keyword&gt;&lt;keyword&gt;Humans&lt;/keyword&gt;&lt;keyword&gt;Infusions, Intravenous&lt;/keyword&gt;&lt;keyword&gt;Leucovorin&lt;/keyword&gt;&lt;keyword&gt;Male&lt;/keyword&gt;&lt;keyword&gt;Middle Aged&lt;/keyword&gt;&lt;keyword&gt;Treatment Outcome&lt;/keyword&gt;&lt;/keywords&gt;&lt;urls&gt;&lt;related-urls&gt;&lt;url&gt;https://www.ncbi.nlm.nih.gov/pubmed/10658525&lt;/url&gt;&lt;/related-urls&gt;&lt;/urls&gt;&lt;isbn&gt;0959-8049&lt;/isbn&gt;&lt;titles&gt;&lt;title&gt;CPT-11 (irinotecan) addition to bimonthly, high-dose leucovorin and bolus and continuous-infusion 5-fluorouracil (FOLFIRI) for pretreated metastatic colorectal cancer. GERCOR&lt;/title&gt;&lt;secondary-title&gt;Eur J Cancer&lt;/secondary-title&gt;&lt;/titles&gt;&lt;pages&gt;1343-7&lt;/pages&gt;&lt;number&gt;9&lt;/number&gt;&lt;contributors&gt;&lt;authors&gt;&lt;author&gt;André, T.&lt;/author&gt;&lt;author&gt;Louvet, C.&lt;/author&gt;&lt;author&gt;Maindrault-Goebel, F.&lt;/author&gt;&lt;author&gt;Couteau, C.&lt;/author&gt;&lt;author&gt;Mabro, M.&lt;/author&gt;&lt;author&gt;Lotz, J. P.&lt;/author&gt;&lt;author&gt;Gilles-Amar, V.&lt;/author&gt;&lt;author&gt;Krulik, M.&lt;/author&gt;&lt;author&gt;Carola, E.&lt;/author&gt;&lt;author&gt;Izrael, V.&lt;/author&gt;&lt;author&gt;de Gramont, A.&lt;/author&gt;&lt;/authors&gt;&lt;/contributors&gt;&lt;language&gt;eng&lt;/language&gt;&lt;added-date format="utc"&gt;1501504610&lt;/added-date&gt;&lt;ref-type name="Journal Article"&gt;17&lt;/ref-type&gt;&lt;rec-number&gt;217&lt;/rec-number&gt;&lt;last-updated-date format="utc"&gt;1501504610&lt;/last-updated-date&gt;&lt;accession-num&gt;10658525&lt;/accession-num&gt;&lt;volume&gt;35&lt;/volume&gt;&lt;/record&gt;&lt;/Cite&gt;&lt;/EndNote&gt;</w:instrText>
      </w:r>
      <w:r>
        <w:rPr>
          <w:rFonts w:asciiTheme="majorHAnsi" w:hAnsiTheme="majorHAnsi"/>
        </w:rPr>
        <w:fldChar w:fldCharType="separate"/>
      </w:r>
      <w:r>
        <w:rPr>
          <w:rFonts w:asciiTheme="majorHAnsi" w:hAnsiTheme="majorHAnsi"/>
          <w:noProof/>
        </w:rPr>
        <w:t>(André et al., 1999)</w:t>
      </w:r>
      <w:r>
        <w:rPr>
          <w:rFonts w:asciiTheme="majorHAnsi" w:hAnsiTheme="majorHAnsi"/>
        </w:rPr>
        <w:fldChar w:fldCharType="end"/>
      </w:r>
      <w:r>
        <w:rPr>
          <w:rFonts w:asciiTheme="majorHAnsi" w:hAnsiTheme="majorHAnsi"/>
        </w:rPr>
        <w:t xml:space="preserve">. After promising outcomes, further trials were undertaken to escalate irinotecan to a first-line therapy and </w:t>
      </w:r>
      <w:proofErr w:type="spellStart"/>
      <w:r>
        <w:rPr>
          <w:rFonts w:asciiTheme="majorHAnsi" w:hAnsiTheme="majorHAnsi"/>
        </w:rPr>
        <w:t>optimise</w:t>
      </w:r>
      <w:proofErr w:type="spellEnd"/>
      <w:r>
        <w:rPr>
          <w:rFonts w:asciiTheme="majorHAnsi" w:hAnsiTheme="majorHAnsi"/>
        </w:rPr>
        <w:t xml:space="preserve"> dosing and delivery schedule </w:t>
      </w:r>
      <w:r>
        <w:rPr>
          <w:rFonts w:asciiTheme="majorHAnsi" w:hAnsiTheme="majorHAnsi"/>
        </w:rPr>
        <w:fldChar w:fldCharType="begin">
          <w:fldData xml:space="preserve">PEVuZE5vdGU+PENpdGU+PEF1dGhvcj5UZXVmZWw8L0F1dGhvcj48WWVhcj4yMDA0PC9ZZWFyPjxJ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PEVuZE5vdGU+PENpdGU+PEF1dGhvcj5UZXVmZWw8L0F1dGhvcj48WWVhcj4yMDA0PC9ZZWFyPjxJ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(Teufel et al., 2004, Lee et al., 2005)</w:t>
      </w:r>
      <w:r>
        <w:rPr>
          <w:rFonts w:asciiTheme="majorHAnsi" w:hAnsiTheme="majorHAnsi"/>
        </w:rPr>
        <w:fldChar w:fldCharType="end"/>
      </w:r>
      <w:r>
        <w:rPr>
          <w:rFonts w:asciiTheme="majorHAnsi" w:hAnsiTheme="majorHAnsi"/>
        </w:rPr>
        <w:t xml:space="preserve">. One trial showed an increase in overall tumour response rate from 18% with the original 5-FU treatment to 40% when irinotecan was combined </w:t>
      </w:r>
      <w:r>
        <w:rPr>
          <w:rFonts w:asciiTheme="majorHAnsi" w:hAnsiTheme="majorHAnsi"/>
        </w:rPr>
        <w:fldChar w:fldCharType="begin">
          <w:fldData xml:space="preserve">PEVuZE5vdGU+PENpdGU+PEF1dGhvcj5Db2x1Y2NpPC9BdXRob3I+PFllYXI+MjAwNTwvWWVhcj48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PEVuZE5vdGU+PENpdGU+PEF1dGhvcj5Db2x1Y2NpPC9BdXRob3I+PFllYXI+MjAwNTwvWWVhcj48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(Colucci et al., 2005)</w:t>
      </w:r>
      <w:r>
        <w:rPr>
          <w:rFonts w:asciiTheme="majorHAnsi" w:hAnsiTheme="majorHAnsi"/>
        </w:rPr>
        <w:fldChar w:fldCharType="end"/>
      </w:r>
      <w:r>
        <w:rPr>
          <w:rFonts w:asciiTheme="majorHAnsi" w:hAnsiTheme="majorHAnsi"/>
        </w:rPr>
        <w:t xml:space="preserve">. Irinotecan is still used in combination in the clinic today, and further research is currently being conducted into alternative drug combinations, such as with </w:t>
      </w:r>
      <w:proofErr w:type="spellStart"/>
      <w:r>
        <w:rPr>
          <w:rFonts w:asciiTheme="majorHAnsi" w:hAnsiTheme="majorHAnsi"/>
        </w:rPr>
        <w:t>bevacizumab</w:t>
      </w:r>
      <w:proofErr w:type="spellEnd"/>
      <w:r>
        <w:rPr>
          <w:rFonts w:asciiTheme="majorHAnsi" w:hAnsiTheme="majorHAnsi"/>
        </w:rPr>
        <w:t xml:space="preserve"> (an angiogenesis inhibitor) or cetuximab (a EGFR inhibitor), in order to increase the efficacy even further </w:t>
      </w:r>
      <w:r>
        <w:rPr>
          <w:rFonts w:asciiTheme="majorHAnsi" w:hAnsiTheme="majorHAnsi"/>
        </w:rPr>
        <w:fldChar w:fldCharType="begin">
          <w:fldData xml:space="preserve">PEVuZE5vdGU+PENpdGU+PEF1dGhvcj5DYXNjaW51PC9BdXRob3I+PFllYXI+MjAxNzwvWWVhcj48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PEVuZE5vdGU+PENpdGU+PEF1dGhvcj5DYXNjaW51PC9BdXRob3I+PFllYXI+MjAxNzwvWWVhcj48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(Cascinu et al., 2017, Zhao et al., 2017)</w:t>
      </w:r>
      <w:r>
        <w:rPr>
          <w:rFonts w:asciiTheme="majorHAnsi" w:hAnsiTheme="majorHAnsi"/>
        </w:rPr>
        <w:fldChar w:fldCharType="end"/>
      </w:r>
      <w:r>
        <w:rPr>
          <w:rFonts w:asciiTheme="majorHAnsi" w:hAnsiTheme="majorHAnsi"/>
        </w:rPr>
        <w:t xml:space="preserve">.  However, a recent study using some of the novel classification mechanisms mentioned in the introduction has shown that the FOLFIRI treatment regimen is only suitable for a very select set of patients based on their tumour molecular signature. For example, patients with CIN tumours with up-regulation of the WNT pathway had a two-fold increase in survival compared with those that did not, and CIN tumours with a decrease in immune response did not respond, compared to tumours that had normal immune infiltration. This demonstrates that much more work is needed to assess how patient’s specific tumour molecular backgrounds impact response to treatment </w:t>
      </w:r>
      <w:r>
        <w:rPr>
          <w:rFonts w:asciiTheme="majorHAnsi" w:hAnsiTheme="majorHAnsi"/>
        </w:rPr>
        <w:fldChar w:fldCharType="begin"/>
      </w:r>
      <w:r>
        <w:rPr>
          <w:rFonts w:asciiTheme="majorHAnsi" w:hAnsiTheme="majorHAnsi"/>
        </w:rPr>
        <w:instrText xml:space="preserve"> ADDIN EN.CITE &lt;EndNote&gt;&lt;Cite&gt;&lt;Author&gt;Del Rio&lt;/Author&gt;&lt;Year&gt;2017&lt;/Year&gt;&lt;IDText&gt;Molecular subtypes of metastatic colorectal cancer are associated with patient response to irinotecan-based therapies&lt;/IDText&gt;&lt;DisplayText&gt;(Del Rio et al., 2017)&lt;/DisplayText&gt;&lt;record&gt;&lt;dates&gt;&lt;pub-dates&gt;&lt;date&gt;May&lt;/date&gt;&lt;/pub-dates&gt;&lt;year&gt;2017&lt;/year&gt;&lt;/dates&gt;&lt;urls&gt;&lt;related-urls&gt;&lt;url&gt;https://www.ncbi.nlm.nih.gov/pubmed/28284171&lt;/url&gt;&lt;/related-urls&gt;&lt;/urls&gt;&lt;isbn&gt;1879-0852&lt;/isbn&gt;&lt;titles&gt;&lt;title&gt;Molecular subtypes of metastatic colorectal cancer are associated with patient response to irinotecan-based therapies&lt;/title&gt;&lt;secondary-title&gt;Eur J Cancer&lt;/secondary-title&gt;&lt;/titles&gt;&lt;pages&gt;68-75&lt;/pages&gt;&lt;contributors&gt;&lt;authors&gt;&lt;author&gt;Del Rio, M.&lt;/author&gt;&lt;author&gt;Mollevi, C.&lt;/author&gt;&lt;author&gt;Bibeau, F.&lt;/author&gt;&lt;author&gt;Vie, N.&lt;/author&gt;&lt;author&gt;Selves, J.&lt;/author&gt;&lt;author&gt;Emile, J. F.&lt;/author&gt;&lt;author&gt;Roger, P.&lt;/author&gt;&lt;author&gt;Gongora, C.&lt;/author&gt;&lt;author&gt;Robert, J.&lt;/author&gt;&lt;author&gt;Tubiana-Mathieu, N.&lt;/author&gt;&lt;author&gt;Ychou, M.&lt;/author&gt;&lt;author&gt;Martineau, P.&lt;/author&gt;&lt;/authors&gt;&lt;/contributors&gt;&lt;edition&gt;2017/03/08&lt;/edition&gt;&lt;language&gt;eng&lt;/language&gt;&lt;added-date format="utc"&gt;1501508700&lt;/added-date&gt;&lt;ref-type name="Journal Article"&gt;17&lt;/ref-type&gt;&lt;rec-number&gt;224&lt;/rec-number&gt;&lt;last-updated-date format="utc"&gt;1501508700&lt;/last-updated-date&gt;&lt;accession-num&gt;28284171&lt;/accession-num&gt;&lt;electronic-resource-num&gt;10.1016/j.ejca.2017.02.003&lt;/electronic-resource-num&gt;&lt;volume&gt;76&lt;/volume&gt;&lt;/record&gt;&lt;/Cite&gt;&lt;/EndNote&gt;</w:instrText>
      </w:r>
      <w:r>
        <w:rPr>
          <w:rFonts w:asciiTheme="majorHAnsi" w:hAnsiTheme="majorHAnsi"/>
        </w:rPr>
        <w:fldChar w:fldCharType="separate"/>
      </w:r>
      <w:r>
        <w:rPr>
          <w:rFonts w:asciiTheme="majorHAnsi" w:hAnsiTheme="majorHAnsi"/>
          <w:noProof/>
        </w:rPr>
        <w:t>(Del Rio et al., 2017)</w:t>
      </w:r>
      <w:r>
        <w:rPr>
          <w:rFonts w:asciiTheme="majorHAnsi" w:hAnsiTheme="majorHAnsi"/>
        </w:rPr>
        <w:fldChar w:fldCharType="end"/>
      </w:r>
      <w:r>
        <w:rPr>
          <w:rFonts w:asciiTheme="majorHAnsi" w:hAnsiTheme="majorHAnsi"/>
        </w:rPr>
        <w:t>.</w:t>
      </w:r>
    </w:p>
    <w:p w14:paraId="4F7EA0F2" w14:textId="77777777" w:rsidR="00EB3408" w:rsidRPr="00302CA5" w:rsidRDefault="00EB3408" w:rsidP="00EB3408">
      <w:pPr>
        <w:pStyle w:val="NoSpacing"/>
        <w:spacing w:line="360" w:lineRule="auto"/>
        <w:jc w:val="both"/>
        <w:rPr>
          <w:rFonts w:asciiTheme="majorHAnsi" w:hAnsiTheme="majorHAnsi"/>
          <w:i/>
        </w:rPr>
      </w:pPr>
    </w:p>
    <w:p w14:paraId="47F139C8" w14:textId="77777777" w:rsidR="00EB3408" w:rsidRPr="00E82D3B" w:rsidRDefault="00EB3408" w:rsidP="00EB3408">
      <w:pPr>
        <w:pStyle w:val="NoSpacing"/>
        <w:numPr>
          <w:ilvl w:val="0"/>
          <w:numId w:val="49"/>
        </w:numPr>
        <w:spacing w:line="360" w:lineRule="auto"/>
        <w:jc w:val="both"/>
        <w:rPr>
          <w:rFonts w:asciiTheme="majorHAnsi" w:hAnsiTheme="majorHAnsi"/>
          <w:b/>
          <w:i/>
        </w:rPr>
      </w:pPr>
      <w:r w:rsidRPr="00E82D3B">
        <w:rPr>
          <w:rFonts w:asciiTheme="majorHAnsi" w:hAnsiTheme="majorHAnsi"/>
          <w:b/>
          <w:i/>
        </w:rPr>
        <w:t>Oxaliplatin</w:t>
      </w:r>
    </w:p>
    <w:p w14:paraId="3D73C9C8" w14:textId="7EA4A723" w:rsidR="00EB3408" w:rsidRDefault="00EB3408" w:rsidP="00BC7586">
      <w:pPr>
        <w:spacing w:line="360" w:lineRule="auto"/>
        <w:jc w:val="both"/>
        <w:rPr>
          <w:rFonts w:ascii="Calibri" w:hAnsi="Calibri"/>
        </w:rPr>
      </w:pPr>
      <w:r>
        <w:rPr>
          <w:rFonts w:ascii="Calibri" w:hAnsi="Calibri"/>
        </w:rPr>
        <w:t>Oxaliplatin is another chemotherapy drug commonly used in the clinic to treat CRC; this drug is a platinum compound that forms inter and intra strand cross links within the DNA and so prevents replication and synthesis, ultimately res</w:t>
      </w:r>
      <w:r w:rsidR="00BC7586">
        <w:rPr>
          <w:rFonts w:ascii="Calibri" w:hAnsi="Calibri"/>
        </w:rPr>
        <w:t xml:space="preserve">ulting in the death of the cell </w:t>
      </w:r>
      <w:r>
        <w:rPr>
          <w:rFonts w:ascii="Calibri" w:hAnsi="Calibri"/>
        </w:rPr>
        <w:fldChar w:fldCharType="begin"/>
      </w:r>
      <w:r>
        <w:rPr>
          <w:rFonts w:ascii="Calibri" w:hAnsi="Calibri"/>
        </w:rPr>
        <w:instrText xml:space="preserve"> ADDIN EN.CITE &lt;EndNote&gt;&lt;Cite&gt;&lt;Author&gt;Mohelnikova-Duchonova&lt;/Author&gt;&lt;Year&gt;2014&lt;/Year&gt;&lt;IDText&gt;FOLFOX/FOLFIRI pharmacogenetics: the call for a personalized approach in colorectal cancer therapy&lt;/IDText&gt;&lt;DisplayText&gt;(Mohelnikova-Duchonova et al., 2014)&lt;/DisplayText&gt;&lt;record&gt;&lt;dates&gt;&lt;pub-dates&gt;&lt;date&gt;Aug&lt;/date&gt;&lt;/pub-dates&gt;&lt;year&gt;2014&lt;/year&gt;&lt;/dates&gt;&lt;keywords&gt;&lt;keyword&gt;Antineoplastic Combined Chemotherapy Protocols&lt;/keyword&gt;&lt;keyword&gt;Biomarkers, Tumor&lt;/keyword&gt;&lt;keyword&gt;Biotransformation&lt;/keyword&gt;&lt;keyword&gt;Camptothecin&lt;/keyword&gt;&lt;keyword&gt;Colorectal Neoplasms&lt;/keyword&gt;&lt;keyword&gt;Drug Resistance, Neoplasm&lt;/keyword&gt;&lt;keyword&gt;Fluorouracil&lt;/keyword&gt;&lt;keyword&gt;Humans&lt;/keyword&gt;&lt;keyword&gt;Leucovorin&lt;/keyword&gt;&lt;keyword&gt;Organoplatinum Compounds&lt;/keyword&gt;&lt;keyword&gt;Pharmacogenetics&lt;/keyword&gt;&lt;keyword&gt;Phenotype&lt;/keyword&gt;&lt;keyword&gt;Precision Medicine&lt;/keyword&gt;&lt;keyword&gt;Treatment Outcome&lt;/keyword&gt;&lt;/keywords&gt;&lt;urls&gt;&lt;related-urls&gt;&lt;url&gt;https://www.ncbi.nlm.nih.gov/pubmed/25132748&lt;/url&gt;&lt;/related-urls&gt;&lt;/urls&gt;&lt;isbn&gt;2219-2840&lt;/isbn&gt;&lt;custom2&gt;PMC4130839&lt;/custom2&gt;&lt;titles&gt;&lt;title&gt;FOLFOX/FOLFIRI pharmacogenetics: the call for a personalized approach in colorectal cancer therapy&lt;/title&gt;&lt;secondary-title&gt;World J Gastroenterol&lt;/secondary-title&gt;&lt;/titles&gt;&lt;pages&gt;10316-30&lt;/pages&gt;&lt;number&gt;30&lt;/number&gt;&lt;contributors&gt;&lt;authors&gt;&lt;author&gt;Mohelnikova-Duchonova, B.&lt;/author&gt;&lt;author&gt;Melichar, B.&lt;/author&gt;&lt;author&gt;Soucek, P.&lt;/author&gt;&lt;/authors&gt;&lt;/contributors&gt;&lt;language&gt;eng&lt;/language&gt;&lt;added-date format="utc"&gt;1505386440&lt;/added-date&gt;&lt;ref-type name="Journal Article"&gt;17&lt;/ref-type&gt;&lt;rec-number&gt;277&lt;/rec-number&gt;&lt;last-updated-date format="utc"&gt;1505386440&lt;/last-updated-date&gt;&lt;accession-num&gt;25132748&lt;/accession-num&gt;&lt;electronic-resource-num&gt;10.3748/wjg.v20.i30.10316&lt;/electronic-resource-num&gt;&lt;volume&gt;20&lt;/volume&gt;&lt;/record&gt;&lt;/Cite&gt;&lt;/EndNote&gt;</w:instrText>
      </w:r>
      <w:r>
        <w:rPr>
          <w:rFonts w:ascii="Calibri" w:hAnsi="Calibri"/>
        </w:rPr>
        <w:fldChar w:fldCharType="separate"/>
      </w:r>
      <w:r>
        <w:rPr>
          <w:rFonts w:ascii="Calibri" w:hAnsi="Calibri"/>
          <w:noProof/>
        </w:rPr>
        <w:t>(Mohelnikova-Duchonova et al., 2014)</w:t>
      </w:r>
      <w:r>
        <w:rPr>
          <w:rFonts w:ascii="Calibri" w:hAnsi="Calibri"/>
        </w:rPr>
        <w:fldChar w:fldCharType="end"/>
      </w:r>
      <w:r>
        <w:rPr>
          <w:rFonts w:ascii="Calibri" w:hAnsi="Calibri"/>
        </w:rPr>
        <w:t xml:space="preserve">. </w:t>
      </w:r>
      <w:r w:rsidR="00B93438">
        <w:rPr>
          <w:rFonts w:ascii="Calibri" w:hAnsi="Calibri"/>
        </w:rPr>
        <w:t xml:space="preserve">Like 5-FU it appears that oxaliplatin has lower response rates in patients displaying MSI due to their defective MMR pathway and so the non-recognition of the DNA aberrations </w:t>
      </w:r>
      <w:r w:rsidR="00B93438">
        <w:rPr>
          <w:rFonts w:asciiTheme="majorHAnsi" w:hAnsiTheme="majorHAnsi"/>
        </w:rPr>
        <w:fldChar w:fldCharType="begin"/>
      </w:r>
      <w:r w:rsidR="00B93438">
        <w:rPr>
          <w:rFonts w:asciiTheme="majorHAnsi" w:hAnsiTheme="majorHAnsi"/>
        </w:rPr>
        <w:instrText xml:space="preserve"> ADDIN EN.CITE &lt;EndNote&gt;&lt;Cite&gt;&lt;Author&gt;Jo&lt;/Author&gt;&lt;Year&gt;2006&lt;/Year&gt;&lt;IDText&gt;Chemotherapeutic implications in microsatellite unstable colorectal cancer&lt;/IDText&gt;&lt;DisplayText&gt;(Jo and Carethers, 2006)&lt;/DisplayText&gt;&lt;record&gt;&lt;keywords&gt;&lt;keyword&gt;Antineoplastic Agents&lt;/keyword&gt;&lt;keyword&gt;Colorectal Neoplasms, Hereditary Nonpolyposis&lt;/keyword&gt;&lt;keyword&gt;Humans&lt;/keyword&gt;&lt;keyword&gt;Microsatellite Instability&lt;/keyword&gt;&lt;keyword&gt;Microsatellite Repeats&lt;/keyword&gt;&lt;/keywords&gt;&lt;urls&gt;&lt;related-urls&gt;&lt;url&gt;https://www.ncbi.nlm.nih.gov/pubmed/17192059&lt;/url&gt;&lt;/related-urls&gt;&lt;/urls&gt;&lt;isbn&gt;1574-0153&lt;/isbn&gt;&lt;custom2&gt;PMC4948976&lt;/custom2&gt;&lt;titles&gt;&lt;title&gt;Chemotherapeutic implications in microsatellite unstable colorectal cancer&lt;/title&gt;&lt;secondary-title&gt;Cancer Biomark&lt;/secondary-title&gt;&lt;/titles&gt;&lt;pages&gt;51-60&lt;/pages&gt;&lt;number&gt;1-2&lt;/number&gt;&lt;contributors&gt;&lt;authors&gt;&lt;author&gt;Jo, W. S.&lt;/author&gt;&lt;author&gt;Carethers, J. M.&lt;/author&gt;&lt;/authors&gt;&lt;/contributors&gt;&lt;language&gt;eng&lt;/language&gt;&lt;added-date format="utc"&gt;1523879423&lt;/added-date&gt;&lt;ref-type name="Journal Article"&gt;17&lt;/ref-type&gt;&lt;dates&gt;&lt;year&gt;2006&lt;/year&gt;&lt;/dates&gt;&lt;rec-number&gt;407&lt;/rec-number&gt;&lt;last-updated-date format="utc"&gt;1523879423&lt;/last-updated-date&gt;&lt;accession-num&gt;17192059&lt;/accession-num&gt;&lt;volume&gt;2&lt;/volume&gt;&lt;/record&gt;&lt;/Cite&gt;&lt;/EndNote&gt;</w:instrText>
      </w:r>
      <w:r w:rsidR="00B93438">
        <w:rPr>
          <w:rFonts w:asciiTheme="majorHAnsi" w:hAnsiTheme="majorHAnsi"/>
        </w:rPr>
        <w:fldChar w:fldCharType="separate"/>
      </w:r>
      <w:r w:rsidR="00B93438">
        <w:rPr>
          <w:rFonts w:asciiTheme="majorHAnsi" w:hAnsiTheme="majorHAnsi"/>
          <w:noProof/>
        </w:rPr>
        <w:t>(Jo and Carethers, 2006)</w:t>
      </w:r>
      <w:r w:rsidR="00B93438">
        <w:rPr>
          <w:rFonts w:asciiTheme="majorHAnsi" w:hAnsiTheme="majorHAnsi"/>
        </w:rPr>
        <w:fldChar w:fldCharType="end"/>
      </w:r>
      <w:r w:rsidR="00B93438">
        <w:rPr>
          <w:rFonts w:asciiTheme="majorHAnsi" w:hAnsiTheme="majorHAnsi"/>
        </w:rPr>
        <w:t>.</w:t>
      </w:r>
      <w:r w:rsidR="00B93438">
        <w:rPr>
          <w:rFonts w:ascii="Calibri" w:hAnsi="Calibri"/>
        </w:rPr>
        <w:t xml:space="preserve"> </w:t>
      </w:r>
      <w:r>
        <w:rPr>
          <w:rFonts w:ascii="Calibri" w:hAnsi="Calibri"/>
        </w:rPr>
        <w:t xml:space="preserve">The use of oxaliplatin as a single agent only gave a 10% response rate, however, much like irinotecan when it was combined with standard 5-FU plus leucovorin (known as FOLFOX) response rose as high as 20-30% </w:t>
      </w:r>
      <w:r>
        <w:rPr>
          <w:rFonts w:ascii="Calibri" w:hAnsi="Calibri"/>
        </w:rPr>
        <w:fldChar w:fldCharType="begin"/>
      </w:r>
      <w:r>
        <w:rPr>
          <w:rFonts w:ascii="Calibri" w:hAnsi="Calibri"/>
        </w:rPr>
        <w:instrText xml:space="preserve"> ADDIN EN.CITE &lt;EndNote&gt;&lt;Cite&gt;&lt;Author&gt;de Gramont&lt;/Author&gt;&lt;Year&gt;1997&lt;/Year&gt;&lt;IDText&gt;Oxaliplatin with high-dose leucovorin and 5-fluorouracil 48-hour continuous infusion in pretreated metastatic colorectal cancer&lt;/IDText&gt;&lt;DisplayText&gt;(de Gramont et al., 1997)&lt;/DisplayText&gt;&lt;record&gt;&lt;dates&gt;&lt;pub-dates&gt;&lt;date&gt;Feb&lt;/date&gt;&lt;/pub-dates&gt;&lt;year&gt;1997&lt;/year&gt;&lt;/dates&gt;&lt;keywords&gt;&lt;keyword&gt;Adenocarcinoma&lt;/keyword&gt;&lt;keyword&gt;Adolescent&lt;/keyword&gt;&lt;keyword&gt;Adult&lt;/keyword&gt;&lt;keyword&gt;Aged&lt;/keyword&gt;&lt;keyword&gt;Antineoplastic Combined Chemotherapy Protocols&lt;/keyword&gt;&lt;keyword&gt;Colonic Neoplasms&lt;/keyword&gt;&lt;keyword&gt;Drug Administration Schedule&lt;/keyword&gt;&lt;keyword&gt;Female&lt;/keyword&gt;&lt;keyword&gt;Fluorouracil&lt;/keyword&gt;&lt;keyword&gt;Humans&lt;/keyword&gt;&lt;keyword&gt;Infusions, Intravenous&lt;/keyword&gt;&lt;keyword&gt;Leucovorin&lt;/keyword&gt;&lt;keyword&gt;Male&lt;/keyword&gt;&lt;keyword&gt;Middle Aged&lt;/keyword&gt;&lt;keyword&gt;Organoplatinum Compounds&lt;/keyword&gt;&lt;keyword&gt;Rectal Neoplasms&lt;/keyword&gt;&lt;keyword&gt;Survival Rate&lt;/keyword&gt;&lt;keyword&gt;Treatment Outcome&lt;/keyword&gt;&lt;/keywords&gt;&lt;urls&gt;&lt;related-urls&gt;&lt;url&gt;https://www.ncbi.nlm.nih.gov/pubmed/9135491&lt;/url&gt;&lt;/related-urls&gt;&lt;/urls&gt;&lt;isbn&gt;0959-8049&lt;/isbn&gt;&lt;titles&gt;&lt;title&gt;Oxaliplatin with high-dose leucovorin and 5-fluorouracil 48-hour continuous infusion in pretreated metastatic colorectal cancer&lt;/title&gt;&lt;secondary-title&gt;Eur J Cancer&lt;/secondary-title&gt;&lt;/titles&gt;&lt;pages&gt;214-9&lt;/pages&gt;&lt;number&gt;2&lt;/number&gt;&lt;contributors&gt;&lt;authors&gt;&lt;author&gt;de Gramont, A.&lt;/author&gt;&lt;author&gt;Vignoud, J.&lt;/author&gt;&lt;author&gt;Tournigand, C.&lt;/author&gt;&lt;author&gt;Louvet, C.&lt;/author&gt;&lt;author&gt;André, T.&lt;/author&gt;&lt;author&gt;Varette, C.&lt;/author&gt;&lt;author&gt;Raymond, E.&lt;/author&gt;&lt;author&gt;Moreau, S.&lt;/author&gt;&lt;author&gt;Le Bail, N.&lt;/author&gt;&lt;author&gt;Krulik, M.&lt;/author&gt;&lt;/authors&gt;&lt;/contributors&gt;&lt;language&gt;eng&lt;/language&gt;&lt;added-date format="utc"&gt;1505381590&lt;/added-date&gt;&lt;ref-type name="Journal Article"&gt;17&lt;/ref-type&gt;&lt;rec-number&gt;270&lt;/rec-number&gt;&lt;last-updated-date format="utc"&gt;1505381590&lt;/last-updated-date&gt;&lt;accession-num&gt;9135491&lt;/accession-num&gt;&lt;volume&gt;33&lt;/volume&gt;&lt;/record&gt;&lt;/Cite&gt;&lt;/EndNote&gt;</w:instrText>
      </w:r>
      <w:r>
        <w:rPr>
          <w:rFonts w:ascii="Calibri" w:hAnsi="Calibri"/>
        </w:rPr>
        <w:fldChar w:fldCharType="separate"/>
      </w:r>
      <w:r>
        <w:rPr>
          <w:rFonts w:ascii="Calibri" w:hAnsi="Calibri"/>
          <w:noProof/>
        </w:rPr>
        <w:t>(de Gramont et al., 1997)</w:t>
      </w:r>
      <w:r>
        <w:rPr>
          <w:rFonts w:ascii="Calibri" w:hAnsi="Calibri"/>
        </w:rPr>
        <w:fldChar w:fldCharType="end"/>
      </w:r>
      <w:r>
        <w:rPr>
          <w:rFonts w:ascii="Calibri" w:hAnsi="Calibri"/>
        </w:rPr>
        <w:t xml:space="preserve">. In more recent years the dosing regimen has been optimised and response rates have risen, with overall survival reaching over 20 months in one study </w:t>
      </w:r>
      <w:r>
        <w:rPr>
          <w:rFonts w:ascii="Calibri" w:hAnsi="Calibri"/>
        </w:rPr>
        <w:fldChar w:fldCharType="begin">
          <w:fldData xml:space="preserve">PEVuZE5vdGU+PENpdGU+PEF1dGhvcj5Ub3VybmlnYW5kPC9BdXRob3I+PFllYXI+MjAwNDwvWWVh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</w:fldData>
        </w:fldChar>
      </w:r>
      <w:r>
        <w:rPr>
          <w:rFonts w:ascii="Calibri" w:hAnsi="Calibri"/>
        </w:rPr>
        <w:instrText xml:space="preserve"> ADDIN EN.CITE </w:instrText>
      </w:r>
      <w:r>
        <w:rPr>
          <w:rFonts w:ascii="Calibri" w:hAnsi="Calibri"/>
        </w:rPr>
        <w:fldChar w:fldCharType="begin">
          <w:fldData xml:space="preserve">PEVuZE5vdGU+PENpdGU+PEF1dGhvcj5Ub3VybmlnYW5kPC9BdXRob3I+PFllYXI+MjAwNDwvWWVh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(Tournigand et al., 2004)</w:t>
      </w:r>
      <w:r>
        <w:rPr>
          <w:rFonts w:ascii="Calibri" w:hAnsi="Calibri"/>
        </w:rPr>
        <w:fldChar w:fldCharType="end"/>
      </w:r>
      <w:r>
        <w:rPr>
          <w:rFonts w:ascii="Calibri" w:hAnsi="Calibri"/>
        </w:rPr>
        <w:t xml:space="preserve">. Again much in the same way as with irinotecan, oxaliplatin is now being tried in combination with the VEGF inhibitor </w:t>
      </w:r>
      <w:proofErr w:type="spellStart"/>
      <w:r>
        <w:rPr>
          <w:rFonts w:ascii="Calibri" w:hAnsi="Calibri"/>
        </w:rPr>
        <w:t>Bevacizumab</w:t>
      </w:r>
      <w:proofErr w:type="spellEnd"/>
      <w:r>
        <w:rPr>
          <w:rFonts w:ascii="Calibri" w:hAnsi="Calibri"/>
        </w:rPr>
        <w:t xml:space="preserve"> </w:t>
      </w:r>
      <w:r>
        <w:rPr>
          <w:rFonts w:ascii="Calibri" w:hAnsi="Calibri"/>
        </w:rPr>
        <w:fldChar w:fldCharType="begin">
          <w:fldData xml:space="preserve">PEVuZE5vdGU+PENpdGU+PEF1dGhvcj5HaWFudG9uaW88L0F1dGhvcj48WWVhcj4yMDA3PC9ZZWFy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</w:fldData>
        </w:fldChar>
      </w:r>
      <w:r>
        <w:rPr>
          <w:rFonts w:ascii="Calibri" w:hAnsi="Calibri"/>
        </w:rPr>
        <w:instrText xml:space="preserve"> ADDIN EN.CITE </w:instrText>
      </w:r>
      <w:r>
        <w:rPr>
          <w:rFonts w:ascii="Calibri" w:hAnsi="Calibri"/>
        </w:rPr>
        <w:fldChar w:fldCharType="begin">
          <w:fldData xml:space="preserve">PEVuZE5vdGU+PENpdGU+PEF1dGhvcj5HaWFudG9uaW88L0F1dGhvcj48WWVhcj4yMDA3PC9ZZWFy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(Giantonio et al., 2007)</w:t>
      </w:r>
      <w:r>
        <w:rPr>
          <w:rFonts w:ascii="Calibri" w:hAnsi="Calibri"/>
        </w:rPr>
        <w:fldChar w:fldCharType="end"/>
      </w:r>
      <w:r>
        <w:rPr>
          <w:rFonts w:ascii="Calibri" w:hAnsi="Calibri"/>
        </w:rPr>
        <w:t xml:space="preserve">, and the FOLFOX and FOLFIRI regimens are used as both first and second-line therapies depending on the response to the original treatment given in metastatic CRC </w:t>
      </w:r>
      <w:r>
        <w:rPr>
          <w:rFonts w:ascii="Calibri" w:hAnsi="Calibri"/>
        </w:rPr>
        <w:fldChar w:fldCharType="begin">
          <w:fldData xml:space="preserve">PEVuZE5vdGU+PENpdGU+PEF1dGhvcj5Hb2xkYmVyZzwvQXV0aG9yPjxZZWFyPjIwMDQ8L1llYXI+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</w:fldData>
        </w:fldChar>
      </w:r>
      <w:r>
        <w:rPr>
          <w:rFonts w:ascii="Calibri" w:hAnsi="Calibri"/>
        </w:rPr>
        <w:instrText xml:space="preserve"> ADDIN EN.CITE </w:instrText>
      </w:r>
      <w:r>
        <w:rPr>
          <w:rFonts w:ascii="Calibri" w:hAnsi="Calibri"/>
        </w:rPr>
        <w:fldChar w:fldCharType="begin">
          <w:fldData xml:space="preserve">PEVuZE5vdGU+PENpdGU+PEF1dGhvcj5Hb2xkYmVyZzwvQXV0aG9yPjxZZWFyPjIwMDQ8L1llYXI+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(Goldberg et al., 2004)</w:t>
      </w:r>
      <w:r>
        <w:rPr>
          <w:rFonts w:ascii="Calibri" w:hAnsi="Calibri"/>
        </w:rPr>
        <w:fldChar w:fldCharType="end"/>
      </w:r>
      <w:r>
        <w:rPr>
          <w:rFonts w:ascii="Calibri" w:hAnsi="Calibri"/>
        </w:rPr>
        <w:t xml:space="preserve">. Most recently it has been proposed that treatment with all three drugs at the same time (FOLFOXIRI) as first line therapy for metastatic CRC would be the most optimal, this is due to the fact that not all patients will be able to receive a second line therapy so may not get the benefit from either irinotecan or oxaliplatin, and that survival appears to be higher in patients who received all three drugs at some point during their disease course. When 5-FU, irinotecan and oxaliplatin were combined, progression free survival increased by 3 months compared to FOLFIRI, and although toxicity was slightly increased, it was still at a tolerable limit </w:t>
      </w:r>
      <w:r>
        <w:rPr>
          <w:rFonts w:ascii="Calibri" w:hAnsi="Calibri"/>
        </w:rPr>
        <w:fldChar w:fldCharType="begin">
          <w:fldData xml:space="preserve">PEVuZE5vdGU+PENpdGU+PEF1dGhvcj5GYWxjb25lPC9BdXRob3I+PFllYXI+MjAwNzwvWWVhcj48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</w:fldData>
        </w:fldChar>
      </w:r>
      <w:r>
        <w:rPr>
          <w:rFonts w:ascii="Calibri" w:hAnsi="Calibri"/>
        </w:rPr>
        <w:instrText xml:space="preserve"> ADDIN EN.CITE </w:instrText>
      </w:r>
      <w:r>
        <w:rPr>
          <w:rFonts w:ascii="Calibri" w:hAnsi="Calibri"/>
        </w:rPr>
        <w:fldChar w:fldCharType="begin">
          <w:fldData xml:space="preserve">PEVuZE5vdGU+PENpdGU+PEF1dGhvcj5GYWxjb25lPC9BdXRob3I+PFllYXI+MjAwNzwvWWVhcj48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(Falcone et al., 2007)</w:t>
      </w:r>
      <w:r>
        <w:rPr>
          <w:rFonts w:ascii="Calibri" w:hAnsi="Calibri"/>
        </w:rPr>
        <w:fldChar w:fldCharType="end"/>
      </w:r>
      <w:r>
        <w:rPr>
          <w:rFonts w:ascii="Calibri" w:hAnsi="Calibri"/>
        </w:rPr>
        <w:t xml:space="preserve">. </w:t>
      </w:r>
    </w:p>
    <w:p w14:paraId="64C4E7C9" w14:textId="77777777" w:rsidR="00F55C65" w:rsidRPr="00BC7586" w:rsidRDefault="00F55C65" w:rsidP="00BC7586">
      <w:pPr>
        <w:spacing w:line="360" w:lineRule="auto"/>
        <w:jc w:val="both"/>
        <w:rPr>
          <w:rFonts w:ascii="Calibri" w:hAnsi="Calibri"/>
        </w:rPr>
      </w:pPr>
    </w:p>
    <w:p w14:paraId="1E10E296" w14:textId="77777777" w:rsidR="00EB3408" w:rsidRPr="00E82D3B" w:rsidRDefault="00EB3408" w:rsidP="00EB3408">
      <w:pPr>
        <w:pStyle w:val="NoSpacing"/>
        <w:numPr>
          <w:ilvl w:val="0"/>
          <w:numId w:val="49"/>
        </w:numPr>
        <w:spacing w:line="360" w:lineRule="auto"/>
        <w:jc w:val="both"/>
        <w:rPr>
          <w:rFonts w:asciiTheme="majorHAnsi" w:hAnsiTheme="majorHAnsi"/>
          <w:b/>
          <w:i/>
        </w:rPr>
      </w:pPr>
      <w:r w:rsidRPr="00E82D3B">
        <w:rPr>
          <w:rFonts w:asciiTheme="majorHAnsi" w:hAnsiTheme="majorHAnsi"/>
          <w:b/>
          <w:i/>
        </w:rPr>
        <w:t>Immunotherapy</w:t>
      </w:r>
    </w:p>
    <w:p w14:paraId="511721E3" w14:textId="3AF60C61" w:rsidR="00BC7586" w:rsidRPr="00E76C2B" w:rsidRDefault="00085458" w:rsidP="00BC7586">
      <w:pPr>
        <w:pStyle w:val="NoSpacing"/>
        <w:spacing w:line="360" w:lineRule="auto"/>
        <w:jc w:val="both"/>
        <w:rPr>
          <w:rFonts w:asciiTheme="majorHAnsi" w:hAnsiTheme="majorHAnsi"/>
        </w:rPr>
      </w:pPr>
      <w:r w:rsidRPr="00E76C2B">
        <w:rPr>
          <w:rFonts w:asciiTheme="majorHAnsi" w:hAnsiTheme="majorHAnsi"/>
        </w:rPr>
        <w:t>Although response rates to the chemotherapy agents mentioned above is now at around 50%, there is still a need for further, more personalised treatment regimens</w:t>
      </w:r>
      <w:r w:rsidR="00790E48" w:rsidRPr="00E76C2B">
        <w:rPr>
          <w:rFonts w:asciiTheme="majorHAnsi" w:hAnsiTheme="majorHAnsi"/>
        </w:rPr>
        <w:t xml:space="preserve"> focusing on genetics and the tumour microenvironment</w:t>
      </w:r>
      <w:r w:rsidRPr="00E76C2B">
        <w:rPr>
          <w:rFonts w:asciiTheme="majorHAnsi" w:hAnsiTheme="majorHAnsi"/>
        </w:rPr>
        <w:t xml:space="preserve">. </w:t>
      </w:r>
      <w:r w:rsidR="00790E48" w:rsidRPr="00E76C2B">
        <w:rPr>
          <w:rFonts w:asciiTheme="majorHAnsi" w:hAnsiTheme="majorHAnsi"/>
        </w:rPr>
        <w:t xml:space="preserve">A vital component of the microenvironment both for tumour growth and </w:t>
      </w:r>
      <w:r w:rsidR="00ED2971" w:rsidRPr="00E76C2B">
        <w:rPr>
          <w:rFonts w:asciiTheme="majorHAnsi" w:hAnsiTheme="majorHAnsi"/>
        </w:rPr>
        <w:t>suppression</w:t>
      </w:r>
      <w:r w:rsidR="00790E48" w:rsidRPr="00E76C2B">
        <w:rPr>
          <w:rFonts w:asciiTheme="majorHAnsi" w:hAnsiTheme="majorHAnsi"/>
        </w:rPr>
        <w:t xml:space="preserve"> of cancer is the immune system. </w:t>
      </w:r>
      <w:r w:rsidRPr="00E76C2B">
        <w:rPr>
          <w:rFonts w:asciiTheme="majorHAnsi" w:hAnsiTheme="majorHAnsi"/>
        </w:rPr>
        <w:t>Therefore, immunotherapy treatments are coming to the forefront of cancer r</w:t>
      </w:r>
      <w:r w:rsidR="00ED2971" w:rsidRPr="00E76C2B">
        <w:rPr>
          <w:rFonts w:asciiTheme="majorHAnsi" w:hAnsiTheme="majorHAnsi"/>
        </w:rPr>
        <w:t xml:space="preserve">esearch. </w:t>
      </w:r>
      <w:proofErr w:type="gramStart"/>
      <w:r w:rsidR="00ED2971" w:rsidRPr="00E76C2B">
        <w:rPr>
          <w:rFonts w:asciiTheme="majorHAnsi" w:hAnsiTheme="majorHAnsi"/>
        </w:rPr>
        <w:t>Im</w:t>
      </w:r>
      <w:r w:rsidR="00942A11" w:rsidRPr="00E76C2B">
        <w:rPr>
          <w:rFonts w:asciiTheme="majorHAnsi" w:hAnsiTheme="majorHAnsi"/>
        </w:rPr>
        <w:t>munotherapies aid in eradication of</w:t>
      </w:r>
      <w:r w:rsidR="00ED2971" w:rsidRPr="00E76C2B">
        <w:rPr>
          <w:rFonts w:asciiTheme="majorHAnsi" w:hAnsiTheme="majorHAnsi"/>
        </w:rPr>
        <w:t xml:space="preserve"> tumours </w:t>
      </w:r>
      <w:r w:rsidR="00A57C28">
        <w:rPr>
          <w:rFonts w:asciiTheme="majorHAnsi" w:hAnsiTheme="majorHAnsi"/>
        </w:rPr>
        <w:t>through the</w:t>
      </w:r>
      <w:r w:rsidR="00ED2971" w:rsidRPr="00E76C2B">
        <w:rPr>
          <w:rFonts w:asciiTheme="majorHAnsi" w:hAnsiTheme="majorHAnsi"/>
        </w:rPr>
        <w:t xml:space="preserve"> recognition of specific </w:t>
      </w:r>
      <w:r w:rsidR="00BB3FAC" w:rsidRPr="00E76C2B">
        <w:rPr>
          <w:rFonts w:asciiTheme="majorHAnsi" w:hAnsiTheme="majorHAnsi"/>
        </w:rPr>
        <w:t>antigens, culminating in an</w:t>
      </w:r>
      <w:r w:rsidR="00ED2971" w:rsidRPr="00E76C2B">
        <w:rPr>
          <w:rFonts w:asciiTheme="majorHAnsi" w:hAnsiTheme="majorHAnsi"/>
        </w:rPr>
        <w:t xml:space="preserve"> immune response.</w:t>
      </w:r>
      <w:proofErr w:type="gramEnd"/>
      <w:r w:rsidR="00ED2971" w:rsidRPr="00E76C2B">
        <w:rPr>
          <w:rFonts w:asciiTheme="majorHAnsi" w:hAnsiTheme="majorHAnsi"/>
        </w:rPr>
        <w:t xml:space="preserve"> </w:t>
      </w:r>
      <w:r w:rsidR="00BB3FAC" w:rsidRPr="00E76C2B">
        <w:rPr>
          <w:rFonts w:asciiTheme="majorHAnsi" w:hAnsiTheme="majorHAnsi"/>
        </w:rPr>
        <w:t>Types of treatments in this field include active cancer vaccines, which enhance the immune response by inducing tumour specific antigens as the target, and passive adoptive cell therapy where immune effectors are transplanted into the patient instead of activating their own</w:t>
      </w:r>
      <w:r w:rsidR="00942A11" w:rsidRPr="00E76C2B">
        <w:rPr>
          <w:rFonts w:asciiTheme="majorHAnsi" w:hAnsiTheme="majorHAnsi"/>
        </w:rPr>
        <w:t xml:space="preserve"> </w:t>
      </w:r>
      <w:r w:rsidR="00942A11" w:rsidRPr="00E76C2B">
        <w:rPr>
          <w:rFonts w:asciiTheme="majorHAnsi" w:hAnsiTheme="majorHAnsi"/>
        </w:rPr>
        <w:fldChar w:fldCharType="begin"/>
      </w:r>
      <w:r w:rsidR="00942A11" w:rsidRPr="00E76C2B">
        <w:rPr>
          <w:rFonts w:asciiTheme="majorHAnsi" w:hAnsiTheme="majorHAnsi"/>
        </w:rPr>
        <w:instrText xml:space="preserve"> ADDIN EN.CITE &lt;EndNote&gt;&lt;Cite&gt;&lt;Author&gt;Xiang&lt;/Author&gt;&lt;Year&gt;2013&lt;/Year&gt;&lt;IDText&gt;Colorectal cancer immunotherapy&lt;/IDText&gt;&lt;DisplayText&gt;(Xiang et al., 2013)&lt;/DisplayText&gt;&lt;record&gt;&lt;dates&gt;&lt;pub-dates&gt;&lt;date&gt;May&lt;/date&gt;&lt;/pub-dates&gt;&lt;year&gt;2013&lt;/year&gt;&lt;/dates&gt;&lt;keywords&gt;&lt;keyword&gt;Antigens, Neoplasm&lt;/keyword&gt;&lt;keyword&gt;Cancer Vaccines&lt;/keyword&gt;&lt;keyword&gt;Colorectal Neoplasms&lt;/keyword&gt;&lt;keyword&gt;Humans&lt;/keyword&gt;&lt;keyword&gt;Immunotherapy&lt;/keyword&gt;&lt;keyword&gt;Immunotherapy, Adoptive&lt;/keyword&gt;&lt;keyword&gt;Vaccines, DNA&lt;/keyword&gt;&lt;/keywords&gt;&lt;urls&gt;&lt;related-urls&gt;&lt;url&gt;https://www.ncbi.nlm.nih.gov/pubmed/23725603&lt;/url&gt;&lt;/related-urls&gt;&lt;/urls&gt;&lt;isbn&gt;1944-7930&lt;/isbn&gt;&lt;custom2&gt;PMC4042089&lt;/custom2&gt;&lt;titles&gt;&lt;title&gt;Colorectal cancer immunotherapy&lt;/title&gt;&lt;secondary-title&gt;Discov Med&lt;/secondary-title&gt;&lt;/titles&gt;&lt;pages&gt;301-8&lt;/pages&gt;&lt;number&gt;84&lt;/number&gt;&lt;contributors&gt;&lt;authors&gt;&lt;author&gt;Xiang, B.&lt;/author&gt;&lt;author&gt;Snook, A. E.&lt;/author&gt;&lt;author&gt;Magee, M. S.&lt;/author&gt;&lt;author&gt;Waldman, S. A.&lt;/author&gt;&lt;/authors&gt;&lt;/contributors&gt;&lt;language&gt;eng&lt;/language&gt;&lt;added-date format="utc"&gt;1523540934&lt;/added-date&gt;&lt;ref-type name="Journal Article"&gt;17&lt;/ref-type&gt;&lt;rec-number&gt;405&lt;/rec-number&gt;&lt;last-updated-date format="utc"&gt;1523540934&lt;/last-updated-date&gt;&lt;accession-num&gt;23725603&lt;/accession-num&gt;&lt;volume&gt;15&lt;/volume&gt;&lt;/record&gt;&lt;/Cite&gt;&lt;/EndNote&gt;</w:instrText>
      </w:r>
      <w:r w:rsidR="00942A11" w:rsidRPr="00E76C2B">
        <w:rPr>
          <w:rFonts w:asciiTheme="majorHAnsi" w:hAnsiTheme="majorHAnsi"/>
        </w:rPr>
        <w:fldChar w:fldCharType="separate"/>
      </w:r>
      <w:r w:rsidR="00942A11" w:rsidRPr="00E76C2B">
        <w:rPr>
          <w:rFonts w:asciiTheme="majorHAnsi" w:hAnsiTheme="majorHAnsi"/>
          <w:noProof/>
        </w:rPr>
        <w:t>(Xiang et al., 2013)</w:t>
      </w:r>
      <w:r w:rsidR="00942A11" w:rsidRPr="00E76C2B">
        <w:rPr>
          <w:rFonts w:asciiTheme="majorHAnsi" w:hAnsiTheme="majorHAnsi"/>
        </w:rPr>
        <w:fldChar w:fldCharType="end"/>
      </w:r>
      <w:r w:rsidR="00BB3FAC" w:rsidRPr="00E76C2B">
        <w:rPr>
          <w:rFonts w:asciiTheme="majorHAnsi" w:hAnsiTheme="majorHAnsi"/>
        </w:rPr>
        <w:t xml:space="preserve">. </w:t>
      </w:r>
    </w:p>
    <w:p w14:paraId="41F858A8" w14:textId="77777777" w:rsidR="00085458" w:rsidRPr="00E76C2B" w:rsidRDefault="00085458" w:rsidP="00BC7586">
      <w:pPr>
        <w:pStyle w:val="NoSpacing"/>
        <w:spacing w:line="360" w:lineRule="auto"/>
        <w:jc w:val="both"/>
        <w:rPr>
          <w:rFonts w:asciiTheme="majorHAnsi" w:hAnsiTheme="majorHAnsi"/>
        </w:rPr>
      </w:pPr>
    </w:p>
    <w:p w14:paraId="6F6DF2CE" w14:textId="041AC6FB" w:rsidR="00085458" w:rsidRPr="00E76C2B" w:rsidRDefault="00942A11" w:rsidP="00BC7586">
      <w:pPr>
        <w:pStyle w:val="NoSpacing"/>
        <w:spacing w:line="360" w:lineRule="auto"/>
        <w:jc w:val="both"/>
        <w:rPr>
          <w:rFonts w:asciiTheme="majorHAnsi" w:hAnsiTheme="majorHAnsi"/>
        </w:rPr>
      </w:pPr>
      <w:r w:rsidRPr="00E76C2B">
        <w:rPr>
          <w:rFonts w:asciiTheme="majorHAnsi" w:hAnsiTheme="majorHAnsi"/>
        </w:rPr>
        <w:t xml:space="preserve">CRC has the ability to evade the </w:t>
      </w:r>
      <w:r w:rsidR="00750E60" w:rsidRPr="00E76C2B">
        <w:rPr>
          <w:rFonts w:asciiTheme="majorHAnsi" w:hAnsiTheme="majorHAnsi"/>
        </w:rPr>
        <w:t>body’s</w:t>
      </w:r>
      <w:r w:rsidRPr="00E76C2B">
        <w:rPr>
          <w:rFonts w:asciiTheme="majorHAnsi" w:hAnsiTheme="majorHAnsi"/>
        </w:rPr>
        <w:t xml:space="preserve"> normal immune system response by </w:t>
      </w:r>
      <w:r w:rsidR="00750E60" w:rsidRPr="00E76C2B">
        <w:rPr>
          <w:rFonts w:asciiTheme="majorHAnsi" w:hAnsiTheme="majorHAnsi"/>
        </w:rPr>
        <w:t>releasing immunosuppressive and pro-tumourigenic factors such as TGF-</w:t>
      </w:r>
      <w:r w:rsidR="00750E60" w:rsidRPr="00E76C2B">
        <w:rPr>
          <w:rFonts w:ascii="Calibri" w:hAnsi="Calibri"/>
        </w:rPr>
        <w:t xml:space="preserve">β and IL-6 to create an inflammatory environment and harnessing anti-immune response cells such as myeloid derived suppressor cells </w:t>
      </w:r>
      <w:r w:rsidR="00750E60" w:rsidRPr="00E76C2B">
        <w:rPr>
          <w:rFonts w:ascii="Calibri" w:hAnsi="Calibri"/>
        </w:rPr>
        <w:fldChar w:fldCharType="begin"/>
      </w:r>
      <w:r w:rsidR="00750E60" w:rsidRPr="00E76C2B">
        <w:rPr>
          <w:rFonts w:ascii="Calibri" w:hAnsi="Calibri"/>
        </w:rPr>
        <w:instrText xml:space="preserve"> ADDIN EN.CITE &lt;EndNote&gt;&lt;Cite&gt;&lt;Author&gt;Arora&lt;/Author&gt;&lt;Year&gt;2018&lt;/Year&gt;&lt;IDText&gt;Immunotherapy in colorectal cancer: for the select few or all?&lt;/IDText&gt;&lt;DisplayText&gt;(Arora and Mahalingam, 2018)&lt;/DisplayText&gt;&lt;record&gt;&lt;dates&gt;&lt;pub-dates&gt;&lt;date&gt;Feb&lt;/date&gt;&lt;/pub-dates&gt;&lt;year&gt;2018&lt;/year&gt;&lt;/dates&gt;&lt;keywords&gt;&lt;keyword&gt;Colorectal cancer (CRC)&lt;/keyword&gt;&lt;keyword&gt;checkpoint inhibition&lt;/keyword&gt;&lt;keyword&gt;immunotherapy&lt;/keyword&gt;&lt;keyword&gt;mismatch repair&lt;/keyword&gt;&lt;keyword&gt;programmed death-1 (PD-1)&lt;/keyword&gt;&lt;/keywords&gt;&lt;urls&gt;&lt;related-urls&gt;&lt;url&gt;https://www.ncbi.nlm.nih.gov/pubmed/29564183&lt;/url&gt;&lt;/related-urls&gt;&lt;/urls&gt;&lt;isbn&gt;2078-6891&lt;/isbn&gt;&lt;custom2&gt;PMC5848030&lt;/custom2&gt;&lt;titles&gt;&lt;title&gt;Immunotherapy in colorectal cancer: for the select few or all?&lt;/title&gt;&lt;secondary-title&gt;J Gastrointest Oncol&lt;/secondary-title&gt;&lt;/titles&gt;&lt;pages&gt;170-179&lt;/pages&gt;&lt;number&gt;1&lt;/number&gt;&lt;contributors&gt;&lt;authors&gt;&lt;author&gt;Arora, S. P.&lt;/author&gt;&lt;author&gt;Mahalingam, D.&lt;/author&gt;&lt;/authors&gt;&lt;/contributors&gt;&lt;language&gt;eng&lt;/language&gt;&lt;added-date format="utc"&gt;1523541647&lt;/added-date&gt;&lt;ref-type name="Journal Article"&gt;17&lt;/ref-type&gt;&lt;rec-number&gt;406&lt;/rec-number&gt;&lt;last-updated-date format="utc"&gt;1523541647&lt;/last-updated-date&gt;&lt;accession-num&gt;29564183&lt;/accession-num&gt;&lt;electronic-resource-num&gt;10.21037/jgo.2017.06.10&lt;/electronic-resource-num&gt;&lt;volume&gt;9&lt;/volume&gt;&lt;/record&gt;&lt;/Cite&gt;&lt;/EndNote&gt;</w:instrText>
      </w:r>
      <w:r w:rsidR="00750E60" w:rsidRPr="00E76C2B">
        <w:rPr>
          <w:rFonts w:ascii="Calibri" w:hAnsi="Calibri"/>
        </w:rPr>
        <w:fldChar w:fldCharType="separate"/>
      </w:r>
      <w:r w:rsidR="00750E60" w:rsidRPr="00E76C2B">
        <w:rPr>
          <w:rFonts w:ascii="Calibri" w:hAnsi="Calibri"/>
          <w:noProof/>
        </w:rPr>
        <w:t>(Arora and Mahalingam, 2018)</w:t>
      </w:r>
      <w:r w:rsidR="00750E60" w:rsidRPr="00E76C2B">
        <w:rPr>
          <w:rFonts w:ascii="Calibri" w:hAnsi="Calibri"/>
        </w:rPr>
        <w:fldChar w:fldCharType="end"/>
      </w:r>
      <w:r w:rsidR="00750E60" w:rsidRPr="00E76C2B">
        <w:rPr>
          <w:rFonts w:asciiTheme="majorHAnsi" w:hAnsiTheme="majorHAnsi"/>
        </w:rPr>
        <w:t xml:space="preserve">. However, in </w:t>
      </w:r>
      <w:r w:rsidR="00085458" w:rsidRPr="00E76C2B">
        <w:rPr>
          <w:rFonts w:asciiTheme="majorHAnsi" w:hAnsiTheme="majorHAnsi"/>
        </w:rPr>
        <w:t xml:space="preserve">MSI tumours </w:t>
      </w:r>
      <w:r w:rsidR="00750E60" w:rsidRPr="00E76C2B">
        <w:rPr>
          <w:rFonts w:asciiTheme="majorHAnsi" w:hAnsiTheme="majorHAnsi"/>
        </w:rPr>
        <w:t xml:space="preserve">it has been noted that there is an influx of tumour infiltrating lymphocytes (TILs), specifically cytotoxic CD8+, and these are an indicator of good prognosis. MSI tumours </w:t>
      </w:r>
      <w:r w:rsidR="00085458" w:rsidRPr="00E76C2B">
        <w:rPr>
          <w:rFonts w:asciiTheme="majorHAnsi" w:hAnsiTheme="majorHAnsi"/>
        </w:rPr>
        <w:t>often contain multiple point m</w:t>
      </w:r>
      <w:r w:rsidR="00ED2971" w:rsidRPr="00E76C2B">
        <w:rPr>
          <w:rFonts w:asciiTheme="majorHAnsi" w:hAnsiTheme="majorHAnsi"/>
        </w:rPr>
        <w:t xml:space="preserve">utations and frame shifts, </w:t>
      </w:r>
      <w:r w:rsidR="00790E48" w:rsidRPr="00E76C2B">
        <w:rPr>
          <w:rFonts w:asciiTheme="majorHAnsi" w:hAnsiTheme="majorHAnsi"/>
        </w:rPr>
        <w:t xml:space="preserve">this hypermutator phenotype </w:t>
      </w:r>
      <w:r w:rsidR="00085458" w:rsidRPr="00E76C2B">
        <w:rPr>
          <w:rFonts w:asciiTheme="majorHAnsi" w:hAnsiTheme="majorHAnsi"/>
        </w:rPr>
        <w:t xml:space="preserve">can trigger a T-cell immune response, due to the change in amino acid sequence and the </w:t>
      </w:r>
      <w:r w:rsidR="00790E48" w:rsidRPr="00E76C2B">
        <w:rPr>
          <w:rFonts w:asciiTheme="majorHAnsi" w:hAnsiTheme="majorHAnsi"/>
        </w:rPr>
        <w:t xml:space="preserve">presentation of this </w:t>
      </w:r>
      <w:r w:rsidR="00085458" w:rsidRPr="00E76C2B">
        <w:rPr>
          <w:rFonts w:asciiTheme="majorHAnsi" w:hAnsiTheme="majorHAnsi"/>
        </w:rPr>
        <w:t>neoantigen</w:t>
      </w:r>
      <w:r w:rsidR="00790E48" w:rsidRPr="00E76C2B">
        <w:rPr>
          <w:rFonts w:asciiTheme="majorHAnsi" w:hAnsiTheme="majorHAnsi"/>
        </w:rPr>
        <w:t xml:space="preserve"> </w:t>
      </w:r>
      <w:r w:rsidR="00ED2971" w:rsidRPr="00E76C2B">
        <w:rPr>
          <w:rFonts w:asciiTheme="majorHAnsi" w:hAnsiTheme="majorHAnsi"/>
        </w:rPr>
        <w:t>via the tumours major histocompatibility complex (MHC)</w:t>
      </w:r>
      <w:r w:rsidR="00A07575" w:rsidRPr="00E76C2B">
        <w:rPr>
          <w:rFonts w:asciiTheme="majorHAnsi" w:hAnsiTheme="majorHAnsi"/>
        </w:rPr>
        <w:t xml:space="preserve"> </w:t>
      </w:r>
      <w:r w:rsidR="00A07575" w:rsidRPr="00E76C2B">
        <w:rPr>
          <w:rFonts w:asciiTheme="majorHAnsi" w:hAnsiTheme="majorHAnsi"/>
        </w:rPr>
        <w:fldChar w:fldCharType="begin"/>
      </w:r>
      <w:r w:rsidR="00A07575" w:rsidRPr="00E76C2B">
        <w:rPr>
          <w:rFonts w:asciiTheme="majorHAnsi" w:hAnsiTheme="majorHAnsi"/>
        </w:rPr>
        <w:instrText xml:space="preserve"> ADDIN EN.CITE &lt;EndNote&gt;&lt;Cite&gt;&lt;Author&gt;Kather&lt;/Author&gt;&lt;Year&gt;2018&lt;/Year&gt;&lt;IDText&gt;Genomics and emerging biomarkers for immunotherapy of colorectal cancer&lt;/IDText&gt;&lt;DisplayText&gt;(Kather et al., 2018)&lt;/DisplayText&gt;&lt;record&gt;&lt;dates&gt;&lt;pub-dates&gt;&lt;date&gt;Mar&lt;/date&gt;&lt;/pub-dates&gt;&lt;year&gt;2018&lt;/year&gt;&lt;/dates&gt;&lt;keywords&gt;&lt;keyword&gt;Biomarker&lt;/keyword&gt;&lt;keyword&gt;Clinical trials&lt;/keyword&gt;&lt;keyword&gt;Colorectal cancer&lt;/keyword&gt;&lt;keyword&gt;Genomics&lt;/keyword&gt;&lt;keyword&gt;Immunotherapy&lt;/keyword&gt;&lt;keyword&gt;Personalized medicine&lt;/keyword&gt;&lt;keyword&gt;Tumor microenvironment&lt;/keyword&gt;&lt;/keywords&gt;&lt;urls&gt;&lt;related-urls&gt;&lt;url&gt;https://www.ncbi.nlm.nih.gov/pubmed/29501787&lt;/url&gt;&lt;/related-urls&gt;&lt;/urls&gt;&lt;isbn&gt;1096-3650&lt;/isbn&gt;&lt;titles&gt;&lt;title&gt;Genomics and emerging biomarkers for immunotherapy of colorectal cancer&lt;/title&gt;&lt;secondary-title&gt;Semin Cancer Biol&lt;/secondary-title&gt;&lt;/titles&gt;&lt;contributors&gt;&lt;authors&gt;&lt;author&gt;Kather, J. N.&lt;/author&gt;&lt;author&gt;Halama, N.&lt;/author&gt;&lt;author&gt;Jaeger, D.&lt;/author&gt;&lt;/authors&gt;&lt;/contributors&gt;&lt;edition&gt;2018/03/01&lt;/edition&gt;&lt;language&gt;eng&lt;/language&gt;&lt;added-date format="utc"&gt;1523526048&lt;/added-date&gt;&lt;ref-type name="Journal Article"&gt;17&lt;/ref-type&gt;&lt;rec-number&gt;401&lt;/rec-number&gt;&lt;last-updated-date format="utc"&gt;1523526048&lt;/last-updated-date&gt;&lt;accession-num&gt;29501787&lt;/accession-num&gt;&lt;electronic-resource-num&gt;10.1016/j.semcancer.2018.02.010&lt;/electronic-resource-num&gt;&lt;/record&gt;&lt;/Cite&gt;&lt;/EndNote&gt;</w:instrText>
      </w:r>
      <w:r w:rsidR="00A07575" w:rsidRPr="00E76C2B">
        <w:rPr>
          <w:rFonts w:asciiTheme="majorHAnsi" w:hAnsiTheme="majorHAnsi"/>
        </w:rPr>
        <w:fldChar w:fldCharType="separate"/>
      </w:r>
      <w:r w:rsidR="00A07575" w:rsidRPr="00E76C2B">
        <w:rPr>
          <w:rFonts w:asciiTheme="majorHAnsi" w:hAnsiTheme="majorHAnsi"/>
          <w:noProof/>
        </w:rPr>
        <w:t>(Kather et al., 2018)</w:t>
      </w:r>
      <w:r w:rsidR="00A07575" w:rsidRPr="00E76C2B">
        <w:rPr>
          <w:rFonts w:asciiTheme="majorHAnsi" w:hAnsiTheme="majorHAnsi"/>
        </w:rPr>
        <w:fldChar w:fldCharType="end"/>
      </w:r>
      <w:r w:rsidR="0004184B" w:rsidRPr="00E76C2B">
        <w:rPr>
          <w:rFonts w:asciiTheme="majorHAnsi" w:hAnsiTheme="majorHAnsi"/>
        </w:rPr>
        <w:t xml:space="preserve">. </w:t>
      </w:r>
      <w:r w:rsidR="00750E60" w:rsidRPr="00E76C2B">
        <w:rPr>
          <w:rFonts w:asciiTheme="majorHAnsi" w:hAnsiTheme="majorHAnsi"/>
        </w:rPr>
        <w:t>Nevertheless</w:t>
      </w:r>
      <w:r w:rsidR="0004184B" w:rsidRPr="00E76C2B">
        <w:rPr>
          <w:rFonts w:asciiTheme="majorHAnsi" w:hAnsiTheme="majorHAnsi"/>
        </w:rPr>
        <w:t xml:space="preserve">, </w:t>
      </w:r>
      <w:r w:rsidR="00A57C28">
        <w:rPr>
          <w:rFonts w:asciiTheme="majorHAnsi" w:hAnsiTheme="majorHAnsi"/>
        </w:rPr>
        <w:t>th</w:t>
      </w:r>
      <w:r w:rsidR="0004184B" w:rsidRPr="00E76C2B">
        <w:rPr>
          <w:rFonts w:asciiTheme="majorHAnsi" w:hAnsiTheme="majorHAnsi"/>
        </w:rPr>
        <w:t xml:space="preserve">is </w:t>
      </w:r>
      <w:r w:rsidR="00A57C28">
        <w:rPr>
          <w:rFonts w:asciiTheme="majorHAnsi" w:hAnsiTheme="majorHAnsi"/>
        </w:rPr>
        <w:t>does not</w:t>
      </w:r>
      <w:r w:rsidR="0004184B" w:rsidRPr="00E76C2B">
        <w:rPr>
          <w:rFonts w:asciiTheme="majorHAnsi" w:hAnsiTheme="majorHAnsi"/>
        </w:rPr>
        <w:t xml:space="preserve"> necessarily mean that the tumour will be eradicated by the immune system, due to cancer cells having escape mechanisms such as </w:t>
      </w:r>
      <w:r w:rsidR="00C2790F" w:rsidRPr="00E76C2B">
        <w:rPr>
          <w:rFonts w:asciiTheme="majorHAnsi" w:hAnsiTheme="majorHAnsi"/>
        </w:rPr>
        <w:t xml:space="preserve">co-inhibitory molecules </w:t>
      </w:r>
      <w:r w:rsidR="0004184B" w:rsidRPr="00E76C2B">
        <w:rPr>
          <w:rFonts w:asciiTheme="majorHAnsi" w:hAnsiTheme="majorHAnsi"/>
        </w:rPr>
        <w:t>like PD</w:t>
      </w:r>
      <w:r w:rsidR="001510CB" w:rsidRPr="00E76C2B">
        <w:rPr>
          <w:rFonts w:asciiTheme="majorHAnsi" w:hAnsiTheme="majorHAnsi"/>
        </w:rPr>
        <w:t>-L</w:t>
      </w:r>
      <w:r w:rsidR="0004184B" w:rsidRPr="00E76C2B">
        <w:rPr>
          <w:rFonts w:asciiTheme="majorHAnsi" w:hAnsiTheme="majorHAnsi"/>
        </w:rPr>
        <w:t>1, CTLA4 and IDO</w:t>
      </w:r>
      <w:r w:rsidR="00790E48" w:rsidRPr="00E76C2B">
        <w:rPr>
          <w:rFonts w:asciiTheme="majorHAnsi" w:hAnsiTheme="majorHAnsi"/>
        </w:rPr>
        <w:t xml:space="preserve"> </w:t>
      </w:r>
      <w:r w:rsidR="00790E48" w:rsidRPr="00E76C2B">
        <w:rPr>
          <w:rFonts w:asciiTheme="majorHAnsi" w:hAnsiTheme="majorHAnsi"/>
        </w:rPr>
        <w:fldChar w:fldCharType="begin">
          <w:fldData xml:space="preserve">PEVuZE5vdGU+PENpdGU+PEF1dGhvcj5MbG9zYTwvQXV0aG9yPjxZZWFyPjIwMTU8L1llYXI+PElE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</w:fldData>
        </w:fldChar>
      </w:r>
      <w:r w:rsidR="00790E48" w:rsidRPr="00E76C2B">
        <w:rPr>
          <w:rFonts w:asciiTheme="majorHAnsi" w:hAnsiTheme="majorHAnsi"/>
        </w:rPr>
        <w:instrText xml:space="preserve"> ADDIN EN.CITE </w:instrText>
      </w:r>
      <w:r w:rsidR="00790E48" w:rsidRPr="00E76C2B">
        <w:rPr>
          <w:rFonts w:asciiTheme="majorHAnsi" w:hAnsiTheme="majorHAnsi"/>
        </w:rPr>
        <w:fldChar w:fldCharType="begin">
          <w:fldData xml:space="preserve">PEVuZE5vdGU+PENpdGU+PEF1dGhvcj5MbG9zYTwvQXV0aG9yPjxZZWFyPjIwMTU8L1llYXI+PElE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</w:fldData>
        </w:fldChar>
      </w:r>
      <w:r w:rsidR="00790E48" w:rsidRPr="00E76C2B">
        <w:rPr>
          <w:rFonts w:asciiTheme="majorHAnsi" w:hAnsiTheme="majorHAnsi"/>
        </w:rPr>
        <w:instrText xml:space="preserve"> ADDIN EN.CITE.DATA </w:instrText>
      </w:r>
      <w:r w:rsidR="00790E48" w:rsidRPr="00E76C2B">
        <w:rPr>
          <w:rFonts w:asciiTheme="majorHAnsi" w:hAnsiTheme="majorHAnsi"/>
        </w:rPr>
      </w:r>
      <w:r w:rsidR="00790E48" w:rsidRPr="00E76C2B">
        <w:rPr>
          <w:rFonts w:asciiTheme="majorHAnsi" w:hAnsiTheme="majorHAnsi"/>
        </w:rPr>
        <w:fldChar w:fldCharType="end"/>
      </w:r>
      <w:r w:rsidR="00790E48" w:rsidRPr="00E76C2B">
        <w:rPr>
          <w:rFonts w:asciiTheme="majorHAnsi" w:hAnsiTheme="majorHAnsi"/>
        </w:rPr>
      </w:r>
      <w:r w:rsidR="00790E48" w:rsidRPr="00E76C2B">
        <w:rPr>
          <w:rFonts w:asciiTheme="majorHAnsi" w:hAnsiTheme="majorHAnsi"/>
        </w:rPr>
        <w:fldChar w:fldCharType="separate"/>
      </w:r>
      <w:r w:rsidR="00790E48" w:rsidRPr="00E76C2B">
        <w:rPr>
          <w:rFonts w:asciiTheme="majorHAnsi" w:hAnsiTheme="majorHAnsi"/>
          <w:noProof/>
        </w:rPr>
        <w:t>(Llosa et al., 2015)</w:t>
      </w:r>
      <w:r w:rsidR="00790E48" w:rsidRPr="00E76C2B">
        <w:rPr>
          <w:rFonts w:asciiTheme="majorHAnsi" w:hAnsiTheme="majorHAnsi"/>
        </w:rPr>
        <w:fldChar w:fldCharType="end"/>
      </w:r>
      <w:r w:rsidR="0004184B" w:rsidRPr="00E76C2B">
        <w:rPr>
          <w:rFonts w:asciiTheme="majorHAnsi" w:hAnsiTheme="majorHAnsi"/>
        </w:rPr>
        <w:t xml:space="preserve">. </w:t>
      </w:r>
      <w:r w:rsidR="00ED2971" w:rsidRPr="00E76C2B">
        <w:rPr>
          <w:rFonts w:asciiTheme="majorHAnsi" w:hAnsiTheme="majorHAnsi"/>
        </w:rPr>
        <w:t>MSI tumours express these genes at much higher levels than MSS tumours. This is thought to be due to their activation by interferon (IFN-</w:t>
      </w:r>
      <w:r w:rsidR="00ED2971" w:rsidRPr="00E76C2B">
        <w:rPr>
          <w:rFonts w:ascii="Calibri" w:hAnsi="Calibri"/>
        </w:rPr>
        <w:t>γ</w:t>
      </w:r>
      <w:r w:rsidR="00ED2971" w:rsidRPr="00E76C2B">
        <w:rPr>
          <w:rFonts w:asciiTheme="majorHAnsi" w:hAnsiTheme="majorHAnsi"/>
        </w:rPr>
        <w:t xml:space="preserve">), which is up regulated by the increase in TILs </w:t>
      </w:r>
      <w:r w:rsidR="00ED2971" w:rsidRPr="00E76C2B">
        <w:rPr>
          <w:rFonts w:asciiTheme="majorHAnsi" w:hAnsiTheme="majorHAnsi"/>
        </w:rPr>
        <w:fldChar w:fldCharType="begin"/>
      </w:r>
      <w:r w:rsidR="00ED2971" w:rsidRPr="00E76C2B">
        <w:rPr>
          <w:rFonts w:asciiTheme="majorHAnsi" w:hAnsiTheme="majorHAnsi"/>
        </w:rPr>
        <w:instrText xml:space="preserve"> ADDIN EN.CITE &lt;EndNote&gt;&lt;Cite&gt;&lt;Author&gt;Lee&lt;/Author&gt;&lt;Year&gt;2016&lt;/Year&gt;&lt;IDText&gt;Mismatch Repair Deficiency and Response to Immune Checkpoint Blockade&lt;/IDText&gt;&lt;DisplayText&gt;(Lee et al., 2016)&lt;/DisplayText&gt;&lt;record&gt;&lt;dates&gt;&lt;pub-dates&gt;&lt;date&gt;10&lt;/date&gt;&lt;/pub-dates&gt;&lt;year&gt;2016&lt;/year&gt;&lt;/dates&gt;&lt;keywords&gt;&lt;keyword&gt;DNA Mismatch Repair&lt;/keyword&gt;&lt;keyword&gt;Humans&lt;/keyword&gt;&lt;keyword&gt;Immunotherapy&lt;/keyword&gt;&lt;keyword&gt;Microsatellite Instability&lt;/keyword&gt;&lt;keyword&gt;Neoplasms&lt;/keyword&gt;&lt;keyword&gt;Programmed Cell Death 1 Receptor&lt;/keyword&gt;&lt;keyword&gt;Colonic neoplasms&lt;/keyword&gt;&lt;keyword&gt;Colorectal neoplasms&lt;/keyword&gt;&lt;keyword&gt;DNA mismatch repair&lt;/keyword&gt;&lt;keyword&gt;Hereditary nonpolyposis&lt;/keyword&gt;&lt;keyword&gt;Immunotherapy&lt;/keyword&gt;&lt;keyword&gt;Microsatellite instability&lt;/keyword&gt;&lt;/keywords&gt;&lt;urls&gt;&lt;related-urls&gt;&lt;url&gt;https://www.ncbi.nlm.nih.gov/pubmed/27412392&lt;/url&gt;&lt;/related-urls&gt;&lt;/urls&gt;&lt;isbn&gt;1549-490X&lt;/isbn&gt;&lt;custom2&gt;PMC5061538&lt;/custom2&gt;&lt;titles&gt;&lt;title&gt;Mismatch Repair Deficiency and Response to Immune Checkpoint Blockade&lt;/title&gt;&lt;secondary-title&gt;Oncologist&lt;/secondary-title&gt;&lt;/titles&gt;&lt;pages&gt;1200-1211&lt;/pages&gt;&lt;number&gt;10&lt;/number&gt;&lt;contributors&gt;&lt;authors&gt;&lt;author&gt;Lee, V.&lt;/author&gt;&lt;author&gt;Murphy, A.&lt;/author&gt;&lt;author&gt;Le, D. T.&lt;/author&gt;&lt;author&gt;Diaz, L. A.&lt;/author&gt;&lt;/authors&gt;&lt;/contributors&gt;&lt;edition&gt;2016/07/13&lt;/edition&gt;&lt;language&gt;eng&lt;/language&gt;&lt;added-date format="utc"&gt;1523528214&lt;/added-date&gt;&lt;ref-type name="Journal Article"&gt;17&lt;/ref-type&gt;&lt;rec-number&gt;404&lt;/rec-number&gt;&lt;last-updated-date format="utc"&gt;1523528214&lt;/last-updated-date&gt;&lt;accession-num&gt;27412392&lt;/accession-num&gt;&lt;electronic-resource-num&gt;10.1634/theoncologist.2016-0046&lt;/electronic-resource-num&gt;&lt;volume&gt;21&lt;/volume&gt;&lt;/record&gt;&lt;/Cite&gt;&lt;/EndNote&gt;</w:instrText>
      </w:r>
      <w:r w:rsidR="00ED2971" w:rsidRPr="00E76C2B">
        <w:rPr>
          <w:rFonts w:asciiTheme="majorHAnsi" w:hAnsiTheme="majorHAnsi"/>
        </w:rPr>
        <w:fldChar w:fldCharType="separate"/>
      </w:r>
      <w:r w:rsidR="00ED2971" w:rsidRPr="00E76C2B">
        <w:rPr>
          <w:rFonts w:asciiTheme="majorHAnsi" w:hAnsiTheme="majorHAnsi"/>
          <w:noProof/>
        </w:rPr>
        <w:t>(Lee et al., 2016)</w:t>
      </w:r>
      <w:r w:rsidR="00ED2971" w:rsidRPr="00E76C2B">
        <w:rPr>
          <w:rFonts w:asciiTheme="majorHAnsi" w:hAnsiTheme="majorHAnsi"/>
        </w:rPr>
        <w:fldChar w:fldCharType="end"/>
      </w:r>
      <w:r w:rsidR="00ED2971" w:rsidRPr="00E76C2B">
        <w:rPr>
          <w:rFonts w:asciiTheme="majorHAnsi" w:hAnsiTheme="majorHAnsi"/>
        </w:rPr>
        <w:t xml:space="preserve">. </w:t>
      </w:r>
      <w:r w:rsidR="00C2790F" w:rsidRPr="00E76C2B">
        <w:rPr>
          <w:rFonts w:asciiTheme="majorHAnsi" w:hAnsiTheme="majorHAnsi"/>
        </w:rPr>
        <w:t>This up regulation of co-inhibitory molecules results in T-cell death</w:t>
      </w:r>
      <w:r w:rsidR="001510CB" w:rsidRPr="00E76C2B">
        <w:rPr>
          <w:rFonts w:asciiTheme="majorHAnsi" w:hAnsiTheme="majorHAnsi"/>
        </w:rPr>
        <w:t xml:space="preserve"> through binding to the complimentary receptors on effector T cells</w:t>
      </w:r>
      <w:r w:rsidR="00C2790F" w:rsidRPr="00E76C2B">
        <w:rPr>
          <w:rFonts w:asciiTheme="majorHAnsi" w:hAnsiTheme="majorHAnsi"/>
        </w:rPr>
        <w:t>. Therefore</w:t>
      </w:r>
      <w:r w:rsidR="00B24F33" w:rsidRPr="00E76C2B">
        <w:rPr>
          <w:rFonts w:asciiTheme="majorHAnsi" w:hAnsiTheme="majorHAnsi"/>
        </w:rPr>
        <w:t>,</w:t>
      </w:r>
      <w:r w:rsidR="00C2790F" w:rsidRPr="00E76C2B">
        <w:rPr>
          <w:rFonts w:asciiTheme="majorHAnsi" w:hAnsiTheme="majorHAnsi"/>
        </w:rPr>
        <w:t xml:space="preserve"> some of the latest immunotherapy research is into monoclonal antibodies against these inhibitors to rea</w:t>
      </w:r>
      <w:r w:rsidR="00B24F33" w:rsidRPr="00E76C2B">
        <w:rPr>
          <w:rFonts w:asciiTheme="majorHAnsi" w:hAnsiTheme="majorHAnsi"/>
        </w:rPr>
        <w:t xml:space="preserve">ctivate immune cell checkpoints. </w:t>
      </w:r>
      <w:r w:rsidR="00E76C2B" w:rsidRPr="00E76C2B">
        <w:rPr>
          <w:rFonts w:asciiTheme="majorHAnsi" w:hAnsiTheme="majorHAnsi"/>
        </w:rPr>
        <w:t>Initially it was thought that PD-1 inhibitors did not show response in CRC, however, after follow up it</w:t>
      </w:r>
      <w:r w:rsidR="001510CB" w:rsidRPr="00E76C2B">
        <w:rPr>
          <w:rFonts w:asciiTheme="majorHAnsi" w:hAnsiTheme="majorHAnsi"/>
        </w:rPr>
        <w:t xml:space="preserve"> was found that PD-1 blockade caused an anti-tumour response in MMR deficient patients compared to those proficient in MMR, due to the increased amount of mutations and inability to repair them. Therefore meaning</w:t>
      </w:r>
      <w:r w:rsidR="00E76C2B" w:rsidRPr="00E76C2B">
        <w:rPr>
          <w:rFonts w:asciiTheme="majorHAnsi" w:hAnsiTheme="majorHAnsi"/>
        </w:rPr>
        <w:t xml:space="preserve"> that MSI patients could potentially benefit from this </w:t>
      </w:r>
      <w:r w:rsidR="001510CB" w:rsidRPr="00E76C2B">
        <w:rPr>
          <w:rFonts w:asciiTheme="majorHAnsi" w:hAnsiTheme="majorHAnsi"/>
        </w:rPr>
        <w:t>immunotherapy, as most will have defects to the MMR pathway</w:t>
      </w:r>
      <w:r w:rsidR="00E76C2B" w:rsidRPr="00E76C2B">
        <w:rPr>
          <w:rFonts w:asciiTheme="majorHAnsi" w:hAnsiTheme="majorHAnsi"/>
        </w:rPr>
        <w:t xml:space="preserve"> </w:t>
      </w:r>
      <w:r w:rsidR="00E76C2B" w:rsidRPr="00E76C2B">
        <w:rPr>
          <w:rFonts w:asciiTheme="majorHAnsi" w:hAnsiTheme="majorHAnsi"/>
        </w:rPr>
        <w:fldChar w:fldCharType="begin"/>
      </w:r>
      <w:r w:rsidR="00E76C2B" w:rsidRPr="00E76C2B">
        <w:rPr>
          <w:rFonts w:asciiTheme="majorHAnsi" w:hAnsiTheme="majorHAnsi"/>
        </w:rPr>
        <w:instrText xml:space="preserve"> ADDIN EN.CITE &lt;EndNote&gt;&lt;Cite&gt;&lt;Author&gt;Arora&lt;/Author&gt;&lt;Year&gt;2018&lt;/Year&gt;&lt;IDText&gt;Immunotherapy in colorectal cancer: for the select few or all?&lt;/IDText&gt;&lt;DisplayText&gt;(Arora and Mahalingam, 2018)&lt;/DisplayText&gt;&lt;record&gt;&lt;dates&gt;&lt;pub-dates&gt;&lt;date&gt;Feb&lt;/date&gt;&lt;/pub-dates&gt;&lt;year&gt;2018&lt;/year&gt;&lt;/dates&gt;&lt;keywords&gt;&lt;keyword&gt;Colorectal cancer (CRC)&lt;/keyword&gt;&lt;keyword&gt;checkpoint inhibition&lt;/keyword&gt;&lt;keyword&gt;immunotherapy&lt;/keyword&gt;&lt;keyword&gt;mismatch repair&lt;/keyword&gt;&lt;keyword&gt;programmed death-1 (PD-1)&lt;/keyword&gt;&lt;/keywords&gt;&lt;urls&gt;&lt;related-urls&gt;&lt;url&gt;https://www.ncbi.nlm.nih.gov/pubmed/29564183&lt;/url&gt;&lt;/related-urls&gt;&lt;/urls&gt;&lt;isbn&gt;2078-6891&lt;/isbn&gt;&lt;custom2&gt;PMC5848030&lt;/custom2&gt;&lt;titles&gt;&lt;title&gt;Immunotherapy in colorectal cancer: for the select few or all?&lt;/title&gt;&lt;secondary-title&gt;J Gastrointest Oncol&lt;/secondary-title&gt;&lt;/titles&gt;&lt;pages&gt;170-179&lt;/pages&gt;&lt;number&gt;1&lt;/number&gt;&lt;contributors&gt;&lt;authors&gt;&lt;author&gt;Arora, S. P.&lt;/author&gt;&lt;author&gt;Mahalingam, D.&lt;/author&gt;&lt;/authors&gt;&lt;/contributors&gt;&lt;language&gt;eng&lt;/language&gt;&lt;added-date format="utc"&gt;1523541647&lt;/added-date&gt;&lt;ref-type name="Journal Article"&gt;17&lt;/ref-type&gt;&lt;rec-number&gt;406&lt;/rec-number&gt;&lt;last-updated-date format="utc"&gt;1523541647&lt;/last-updated-date&gt;&lt;accession-num&gt;29564183&lt;/accession-num&gt;&lt;electronic-resource-num&gt;10.21037/jgo.2017.06.10&lt;/electronic-resource-num&gt;&lt;volume&gt;9&lt;/volume&gt;&lt;/record&gt;&lt;/Cite&gt;&lt;/EndNote&gt;</w:instrText>
      </w:r>
      <w:r w:rsidR="00E76C2B" w:rsidRPr="00E76C2B">
        <w:rPr>
          <w:rFonts w:asciiTheme="majorHAnsi" w:hAnsiTheme="majorHAnsi"/>
        </w:rPr>
        <w:fldChar w:fldCharType="separate"/>
      </w:r>
      <w:r w:rsidR="00E76C2B" w:rsidRPr="00E76C2B">
        <w:rPr>
          <w:rFonts w:asciiTheme="majorHAnsi" w:hAnsiTheme="majorHAnsi"/>
          <w:noProof/>
        </w:rPr>
        <w:t>(Arora and Mahalingam, 2018)</w:t>
      </w:r>
      <w:r w:rsidR="00E76C2B" w:rsidRPr="00E76C2B">
        <w:rPr>
          <w:rFonts w:asciiTheme="majorHAnsi" w:hAnsiTheme="majorHAnsi"/>
        </w:rPr>
        <w:fldChar w:fldCharType="end"/>
      </w:r>
      <w:r w:rsidR="00E76C2B" w:rsidRPr="00E76C2B">
        <w:rPr>
          <w:rFonts w:asciiTheme="majorHAnsi" w:hAnsiTheme="majorHAnsi"/>
        </w:rPr>
        <w:t xml:space="preserve">. </w:t>
      </w:r>
    </w:p>
    <w:p w14:paraId="1B1DD3C7" w14:textId="77777777" w:rsidR="0004184B" w:rsidRPr="00E76C2B" w:rsidRDefault="0004184B" w:rsidP="00BC7586">
      <w:pPr>
        <w:pStyle w:val="NoSpacing"/>
        <w:spacing w:line="360" w:lineRule="auto"/>
        <w:jc w:val="both"/>
        <w:rPr>
          <w:rFonts w:asciiTheme="majorHAnsi" w:hAnsiTheme="majorHAnsi"/>
        </w:rPr>
      </w:pPr>
    </w:p>
    <w:p w14:paraId="62522772" w14:textId="5B3B2DD8" w:rsidR="0004184B" w:rsidRPr="00BC7586" w:rsidRDefault="0004184B" w:rsidP="00BC7586">
      <w:pPr>
        <w:pStyle w:val="NoSpacing"/>
        <w:spacing w:line="360" w:lineRule="auto"/>
        <w:jc w:val="both"/>
        <w:rPr>
          <w:rFonts w:asciiTheme="majorHAnsi" w:hAnsiTheme="majorHAnsi"/>
        </w:rPr>
      </w:pPr>
      <w:r w:rsidRPr="00E76C2B">
        <w:rPr>
          <w:rFonts w:asciiTheme="majorHAnsi" w:hAnsiTheme="majorHAnsi"/>
        </w:rPr>
        <w:t>Check point inhibitor</w:t>
      </w:r>
      <w:r w:rsidR="00790E48" w:rsidRPr="00E76C2B">
        <w:rPr>
          <w:rFonts w:asciiTheme="majorHAnsi" w:hAnsiTheme="majorHAnsi"/>
        </w:rPr>
        <w:t>s</w:t>
      </w:r>
      <w:r w:rsidRPr="00E76C2B">
        <w:rPr>
          <w:rFonts w:asciiTheme="majorHAnsi" w:hAnsiTheme="majorHAnsi"/>
        </w:rPr>
        <w:t xml:space="preserve"> such as the monoclonal antibodies</w:t>
      </w:r>
      <w:r w:rsidR="00E76C2B" w:rsidRPr="00E76C2B">
        <w:rPr>
          <w:rFonts w:asciiTheme="majorHAnsi" w:hAnsiTheme="majorHAnsi"/>
        </w:rPr>
        <w:t xml:space="preserve"> against PD-1,</w:t>
      </w:r>
      <w:r w:rsidRPr="00E76C2B">
        <w:rPr>
          <w:rFonts w:asciiTheme="majorHAnsi" w:hAnsiTheme="majorHAnsi"/>
        </w:rPr>
        <w:t xml:space="preserve"> </w:t>
      </w:r>
      <w:proofErr w:type="spellStart"/>
      <w:r w:rsidRPr="00E76C2B">
        <w:rPr>
          <w:rFonts w:asciiTheme="majorHAnsi" w:hAnsiTheme="majorHAnsi"/>
        </w:rPr>
        <w:t>pembrolizumab</w:t>
      </w:r>
      <w:proofErr w:type="spellEnd"/>
      <w:r w:rsidRPr="00E76C2B">
        <w:rPr>
          <w:rFonts w:asciiTheme="majorHAnsi" w:hAnsiTheme="majorHAnsi"/>
        </w:rPr>
        <w:t xml:space="preserve"> and </w:t>
      </w:r>
      <w:proofErr w:type="spellStart"/>
      <w:r w:rsidRPr="00E76C2B">
        <w:rPr>
          <w:rFonts w:asciiTheme="majorHAnsi" w:hAnsiTheme="majorHAnsi"/>
        </w:rPr>
        <w:t>nivolumab</w:t>
      </w:r>
      <w:proofErr w:type="spellEnd"/>
      <w:r w:rsidR="00E76C2B" w:rsidRPr="00E76C2B">
        <w:rPr>
          <w:rFonts w:asciiTheme="majorHAnsi" w:hAnsiTheme="majorHAnsi"/>
        </w:rPr>
        <w:t>,</w:t>
      </w:r>
      <w:r w:rsidRPr="00E76C2B">
        <w:rPr>
          <w:rFonts w:asciiTheme="majorHAnsi" w:hAnsiTheme="majorHAnsi"/>
        </w:rPr>
        <w:t xml:space="preserve"> are currently FDA approved </w:t>
      </w:r>
      <w:r w:rsidR="00E76C2B" w:rsidRPr="00E76C2B">
        <w:rPr>
          <w:rFonts w:asciiTheme="majorHAnsi" w:hAnsiTheme="majorHAnsi"/>
        </w:rPr>
        <w:t xml:space="preserve">for head and neck, non-small cell lung cancer and melanoma, </w:t>
      </w:r>
      <w:r w:rsidRPr="00E76C2B">
        <w:rPr>
          <w:rFonts w:asciiTheme="majorHAnsi" w:hAnsiTheme="majorHAnsi"/>
        </w:rPr>
        <w:t xml:space="preserve">and are in further clinical trials to establish which patients get the most benefit from having them in their treatment regimen and how they interact with clinically used chemotherapy </w:t>
      </w:r>
      <w:r w:rsidRPr="00E76C2B">
        <w:rPr>
          <w:rFonts w:asciiTheme="majorHAnsi" w:hAnsiTheme="majorHAnsi"/>
        </w:rPr>
        <w:fldChar w:fldCharType="begin"/>
      </w:r>
      <w:r w:rsidR="00790E48" w:rsidRPr="00E76C2B">
        <w:rPr>
          <w:rFonts w:asciiTheme="majorHAnsi" w:hAnsiTheme="majorHAnsi"/>
        </w:rPr>
        <w:instrText xml:space="preserve"> ADDIN EN.CITE &lt;EndNote&gt;&lt;Cite&gt;&lt;Author&gt;Kalyan&lt;/Author&gt;&lt;Year&gt;2018&lt;/Year&gt;&lt;IDText&gt;Updates on immunotherapy for colorectal cancer&lt;/IDText&gt;&lt;DisplayText&gt;(Kalyan et al., 2018)&lt;/DisplayText&gt;&lt;record&gt;&lt;dates&gt;&lt;pub-dates&gt;&lt;date&gt;Feb&lt;/date&gt;&lt;/pub-dates&gt;&lt;year&gt;2018&lt;/year&gt;&lt;/dates&gt;&lt;keywords&gt;&lt;keyword&gt;Colorectal cancer (CRC)&lt;/keyword&gt;&lt;keyword&gt;immunotherapy&lt;/keyword&gt;&lt;keyword&gt;microsatellite instability (MSI)&lt;/keyword&gt;&lt;keyword&gt;vaccine therapy&lt;/keyword&gt;&lt;/keywords&gt;&lt;urls&gt;&lt;related-urls&gt;&lt;url&gt;https://www.ncbi.nlm.nih.gov/pubmed/29564182&lt;/url&gt;&lt;/related-urls&gt;&lt;/urls&gt;&lt;isbn&gt;2078-6891&lt;/isbn&gt;&lt;custom2&gt;PMC5848033&lt;/custom2&gt;&lt;titles&gt;&lt;title&gt;Updates on immunotherapy for colorectal cancer&lt;/title&gt;&lt;secondary-title&gt;J Gastrointest Oncol&lt;/secondary-title&gt;&lt;/titles&gt;&lt;pages&gt;160-169&lt;/pages&gt;&lt;number&gt;1&lt;/number&gt;&lt;contributors&gt;&lt;authors&gt;&lt;author&gt;Kalyan, A.&lt;/author&gt;&lt;author&gt;Kircher, S.&lt;/author&gt;&lt;author&gt;Shah, H.&lt;/author&gt;&lt;author&gt;Mulcahy, M.&lt;/author&gt;&lt;author&gt;Benson, A.&lt;/author&gt;&lt;/authors&gt;&lt;/contributors&gt;&lt;language&gt;eng&lt;/language&gt;&lt;added-date format="utc"&gt;1523527206&lt;/added-date&gt;&lt;ref-type name="Journal Article"&gt;17&lt;/ref-type&gt;&lt;rec-number&gt;402&lt;/rec-number&gt;&lt;last-updated-date format="utc"&gt;1523527206&lt;/last-updated-date&gt;&lt;accession-num&gt;29564182&lt;/accession-num&gt;&lt;electronic-resource-num&gt;10.21037/jgo.2018.01.17&lt;/electronic-resource-num&gt;&lt;volume&gt;9&lt;/volume&gt;&lt;/record&gt;&lt;/Cite&gt;&lt;/EndNote&gt;</w:instrText>
      </w:r>
      <w:r w:rsidRPr="00E76C2B">
        <w:rPr>
          <w:rFonts w:asciiTheme="majorHAnsi" w:hAnsiTheme="majorHAnsi"/>
        </w:rPr>
        <w:fldChar w:fldCharType="separate"/>
      </w:r>
      <w:r w:rsidR="00790E48" w:rsidRPr="00E76C2B">
        <w:rPr>
          <w:rFonts w:asciiTheme="majorHAnsi" w:hAnsiTheme="majorHAnsi"/>
          <w:noProof/>
        </w:rPr>
        <w:t>(Kalyan et al., 2018)</w:t>
      </w:r>
      <w:r w:rsidRPr="00E76C2B">
        <w:rPr>
          <w:rFonts w:asciiTheme="majorHAnsi" w:hAnsiTheme="majorHAnsi"/>
        </w:rPr>
        <w:fldChar w:fldCharType="end"/>
      </w:r>
      <w:r w:rsidRPr="00E76C2B">
        <w:rPr>
          <w:rFonts w:asciiTheme="majorHAnsi" w:hAnsiTheme="majorHAnsi"/>
        </w:rPr>
        <w:t xml:space="preserve">. </w:t>
      </w:r>
      <w:r w:rsidR="00E76C2B" w:rsidRPr="00E76C2B">
        <w:rPr>
          <w:rFonts w:asciiTheme="majorHAnsi" w:hAnsiTheme="majorHAnsi"/>
        </w:rPr>
        <w:t>The latest national comprehensive cancer network guidelines recommends these immunotherapy agents for use in metastatic MSI CRC, and that implementation of an ‘</w:t>
      </w:r>
      <w:proofErr w:type="spellStart"/>
      <w:r w:rsidR="00E76C2B" w:rsidRPr="00E76C2B">
        <w:rPr>
          <w:rFonts w:asciiTheme="majorHAnsi" w:hAnsiTheme="majorHAnsi"/>
        </w:rPr>
        <w:t>immunoscore</w:t>
      </w:r>
      <w:proofErr w:type="spellEnd"/>
      <w:r w:rsidR="00E76C2B" w:rsidRPr="00E76C2B">
        <w:rPr>
          <w:rFonts w:asciiTheme="majorHAnsi" w:hAnsiTheme="majorHAnsi"/>
        </w:rPr>
        <w:t xml:space="preserve">’ (taking into account immune microenvironment features and co-disorders) when diagnosing grade and stage of tumours for subsequent therapy would vastly improve patient response and survival </w:t>
      </w:r>
      <w:r w:rsidR="00E76C2B" w:rsidRPr="00E76C2B">
        <w:rPr>
          <w:rFonts w:asciiTheme="majorHAnsi" w:hAnsiTheme="majorHAnsi"/>
        </w:rPr>
        <w:fldChar w:fldCharType="begin"/>
      </w:r>
      <w:r w:rsidR="00E76C2B" w:rsidRPr="00E76C2B">
        <w:rPr>
          <w:rFonts w:asciiTheme="majorHAnsi" w:hAnsiTheme="majorHAnsi"/>
        </w:rPr>
        <w:instrText xml:space="preserve"> ADDIN EN.CITE &lt;EndNote&gt;&lt;Cite&gt;&lt;Author&gt;Arora&lt;/Author&gt;&lt;Year&gt;2018&lt;/Year&gt;&lt;IDText&gt;Immunotherapy in colorectal cancer: for the select few or all?&lt;/IDText&gt;&lt;DisplayText&gt;(Arora and Mahalingam, 2018)&lt;/DisplayText&gt;&lt;record&gt;&lt;dates&gt;&lt;pub-dates&gt;&lt;date&gt;Feb&lt;/date&gt;&lt;/pub-dates&gt;&lt;year&gt;2018&lt;/year&gt;&lt;/dates&gt;&lt;keywords&gt;&lt;keyword&gt;Colorectal cancer (CRC)&lt;/keyword&gt;&lt;keyword&gt;checkpoint inhibition&lt;/keyword&gt;&lt;keyword&gt;immunotherapy&lt;/keyword&gt;&lt;keyword&gt;mismatch repair&lt;/keyword&gt;&lt;keyword&gt;programmed death-1 (PD-1)&lt;/keyword&gt;&lt;/keywords&gt;&lt;urls&gt;&lt;related-urls&gt;&lt;url&gt;https://www.ncbi.nlm.nih.gov/pubmed/29564183&lt;/url&gt;&lt;/related-urls&gt;&lt;/urls&gt;&lt;isbn&gt;2078-6891&lt;/isbn&gt;&lt;custom2&gt;PMC5848030&lt;/custom2&gt;&lt;titles&gt;&lt;title&gt;Immunotherapy in colorectal cancer: for the select few or all?&lt;/title&gt;&lt;secondary-title&gt;J Gastrointest Oncol&lt;/secondary-title&gt;&lt;/titles&gt;&lt;pages&gt;170-179&lt;/pages&gt;&lt;number&gt;1&lt;/number&gt;&lt;contributors&gt;&lt;authors&gt;&lt;author&gt;Arora, S. P.&lt;/author&gt;&lt;author&gt;Mahalingam, D.&lt;/author&gt;&lt;/authors&gt;&lt;/contributors&gt;&lt;language&gt;eng&lt;/language&gt;&lt;added-date format="utc"&gt;1523541647&lt;/added-date&gt;&lt;ref-type name="Journal Article"&gt;17&lt;/ref-type&gt;&lt;rec-number&gt;406&lt;/rec-number&gt;&lt;last-updated-date format="utc"&gt;1523541647&lt;/last-updated-date&gt;&lt;accession-num&gt;29564183&lt;/accession-num&gt;&lt;electronic-resource-num&gt;10.21037/jgo.2017.06.10&lt;/electronic-resource-num&gt;&lt;volume&gt;9&lt;/volume&gt;&lt;/record&gt;&lt;/Cite&gt;&lt;/EndNote&gt;</w:instrText>
      </w:r>
      <w:r w:rsidR="00E76C2B" w:rsidRPr="00E76C2B">
        <w:rPr>
          <w:rFonts w:asciiTheme="majorHAnsi" w:hAnsiTheme="majorHAnsi"/>
        </w:rPr>
        <w:fldChar w:fldCharType="separate"/>
      </w:r>
      <w:r w:rsidR="00E76C2B" w:rsidRPr="00E76C2B">
        <w:rPr>
          <w:rFonts w:asciiTheme="majorHAnsi" w:hAnsiTheme="majorHAnsi"/>
          <w:noProof/>
        </w:rPr>
        <w:t>(Arora and Mahalingam, 2018)</w:t>
      </w:r>
      <w:r w:rsidR="00E76C2B" w:rsidRPr="00E76C2B">
        <w:rPr>
          <w:rFonts w:asciiTheme="majorHAnsi" w:hAnsiTheme="majorHAnsi"/>
        </w:rPr>
        <w:fldChar w:fldCharType="end"/>
      </w:r>
      <w:r w:rsidR="00E76C2B" w:rsidRPr="00E76C2B">
        <w:rPr>
          <w:rFonts w:asciiTheme="majorHAnsi" w:hAnsiTheme="majorHAnsi"/>
        </w:rPr>
        <w:t>.</w:t>
      </w:r>
      <w:r w:rsidR="00E76C2B">
        <w:rPr>
          <w:rFonts w:asciiTheme="majorHAnsi" w:hAnsiTheme="majorHAnsi"/>
        </w:rPr>
        <w:t xml:space="preserve"> </w:t>
      </w:r>
    </w:p>
    <w:p w14:paraId="085AA2C5" w14:textId="77777777" w:rsidR="00E76C2B" w:rsidRDefault="00E76C2B" w:rsidP="00B15A35">
      <w:pPr>
        <w:spacing w:line="360" w:lineRule="auto"/>
        <w:jc w:val="both"/>
        <w:rPr>
          <w:rFonts w:asciiTheme="majorHAnsi" w:hAnsiTheme="majorHAnsi"/>
          <w:sz w:val="28"/>
          <w:u w:val="single"/>
        </w:rPr>
      </w:pPr>
    </w:p>
    <w:p w14:paraId="13BE2947" w14:textId="100614E1" w:rsidR="00B15A35" w:rsidRDefault="00EB3408" w:rsidP="00B15A35">
      <w:pPr>
        <w:spacing w:line="360" w:lineRule="auto"/>
        <w:jc w:val="both"/>
        <w:rPr>
          <w:rFonts w:asciiTheme="majorHAnsi" w:hAnsiTheme="majorHAnsi"/>
          <w:sz w:val="28"/>
          <w:u w:val="single"/>
        </w:rPr>
      </w:pPr>
      <w:r>
        <w:rPr>
          <w:rFonts w:asciiTheme="majorHAnsi" w:hAnsiTheme="majorHAnsi"/>
          <w:sz w:val="28"/>
          <w:u w:val="single"/>
        </w:rPr>
        <w:t>1.6</w:t>
      </w:r>
      <w:r w:rsidR="00B15A35" w:rsidRPr="000E6351">
        <w:rPr>
          <w:rFonts w:asciiTheme="majorHAnsi" w:hAnsiTheme="majorHAnsi"/>
          <w:sz w:val="28"/>
          <w:u w:val="single"/>
        </w:rPr>
        <w:t xml:space="preserve"> Epigenetic Factors in Colorectal Cancer Progression</w:t>
      </w:r>
    </w:p>
    <w:p w14:paraId="74DA95C2" w14:textId="77777777" w:rsidR="00942A11" w:rsidRDefault="00942A11" w:rsidP="00B15A35">
      <w:pPr>
        <w:spacing w:line="360" w:lineRule="auto"/>
        <w:jc w:val="both"/>
        <w:rPr>
          <w:rFonts w:asciiTheme="majorHAnsi" w:hAnsiTheme="majorHAnsi"/>
          <w:sz w:val="28"/>
          <w:u w:val="single"/>
        </w:rPr>
      </w:pPr>
    </w:p>
    <w:p w14:paraId="014253E0" w14:textId="77777777" w:rsidR="00B15A35" w:rsidRDefault="00B15A35" w:rsidP="002F41C6">
      <w:pPr>
        <w:pStyle w:val="ListParagraph"/>
        <w:numPr>
          <w:ilvl w:val="0"/>
          <w:numId w:val="36"/>
        </w:numPr>
        <w:spacing w:line="360" w:lineRule="auto"/>
        <w:jc w:val="both"/>
        <w:rPr>
          <w:rFonts w:asciiTheme="majorHAnsi" w:hAnsiTheme="majorHAnsi"/>
          <w:b/>
          <w:i/>
        </w:rPr>
      </w:pPr>
      <w:r w:rsidRPr="000E6351">
        <w:rPr>
          <w:rFonts w:asciiTheme="majorHAnsi" w:hAnsiTheme="majorHAnsi"/>
          <w:b/>
          <w:i/>
        </w:rPr>
        <w:t>Epigenetics and the Nucleosome</w:t>
      </w:r>
    </w:p>
    <w:p w14:paraId="3A741B9C" w14:textId="79D033B9" w:rsidR="00B15A35" w:rsidRDefault="00B15A35" w:rsidP="00B15A35">
      <w:pPr>
        <w:spacing w:line="360" w:lineRule="auto"/>
        <w:jc w:val="both"/>
        <w:rPr>
          <w:rFonts w:asciiTheme="majorHAnsi" w:hAnsiTheme="majorHAnsi"/>
        </w:rPr>
      </w:pPr>
      <w:r w:rsidRPr="00540174">
        <w:rPr>
          <w:rFonts w:asciiTheme="majorHAnsi" w:hAnsiTheme="majorHAnsi"/>
        </w:rPr>
        <w:t xml:space="preserve">Although novel agents, such as immunotherapies, and the push for more personalised therapy options have been revolutionary within cancer treatment, there are still a large number of patients who </w:t>
      </w:r>
      <w:r w:rsidR="00620344">
        <w:rPr>
          <w:rFonts w:asciiTheme="majorHAnsi" w:hAnsiTheme="majorHAnsi"/>
        </w:rPr>
        <w:t>are not yet</w:t>
      </w:r>
      <w:r w:rsidRPr="00540174">
        <w:rPr>
          <w:rFonts w:asciiTheme="majorHAnsi" w:hAnsiTheme="majorHAnsi"/>
        </w:rPr>
        <w:t xml:space="preserve"> benefitting from these care regimes. Thus highlighting the need for </w:t>
      </w:r>
      <w:r w:rsidR="00620344">
        <w:rPr>
          <w:rFonts w:asciiTheme="majorHAnsi" w:hAnsiTheme="majorHAnsi"/>
        </w:rPr>
        <w:t xml:space="preserve">more research towards </w:t>
      </w:r>
      <w:r w:rsidRPr="00540174">
        <w:rPr>
          <w:rFonts w:asciiTheme="majorHAnsi" w:hAnsiTheme="majorHAnsi"/>
        </w:rPr>
        <w:t xml:space="preserve">innovative drug development. One of the most active and exciting areas emerging from </w:t>
      </w:r>
      <w:r>
        <w:rPr>
          <w:rFonts w:asciiTheme="majorHAnsi" w:hAnsiTheme="majorHAnsi"/>
        </w:rPr>
        <w:t xml:space="preserve">the field of </w:t>
      </w:r>
      <w:r w:rsidRPr="00540174">
        <w:rPr>
          <w:rFonts w:asciiTheme="majorHAnsi" w:hAnsiTheme="majorHAnsi"/>
        </w:rPr>
        <w:t xml:space="preserve">drug discovery is that of epigenetics. While this area has been studied for several years and abnormalities have </w:t>
      </w:r>
      <w:r w:rsidR="00620344">
        <w:rPr>
          <w:rFonts w:asciiTheme="majorHAnsi" w:hAnsiTheme="majorHAnsi"/>
        </w:rPr>
        <w:t xml:space="preserve">been associated with </w:t>
      </w:r>
      <w:r w:rsidRPr="00540174">
        <w:rPr>
          <w:rFonts w:asciiTheme="majorHAnsi" w:hAnsiTheme="majorHAnsi"/>
        </w:rPr>
        <w:t>tumourigenesis, drugs targeting epigenetic factors have proved of little worth to solid malignancies</w:t>
      </w:r>
      <w:r>
        <w:rPr>
          <w:rFonts w:asciiTheme="majorHAnsi" w:hAnsiTheme="majorHAnsi"/>
        </w:rPr>
        <w:t xml:space="preserve"> </w:t>
      </w:r>
      <w:r>
        <w:rPr>
          <w:rFonts w:asciiTheme="majorHAnsi" w:hAnsiTheme="majorHAnsi"/>
        </w:rPr>
        <w:fldChar w:fldCharType="begin">
          <w:fldData xml:space="preserve">PEVuZE5vdGU+PENpdGU+PEF1dGhvcj5Nb3JlbDwvQXV0aG9yPjxZZWFyPjIwMTc8L1llYXI+PElE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PEVuZE5vdGU+PENpdGU+PEF1dGhvcj5Nb3JlbDwvQXV0aG9yPjxZZWFyPjIwMTc8L1llYXI+PElE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(Morel et al., 2017, Nervi et al., 2015)</w:t>
      </w:r>
      <w:r>
        <w:rPr>
          <w:rFonts w:asciiTheme="majorHAnsi" w:hAnsiTheme="majorHAnsi"/>
        </w:rPr>
        <w:fldChar w:fldCharType="end"/>
      </w:r>
      <w:r w:rsidRPr="00540174">
        <w:rPr>
          <w:rFonts w:asciiTheme="majorHAnsi" w:hAnsiTheme="majorHAnsi"/>
        </w:rPr>
        <w:t xml:space="preserve">. Epigenetic refers to modifications </w:t>
      </w:r>
      <w:r w:rsidR="00620344">
        <w:rPr>
          <w:rFonts w:asciiTheme="majorHAnsi" w:hAnsiTheme="majorHAnsi"/>
        </w:rPr>
        <w:t>affecting</w:t>
      </w:r>
      <w:r w:rsidRPr="00540174">
        <w:rPr>
          <w:rFonts w:asciiTheme="majorHAnsi" w:hAnsiTheme="majorHAnsi"/>
        </w:rPr>
        <w:t xml:space="preserve"> gene expression rather then the actual genetic code and include DNA methylation, </w:t>
      </w:r>
      <w:r w:rsidR="00620344">
        <w:rPr>
          <w:rFonts w:asciiTheme="majorHAnsi" w:hAnsiTheme="majorHAnsi"/>
        </w:rPr>
        <w:t>histone acetylation</w:t>
      </w:r>
      <w:r w:rsidRPr="00540174">
        <w:rPr>
          <w:rFonts w:asciiTheme="majorHAnsi" w:hAnsiTheme="majorHAnsi"/>
        </w:rPr>
        <w:t xml:space="preserve"> and </w:t>
      </w:r>
      <w:r w:rsidR="00620344">
        <w:rPr>
          <w:rFonts w:asciiTheme="majorHAnsi" w:hAnsiTheme="majorHAnsi"/>
        </w:rPr>
        <w:t xml:space="preserve">other </w:t>
      </w:r>
      <w:r w:rsidRPr="00540174">
        <w:rPr>
          <w:rFonts w:asciiTheme="majorHAnsi" w:hAnsiTheme="majorHAnsi"/>
        </w:rPr>
        <w:t>post-translational modifications</w:t>
      </w:r>
      <w:r w:rsidR="00620344">
        <w:rPr>
          <w:rFonts w:asciiTheme="majorHAnsi" w:hAnsiTheme="majorHAnsi"/>
        </w:rPr>
        <w:t xml:space="preserve"> of histones</w:t>
      </w:r>
      <w:r w:rsidRPr="00540174">
        <w:rPr>
          <w:rFonts w:asciiTheme="majorHAnsi" w:hAnsiTheme="majorHAnsi"/>
        </w:rPr>
        <w:t xml:space="preserve">. These changes are dynamic and can be easily targeted </w:t>
      </w:r>
      <w:r w:rsidR="00620344">
        <w:rPr>
          <w:rFonts w:asciiTheme="majorHAnsi" w:hAnsiTheme="majorHAnsi"/>
        </w:rPr>
        <w:t xml:space="preserve">as demonstrated by </w:t>
      </w:r>
      <w:r w:rsidRPr="00540174">
        <w:rPr>
          <w:rFonts w:asciiTheme="majorHAnsi" w:hAnsiTheme="majorHAnsi"/>
        </w:rPr>
        <w:t xml:space="preserve">their ability to be affected by environmental changes, thus highlighting the exciting way in which epigenetic aberrations can be utilised as cancer therapeutics </w:t>
      </w:r>
      <w:r w:rsidRPr="00540174">
        <w:rPr>
          <w:rFonts w:asciiTheme="majorHAnsi" w:hAnsiTheme="majorHAnsi"/>
        </w:rPr>
        <w:fldChar w:fldCharType="begin"/>
      </w:r>
      <w:r w:rsidRPr="00540174">
        <w:rPr>
          <w:rFonts w:asciiTheme="majorHAnsi" w:hAnsiTheme="majorHAnsi"/>
        </w:rPr>
        <w:instrText xml:space="preserve"> ADDIN EN.CITE &lt;EndNote&gt;&lt;Cite&gt;&lt;Author&gt;Bhattacharjee&lt;/Author&gt;&lt;Year&gt;2016&lt;/Year&gt;&lt;IDText&gt;DNA Methylation and Chromatin Remodeling: The Blueprint of Cancer Epigenetics&lt;/IDText&gt;&lt;DisplayText&gt;(Bhattacharjee et al., 2016)&lt;/DisplayText&gt;&lt;record&gt;&lt;urls&gt;&lt;related-urls&gt;&lt;url&gt;https://www.ncbi.nlm.nih.gov/pubmed/27119045&lt;/url&gt;&lt;/related-urls&gt;&lt;/urls&gt;&lt;isbn&gt;2090-908X&lt;/isbn&gt;&lt;custom2&gt;PMC4826949&lt;/custom2&gt;&lt;titles&gt;&lt;title&gt;DNA Methylation and Chromatin Remodeling: The Blueprint of Cancer Epigenetics&lt;/title&gt;&lt;secondary-title&gt;Scientifica (Cairo)&lt;/secondary-title&gt;&lt;/titles&gt;&lt;pages&gt;6072357&lt;/pages&gt;&lt;contributors&gt;&lt;authors&gt;&lt;author&gt;Bhattacharjee, D.&lt;/author&gt;&lt;author&gt;Shenoy, S.&lt;/author&gt;&lt;author&gt;Bairy, K. L.&lt;/author&gt;&lt;/authors&gt;&lt;/contributors&gt;&lt;language&gt;eng&lt;/language&gt;&lt;added-date format="utc"&gt;1469460136&lt;/added-date&gt;&lt;ref-type name="Journal Article"&gt;17&lt;/ref-type&gt;&lt;dates&gt;&lt;year&gt;2016&lt;/year&gt;&lt;/dates&gt;&lt;rec-number&gt;164&lt;/rec-number&gt;&lt;last-updated-date format="utc"&gt;1469460136&lt;/last-updated-date&gt;&lt;accession-num&gt;27119045&lt;/accession-num&gt;&lt;electronic-resource-num&gt;10.1155/2016/6072357&lt;/electronic-resource-num&gt;&lt;volume&gt;2016&lt;/volume&gt;&lt;/record&gt;&lt;/Cite&gt;&lt;/EndNote&gt;</w:instrText>
      </w:r>
      <w:r w:rsidRPr="00540174">
        <w:rPr>
          <w:rFonts w:asciiTheme="majorHAnsi" w:hAnsiTheme="majorHAnsi"/>
        </w:rPr>
        <w:fldChar w:fldCharType="separate"/>
      </w:r>
      <w:r w:rsidRPr="00540174">
        <w:rPr>
          <w:rFonts w:asciiTheme="majorHAnsi" w:hAnsiTheme="majorHAnsi"/>
          <w:noProof/>
        </w:rPr>
        <w:t>(Bhattacharjee et al., 2016)</w:t>
      </w:r>
      <w:r w:rsidRPr="00540174">
        <w:rPr>
          <w:rFonts w:asciiTheme="majorHAnsi" w:hAnsiTheme="majorHAnsi"/>
        </w:rPr>
        <w:fldChar w:fldCharType="end"/>
      </w:r>
      <w:r w:rsidRPr="00540174">
        <w:rPr>
          <w:rFonts w:asciiTheme="majorHAnsi" w:hAnsiTheme="majorHAnsi"/>
        </w:rPr>
        <w:t>. Although DNA methyl</w:t>
      </w:r>
      <w:r w:rsidR="00454A43">
        <w:rPr>
          <w:rFonts w:asciiTheme="majorHAnsi" w:hAnsiTheme="majorHAnsi"/>
        </w:rPr>
        <w:t>ation has been widely studied as an epigenetic factor affecting</w:t>
      </w:r>
      <w:r w:rsidRPr="00540174">
        <w:rPr>
          <w:rFonts w:asciiTheme="majorHAnsi" w:hAnsiTheme="majorHAnsi"/>
        </w:rPr>
        <w:t xml:space="preserve"> </w:t>
      </w:r>
      <w:r>
        <w:rPr>
          <w:rFonts w:asciiTheme="majorHAnsi" w:hAnsiTheme="majorHAnsi"/>
        </w:rPr>
        <w:t xml:space="preserve">tumourigenesis pathways of CRC, as previously mentioned, it is </w:t>
      </w:r>
      <w:r w:rsidR="00454A43">
        <w:rPr>
          <w:rFonts w:asciiTheme="majorHAnsi" w:hAnsiTheme="majorHAnsi"/>
        </w:rPr>
        <w:t xml:space="preserve">now </w:t>
      </w:r>
      <w:r>
        <w:rPr>
          <w:rFonts w:asciiTheme="majorHAnsi" w:hAnsiTheme="majorHAnsi"/>
        </w:rPr>
        <w:t>the impact that chromatin remodelling</w:t>
      </w:r>
      <w:r w:rsidR="003F5B37">
        <w:rPr>
          <w:rFonts w:asciiTheme="majorHAnsi" w:hAnsiTheme="majorHAnsi"/>
        </w:rPr>
        <w:t xml:space="preserve"> </w:t>
      </w:r>
      <w:r>
        <w:rPr>
          <w:rFonts w:asciiTheme="majorHAnsi" w:hAnsiTheme="majorHAnsi"/>
        </w:rPr>
        <w:t>has on cancer progression, which is becoming widely regarded as an important area of research.</w:t>
      </w:r>
    </w:p>
    <w:p w14:paraId="155077A0" w14:textId="77777777" w:rsidR="003F5B37" w:rsidRDefault="003F5B37" w:rsidP="00B15A35">
      <w:pPr>
        <w:spacing w:line="360" w:lineRule="auto"/>
        <w:jc w:val="both"/>
        <w:rPr>
          <w:rFonts w:asciiTheme="majorHAnsi" w:hAnsiTheme="majorHAnsi"/>
        </w:rPr>
      </w:pPr>
    </w:p>
    <w:p w14:paraId="13540C49" w14:textId="0E869FF8" w:rsidR="00B15A35" w:rsidRDefault="00B15A35" w:rsidP="00B15A35">
      <w:pPr>
        <w:spacing w:line="360" w:lineRule="auto"/>
        <w:jc w:val="both"/>
        <w:rPr>
          <w:rFonts w:asciiTheme="majorHAnsi" w:hAnsiTheme="majorHAnsi"/>
        </w:rPr>
      </w:pPr>
      <w:r w:rsidRPr="00540174">
        <w:rPr>
          <w:rFonts w:asciiTheme="majorHAnsi" w:hAnsiTheme="majorHAnsi"/>
        </w:rPr>
        <w:t xml:space="preserve">With around 3 billion base pairs per cell, eukaryotic DNA needs to be extensively folded in order to fit within the nucleus, and this is where histones </w:t>
      </w:r>
      <w:r>
        <w:rPr>
          <w:rFonts w:asciiTheme="majorHAnsi" w:hAnsiTheme="majorHAnsi"/>
        </w:rPr>
        <w:t>play a vital role</w:t>
      </w:r>
      <w:r w:rsidRPr="00540174">
        <w:rPr>
          <w:rFonts w:asciiTheme="majorHAnsi" w:hAnsiTheme="majorHAnsi"/>
        </w:rPr>
        <w:t>. Approximately 147 base pairs are wrapped around a histone octamer, consisting of two H2A-H2B dimers and one H3-H4 tetramer, termed as the canonical histones. This creates the core nucleosome, with a H1 histone sitting on the linker DNA next to the nucleosome to provide stability to the wound DNA. Histones also contain N- and C- terminal tails that provide an area for reversible post-translational modifications</w:t>
      </w:r>
      <w:r>
        <w:rPr>
          <w:rFonts w:asciiTheme="majorHAnsi" w:hAnsiTheme="majorHAnsi"/>
        </w:rPr>
        <w:t xml:space="preserve"> (PTM).</w:t>
      </w:r>
      <w:r w:rsidRPr="00540174">
        <w:rPr>
          <w:rFonts w:asciiTheme="majorHAnsi" w:hAnsiTheme="majorHAnsi"/>
        </w:rPr>
        <w:t xml:space="preserve"> </w:t>
      </w:r>
      <w:r>
        <w:rPr>
          <w:rFonts w:asciiTheme="majorHAnsi" w:hAnsiTheme="majorHAnsi"/>
        </w:rPr>
        <w:t xml:space="preserve">These nucleosomes then form a repeating chain, which can be further supercoiled and condensed into higher order structures, forming the chromosomes </w:t>
      </w:r>
      <w:r>
        <w:rPr>
          <w:rFonts w:asciiTheme="majorHAnsi" w:hAnsiTheme="majorHAnsi"/>
        </w:rPr>
        <w:fldChar w:fldCharType="begin"/>
      </w:r>
      <w:r>
        <w:rPr>
          <w:rFonts w:asciiTheme="majorHAnsi" w:hAnsiTheme="majorHAnsi"/>
        </w:rPr>
        <w:instrText xml:space="preserve"> ADDIN EN.CITE &lt;EndNote&gt;&lt;Cite&gt;&lt;Author&gt;Wilson&lt;/Author&gt;&lt;Year&gt;2017&lt;/Year&gt;&lt;IDText&gt;Cryo-electron microscopy of chromatin biology&lt;/IDText&gt;&lt;DisplayText&gt;(Wilson and Costa, 2017)&lt;/DisplayText&gt;&lt;record&gt;&lt;dates&gt;&lt;pub-dates&gt;&lt;date&gt;Jun&lt;/date&gt;&lt;/pub-dates&gt;&lt;year&gt;2017&lt;/year&gt;&lt;/dates&gt;&lt;keywords&gt;&lt;keyword&gt;Animals&lt;/keyword&gt;&lt;keyword&gt;Chromatin&lt;/keyword&gt;&lt;keyword&gt;Cryoelectron Microscopy&lt;/keyword&gt;&lt;keyword&gt;Histone Code&lt;/keyword&gt;&lt;keyword&gt;Humans&lt;/keyword&gt;&lt;keyword&gt;Models, Molecular&lt;/keyword&gt;&lt;keyword&gt;Nucleosomes&lt;/keyword&gt;&lt;/keywords&gt;&lt;urls&gt;&lt;related-urls&gt;&lt;url&gt;https://www.ncbi.nlm.nih.gov/pubmed/28580916&lt;/url&gt;&lt;/related-urls&gt;&lt;/urls&gt;&lt;isbn&gt;2059-7983&lt;/isbn&gt;&lt;custom2&gt;PMC5458496&lt;/custom2&gt;&lt;titles&gt;&lt;title&gt;Cryo-electron microscopy of chromatin biology&lt;/title&gt;&lt;secondary-title&gt;Acta Crystallogr D Struct Biol&lt;/secondary-title&gt;&lt;/titles&gt;&lt;pages&gt;541-548&lt;/pages&gt;&lt;number&gt;Pt 6&lt;/number&gt;&lt;contributors&gt;&lt;authors&gt;&lt;author&gt;Wilson, M. D.&lt;/author&gt;&lt;author&gt;Costa, A.&lt;/author&gt;&lt;/authors&gt;&lt;/contributors&gt;&lt;edition&gt;2017/04/20&lt;/edition&gt;&lt;language&gt;eng&lt;/language&gt;&lt;added-date format="utc"&gt;1509724485&lt;/added-date&gt;&lt;ref-type name="Journal Article"&gt;17&lt;/ref-type&gt;&lt;rec-number&gt;332&lt;/rec-number&gt;&lt;last-updated-date format="utc"&gt;1509724485&lt;/last-updated-date&gt;&lt;accession-num&gt;28580916&lt;/accession-num&gt;&lt;electronic-resource-num&gt;10.1107/S2059798317004430&lt;/electronic-resource-num&gt;&lt;volume&gt;73&lt;/volume&gt;&lt;/record&gt;&lt;/Cite&gt;&lt;/EndNote&gt;</w:instrText>
      </w:r>
      <w:r>
        <w:rPr>
          <w:rFonts w:asciiTheme="majorHAnsi" w:hAnsiTheme="majorHAnsi"/>
        </w:rPr>
        <w:fldChar w:fldCharType="separate"/>
      </w:r>
      <w:r>
        <w:rPr>
          <w:rFonts w:asciiTheme="majorHAnsi" w:hAnsiTheme="majorHAnsi"/>
          <w:noProof/>
        </w:rPr>
        <w:t>(Wilson and Costa, 2017)</w:t>
      </w:r>
      <w:r>
        <w:rPr>
          <w:rFonts w:asciiTheme="majorHAnsi" w:hAnsiTheme="majorHAnsi"/>
        </w:rPr>
        <w:fldChar w:fldCharType="end"/>
      </w:r>
      <w:r w:rsidRPr="00540174">
        <w:rPr>
          <w:rFonts w:asciiTheme="majorHAnsi" w:hAnsiTheme="majorHAnsi"/>
        </w:rPr>
        <w:t xml:space="preserve">. The canonical histones are deposited onto newly synthesized DNA during replication ensuring correct folding, with the multiple genes that code for </w:t>
      </w:r>
      <w:r w:rsidR="003F5B37">
        <w:rPr>
          <w:rFonts w:asciiTheme="majorHAnsi" w:hAnsiTheme="majorHAnsi"/>
        </w:rPr>
        <w:t>histones</w:t>
      </w:r>
      <w:r w:rsidRPr="00540174">
        <w:rPr>
          <w:rFonts w:asciiTheme="majorHAnsi" w:hAnsiTheme="majorHAnsi"/>
        </w:rPr>
        <w:t xml:space="preserve"> in clusters along the genome so that equal and sufficient pools are</w:t>
      </w:r>
      <w:r>
        <w:rPr>
          <w:rFonts w:asciiTheme="majorHAnsi" w:hAnsiTheme="majorHAnsi"/>
        </w:rPr>
        <w:t xml:space="preserve"> constantly being</w:t>
      </w:r>
      <w:r w:rsidRPr="00540174">
        <w:rPr>
          <w:rFonts w:asciiTheme="majorHAnsi" w:hAnsiTheme="majorHAnsi"/>
        </w:rPr>
        <w:t xml:space="preserve"> generated</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&lt;EndNote&gt;&lt;Cite&gt;&lt;Author&gt;Buschbeck&lt;/Author&gt;&lt;Year&gt;2017&lt;/Year&gt;&lt;IDText&gt;Variants of core histones and their roles in cell fate decisions, development and cancer&lt;/IDText&gt;&lt;DisplayText&gt;(Buschbeck and Hake, 2017)&lt;/DisplayText&gt;&lt;record&gt;&lt;dates&gt;&lt;pub-dates&gt;&lt;date&gt;May&lt;/date&gt;&lt;/pub-dates&gt;&lt;year&gt;2017&lt;/year&gt;&lt;/dates&gt;&lt;keywords&gt;&lt;keyword&gt;Animals&lt;/keyword&gt;&lt;keyword&gt;Cell Differentiation&lt;/keyword&gt;&lt;keyword&gt;Chromatin&lt;/keyword&gt;&lt;keyword&gt;Chromatin Assembly and Disassembly&lt;/keyword&gt;&lt;keyword&gt;Embryonic Development&lt;/keyword&gt;&lt;keyword&gt;Gene Expression Regulation&lt;/keyword&gt;&lt;keyword&gt;Histone Code&lt;/keyword&gt;&lt;keyword&gt;Histones&lt;/keyword&gt;&lt;keyword&gt;Humans&lt;/keyword&gt;&lt;keyword&gt;Neoplasms&lt;/keyword&gt;&lt;keyword&gt;Nucleosomes&lt;/keyword&gt;&lt;/keywords&gt;&lt;urls&gt;&lt;related-urls&gt;&lt;url&gt;https://www.ncbi.nlm.nih.gov/pubmed/28144029&lt;/url&gt;&lt;/related-urls&gt;&lt;/urls&gt;&lt;isbn&gt;1471-0080&lt;/isbn&gt;&lt;titles&gt;&lt;title&gt;Variants of core histones and their roles in cell fate decisions, development and cancer&lt;/title&gt;&lt;secondary-title&gt;Nat Rev Mol Cell Biol&lt;/secondary-title&gt;&lt;/titles&gt;&lt;pages&gt;299-314&lt;/pages&gt;&lt;number&gt;5&lt;/number&gt;&lt;contributors&gt;&lt;authors&gt;&lt;author&gt;Buschbeck, M.&lt;/author&gt;&lt;author&gt;Hake, S. B.&lt;/author&gt;&lt;/authors&gt;&lt;/contributors&gt;&lt;edition&gt;2017/02/01&lt;/edition&gt;&lt;language&gt;eng&lt;/language&gt;&lt;added-date format="utc"&gt;1509545000&lt;/added-date&gt;&lt;ref-type name="Journal Article"&gt;17&lt;/ref-type&gt;&lt;rec-number&gt;324&lt;/rec-number&gt;&lt;last-updated-date format="utc"&gt;1509545000&lt;/last-updated-date&gt;&lt;accession-num&gt;28144029&lt;/accession-num&gt;&lt;electronic-resource-num&gt;10.1038/nrm.2016.166&lt;/electronic-resource-num&gt;&lt;volume&gt;18&lt;/volume&gt;&lt;/record&gt;&lt;/Cite&gt;&lt;/EndNote&gt;</w:instrText>
      </w:r>
      <w:r>
        <w:rPr>
          <w:rFonts w:asciiTheme="majorHAnsi" w:hAnsiTheme="majorHAnsi"/>
        </w:rPr>
        <w:fldChar w:fldCharType="separate"/>
      </w:r>
      <w:r>
        <w:rPr>
          <w:rFonts w:asciiTheme="majorHAnsi" w:hAnsiTheme="majorHAnsi"/>
          <w:noProof/>
        </w:rPr>
        <w:t>(Buschbeck and Hake, 2017)</w:t>
      </w:r>
      <w:r>
        <w:rPr>
          <w:rFonts w:asciiTheme="majorHAnsi" w:hAnsiTheme="majorHAnsi"/>
        </w:rPr>
        <w:fldChar w:fldCharType="end"/>
      </w:r>
      <w:r w:rsidRPr="00540174">
        <w:rPr>
          <w:rFonts w:asciiTheme="majorHAnsi" w:hAnsiTheme="majorHAnsi"/>
        </w:rPr>
        <w:t xml:space="preserve">. </w:t>
      </w:r>
      <w:r>
        <w:rPr>
          <w:rFonts w:asciiTheme="majorHAnsi" w:hAnsiTheme="majorHAnsi"/>
        </w:rPr>
        <w:t>In addition to allowing for the compaction of the genome, histones and the nucleosome</w:t>
      </w:r>
      <w:r w:rsidR="003F5B37">
        <w:rPr>
          <w:rFonts w:asciiTheme="majorHAnsi" w:hAnsiTheme="majorHAnsi"/>
        </w:rPr>
        <w:t>s</w:t>
      </w:r>
      <w:r>
        <w:rPr>
          <w:rFonts w:asciiTheme="majorHAnsi" w:hAnsiTheme="majorHAnsi"/>
        </w:rPr>
        <w:t xml:space="preserve"> in general are integral in modifying accessibility to the DNA</w:t>
      </w:r>
      <w:r w:rsidR="00770EBD">
        <w:rPr>
          <w:rFonts w:asciiTheme="majorHAnsi" w:hAnsiTheme="majorHAnsi"/>
        </w:rPr>
        <w:t>,</w:t>
      </w:r>
      <w:r>
        <w:rPr>
          <w:rFonts w:asciiTheme="majorHAnsi" w:hAnsiTheme="majorHAnsi"/>
        </w:rPr>
        <w:t xml:space="preserve"> for DNA replication and repair, as well as transcription factor binding for gene expression. In fact it has been found that</w:t>
      </w:r>
      <w:r w:rsidR="003F5B37">
        <w:rPr>
          <w:rFonts w:asciiTheme="majorHAnsi" w:hAnsiTheme="majorHAnsi"/>
        </w:rPr>
        <w:t xml:space="preserve"> the </w:t>
      </w:r>
      <w:r>
        <w:rPr>
          <w:rFonts w:asciiTheme="majorHAnsi" w:hAnsiTheme="majorHAnsi"/>
        </w:rPr>
        <w:t xml:space="preserve">DNA </w:t>
      </w:r>
      <w:r w:rsidR="003F5B37">
        <w:rPr>
          <w:rFonts w:asciiTheme="majorHAnsi" w:hAnsiTheme="majorHAnsi"/>
        </w:rPr>
        <w:t xml:space="preserve">double helix </w:t>
      </w:r>
      <w:r>
        <w:rPr>
          <w:rFonts w:asciiTheme="majorHAnsi" w:hAnsiTheme="majorHAnsi"/>
        </w:rPr>
        <w:t xml:space="preserve">unwinds and re-anneals up to 4 times every second in order to regulate access </w:t>
      </w:r>
      <w:r>
        <w:rPr>
          <w:rFonts w:asciiTheme="majorHAnsi" w:hAnsiTheme="majorHAnsi"/>
        </w:rPr>
        <w:fldChar w:fldCharType="begin"/>
      </w:r>
      <w:r>
        <w:rPr>
          <w:rFonts w:asciiTheme="majorHAnsi" w:hAnsiTheme="majorHAnsi"/>
        </w:rPr>
        <w:instrText xml:space="preserve"> ADDIN EN.CITE &lt;EndNote&gt;&lt;Cite&gt;&lt;Author&gt;Riedel&lt;/Author&gt;&lt;Year&gt;2015&lt;/Year&gt;&lt;IDText&gt;Histone profiles in cancer&lt;/IDText&gt;&lt;DisplayText&gt;(Riedel et al., 2015)&lt;/DisplayText&gt;&lt;record&gt;&lt;dates&gt;&lt;pub-dates&gt;&lt;date&gt;Oct&lt;/date&gt;&lt;/pub-dates&gt;&lt;year&gt;2015&lt;/year&gt;&lt;/dates&gt;&lt;keywords&gt;&lt;keyword&gt;Chromatin&lt;/keyword&gt;&lt;keyword&gt;Chromatin Assembly and Disassembly&lt;/keyword&gt;&lt;keyword&gt;Epigenesis, Genetic&lt;/keyword&gt;&lt;keyword&gt;Gene Expression&lt;/keyword&gt;&lt;keyword&gt;Histones&lt;/keyword&gt;&lt;keyword&gt;Humans&lt;/keyword&gt;&lt;keyword&gt;Immunohistochemistry&lt;/keyword&gt;&lt;keyword&gt;Mass Spectrometry&lt;/keyword&gt;&lt;keyword&gt;Models, Biological&lt;/keyword&gt;&lt;keyword&gt;Neoplasms&lt;/keyword&gt;&lt;keyword&gt;Polycomb Repressive Complex 2&lt;/keyword&gt;&lt;keyword&gt;Sequence Analysis, Protein&lt;/keyword&gt;&lt;keyword&gt;Transcription Factors&lt;/keyword&gt;&lt;keyword&gt;Transcription, Genetic&lt;/keyword&gt;&lt;/keywords&gt;&lt;urls&gt;&lt;related-urls&gt;&lt;url&gt;https://www.ncbi.nlm.nih.gov/pubmed/26210403&lt;/url&gt;&lt;/related-urls&gt;&lt;/urls&gt;&lt;isbn&gt;1879-016X&lt;/isbn&gt;&lt;titles&gt;&lt;title&gt;Histone profiles in cancer&lt;/title&gt;&lt;secondary-title&gt;Pharmacol Ther&lt;/secondary-title&gt;&lt;/titles&gt;&lt;pages&gt;87-109&lt;/pages&gt;&lt;contributors&gt;&lt;authors&gt;&lt;author&gt;Riedel, S. S.&lt;/author&gt;&lt;author&gt;Neff, T.&lt;/author&gt;&lt;author&gt;Bernt, K. M.&lt;/author&gt;&lt;/authors&gt;&lt;/contributors&gt;&lt;language&gt;eng&lt;/language&gt;&lt;added-date format="utc"&gt;1469459950&lt;/added-date&gt;&lt;ref-type name="Journal Article"&gt;17&lt;/ref-type&gt;&lt;rec-number&gt;161&lt;/rec-number&gt;&lt;last-updated-date format="utc"&gt;1469459950&lt;/last-updated-date&gt;&lt;accession-num&gt;26210403&lt;/accession-num&gt;&lt;electronic-resource-num&gt;10.1016/j.pharmthera.2015.07.004&lt;/electronic-resource-num&gt;&lt;volume&gt;154&lt;/volume&gt;&lt;/record&gt;&lt;/Cite&gt;&lt;/EndNote&gt;</w:instrText>
      </w:r>
      <w:r>
        <w:rPr>
          <w:rFonts w:asciiTheme="majorHAnsi" w:hAnsiTheme="majorHAnsi"/>
        </w:rPr>
        <w:fldChar w:fldCharType="separate"/>
      </w:r>
      <w:r>
        <w:rPr>
          <w:rFonts w:asciiTheme="majorHAnsi" w:hAnsiTheme="majorHAnsi"/>
          <w:noProof/>
        </w:rPr>
        <w:t>(Riedel et al., 2015)</w:t>
      </w:r>
      <w:r>
        <w:rPr>
          <w:rFonts w:asciiTheme="majorHAnsi" w:hAnsiTheme="majorHAnsi"/>
        </w:rPr>
        <w:fldChar w:fldCharType="end"/>
      </w:r>
      <w:r>
        <w:rPr>
          <w:rFonts w:asciiTheme="majorHAnsi" w:hAnsiTheme="majorHAnsi"/>
        </w:rPr>
        <w:t>.</w:t>
      </w:r>
    </w:p>
    <w:p w14:paraId="1A68137B" w14:textId="77777777" w:rsidR="00B15A35" w:rsidRDefault="00B15A35" w:rsidP="00B15A35">
      <w:pPr>
        <w:spacing w:line="360" w:lineRule="auto"/>
        <w:jc w:val="both"/>
        <w:rPr>
          <w:rFonts w:asciiTheme="majorHAnsi" w:hAnsiTheme="majorHAnsi"/>
        </w:rPr>
      </w:pPr>
    </w:p>
    <w:p w14:paraId="25C009B0" w14:textId="6841AAD2" w:rsidR="00B15A35" w:rsidRDefault="00B15A35" w:rsidP="00B15A35">
      <w:pPr>
        <w:spacing w:line="360" w:lineRule="auto"/>
        <w:jc w:val="both"/>
        <w:rPr>
          <w:rFonts w:asciiTheme="majorHAnsi" w:hAnsiTheme="majorHAnsi"/>
        </w:rPr>
      </w:pPr>
      <w:r>
        <w:rPr>
          <w:rFonts w:asciiTheme="majorHAnsi" w:hAnsiTheme="majorHAnsi"/>
        </w:rPr>
        <w:t xml:space="preserve">As well as canonical histones there are also histone </w:t>
      </w:r>
      <w:r w:rsidR="00A845F0">
        <w:rPr>
          <w:rFonts w:asciiTheme="majorHAnsi" w:hAnsiTheme="majorHAnsi"/>
        </w:rPr>
        <w:t>variants that</w:t>
      </w:r>
      <w:r>
        <w:rPr>
          <w:rFonts w:asciiTheme="majorHAnsi" w:hAnsiTheme="majorHAnsi"/>
        </w:rPr>
        <w:t xml:space="preserve"> all confer specific functional and structural changes to the </w:t>
      </w:r>
      <w:r w:rsidR="003F5B37">
        <w:rPr>
          <w:rFonts w:asciiTheme="majorHAnsi" w:hAnsiTheme="majorHAnsi"/>
        </w:rPr>
        <w:t>chromatin</w:t>
      </w:r>
      <w:r w:rsidRPr="00540174">
        <w:rPr>
          <w:rFonts w:asciiTheme="majorHAnsi" w:hAnsiTheme="majorHAnsi"/>
        </w:rPr>
        <w:t xml:space="preserve">, </w:t>
      </w:r>
      <w:r w:rsidR="003F5B37">
        <w:rPr>
          <w:rFonts w:asciiTheme="majorHAnsi" w:hAnsiTheme="majorHAnsi"/>
        </w:rPr>
        <w:t xml:space="preserve">and </w:t>
      </w:r>
      <w:r w:rsidRPr="00540174">
        <w:rPr>
          <w:rFonts w:asciiTheme="majorHAnsi" w:hAnsiTheme="majorHAnsi"/>
        </w:rPr>
        <w:t>all the histon</w:t>
      </w:r>
      <w:r>
        <w:rPr>
          <w:rFonts w:asciiTheme="majorHAnsi" w:hAnsiTheme="majorHAnsi"/>
        </w:rPr>
        <w:t>es</w:t>
      </w:r>
      <w:r w:rsidR="00D56FD5">
        <w:rPr>
          <w:rFonts w:asciiTheme="majorHAnsi" w:hAnsiTheme="majorHAnsi"/>
        </w:rPr>
        <w:t>,</w:t>
      </w:r>
      <w:r>
        <w:rPr>
          <w:rFonts w:asciiTheme="majorHAnsi" w:hAnsiTheme="majorHAnsi"/>
        </w:rPr>
        <w:t xml:space="preserve"> apart from H4</w:t>
      </w:r>
      <w:r w:rsidR="00D56FD5">
        <w:rPr>
          <w:rFonts w:asciiTheme="majorHAnsi" w:hAnsiTheme="majorHAnsi"/>
        </w:rPr>
        <w:t>,</w:t>
      </w:r>
      <w:r>
        <w:rPr>
          <w:rFonts w:asciiTheme="majorHAnsi" w:hAnsiTheme="majorHAnsi"/>
        </w:rPr>
        <w:t xml:space="preserve"> have multiple variants. These </w:t>
      </w:r>
      <w:r w:rsidRPr="00540174">
        <w:rPr>
          <w:rFonts w:asciiTheme="majorHAnsi" w:hAnsiTheme="majorHAnsi"/>
        </w:rPr>
        <w:t>are only coded for by one or two gen</w:t>
      </w:r>
      <w:r>
        <w:rPr>
          <w:rFonts w:asciiTheme="majorHAnsi" w:hAnsiTheme="majorHAnsi"/>
        </w:rPr>
        <w:t xml:space="preserve">es, which </w:t>
      </w:r>
      <w:r w:rsidR="003F5B37">
        <w:rPr>
          <w:rFonts w:asciiTheme="majorHAnsi" w:hAnsiTheme="majorHAnsi"/>
        </w:rPr>
        <w:t>do not</w:t>
      </w:r>
      <w:r>
        <w:rPr>
          <w:rFonts w:asciiTheme="majorHAnsi" w:hAnsiTheme="majorHAnsi"/>
        </w:rPr>
        <w:t xml:space="preserve"> reside within the </w:t>
      </w:r>
      <w:r w:rsidR="003F5B37">
        <w:rPr>
          <w:rFonts w:asciiTheme="majorHAnsi" w:hAnsiTheme="majorHAnsi"/>
        </w:rPr>
        <w:t xml:space="preserve">histone </w:t>
      </w:r>
      <w:r>
        <w:rPr>
          <w:rFonts w:asciiTheme="majorHAnsi" w:hAnsiTheme="majorHAnsi"/>
        </w:rPr>
        <w:t>gene clusters and are t</w:t>
      </w:r>
      <w:r w:rsidRPr="00540174">
        <w:rPr>
          <w:rFonts w:asciiTheme="majorHAnsi" w:hAnsiTheme="majorHAnsi"/>
        </w:rPr>
        <w:t xml:space="preserve">hereby </w:t>
      </w:r>
      <w:r w:rsidR="003F5B37">
        <w:rPr>
          <w:rFonts w:asciiTheme="majorHAnsi" w:hAnsiTheme="majorHAnsi"/>
        </w:rPr>
        <w:t>independently transcribed</w:t>
      </w:r>
      <w:r>
        <w:rPr>
          <w:rFonts w:asciiTheme="majorHAnsi" w:hAnsiTheme="majorHAnsi"/>
        </w:rPr>
        <w:t xml:space="preserve">. Variants of H3 are: H3.3, H3.1T, H3.5, H3.X and CENP-A, variants of H2A are: H2A.X, H2A.Z.1, H2A.Z.2.1, H2A.Z.2.2, H2A.B, macroH2A1.1, macroH2A1.2 and macroH2A2, </w:t>
      </w:r>
      <w:r w:rsidR="003F5B37">
        <w:rPr>
          <w:rFonts w:asciiTheme="majorHAnsi" w:hAnsiTheme="majorHAnsi"/>
        </w:rPr>
        <w:t xml:space="preserve">and there are </w:t>
      </w:r>
      <w:r>
        <w:rPr>
          <w:rFonts w:asciiTheme="majorHAnsi" w:hAnsiTheme="majorHAnsi"/>
        </w:rPr>
        <w:t xml:space="preserve">two testis specific variants of H2B: H2B.W and </w:t>
      </w:r>
      <w:r w:rsidRPr="008B6609">
        <w:rPr>
          <w:rFonts w:asciiTheme="majorHAnsi" w:hAnsiTheme="majorHAnsi"/>
        </w:rPr>
        <w:t>TSH2B. Histone</w:t>
      </w:r>
      <w:r>
        <w:rPr>
          <w:rFonts w:asciiTheme="majorHAnsi" w:hAnsiTheme="majorHAnsi"/>
        </w:rPr>
        <w:t>s</w:t>
      </w:r>
      <w:r w:rsidRPr="008B6609">
        <w:rPr>
          <w:rFonts w:asciiTheme="majorHAnsi" w:hAnsiTheme="majorHAnsi"/>
        </w:rPr>
        <w:t xml:space="preserve"> are deposited into the nucleosomes by unique chaperone proteins and the nucleosomes can therefore have many different v</w:t>
      </w:r>
      <w:r>
        <w:rPr>
          <w:rFonts w:asciiTheme="majorHAnsi" w:hAnsiTheme="majorHAnsi"/>
        </w:rPr>
        <w:t>ariations of histones present. F</w:t>
      </w:r>
      <w:r w:rsidRPr="008B6609">
        <w:rPr>
          <w:rFonts w:asciiTheme="majorHAnsi" w:hAnsiTheme="majorHAnsi"/>
        </w:rPr>
        <w:t>or example</w:t>
      </w:r>
      <w:r>
        <w:rPr>
          <w:rFonts w:asciiTheme="majorHAnsi" w:hAnsiTheme="majorHAnsi"/>
        </w:rPr>
        <w:t>,</w:t>
      </w:r>
      <w:r w:rsidRPr="008B6609">
        <w:rPr>
          <w:rFonts w:asciiTheme="majorHAnsi" w:hAnsiTheme="majorHAnsi"/>
        </w:rPr>
        <w:t xml:space="preserve"> they can be heterotypic with a canonical histone and a variant or even with two different variants, highlighting the specificity and dynamic nature of nucleosomes </w:t>
      </w:r>
      <w:r w:rsidRPr="008B6609">
        <w:rPr>
          <w:rFonts w:asciiTheme="majorHAnsi" w:hAnsiTheme="majorHAnsi"/>
        </w:rPr>
        <w:fldChar w:fldCharType="begin"/>
      </w:r>
      <w:r w:rsidRPr="008B6609">
        <w:rPr>
          <w:rFonts w:asciiTheme="majorHAnsi" w:hAnsiTheme="majorHAnsi"/>
        </w:rPr>
        <w:instrText xml:space="preserve"> ADDIN EN.CITE &lt;EndNote&gt;&lt;Cite&gt;&lt;Author&gt;Buschbeck&lt;/Author&gt;&lt;Year&gt;2017&lt;/Year&gt;&lt;IDText&gt;Variants of core histones and their roles in cell fate decisions, development and cancer&lt;/IDText&gt;&lt;DisplayText&gt;(Buschbeck and Hake, 2017)&lt;/DisplayText&gt;&lt;record&gt;&lt;dates&gt;&lt;pub-dates&gt;&lt;date&gt;May&lt;/date&gt;&lt;/pub-dates&gt;&lt;year&gt;2017&lt;/year&gt;&lt;/dates&gt;&lt;keywords&gt;&lt;keyword&gt;Animals&lt;/keyword&gt;&lt;keyword&gt;Cell Differentiation&lt;/keyword&gt;&lt;keyword&gt;Chromatin&lt;/keyword&gt;&lt;keyword&gt;Chromatin Assembly and Disassembly&lt;/keyword&gt;&lt;keyword&gt;Embryonic Development&lt;/keyword&gt;&lt;keyword&gt;Gene Expression Regulation&lt;/keyword&gt;&lt;keyword&gt;Histone Code&lt;/keyword&gt;&lt;keyword&gt;Histones&lt;/keyword&gt;&lt;keyword&gt;Humans&lt;/keyword&gt;&lt;keyword&gt;Neoplasms&lt;/keyword&gt;&lt;keyword&gt;Nucleosomes&lt;/keyword&gt;&lt;/keywords&gt;&lt;urls&gt;&lt;related-urls&gt;&lt;url&gt;https://www.ncbi.nlm.nih.gov/pubmed/28144029&lt;/url&gt;&lt;/related-urls&gt;&lt;/urls&gt;&lt;isbn&gt;1471-0080&lt;/isbn&gt;&lt;titles&gt;&lt;title&gt;Variants of core histones and their roles in cell fate decisions, development and cancer&lt;/title&gt;&lt;secondary-title&gt;Nat Rev Mol Cell Biol&lt;/secondary-title&gt;&lt;/titles&gt;&lt;pages&gt;299-314&lt;/pages&gt;&lt;number&gt;5&lt;/number&gt;&lt;contributors&gt;&lt;authors&gt;&lt;author&gt;Buschbeck, M.&lt;/author&gt;&lt;author&gt;Hake, S. B.&lt;/author&gt;&lt;/authors&gt;&lt;/contributors&gt;&lt;edition&gt;2017/02/01&lt;/edition&gt;&lt;language&gt;eng&lt;/language&gt;&lt;added-date format="utc"&gt;1509545000&lt;/added-date&gt;&lt;ref-type name="Journal Article"&gt;17&lt;/ref-type&gt;&lt;rec-number&gt;324&lt;/rec-number&gt;&lt;last-updated-date format="utc"&gt;1509545000&lt;/last-updated-date&gt;&lt;accession-num&gt;28144029&lt;/accession-num&gt;&lt;electronic-resource-num&gt;10.1038/nrm.2016.166&lt;/electronic-resource-num&gt;&lt;volume&gt;18&lt;/volume&gt;&lt;/record&gt;&lt;/Cite&gt;&lt;/EndNote&gt;</w:instrText>
      </w:r>
      <w:r w:rsidRPr="008B6609">
        <w:rPr>
          <w:rFonts w:asciiTheme="majorHAnsi" w:hAnsiTheme="majorHAnsi"/>
        </w:rPr>
        <w:fldChar w:fldCharType="separate"/>
      </w:r>
      <w:r w:rsidRPr="008B6609">
        <w:rPr>
          <w:rFonts w:asciiTheme="majorHAnsi" w:hAnsiTheme="majorHAnsi"/>
          <w:noProof/>
        </w:rPr>
        <w:t>(Buschbeck and Hake, 2017)</w:t>
      </w:r>
      <w:r w:rsidRPr="008B6609">
        <w:rPr>
          <w:rFonts w:asciiTheme="majorHAnsi" w:hAnsiTheme="majorHAnsi"/>
        </w:rPr>
        <w:fldChar w:fldCharType="end"/>
      </w:r>
      <w:r w:rsidRPr="008B6609">
        <w:rPr>
          <w:rFonts w:asciiTheme="majorHAnsi" w:hAnsiTheme="majorHAnsi"/>
        </w:rPr>
        <w:t xml:space="preserve">. The different compositions of histones and their variants facilitate gene expression by changing the stability of the nucleosome-DNA interaction and therefore </w:t>
      </w:r>
      <w:r>
        <w:rPr>
          <w:rFonts w:asciiTheme="majorHAnsi" w:hAnsiTheme="majorHAnsi"/>
        </w:rPr>
        <w:t>facilitating</w:t>
      </w:r>
      <w:r w:rsidRPr="008B6609">
        <w:rPr>
          <w:rFonts w:asciiTheme="majorHAnsi" w:hAnsiTheme="majorHAnsi"/>
        </w:rPr>
        <w:t xml:space="preserve"> or hindering access of transcription factors. Each histone variant will have specific </w:t>
      </w:r>
      <w:r w:rsidR="003F5B37">
        <w:rPr>
          <w:rFonts w:asciiTheme="majorHAnsi" w:hAnsiTheme="majorHAnsi"/>
        </w:rPr>
        <w:t>functionalities</w:t>
      </w:r>
      <w:r>
        <w:rPr>
          <w:rFonts w:asciiTheme="majorHAnsi" w:hAnsiTheme="majorHAnsi"/>
        </w:rPr>
        <w:t>,</w:t>
      </w:r>
      <w:r w:rsidRPr="008B6609">
        <w:rPr>
          <w:rFonts w:asciiTheme="majorHAnsi" w:hAnsiTheme="majorHAnsi"/>
        </w:rPr>
        <w:t xml:space="preserve"> for instance</w:t>
      </w:r>
      <w:r>
        <w:rPr>
          <w:rFonts w:asciiTheme="majorHAnsi" w:hAnsiTheme="majorHAnsi"/>
        </w:rPr>
        <w:t>,</w:t>
      </w:r>
      <w:r w:rsidRPr="008B6609">
        <w:rPr>
          <w:rFonts w:asciiTheme="majorHAnsi" w:hAnsiTheme="majorHAnsi"/>
        </w:rPr>
        <w:t xml:space="preserve"> double variant enrichment of H3.3 and H2A.Z is found at transcriptionally active areas of the genome, and it is thought this incorporation causes unstable nucleosomes and </w:t>
      </w:r>
      <w:r w:rsidR="003F5B37">
        <w:rPr>
          <w:rFonts w:asciiTheme="majorHAnsi" w:hAnsiTheme="majorHAnsi"/>
        </w:rPr>
        <w:t>thus</w:t>
      </w:r>
      <w:r w:rsidRPr="008B6609">
        <w:rPr>
          <w:rFonts w:asciiTheme="majorHAnsi" w:hAnsiTheme="majorHAnsi"/>
        </w:rPr>
        <w:t xml:space="preserve"> an open chromatin architecture </w:t>
      </w:r>
      <w:r w:rsidRPr="008B6609">
        <w:rPr>
          <w:rFonts w:asciiTheme="majorHAnsi" w:hAnsiTheme="majorHAnsi"/>
        </w:rPr>
        <w:fldChar w:fldCharType="begin"/>
      </w:r>
      <w:r w:rsidRPr="008B6609">
        <w:rPr>
          <w:rFonts w:asciiTheme="majorHAnsi" w:hAnsiTheme="majorHAnsi"/>
        </w:rPr>
        <w:instrText xml:space="preserve"> ADDIN EN.CITE &lt;EndNote&gt;&lt;Cite&gt;&lt;Author&gt;Chen&lt;/Author&gt;&lt;Year&gt;2014&lt;/Year&gt;&lt;IDText&gt;Dynamics of histone variant H3.3 and its coregulation with H2A.Z at enhancers and promoters&lt;/IDText&gt;&lt;DisplayText&gt;(Chen et al., 2014)&lt;/DisplayText&gt;&lt;record&gt;&lt;dates&gt;&lt;pub-dates&gt;&lt;date&gt;2014 Jan-Feb&lt;/date&gt;&lt;/pub-dates&gt;&lt;year&gt;2014&lt;/year&gt;&lt;/dates&gt;&lt;keywords&gt;&lt;keyword&gt;Animals&lt;/keyword&gt;&lt;keyword&gt;Chromatin&lt;/keyword&gt;&lt;keyword&gt;DNA&lt;/keyword&gt;&lt;keyword&gt;DNA Methylation&lt;/keyword&gt;&lt;keyword&gt;Enhancer Elements, Genetic&lt;/keyword&gt;&lt;keyword&gt;Epigenesis, Genetic&lt;/keyword&gt;&lt;keyword&gt;Gene Expression Regulation&lt;/keyword&gt;&lt;keyword&gt;Genome&lt;/keyword&gt;&lt;keyword&gt;Histones&lt;/keyword&gt;&lt;keyword&gt;Humans&lt;/keyword&gt;&lt;keyword&gt;Promoter Regions, Genetic&lt;/keyword&gt;&lt;keyword&gt;Transcription Factors&lt;/keyword&gt;&lt;/keywords&gt;&lt;urls&gt;&lt;related-urls&gt;&lt;url&gt;https://www.ncbi.nlm.nih.gov/pubmed/24637397&lt;/url&gt;&lt;/related-urls&gt;&lt;/urls&gt;&lt;isbn&gt;1949-1042&lt;/isbn&gt;&lt;custom2&gt;PMC4028350&lt;/custom2&gt;&lt;titles&gt;&lt;title&gt;Dynamics of histone variant H3.3 and its coregulation with H2A.Z at enhancers and promoters&lt;/title&gt;&lt;secondary-title&gt;Nucleus&lt;/secondary-title&gt;&lt;/titles&gt;&lt;pages&gt;21-7&lt;/pages&gt;&lt;number&gt;1&lt;/number&gt;&lt;contributors&gt;&lt;authors&gt;&lt;author&gt;Chen, P.&lt;/author&gt;&lt;author&gt;Wang, Y.&lt;/author&gt;&lt;author&gt;Li, G.&lt;/author&gt;&lt;/authors&gt;&lt;/contributors&gt;&lt;edition&gt;2014/02/03&lt;/edition&gt;&lt;language&gt;eng&lt;/language&gt;&lt;added-date format="utc"&gt;1509974826&lt;/added-date&gt;&lt;ref-type name="Journal Article"&gt;17&lt;/ref-type&gt;&lt;rec-number&gt;334&lt;/rec-number&gt;&lt;last-updated-date format="utc"&gt;1509974826&lt;/last-updated-date&gt;&lt;accession-num&gt;24637397&lt;/accession-num&gt;&lt;electronic-resource-num&gt;10.4161/nucl.28067&lt;/electronic-resource-num&gt;&lt;volume&gt;5&lt;/volume&gt;&lt;/record&gt;&lt;/Cite&gt;&lt;/EndNote&gt;</w:instrText>
      </w:r>
      <w:r w:rsidRPr="008B6609">
        <w:rPr>
          <w:rFonts w:asciiTheme="majorHAnsi" w:hAnsiTheme="majorHAnsi"/>
        </w:rPr>
        <w:fldChar w:fldCharType="separate"/>
      </w:r>
      <w:r w:rsidRPr="008B6609">
        <w:rPr>
          <w:rFonts w:asciiTheme="majorHAnsi" w:hAnsiTheme="majorHAnsi"/>
          <w:noProof/>
        </w:rPr>
        <w:t>(Chen et al., 2014)</w:t>
      </w:r>
      <w:r w:rsidRPr="008B6609">
        <w:rPr>
          <w:rFonts w:asciiTheme="majorHAnsi" w:hAnsiTheme="majorHAnsi"/>
        </w:rPr>
        <w:fldChar w:fldCharType="end"/>
      </w:r>
      <w:r w:rsidRPr="008B6609">
        <w:rPr>
          <w:rFonts w:asciiTheme="majorHAnsi" w:hAnsiTheme="majorHAnsi"/>
        </w:rPr>
        <w:t>.</w:t>
      </w:r>
      <w:r>
        <w:rPr>
          <w:rFonts w:asciiTheme="majorHAnsi" w:hAnsiTheme="majorHAnsi"/>
        </w:rPr>
        <w:t xml:space="preserve"> </w:t>
      </w:r>
    </w:p>
    <w:p w14:paraId="53405AA9" w14:textId="77777777" w:rsidR="00B15A35" w:rsidRDefault="00B15A35" w:rsidP="00B15A35">
      <w:pPr>
        <w:spacing w:line="360" w:lineRule="auto"/>
        <w:jc w:val="both"/>
        <w:rPr>
          <w:rFonts w:asciiTheme="majorHAnsi" w:hAnsiTheme="majorHAnsi"/>
        </w:rPr>
      </w:pPr>
    </w:p>
    <w:p w14:paraId="66E2E84C" w14:textId="0BB9F762" w:rsidR="00B15A35" w:rsidRDefault="00B15A35" w:rsidP="00B15A35">
      <w:pPr>
        <w:spacing w:line="360" w:lineRule="auto"/>
        <w:jc w:val="both"/>
        <w:rPr>
          <w:rFonts w:asciiTheme="majorHAnsi" w:hAnsiTheme="majorHAnsi"/>
        </w:rPr>
      </w:pPr>
      <w:r w:rsidRPr="00980F4E">
        <w:rPr>
          <w:rFonts w:asciiTheme="majorHAnsi" w:hAnsiTheme="majorHAnsi"/>
        </w:rPr>
        <w:t xml:space="preserve">Histones can also be modified by the enzymatic addition or removal of post-translational modifications including methylation, phosphorylation, acetylation and ubiquitination, usually at the free N-terminal tails. These modifications alter the affinity of the histones to bind the DNA that is wound around them via steric hindrance or charge interactions. For example acetylation of lysine residues creates open chromatin architecture by diminishing the positive-negative histone-DNA attraction, thereby promoting transcriptional factors to bind </w:t>
      </w:r>
      <w:r w:rsidRPr="00980F4E">
        <w:rPr>
          <w:rFonts w:asciiTheme="majorHAnsi" w:hAnsiTheme="majorHAnsi"/>
        </w:rPr>
        <w:fldChar w:fldCharType="begin"/>
      </w:r>
      <w:r w:rsidRPr="00980F4E">
        <w:rPr>
          <w:rFonts w:asciiTheme="majorHAnsi" w:hAnsiTheme="majorHAnsi"/>
        </w:rPr>
        <w:instrText xml:space="preserve"> ADDIN EN.CITE &lt;EndNote&gt;&lt;Cite&gt;&lt;Author&gt;Khan&lt;/Author&gt;&lt;Year&gt;2015&lt;/Year&gt;&lt;IDText&gt;Global histone post-translational modifications and cancer: Biomarkers for diagnosis, prognosis and treatment?&lt;/IDText&gt;&lt;DisplayText&gt;(Khan et al., 2015)&lt;/DisplayText&gt;&lt;record&gt;&lt;dates&gt;&lt;pub-dates&gt;&lt;date&gt;Nov&lt;/date&gt;&lt;/pub-dates&gt;&lt;year&gt;2015&lt;/year&gt;&lt;/dates&gt;&lt;urls&gt;&lt;related-urls&gt;&lt;url&gt;https://www.ncbi.nlm.nih.gov/pubmed/26629316&lt;/url&gt;&lt;/related-urls&gt;&lt;/urls&gt;&lt;isbn&gt;1949-8454&lt;/isbn&gt;&lt;custom2&gt;PMC4657128&lt;/custom2&gt;&lt;titles&gt;&lt;title&gt;Global histone post-translational modifications and cancer: Biomarkers for diagnosis, prognosis and treatment?&lt;/title&gt;&lt;secondary-title&gt;World J Biol Chem&lt;/secondary-title&gt;&lt;/titles&gt;&lt;pages&gt;333-45&lt;/pages&gt;&lt;number&gt;4&lt;/number&gt;&lt;contributors&gt;&lt;authors&gt;&lt;author&gt;Khan, S. A.&lt;/author&gt;&lt;author&gt;Reddy, D.&lt;/author&gt;&lt;author&gt;Gupta, S.&lt;/author&gt;&lt;/authors&gt;&lt;/contributors&gt;&lt;language&gt;eng&lt;/language&gt;&lt;added-date format="utc"&gt;1469460549&lt;/added-date&gt;&lt;ref-type name="Journal Article"&gt;17&lt;/ref-type&gt;&lt;rec-number&gt;169&lt;/rec-number&gt;&lt;last-updated-date format="utc"&gt;1469460549&lt;/last-updated-date&gt;&lt;accession-num&gt;26629316&lt;/accession-num&gt;&lt;electronic-resource-num&gt;10.4331/wjbc.v6.i4.333&lt;/electronic-resource-num&gt;&lt;volume&gt;6&lt;/volume&gt;&lt;/record&gt;&lt;/Cite&gt;&lt;/EndNote&gt;</w:instrText>
      </w:r>
      <w:r w:rsidRPr="00980F4E">
        <w:rPr>
          <w:rFonts w:asciiTheme="majorHAnsi" w:hAnsiTheme="majorHAnsi"/>
        </w:rPr>
        <w:fldChar w:fldCharType="separate"/>
      </w:r>
      <w:r w:rsidRPr="00980F4E">
        <w:rPr>
          <w:rFonts w:asciiTheme="majorHAnsi" w:hAnsiTheme="majorHAnsi"/>
          <w:noProof/>
        </w:rPr>
        <w:t>(Khan et al., 2015)</w:t>
      </w:r>
      <w:r w:rsidRPr="00980F4E">
        <w:rPr>
          <w:rFonts w:asciiTheme="majorHAnsi" w:hAnsiTheme="majorHAnsi"/>
        </w:rPr>
        <w:fldChar w:fldCharType="end"/>
      </w:r>
      <w:r>
        <w:rPr>
          <w:rFonts w:asciiTheme="majorHAnsi" w:hAnsiTheme="majorHAnsi"/>
        </w:rPr>
        <w:t>. I</w:t>
      </w:r>
      <w:r w:rsidRPr="00980F4E">
        <w:rPr>
          <w:rFonts w:asciiTheme="majorHAnsi" w:hAnsiTheme="majorHAnsi"/>
        </w:rPr>
        <w:t>n contrast</w:t>
      </w:r>
      <w:r w:rsidR="003F5B37">
        <w:rPr>
          <w:rFonts w:asciiTheme="majorHAnsi" w:hAnsiTheme="majorHAnsi"/>
        </w:rPr>
        <w:t>,</w:t>
      </w:r>
      <w:r w:rsidRPr="00980F4E">
        <w:rPr>
          <w:rFonts w:asciiTheme="majorHAnsi" w:hAnsiTheme="majorHAnsi"/>
        </w:rPr>
        <w:t xml:space="preserve"> tri-methylation specifically of H3 further condenses the DNA to protect from</w:t>
      </w:r>
      <w:r w:rsidRPr="008B6609">
        <w:rPr>
          <w:rFonts w:asciiTheme="majorHAnsi" w:hAnsiTheme="majorHAnsi"/>
        </w:rPr>
        <w:t xml:space="preserve"> transcription factor binding. However, there are many different dis</w:t>
      </w:r>
      <w:r w:rsidR="00C5170E">
        <w:rPr>
          <w:rFonts w:asciiTheme="majorHAnsi" w:hAnsiTheme="majorHAnsi"/>
        </w:rPr>
        <w:t>tinctive nucleosome states causing</w:t>
      </w:r>
      <w:r w:rsidRPr="008B6609">
        <w:rPr>
          <w:rFonts w:asciiTheme="majorHAnsi" w:hAnsiTheme="majorHAnsi"/>
        </w:rPr>
        <w:t xml:space="preserve"> differing stabilities, which in turn leads to binding or opposing of transcription factor</w:t>
      </w:r>
      <w:r w:rsidR="00C5170E">
        <w:rPr>
          <w:rFonts w:asciiTheme="majorHAnsi" w:hAnsiTheme="majorHAnsi"/>
        </w:rPr>
        <w:t>s</w:t>
      </w:r>
      <w:r w:rsidRPr="008B6609">
        <w:rPr>
          <w:rFonts w:asciiTheme="majorHAnsi" w:hAnsiTheme="majorHAnsi"/>
        </w:rPr>
        <w:t xml:space="preserve"> and so gene expression </w:t>
      </w:r>
      <w:r w:rsidRPr="008B6609">
        <w:rPr>
          <w:rFonts w:asciiTheme="majorHAnsi" w:hAnsiTheme="majorHAnsi"/>
        </w:rPr>
        <w:fldChar w:fldCharType="begin"/>
      </w:r>
      <w:r w:rsidRPr="008B6609">
        <w:rPr>
          <w:rFonts w:asciiTheme="majorHAnsi" w:hAnsiTheme="majorHAnsi"/>
        </w:rPr>
        <w:instrText xml:space="preserve"> ADDIN EN.CITE &lt;EndNote&gt;&lt;Cite&gt;&lt;Author&gt;Barski&lt;/Author&gt;&lt;Year&gt;2007&lt;/Year&gt;&lt;IDText&gt;High-resolution profiling of histone methylations in the human genome&lt;/IDText&gt;&lt;DisplayText&gt;(Barski et al., 2007)&lt;/DisplayText&gt;&lt;record&gt;&lt;dates&gt;&lt;pub-dates&gt;&lt;date&gt;May&lt;/date&gt;&lt;/pub-dates&gt;&lt;year&gt;2007&lt;/year&gt;&lt;/dates&gt;&lt;keywords&gt;&lt;keyword&gt;Chromatin&lt;/keyword&gt;&lt;keyword&gt;Chromosome Breakage&lt;/keyword&gt;&lt;keyword&gt;Enhancer Elements, Genetic&lt;/keyword&gt;&lt;keyword&gt;Epigenesis, Genetic&lt;/keyword&gt;&lt;keyword&gt;Gene Expression Profiling&lt;/keyword&gt;&lt;keyword&gt;Gene Expression Regulation&lt;/keyword&gt;&lt;keyword&gt;Genome, Human&lt;/keyword&gt;&lt;keyword&gt;Histone-Lysine N-Methyltransferase&lt;/keyword&gt;&lt;keyword&gt;Histones&lt;/keyword&gt;&lt;keyword&gt;Humans&lt;/keyword&gt;&lt;keyword&gt;Lymphoma&lt;/keyword&gt;&lt;keyword&gt;Methylation&lt;/keyword&gt;&lt;keyword&gt;Promoter Regions, Genetic&lt;/keyword&gt;&lt;keyword&gt;Protein Methyltransferases&lt;/keyword&gt;&lt;keyword&gt;RNA Polymerase II&lt;/keyword&gt;&lt;keyword&gt;Regulatory Elements, Transcriptional&lt;/keyword&gt;&lt;keyword&gt;Transcriptional Activation&lt;/keyword&gt;&lt;/keywords&gt;&lt;urls&gt;&lt;related-urls&gt;&lt;url&gt;http://www.ncbi.nlm.nih.gov/pubmed/17512414&lt;/url&gt;&lt;/related-urls&gt;&lt;/urls&gt;&lt;isbn&gt;0092-8674&lt;/isbn&gt;&lt;titles&gt;&lt;title&gt;High-resolution profiling of histone methylations in the human genome&lt;/title&gt;&lt;secondary-title&gt;Cell&lt;/secondary-title&gt;&lt;/titles&gt;&lt;pages&gt;823-37&lt;/pages&gt;&lt;number&gt;4&lt;/number&gt;&lt;contributors&gt;&lt;authors&gt;&lt;author&gt;Barski, A.&lt;/author&gt;&lt;author&gt;Cuddapah, S.&lt;/author&gt;&lt;author&gt;Cui, K.&lt;/author&gt;&lt;author&gt;Roh, T. Y.&lt;/author&gt;&lt;author&gt;Schones, D. E.&lt;/author&gt;&lt;author&gt;Wang, Z.&lt;/author&gt;&lt;author&gt;Wei, G.&lt;/author&gt;&lt;author&gt;Chepelev, I.&lt;/author&gt;&lt;author&gt;Zhao, K.&lt;/author&gt;&lt;/authors&gt;&lt;/contributors&gt;&lt;language&gt;eng&lt;/language&gt;&lt;added-date format="utc"&gt;1425917916&lt;/added-date&gt;&lt;ref-type name="Journal Article"&gt;17&lt;/ref-type&gt;&lt;rec-number&gt;12&lt;/rec-number&gt;&lt;last-updated-date format="utc"&gt;1447343679&lt;/last-updated-date&gt;&lt;accession-num&gt;17512414&lt;/accession-num&gt;&lt;electronic-resource-num&gt;10.1016/j.cell.2007.05.009&lt;/electronic-resource-num&gt;&lt;volume&gt;129&lt;/volume&gt;&lt;/record&gt;&lt;/Cite&gt;&lt;/EndNote&gt;</w:instrText>
      </w:r>
      <w:r w:rsidRPr="008B6609">
        <w:rPr>
          <w:rFonts w:asciiTheme="majorHAnsi" w:hAnsiTheme="majorHAnsi"/>
        </w:rPr>
        <w:fldChar w:fldCharType="separate"/>
      </w:r>
      <w:r w:rsidRPr="008B6609">
        <w:rPr>
          <w:rFonts w:asciiTheme="majorHAnsi" w:hAnsiTheme="majorHAnsi"/>
          <w:noProof/>
        </w:rPr>
        <w:t>(Barski et al., 2007)</w:t>
      </w:r>
      <w:r w:rsidRPr="008B6609">
        <w:rPr>
          <w:rFonts w:asciiTheme="majorHAnsi" w:hAnsiTheme="majorHAnsi"/>
        </w:rPr>
        <w:fldChar w:fldCharType="end"/>
      </w:r>
      <w:r w:rsidRPr="008B6609">
        <w:rPr>
          <w:rFonts w:asciiTheme="majorHAnsi" w:hAnsiTheme="majorHAnsi"/>
        </w:rPr>
        <w:t>. The histone code</w:t>
      </w:r>
      <w:r w:rsidRPr="009626F4">
        <w:rPr>
          <w:rFonts w:asciiTheme="majorHAnsi" w:hAnsiTheme="majorHAnsi"/>
        </w:rPr>
        <w:t xml:space="preserve"> theory was developed in 2000 by </w:t>
      </w:r>
      <w:proofErr w:type="spellStart"/>
      <w:r w:rsidRPr="009626F4">
        <w:rPr>
          <w:rFonts w:asciiTheme="majorHAnsi" w:hAnsiTheme="majorHAnsi"/>
        </w:rPr>
        <w:t>Strahl</w:t>
      </w:r>
      <w:proofErr w:type="spellEnd"/>
      <w:r w:rsidRPr="009626F4">
        <w:rPr>
          <w:rFonts w:asciiTheme="majorHAnsi" w:hAnsiTheme="majorHAnsi"/>
        </w:rPr>
        <w:t xml:space="preserve"> and Allis, and states that there are ‘writers’ such as histone </w:t>
      </w:r>
      <w:proofErr w:type="spellStart"/>
      <w:r w:rsidRPr="009626F4">
        <w:rPr>
          <w:rFonts w:asciiTheme="majorHAnsi" w:hAnsiTheme="majorHAnsi"/>
        </w:rPr>
        <w:t>methyltransferase</w:t>
      </w:r>
      <w:proofErr w:type="spellEnd"/>
      <w:r w:rsidRPr="009626F4">
        <w:rPr>
          <w:rFonts w:asciiTheme="majorHAnsi" w:hAnsiTheme="majorHAnsi"/>
        </w:rPr>
        <w:t xml:space="preserve"> (HMTs) and acetyltransferase (HATs), ‘erasers’ such as histone </w:t>
      </w:r>
      <w:proofErr w:type="spellStart"/>
      <w:r w:rsidRPr="009626F4">
        <w:rPr>
          <w:rFonts w:asciiTheme="majorHAnsi" w:hAnsiTheme="majorHAnsi"/>
        </w:rPr>
        <w:t>demethylases</w:t>
      </w:r>
      <w:proofErr w:type="spellEnd"/>
      <w:r w:rsidRPr="009626F4">
        <w:rPr>
          <w:rFonts w:asciiTheme="majorHAnsi" w:hAnsiTheme="majorHAnsi"/>
        </w:rPr>
        <w:t xml:space="preserve"> (HDMs) and deacetylases (HDACs), which modify the histones and this in turn leads to ‘readers’ which are proteins recruited to the histone modifications and therefore affect DNA processes such as transcription, depending on the modification available </w:t>
      </w:r>
      <w:r w:rsidRPr="009626F4">
        <w:rPr>
          <w:rFonts w:asciiTheme="majorHAnsi" w:hAnsiTheme="majorHAnsi"/>
        </w:rPr>
        <w:fldChar w:fldCharType="begin"/>
      </w:r>
      <w:r w:rsidRPr="009626F4">
        <w:rPr>
          <w:rFonts w:asciiTheme="majorHAnsi" w:hAnsiTheme="majorHAnsi"/>
        </w:rPr>
        <w:instrText xml:space="preserve"> ADDIN EN.CITE &lt;EndNote&gt;&lt;Cite&gt;&lt;Author&gt;Strahl&lt;/Author&gt;&lt;Year&gt;2000&lt;/Year&gt;&lt;IDText&gt;The language of covalent histone modifications&lt;/IDText&gt;&lt;DisplayText&gt;(Strahl and Allis, 2000)&lt;/DisplayText&gt;&lt;record&gt;&lt;dates&gt;&lt;pub-dates&gt;&lt;date&gt;Jan&lt;/date&gt;&lt;/pub-dates&gt;&lt;year&gt;2000&lt;/year&gt;&lt;/dates&gt;&lt;keywords&gt;&lt;keyword&gt;Acetylation&lt;/keyword&gt;&lt;keyword&gt;Amino Acid Sequence&lt;/keyword&gt;&lt;keyword&gt;Animals&lt;/keyword&gt;&lt;keyword&gt;Chromatin&lt;/keyword&gt;&lt;keyword&gt;Histones&lt;/keyword&gt;&lt;keyword&gt;Humans&lt;/keyword&gt;&lt;keyword&gt;Lysine&lt;/keyword&gt;&lt;keyword&gt;Microtubules&lt;/keyword&gt;&lt;keyword&gt;Models, Biological&lt;/keyword&gt;&lt;keyword&gt;Molecular Sequence Data&lt;/keyword&gt;&lt;keyword&gt;Phosphorylation&lt;/keyword&gt;&lt;keyword&gt;Protein Processing, Post-Translational&lt;/keyword&gt;&lt;keyword&gt;Serine&lt;/keyword&gt;&lt;/keywords&gt;&lt;urls&gt;&lt;related-urls&gt;&lt;url&gt;https://www.ncbi.nlm.nih.gov/pubmed/10638745&lt;/url&gt;&lt;/related-urls&gt;&lt;/urls&gt;&lt;isbn&gt;0028-0836&lt;/isbn&gt;&lt;titles&gt;&lt;title&gt;The language of covalent histone modifications&lt;/title&gt;&lt;secondary-title&gt;Nature&lt;/secondary-title&gt;&lt;/titles&gt;&lt;pages&gt;41-5&lt;/pages&gt;&lt;number&gt;6765&lt;/number&gt;&lt;contributors&gt;&lt;authors&gt;&lt;author&gt;Strahl, B. D.&lt;/author&gt;&lt;author&gt;Allis, C. D.&lt;/author&gt;&lt;/authors&gt;&lt;/contributors&gt;&lt;language&gt;eng&lt;/language&gt;&lt;added-date format="utc"&gt;1509974156&lt;/added-date&gt;&lt;ref-type name="Journal Article"&gt;17&lt;/ref-type&gt;&lt;rec-number&gt;333&lt;/rec-number&gt;&lt;last-updated-date format="utc"&gt;1509974156&lt;/last-updated-date&gt;&lt;accession-num&gt;10638745&lt;/accession-num&gt;&lt;electronic-resource-num&gt;10.1038/47412&lt;/electronic-resource-num&gt;&lt;volume&gt;403&lt;/volume&gt;&lt;/record&gt;&lt;/Cite&gt;&lt;/EndNote&gt;</w:instrText>
      </w:r>
      <w:r w:rsidRPr="009626F4">
        <w:rPr>
          <w:rFonts w:asciiTheme="majorHAnsi" w:hAnsiTheme="majorHAnsi"/>
        </w:rPr>
        <w:fldChar w:fldCharType="separate"/>
      </w:r>
      <w:r w:rsidRPr="009626F4">
        <w:rPr>
          <w:rFonts w:asciiTheme="majorHAnsi" w:hAnsiTheme="majorHAnsi"/>
          <w:noProof/>
        </w:rPr>
        <w:t>(Strahl and Allis, 2000)</w:t>
      </w:r>
      <w:r w:rsidRPr="009626F4">
        <w:rPr>
          <w:rFonts w:asciiTheme="majorHAnsi" w:hAnsiTheme="majorHAnsi"/>
        </w:rPr>
        <w:fldChar w:fldCharType="end"/>
      </w:r>
      <w:r w:rsidRPr="009626F4">
        <w:rPr>
          <w:rFonts w:asciiTheme="majorHAnsi" w:hAnsiTheme="majorHAnsi"/>
        </w:rPr>
        <w:t xml:space="preserve">. Thus the histone code </w:t>
      </w:r>
      <w:r w:rsidR="003F5B37">
        <w:rPr>
          <w:rFonts w:asciiTheme="majorHAnsi" w:hAnsiTheme="majorHAnsi"/>
        </w:rPr>
        <w:t xml:space="preserve">is complex </w:t>
      </w:r>
      <w:r w:rsidRPr="009626F4">
        <w:rPr>
          <w:rFonts w:asciiTheme="majorHAnsi" w:hAnsiTheme="majorHAnsi"/>
        </w:rPr>
        <w:t xml:space="preserve">and </w:t>
      </w:r>
      <w:r w:rsidR="003F5B37">
        <w:rPr>
          <w:rFonts w:asciiTheme="majorHAnsi" w:hAnsiTheme="majorHAnsi"/>
        </w:rPr>
        <w:t>has a large</w:t>
      </w:r>
      <w:r w:rsidRPr="009626F4">
        <w:rPr>
          <w:rFonts w:asciiTheme="majorHAnsi" w:hAnsiTheme="majorHAnsi"/>
        </w:rPr>
        <w:t xml:space="preserve"> number of effects on processes such as DNA replication and gene expression, </w:t>
      </w:r>
      <w:r>
        <w:rPr>
          <w:rFonts w:asciiTheme="majorHAnsi" w:hAnsiTheme="majorHAnsi"/>
        </w:rPr>
        <w:t>although the mechanisms by which many of these process</w:t>
      </w:r>
      <w:r w:rsidR="003F5B37">
        <w:rPr>
          <w:rFonts w:asciiTheme="majorHAnsi" w:hAnsiTheme="majorHAnsi"/>
        </w:rPr>
        <w:t>es</w:t>
      </w:r>
      <w:r>
        <w:rPr>
          <w:rFonts w:asciiTheme="majorHAnsi" w:hAnsiTheme="majorHAnsi"/>
        </w:rPr>
        <w:t xml:space="preserve"> occur is </w:t>
      </w:r>
      <w:r w:rsidRPr="009626F4">
        <w:rPr>
          <w:rFonts w:asciiTheme="majorHAnsi" w:hAnsiTheme="majorHAnsi"/>
        </w:rPr>
        <w:t>still unclear.</w:t>
      </w:r>
    </w:p>
    <w:p w14:paraId="7E2F4863" w14:textId="77777777" w:rsidR="0052760F" w:rsidRDefault="0052760F" w:rsidP="00B15A35">
      <w:pPr>
        <w:spacing w:line="360" w:lineRule="auto"/>
        <w:jc w:val="both"/>
        <w:rPr>
          <w:rFonts w:asciiTheme="majorHAnsi" w:hAnsiTheme="majorHAnsi"/>
        </w:rPr>
      </w:pPr>
    </w:p>
    <w:p w14:paraId="75D12BC0" w14:textId="55DCB6C7" w:rsidR="00B15A35" w:rsidRPr="000E6351" w:rsidRDefault="00B15A35" w:rsidP="00B15A35">
      <w:pPr>
        <w:spacing w:line="360" w:lineRule="auto"/>
        <w:jc w:val="both"/>
        <w:rPr>
          <w:rFonts w:asciiTheme="majorHAnsi" w:hAnsiTheme="majorHAnsi"/>
        </w:rPr>
      </w:pPr>
      <w:r w:rsidRPr="00980F4E">
        <w:rPr>
          <w:rFonts w:asciiTheme="majorHAnsi" w:hAnsiTheme="majorHAnsi"/>
        </w:rPr>
        <w:t xml:space="preserve">The first </w:t>
      </w:r>
      <w:r>
        <w:rPr>
          <w:rFonts w:asciiTheme="majorHAnsi" w:hAnsiTheme="majorHAnsi"/>
        </w:rPr>
        <w:t>generation</w:t>
      </w:r>
      <w:r w:rsidRPr="00980F4E">
        <w:rPr>
          <w:rFonts w:asciiTheme="majorHAnsi" w:hAnsiTheme="majorHAnsi"/>
        </w:rPr>
        <w:t xml:space="preserve"> of epigenetic targeting drugs was aimed at </w:t>
      </w:r>
      <w:r w:rsidR="00A5506E">
        <w:rPr>
          <w:rFonts w:asciiTheme="majorHAnsi" w:hAnsiTheme="majorHAnsi"/>
        </w:rPr>
        <w:t>DNA</w:t>
      </w:r>
      <w:r w:rsidR="00841BF2">
        <w:rPr>
          <w:rFonts w:asciiTheme="majorHAnsi" w:hAnsiTheme="majorHAnsi"/>
        </w:rPr>
        <w:t xml:space="preserve"> </w:t>
      </w:r>
      <w:r w:rsidR="00841BF2" w:rsidRPr="00980F4E">
        <w:rPr>
          <w:rFonts w:asciiTheme="majorHAnsi" w:hAnsiTheme="majorHAnsi"/>
        </w:rPr>
        <w:t>demethylation</w:t>
      </w:r>
      <w:r w:rsidR="00841BF2">
        <w:rPr>
          <w:rFonts w:asciiTheme="majorHAnsi" w:hAnsiTheme="majorHAnsi"/>
        </w:rPr>
        <w:t xml:space="preserve">, as </w:t>
      </w:r>
      <w:r w:rsidR="00A5506E">
        <w:rPr>
          <w:rFonts w:asciiTheme="majorHAnsi" w:hAnsiTheme="majorHAnsi"/>
        </w:rPr>
        <w:t>this</w:t>
      </w:r>
      <w:r w:rsidR="00841BF2">
        <w:rPr>
          <w:rFonts w:asciiTheme="majorHAnsi" w:hAnsiTheme="majorHAnsi"/>
        </w:rPr>
        <w:t xml:space="preserve"> is involved in cellular cycling and the repair of DNA, two pathways relevant to the progression of cancer</w:t>
      </w:r>
      <w:r w:rsidRPr="00980F4E">
        <w:rPr>
          <w:rFonts w:asciiTheme="majorHAnsi" w:hAnsiTheme="majorHAnsi"/>
        </w:rPr>
        <w:t xml:space="preserve">, </w:t>
      </w:r>
      <w:r w:rsidR="00841BF2">
        <w:rPr>
          <w:rFonts w:asciiTheme="majorHAnsi" w:hAnsiTheme="majorHAnsi"/>
        </w:rPr>
        <w:t xml:space="preserve">however, they </w:t>
      </w:r>
      <w:r w:rsidR="003F5B37">
        <w:rPr>
          <w:rFonts w:asciiTheme="majorHAnsi" w:hAnsiTheme="majorHAnsi"/>
        </w:rPr>
        <w:t>did not</w:t>
      </w:r>
      <w:r w:rsidRPr="00980F4E">
        <w:rPr>
          <w:rFonts w:asciiTheme="majorHAnsi" w:hAnsiTheme="majorHAnsi"/>
        </w:rPr>
        <w:t xml:space="preserve"> succeed in showing sensitisation </w:t>
      </w:r>
      <w:r w:rsidR="00C20D21">
        <w:rPr>
          <w:rFonts w:asciiTheme="majorHAnsi" w:hAnsiTheme="majorHAnsi"/>
        </w:rPr>
        <w:t>to DNA methylation</w:t>
      </w:r>
      <w:r w:rsidR="00841BF2">
        <w:rPr>
          <w:rFonts w:asciiTheme="majorHAnsi" w:hAnsiTheme="majorHAnsi"/>
        </w:rPr>
        <w:t xml:space="preserve"> inhibitors such as </w:t>
      </w:r>
      <w:proofErr w:type="spellStart"/>
      <w:r w:rsidR="00841BF2">
        <w:rPr>
          <w:rFonts w:asciiTheme="majorHAnsi" w:hAnsiTheme="majorHAnsi"/>
        </w:rPr>
        <w:t>D</w:t>
      </w:r>
      <w:r w:rsidR="00C20D21">
        <w:rPr>
          <w:rFonts w:asciiTheme="majorHAnsi" w:hAnsiTheme="majorHAnsi"/>
        </w:rPr>
        <w:t>ecitabine</w:t>
      </w:r>
      <w:proofErr w:type="spellEnd"/>
      <w:r w:rsidR="00C20D21">
        <w:rPr>
          <w:rFonts w:asciiTheme="majorHAnsi" w:hAnsiTheme="majorHAnsi"/>
        </w:rPr>
        <w:t xml:space="preserve">, </w:t>
      </w:r>
      <w:r w:rsidRPr="00980F4E">
        <w:rPr>
          <w:rFonts w:asciiTheme="majorHAnsi" w:hAnsiTheme="majorHAnsi"/>
        </w:rPr>
        <w:t xml:space="preserve">within solid tumours </w:t>
      </w:r>
      <w:r w:rsidRPr="00980F4E">
        <w:rPr>
          <w:rFonts w:asciiTheme="majorHAnsi" w:hAnsiTheme="majorHAnsi"/>
        </w:rPr>
        <w:fldChar w:fldCharType="begin"/>
      </w:r>
      <w:r w:rsidRPr="00980F4E">
        <w:rPr>
          <w:rFonts w:asciiTheme="majorHAnsi" w:hAnsiTheme="majorHAnsi"/>
        </w:rPr>
        <w:instrText xml:space="preserve"> ADDIN EN.CITE &lt;EndNote&gt;&lt;Cite&gt;&lt;Author&gt;Nervi&lt;/Author&gt;&lt;Year&gt;2015&lt;/Year&gt;&lt;IDText&gt;Epigenetic treatment of solid tumours: a review of clinical trials&lt;/IDText&gt;&lt;DisplayText&gt;(Nervi et al., 2015)&lt;/DisplayText&gt;&lt;record&gt;&lt;urls&gt;&lt;related-urls&gt;&lt;url&gt;https://www.ncbi.nlm.nih.gov/pubmed/26692909&lt;/url&gt;&lt;/related-urls&gt;&lt;/urls&gt;&lt;isbn&gt;1868-7075&lt;/isbn&gt;&lt;custom2&gt;PMC4676165&lt;/custom2&gt;&lt;titles&gt;&lt;title&gt;Epigenetic treatment of solid tumours: a review of clinical trials&lt;/title&gt;&lt;secondary-title&gt;Clin Epigenetics&lt;/secondary-title&gt;&lt;/titles&gt;&lt;pages&gt;127&lt;/pages&gt;&lt;contributors&gt;&lt;authors&gt;&lt;author&gt;Nervi, C.&lt;/author&gt;&lt;author&gt;De Marinis, E.&lt;/author&gt;&lt;author&gt;Codacci-Pisanelli, G.&lt;/author&gt;&lt;/authors&gt;&lt;/contributors&gt;&lt;edition&gt;2015/12/10&lt;/edition&gt;&lt;language&gt;eng&lt;/language&gt;&lt;added-date format="utc"&gt;1509723518&lt;/added-date&gt;&lt;ref-type name="Journal Article"&gt;17&lt;/ref-type&gt;&lt;dates&gt;&lt;year&gt;2015&lt;/year&gt;&lt;/dates&gt;&lt;rec-number&gt;331&lt;/rec-number&gt;&lt;last-updated-date format="utc"&gt;1509723518&lt;/last-updated-date&gt;&lt;accession-num&gt;26692909&lt;/accession-num&gt;&lt;electronic-resource-num&gt;10.1186/s13148-015-0157-2&lt;/electronic-resource-num&gt;&lt;volume&gt;7&lt;/volume&gt;&lt;/record&gt;&lt;/Cite&gt;&lt;/EndNote&gt;</w:instrText>
      </w:r>
      <w:r w:rsidRPr="00980F4E">
        <w:rPr>
          <w:rFonts w:asciiTheme="majorHAnsi" w:hAnsiTheme="majorHAnsi"/>
        </w:rPr>
        <w:fldChar w:fldCharType="separate"/>
      </w:r>
      <w:r w:rsidRPr="00980F4E">
        <w:rPr>
          <w:rFonts w:asciiTheme="majorHAnsi" w:hAnsiTheme="majorHAnsi"/>
          <w:noProof/>
        </w:rPr>
        <w:t>(Nervi et al., 2015)</w:t>
      </w:r>
      <w:r w:rsidRPr="00980F4E">
        <w:rPr>
          <w:rFonts w:asciiTheme="majorHAnsi" w:hAnsiTheme="majorHAnsi"/>
        </w:rPr>
        <w:fldChar w:fldCharType="end"/>
      </w:r>
      <w:r w:rsidRPr="00980F4E">
        <w:rPr>
          <w:rFonts w:asciiTheme="majorHAnsi" w:hAnsiTheme="majorHAnsi"/>
        </w:rPr>
        <w:t>. Therefore</w:t>
      </w:r>
      <w:r w:rsidR="00841BF2">
        <w:rPr>
          <w:rFonts w:asciiTheme="majorHAnsi" w:hAnsiTheme="majorHAnsi"/>
        </w:rPr>
        <w:t>,</w:t>
      </w:r>
      <w:r w:rsidR="003F5B37">
        <w:rPr>
          <w:rFonts w:asciiTheme="majorHAnsi" w:hAnsiTheme="majorHAnsi"/>
        </w:rPr>
        <w:t xml:space="preserve"> later</w:t>
      </w:r>
      <w:r w:rsidRPr="00980F4E">
        <w:rPr>
          <w:rFonts w:asciiTheme="majorHAnsi" w:hAnsiTheme="majorHAnsi"/>
        </w:rPr>
        <w:t xml:space="preserve"> research </w:t>
      </w:r>
      <w:r w:rsidR="003F5B37">
        <w:rPr>
          <w:rFonts w:asciiTheme="majorHAnsi" w:hAnsiTheme="majorHAnsi"/>
        </w:rPr>
        <w:t>examined</w:t>
      </w:r>
      <w:r w:rsidRPr="00980F4E">
        <w:rPr>
          <w:rFonts w:asciiTheme="majorHAnsi" w:hAnsiTheme="majorHAnsi"/>
        </w:rPr>
        <w:t xml:space="preserve"> HDAC inhibitors (HDACi), </w:t>
      </w:r>
      <w:r>
        <w:rPr>
          <w:rFonts w:asciiTheme="majorHAnsi" w:hAnsiTheme="majorHAnsi"/>
        </w:rPr>
        <w:t xml:space="preserve">with the aim </w:t>
      </w:r>
      <w:r w:rsidR="003F5B37">
        <w:rPr>
          <w:rFonts w:asciiTheme="majorHAnsi" w:hAnsiTheme="majorHAnsi"/>
        </w:rPr>
        <w:t>of</w:t>
      </w:r>
      <w:r>
        <w:rPr>
          <w:rFonts w:asciiTheme="majorHAnsi" w:hAnsiTheme="majorHAnsi"/>
        </w:rPr>
        <w:t xml:space="preserve"> up</w:t>
      </w:r>
      <w:r w:rsidR="003F5B37">
        <w:rPr>
          <w:rFonts w:asciiTheme="majorHAnsi" w:hAnsiTheme="majorHAnsi"/>
        </w:rPr>
        <w:t>-regulating</w:t>
      </w:r>
      <w:r>
        <w:rPr>
          <w:rFonts w:asciiTheme="majorHAnsi" w:hAnsiTheme="majorHAnsi"/>
        </w:rPr>
        <w:t xml:space="preserve"> </w:t>
      </w:r>
      <w:r w:rsidR="003F5B37">
        <w:rPr>
          <w:rFonts w:asciiTheme="majorHAnsi" w:hAnsiTheme="majorHAnsi"/>
        </w:rPr>
        <w:t xml:space="preserve">histone </w:t>
      </w:r>
      <w:r>
        <w:rPr>
          <w:rFonts w:asciiTheme="majorHAnsi" w:hAnsiTheme="majorHAnsi"/>
        </w:rPr>
        <w:t>acetylation</w:t>
      </w:r>
      <w:r w:rsidR="003F5B37">
        <w:rPr>
          <w:rFonts w:asciiTheme="majorHAnsi" w:hAnsiTheme="majorHAnsi"/>
        </w:rPr>
        <w:t>,</w:t>
      </w:r>
      <w:r>
        <w:rPr>
          <w:rFonts w:asciiTheme="majorHAnsi" w:hAnsiTheme="majorHAnsi"/>
        </w:rPr>
        <w:t xml:space="preserve"> leading to increased </w:t>
      </w:r>
      <w:r w:rsidRPr="00980F4E">
        <w:rPr>
          <w:rFonts w:asciiTheme="majorHAnsi" w:hAnsiTheme="majorHAnsi"/>
        </w:rPr>
        <w:t xml:space="preserve">gene expression </w:t>
      </w:r>
      <w:r w:rsidR="003F5B37">
        <w:rPr>
          <w:rFonts w:asciiTheme="majorHAnsi" w:hAnsiTheme="majorHAnsi"/>
        </w:rPr>
        <w:t>of various tumour suppressor genes</w:t>
      </w:r>
      <w:r>
        <w:rPr>
          <w:rFonts w:asciiTheme="majorHAnsi" w:hAnsiTheme="majorHAnsi"/>
        </w:rPr>
        <w:t>. T</w:t>
      </w:r>
      <w:r w:rsidRPr="00980F4E">
        <w:rPr>
          <w:rFonts w:asciiTheme="majorHAnsi" w:hAnsiTheme="majorHAnsi"/>
        </w:rPr>
        <w:t xml:space="preserve">he </w:t>
      </w:r>
      <w:r>
        <w:rPr>
          <w:rFonts w:asciiTheme="majorHAnsi" w:hAnsiTheme="majorHAnsi"/>
        </w:rPr>
        <w:t>HDACi</w:t>
      </w:r>
      <w:r w:rsidRPr="00980F4E">
        <w:rPr>
          <w:rFonts w:asciiTheme="majorHAnsi" w:hAnsiTheme="majorHAnsi"/>
        </w:rPr>
        <w:t xml:space="preserve"> </w:t>
      </w:r>
      <w:r>
        <w:rPr>
          <w:rFonts w:asciiTheme="majorHAnsi" w:hAnsiTheme="majorHAnsi"/>
        </w:rPr>
        <w:t>demonstrated</w:t>
      </w:r>
      <w:r w:rsidRPr="00980F4E">
        <w:rPr>
          <w:rFonts w:asciiTheme="majorHAnsi" w:hAnsiTheme="majorHAnsi"/>
        </w:rPr>
        <w:t xml:space="preserve"> anti-tumourigenic effects with regards to proliferation, apoptosis and chemosensitisation. HDACi such as Vorinostat and Romidepsin are currently approved by the FDA for second line treatment of haematological malignancies such as T-cell lymphoma. However, these </w:t>
      </w:r>
      <w:r>
        <w:rPr>
          <w:rFonts w:asciiTheme="majorHAnsi" w:hAnsiTheme="majorHAnsi"/>
        </w:rPr>
        <w:t xml:space="preserve">HDACi </w:t>
      </w:r>
      <w:r w:rsidRPr="00980F4E">
        <w:rPr>
          <w:rFonts w:asciiTheme="majorHAnsi" w:hAnsiTheme="majorHAnsi"/>
        </w:rPr>
        <w:t xml:space="preserve">have also not shown efficacy </w:t>
      </w:r>
      <w:r w:rsidR="003F5B37">
        <w:rPr>
          <w:rFonts w:asciiTheme="majorHAnsi" w:hAnsiTheme="majorHAnsi"/>
        </w:rPr>
        <w:t>for</w:t>
      </w:r>
      <w:r w:rsidRPr="00980F4E">
        <w:rPr>
          <w:rFonts w:asciiTheme="majorHAnsi" w:hAnsiTheme="majorHAnsi"/>
        </w:rPr>
        <w:t xml:space="preserve"> solid tumours, but they are still in further clinical trials</w:t>
      </w:r>
      <w:r>
        <w:rPr>
          <w:rFonts w:asciiTheme="majorHAnsi" w:hAnsiTheme="majorHAnsi"/>
        </w:rPr>
        <w:t xml:space="preserve"> for solid tumours</w:t>
      </w:r>
      <w:r w:rsidRPr="00980F4E">
        <w:rPr>
          <w:rFonts w:asciiTheme="majorHAnsi" w:hAnsiTheme="majorHAnsi"/>
        </w:rPr>
        <w:t xml:space="preserve"> in combination with other treatments such as conventional chemotherapy, radiotherapy and checkpoint inhibitors </w:t>
      </w:r>
      <w:r w:rsidRPr="00980F4E">
        <w:rPr>
          <w:rFonts w:asciiTheme="majorHAnsi" w:hAnsiTheme="majorHAnsi"/>
        </w:rPr>
        <w:fldChar w:fldCharType="begin"/>
      </w:r>
      <w:r w:rsidRPr="00980F4E">
        <w:rPr>
          <w:rFonts w:asciiTheme="majorHAnsi" w:hAnsiTheme="majorHAnsi"/>
        </w:rPr>
        <w:instrText xml:space="preserve"> ADDIN EN.CITE &lt;EndNote&gt;&lt;Cite&gt;&lt;Author&gt;Morel&lt;/Author&gt;&lt;Year&gt;2017&lt;/Year&gt;&lt;IDText&gt;Targeting chromatin defects in selected solid tumors based on oncogene addiction, synthetic lethality and epigenetic antagonism&lt;/IDText&gt;&lt;DisplayText&gt;(Morel et al., 2017)&lt;/DisplayText&gt;&lt;record&gt;&lt;dates&gt;&lt;pub-dates&gt;&lt;date&gt;02&lt;/date&gt;&lt;/pub-dates&gt;&lt;year&gt;2017&lt;/year&gt;&lt;/dates&gt;&lt;urls&gt;&lt;related-urls&gt;&lt;url&gt;https://www.ncbi.nlm.nih.gov/pubmed/28426098&lt;/url&gt;&lt;/related-urls&gt;&lt;/urls&gt;&lt;isbn&gt;1569-8041&lt;/isbn&gt;&lt;titles&gt;&lt;title&gt;Targeting chromatin defects in selected solid tumors based on oncogene addiction, synthetic lethality and epigenetic antagonism&lt;/title&gt;&lt;secondary-title&gt;Ann Oncol&lt;/secondary-title&gt;&lt;/titles&gt;&lt;pages&gt;254-269&lt;/pages&gt;&lt;number&gt;2&lt;/number&gt;&lt;contributors&gt;&lt;authors&gt;&lt;author&gt;Morel, D.&lt;/author&gt;&lt;author&gt;Almouzni, G.&lt;/author&gt;&lt;author&gt;Soria, J. C.&lt;/author&gt;&lt;author&gt;Postel-Vinay, S.&lt;/author&gt;&lt;/authors&gt;&lt;/contributors&gt;&lt;language&gt;eng&lt;/language&gt;&lt;added-date format="utc"&gt;1509456889&lt;/added-date&gt;&lt;ref-type name="Journal Article"&gt;17&lt;/ref-type&gt;&lt;rec-number&gt;323&lt;/rec-number&gt;&lt;last-updated-date format="utc"&gt;1509456889&lt;/last-updated-date&gt;&lt;accession-num&gt;28426098&lt;/accession-num&gt;&lt;electronic-resource-num&gt;10.1093/annonc/mdw552&lt;/electronic-resource-num&gt;&lt;volume&gt;28&lt;/volume&gt;&lt;/record&gt;&lt;/Cite&gt;&lt;/EndNote&gt;</w:instrText>
      </w:r>
      <w:r w:rsidRPr="00980F4E">
        <w:rPr>
          <w:rFonts w:asciiTheme="majorHAnsi" w:hAnsiTheme="majorHAnsi"/>
        </w:rPr>
        <w:fldChar w:fldCharType="separate"/>
      </w:r>
      <w:r w:rsidRPr="00980F4E">
        <w:rPr>
          <w:rFonts w:asciiTheme="majorHAnsi" w:hAnsiTheme="majorHAnsi"/>
          <w:noProof/>
        </w:rPr>
        <w:t>(Morel et al., 2017)</w:t>
      </w:r>
      <w:r w:rsidRPr="00980F4E">
        <w:rPr>
          <w:rFonts w:asciiTheme="majorHAnsi" w:hAnsiTheme="majorHAnsi"/>
        </w:rPr>
        <w:fldChar w:fldCharType="end"/>
      </w:r>
      <w:r w:rsidRPr="00980F4E">
        <w:rPr>
          <w:rFonts w:asciiTheme="majorHAnsi" w:hAnsiTheme="majorHAnsi"/>
        </w:rPr>
        <w:t xml:space="preserve">. Thus although there is potential for cancer treatments focusing on nucleosomal properties, there is still a </w:t>
      </w:r>
      <w:r>
        <w:rPr>
          <w:rFonts w:asciiTheme="majorHAnsi" w:hAnsiTheme="majorHAnsi"/>
        </w:rPr>
        <w:t xml:space="preserve">large amount of </w:t>
      </w:r>
      <w:r w:rsidRPr="00980F4E">
        <w:rPr>
          <w:rFonts w:asciiTheme="majorHAnsi" w:hAnsiTheme="majorHAnsi"/>
        </w:rPr>
        <w:t>research</w:t>
      </w:r>
      <w:r>
        <w:rPr>
          <w:rFonts w:asciiTheme="majorHAnsi" w:hAnsiTheme="majorHAnsi"/>
        </w:rPr>
        <w:t xml:space="preserve"> needed in this area</w:t>
      </w:r>
      <w:r w:rsidRPr="00980F4E">
        <w:rPr>
          <w:rFonts w:asciiTheme="majorHAnsi" w:hAnsiTheme="majorHAnsi"/>
        </w:rPr>
        <w:t>.</w:t>
      </w:r>
      <w:r>
        <w:rPr>
          <w:rFonts w:asciiTheme="majorHAnsi" w:hAnsiTheme="majorHAnsi"/>
        </w:rPr>
        <w:t xml:space="preserve"> </w:t>
      </w:r>
    </w:p>
    <w:p w14:paraId="68752F2D" w14:textId="77777777" w:rsidR="00B15A35" w:rsidRPr="00054B6B" w:rsidRDefault="00B15A35" w:rsidP="00B15A35">
      <w:pPr>
        <w:spacing w:line="360" w:lineRule="auto"/>
        <w:jc w:val="both"/>
        <w:rPr>
          <w:rFonts w:asciiTheme="majorHAnsi" w:hAnsiTheme="majorHAnsi"/>
          <w:b/>
          <w:i/>
        </w:rPr>
      </w:pPr>
    </w:p>
    <w:p w14:paraId="729FB18E" w14:textId="77777777" w:rsidR="00B15A35" w:rsidRPr="000E6351" w:rsidRDefault="00B15A35" w:rsidP="002F41C6">
      <w:pPr>
        <w:pStyle w:val="ListParagraph"/>
        <w:numPr>
          <w:ilvl w:val="0"/>
          <w:numId w:val="36"/>
        </w:numPr>
        <w:spacing w:line="360" w:lineRule="auto"/>
        <w:jc w:val="both"/>
        <w:rPr>
          <w:rFonts w:asciiTheme="majorHAnsi" w:hAnsiTheme="majorHAnsi"/>
          <w:b/>
          <w:i/>
        </w:rPr>
      </w:pPr>
      <w:r>
        <w:rPr>
          <w:rFonts w:asciiTheme="majorHAnsi" w:hAnsiTheme="majorHAnsi"/>
          <w:b/>
          <w:i/>
        </w:rPr>
        <w:t xml:space="preserve">ATP Dependent Chromatin Remodelers </w:t>
      </w:r>
    </w:p>
    <w:p w14:paraId="04AFE1B6" w14:textId="59448EE1" w:rsidR="002A1B85" w:rsidRDefault="00B15A35" w:rsidP="00B15A35">
      <w:pPr>
        <w:spacing w:line="360" w:lineRule="auto"/>
        <w:jc w:val="both"/>
        <w:rPr>
          <w:rFonts w:asciiTheme="majorHAnsi" w:hAnsiTheme="majorHAnsi"/>
        </w:rPr>
      </w:pPr>
      <w:r>
        <w:rPr>
          <w:rFonts w:asciiTheme="majorHAnsi" w:hAnsiTheme="majorHAnsi"/>
        </w:rPr>
        <w:t xml:space="preserve">Chromatin requires constant and dynamic remodelling in order to allow transcription and replication factors access to the </w:t>
      </w:r>
      <w:r w:rsidR="003F5B37">
        <w:rPr>
          <w:rFonts w:asciiTheme="majorHAnsi" w:hAnsiTheme="majorHAnsi"/>
        </w:rPr>
        <w:t xml:space="preserve">otherwise </w:t>
      </w:r>
      <w:r>
        <w:rPr>
          <w:rFonts w:asciiTheme="majorHAnsi" w:hAnsiTheme="majorHAnsi"/>
        </w:rPr>
        <w:t>condense</w:t>
      </w:r>
      <w:r w:rsidR="003F5B37">
        <w:rPr>
          <w:rFonts w:asciiTheme="majorHAnsi" w:hAnsiTheme="majorHAnsi"/>
        </w:rPr>
        <w:t xml:space="preserve">d and protected DNA. As well as the control of chromatin state through </w:t>
      </w:r>
      <w:r>
        <w:rPr>
          <w:rFonts w:asciiTheme="majorHAnsi" w:hAnsiTheme="majorHAnsi"/>
        </w:rPr>
        <w:t>post-translational modifications</w:t>
      </w:r>
      <w:r w:rsidR="003F5B37">
        <w:rPr>
          <w:rFonts w:asciiTheme="majorHAnsi" w:hAnsiTheme="majorHAnsi"/>
        </w:rPr>
        <w:t xml:space="preserve"> of histones,</w:t>
      </w:r>
      <w:r>
        <w:rPr>
          <w:rFonts w:asciiTheme="majorHAnsi" w:hAnsiTheme="majorHAnsi"/>
        </w:rPr>
        <w:t xml:space="preserve"> there are also ATP dependent chromatin remodelers. </w:t>
      </w:r>
      <w:r w:rsidRPr="00202CBC">
        <w:rPr>
          <w:rFonts w:asciiTheme="majorHAnsi" w:hAnsiTheme="majorHAnsi"/>
        </w:rPr>
        <w:t>There are four main families of chromatin remodelers</w:t>
      </w:r>
      <w:r>
        <w:rPr>
          <w:rFonts w:asciiTheme="majorHAnsi" w:hAnsiTheme="majorHAnsi"/>
        </w:rPr>
        <w:t>,</w:t>
      </w:r>
      <w:r w:rsidRPr="00202CBC">
        <w:rPr>
          <w:rFonts w:asciiTheme="majorHAnsi" w:hAnsiTheme="majorHAnsi"/>
        </w:rPr>
        <w:t xml:space="preserve"> which all use ATP hydrolysis to alter histone interactions</w:t>
      </w:r>
      <w:r w:rsidR="003F5B37">
        <w:rPr>
          <w:rFonts w:asciiTheme="majorHAnsi" w:hAnsiTheme="majorHAnsi"/>
        </w:rPr>
        <w:t xml:space="preserve"> </w:t>
      </w:r>
      <w:r w:rsidR="00C20D21">
        <w:rPr>
          <w:rFonts w:asciiTheme="majorHAnsi" w:hAnsiTheme="majorHAnsi"/>
        </w:rPr>
        <w:t xml:space="preserve">by sliding, twisting or expelling them from the DNA, </w:t>
      </w:r>
      <w:r w:rsidR="003F5B37">
        <w:rPr>
          <w:rFonts w:asciiTheme="majorHAnsi" w:hAnsiTheme="majorHAnsi"/>
        </w:rPr>
        <w:t xml:space="preserve">and </w:t>
      </w:r>
      <w:r w:rsidR="00C20D21">
        <w:rPr>
          <w:rFonts w:asciiTheme="majorHAnsi" w:hAnsiTheme="majorHAnsi"/>
        </w:rPr>
        <w:t>also exchanging for histone variants</w:t>
      </w:r>
      <w:r>
        <w:rPr>
          <w:rFonts w:asciiTheme="majorHAnsi" w:hAnsiTheme="majorHAnsi"/>
        </w:rPr>
        <w:t>. These</w:t>
      </w:r>
      <w:r w:rsidR="00781FDC">
        <w:rPr>
          <w:rFonts w:asciiTheme="majorHAnsi" w:hAnsiTheme="majorHAnsi"/>
        </w:rPr>
        <w:t xml:space="preserve"> families</w:t>
      </w:r>
      <w:r>
        <w:rPr>
          <w:rFonts w:asciiTheme="majorHAnsi" w:hAnsiTheme="majorHAnsi"/>
        </w:rPr>
        <w:t xml:space="preserve"> are;</w:t>
      </w:r>
      <w:r w:rsidRPr="00202CBC">
        <w:rPr>
          <w:rFonts w:asciiTheme="majorHAnsi" w:hAnsiTheme="majorHAnsi"/>
        </w:rPr>
        <w:t xml:space="preserve"> Switch/Sucrose Non Fermentable (SWI/SNF), Imitation SWI (ISWI), Inositol/choline-responsive element-dependent gene activation mutant 80 (INO80/SWR1) and Nucleosome Remodelling deacetylases (Mi-2/NuRD)</w:t>
      </w:r>
      <w:r>
        <w:rPr>
          <w:rFonts w:asciiTheme="majorHAnsi" w:hAnsiTheme="majorHAnsi"/>
        </w:rPr>
        <w:t xml:space="preserve"> </w:t>
      </w:r>
      <w:r w:rsidRPr="00202CBC">
        <w:rPr>
          <w:rFonts w:asciiTheme="majorHAnsi" w:hAnsiTheme="majorHAnsi"/>
        </w:rPr>
        <w:fldChar w:fldCharType="begin"/>
      </w:r>
      <w:r w:rsidRPr="00202CBC">
        <w:rPr>
          <w:rFonts w:asciiTheme="majorHAnsi" w:hAnsiTheme="majorHAnsi"/>
        </w:rPr>
        <w:instrText xml:space="preserve"> ADDIN EN.CITE &lt;EndNote&gt;&lt;Cite&gt;&lt;Author&gt;Clapier&lt;/Author&gt;&lt;Year&gt;2009&lt;/Year&gt;&lt;IDText&gt;The biology of chromatin remodeling complexes&lt;/IDText&gt;&lt;DisplayText&gt;(Clapier and Cairns, 2009)&lt;/DisplayText&gt;&lt;record&gt;&lt;keywords&gt;&lt;keyword&gt;Animals&lt;/keyword&gt;&lt;keyword&gt;Chromatin&lt;/keyword&gt;&lt;keyword&gt;Chromatin Assembly and Disassembly&lt;/keyword&gt;&lt;keyword&gt;Humans&lt;/keyword&gt;&lt;keyword&gt;Nucleosomes&lt;/keyword&gt;&lt;keyword&gt;Plants&lt;/keyword&gt;&lt;/keywords&gt;&lt;urls&gt;&lt;related-urls&gt;&lt;url&gt;https://www.ncbi.nlm.nih.gov/pubmed/19355820&lt;/url&gt;&lt;/related-urls&gt;&lt;/urls&gt;&lt;isbn&gt;1545-4509&lt;/isbn&gt;&lt;titles&gt;&lt;title&gt;The biology of chromatin remodeling complexes&lt;/title&gt;&lt;secondary-title&gt;Annu Rev Biochem&lt;/secondary-title&gt;&lt;/titles&gt;&lt;pages&gt;273-304&lt;/pages&gt;&lt;contributors&gt;&lt;authors&gt;&lt;author&gt;Clapier, C. R.&lt;/author&gt;&lt;author&gt;Cairns, B. R.&lt;/author&gt;&lt;/authors&gt;&lt;/contributors&gt;&lt;language&gt;eng&lt;/language&gt;&lt;added-date format="utc"&gt;1498224692&lt;/added-date&gt;&lt;ref-type name="Journal Article"&gt;17&lt;/ref-type&gt;&lt;dates&gt;&lt;year&gt;2009&lt;/year&gt;&lt;/dates&gt;&lt;rec-number&gt;186&lt;/rec-number&gt;&lt;last-updated-date format="utc"&gt;1498224692&lt;/last-updated-date&gt;&lt;accession-num&gt;19355820&lt;/accession-num&gt;&lt;electronic-resource-num&gt;10.1146/annurev.biochem.77.062706.153223&lt;/electronic-resource-num&gt;&lt;volume&gt;78&lt;/volume&gt;&lt;/record&gt;&lt;/Cite&gt;&lt;/EndNote&gt;</w:instrText>
      </w:r>
      <w:r w:rsidRPr="00202CBC">
        <w:rPr>
          <w:rFonts w:asciiTheme="majorHAnsi" w:hAnsiTheme="majorHAnsi"/>
        </w:rPr>
        <w:fldChar w:fldCharType="separate"/>
      </w:r>
      <w:r w:rsidRPr="00202CBC">
        <w:rPr>
          <w:rFonts w:asciiTheme="majorHAnsi" w:hAnsiTheme="majorHAnsi"/>
          <w:noProof/>
        </w:rPr>
        <w:t>(Clapier and Cairns, 2009)</w:t>
      </w:r>
      <w:r w:rsidRPr="00202CBC">
        <w:rPr>
          <w:rFonts w:asciiTheme="majorHAnsi" w:hAnsiTheme="majorHAnsi"/>
        </w:rPr>
        <w:fldChar w:fldCharType="end"/>
      </w:r>
      <w:r w:rsidRPr="00202CBC">
        <w:rPr>
          <w:rFonts w:asciiTheme="majorHAnsi" w:hAnsiTheme="majorHAnsi"/>
        </w:rPr>
        <w:t xml:space="preserve">.  </w:t>
      </w:r>
      <w:r>
        <w:rPr>
          <w:rFonts w:asciiTheme="majorHAnsi" w:hAnsiTheme="majorHAnsi"/>
        </w:rPr>
        <w:t xml:space="preserve">All of the remodelers </w:t>
      </w:r>
      <w:r w:rsidR="00781FDC">
        <w:rPr>
          <w:rFonts w:asciiTheme="majorHAnsi" w:hAnsiTheme="majorHAnsi"/>
        </w:rPr>
        <w:t>contain</w:t>
      </w:r>
      <w:r>
        <w:rPr>
          <w:rFonts w:asciiTheme="majorHAnsi" w:hAnsiTheme="majorHAnsi"/>
        </w:rPr>
        <w:t xml:space="preserve"> an ATPase domain</w:t>
      </w:r>
      <w:r w:rsidR="00781FDC">
        <w:rPr>
          <w:rFonts w:asciiTheme="majorHAnsi" w:hAnsiTheme="majorHAnsi"/>
        </w:rPr>
        <w:t>,</w:t>
      </w:r>
      <w:r>
        <w:rPr>
          <w:rFonts w:asciiTheme="majorHAnsi" w:hAnsiTheme="majorHAnsi"/>
        </w:rPr>
        <w:t xml:space="preserve"> but differ in other subunits, which aid in their function. The ISWI family have a SANT domain (SWI3, ADA2, NCOR, TFIIIB), which allows binding</w:t>
      </w:r>
      <w:r w:rsidR="00C20D21">
        <w:rPr>
          <w:rFonts w:asciiTheme="majorHAnsi" w:hAnsiTheme="majorHAnsi"/>
        </w:rPr>
        <w:t xml:space="preserve"> of the chromatin </w:t>
      </w:r>
      <w:r w:rsidR="00E82D3B">
        <w:rPr>
          <w:rFonts w:asciiTheme="majorHAnsi" w:hAnsiTheme="majorHAnsi"/>
        </w:rPr>
        <w:t>remodelers</w:t>
      </w:r>
      <w:r>
        <w:rPr>
          <w:rFonts w:asciiTheme="majorHAnsi" w:hAnsiTheme="majorHAnsi"/>
        </w:rPr>
        <w:t xml:space="preserve"> to unmodified histone tails to induce transcripti</w:t>
      </w:r>
      <w:r w:rsidR="00781FDC">
        <w:rPr>
          <w:rFonts w:asciiTheme="majorHAnsi" w:hAnsiTheme="majorHAnsi"/>
        </w:rPr>
        <w:t>onal activation and elongation. T</w:t>
      </w:r>
      <w:r>
        <w:rPr>
          <w:rFonts w:asciiTheme="majorHAnsi" w:hAnsiTheme="majorHAnsi"/>
        </w:rPr>
        <w:t>he SWI/SNF remodelers cause disorganisation in nucleosome spacing for transcription purposes by bin</w:t>
      </w:r>
      <w:r w:rsidR="00781FDC">
        <w:rPr>
          <w:rFonts w:asciiTheme="majorHAnsi" w:hAnsiTheme="majorHAnsi"/>
        </w:rPr>
        <w:t xml:space="preserve">ding to </w:t>
      </w:r>
      <w:proofErr w:type="gramStart"/>
      <w:r w:rsidR="00781FDC">
        <w:rPr>
          <w:rFonts w:asciiTheme="majorHAnsi" w:hAnsiTheme="majorHAnsi"/>
        </w:rPr>
        <w:t>acetylated</w:t>
      </w:r>
      <w:proofErr w:type="gramEnd"/>
      <w:r w:rsidR="00781FDC">
        <w:rPr>
          <w:rFonts w:asciiTheme="majorHAnsi" w:hAnsiTheme="majorHAnsi"/>
        </w:rPr>
        <w:t xml:space="preserve"> histone tails </w:t>
      </w:r>
      <w:r>
        <w:rPr>
          <w:rFonts w:asciiTheme="majorHAnsi" w:hAnsiTheme="majorHAnsi"/>
        </w:rPr>
        <w:t xml:space="preserve">via a bromodomain. </w:t>
      </w:r>
      <w:r w:rsidRPr="00202CBC">
        <w:rPr>
          <w:rFonts w:asciiTheme="majorHAnsi" w:hAnsiTheme="majorHAnsi"/>
        </w:rPr>
        <w:t>Mi-2/NuRD</w:t>
      </w:r>
      <w:r>
        <w:rPr>
          <w:rFonts w:asciiTheme="majorHAnsi" w:hAnsiTheme="majorHAnsi"/>
        </w:rPr>
        <w:t xml:space="preserve"> remodelers have chromodomains, which recognise methylated histone tails for transcriptional repression, and finally the INO80 family have split ATPase domains for histone variant incorporation. However, there are functional overlaps as the INO80 and SWI/SNF families both contribute to </w:t>
      </w:r>
      <w:r w:rsidR="00781FDC">
        <w:rPr>
          <w:rFonts w:asciiTheme="majorHAnsi" w:hAnsiTheme="majorHAnsi"/>
        </w:rPr>
        <w:t xml:space="preserve">the </w:t>
      </w:r>
      <w:r>
        <w:rPr>
          <w:rFonts w:asciiTheme="majorHAnsi" w:hAnsiTheme="majorHAnsi"/>
        </w:rPr>
        <w:t xml:space="preserve">chromatin remodelling required for DNA damage response mechanisms </w:t>
      </w:r>
      <w:r>
        <w:rPr>
          <w:rFonts w:asciiTheme="majorHAnsi" w:hAnsiTheme="majorHAnsi"/>
        </w:rPr>
        <w:fldChar w:fldCharType="begin"/>
      </w:r>
      <w:r>
        <w:rPr>
          <w:rFonts w:asciiTheme="majorHAnsi" w:hAnsiTheme="majorHAnsi"/>
        </w:rPr>
        <w:instrText xml:space="preserve"> ADDIN EN.CITE &lt;EndNote&gt;&lt;Cite&gt;&lt;Author&gt;Wang&lt;/Author&gt;&lt;Year&gt;2007&lt;/Year&gt;&lt;IDText&gt;Chromatin remodeling and cancer, Part II: ATP-dependent chromatin remodeling&lt;/IDText&gt;&lt;DisplayText&gt;(Wang et al., 2007)&lt;/DisplayText&gt;&lt;record&gt;&lt;dates&gt;&lt;pub-dates&gt;&lt;date&gt;Sep&lt;/date&gt;&lt;/pub-dates&gt;&lt;year&gt;2007&lt;/year&gt;&lt;/dates&gt;&lt;keywords&gt;&lt;keyword&gt;Adenosine Triphosphate&lt;/keyword&gt;&lt;keyword&gt;Animals&lt;/keyword&gt;&lt;keyword&gt;Chromatin&lt;/keyword&gt;&lt;keyword&gt;Histones&lt;/keyword&gt;&lt;keyword&gt;Humans&lt;/keyword&gt;&lt;keyword&gt;Models, Biological&lt;/keyword&gt;&lt;keyword&gt;Neoplasms&lt;/keyword&gt;&lt;keyword&gt;Protein Processing, Post-Translational&lt;/keyword&gt;&lt;/keywords&gt;&lt;urls&gt;&lt;related-urls&gt;&lt;url&gt;https://www.ncbi.nlm.nih.gov/pubmed/17822959&lt;/url&gt;&lt;/related-urls&gt;&lt;/urls&gt;&lt;isbn&gt;1471-4914&lt;/isbn&gt;&lt;custom2&gt;PMC4337864&lt;/custom2&gt;&lt;titles&gt;&lt;title&gt;Chromatin remodeling and cancer, Part II: ATP-dependent chromatin remodeling&lt;/title&gt;&lt;secondary-title&gt;Trends Mol Med&lt;/secondary-title&gt;&lt;/titles&gt;&lt;pages&gt;373-80&lt;/pages&gt;&lt;number&gt;9&lt;/number&gt;&lt;contributors&gt;&lt;authors&gt;&lt;author&gt;Wang, G. G.&lt;/author&gt;&lt;author&gt;Allis, C. D.&lt;/author&gt;&lt;author&gt;Chi, P.&lt;/author&gt;&lt;/authors&gt;&lt;/contributors&gt;&lt;edition&gt;2007/09/05&lt;/edition&gt;&lt;language&gt;eng&lt;/language&gt;&lt;added-date format="utc"&gt;1509717956&lt;/added-date&gt;&lt;ref-type name="Journal Article"&gt;17&lt;/ref-type&gt;&lt;rec-number&gt;327&lt;/rec-number&gt;&lt;last-updated-date format="utc"&gt;1509717956&lt;/last-updated-date&gt;&lt;accession-num&gt;17822959&lt;/accession-num&gt;&lt;electronic-resource-num&gt;10.1016/j.molmed.2007.07.004&lt;/electronic-resource-num&gt;&lt;volume&gt;13&lt;/volume&gt;&lt;/record&gt;&lt;/Cite&gt;&lt;/EndNote&gt;</w:instrText>
      </w:r>
      <w:r>
        <w:rPr>
          <w:rFonts w:asciiTheme="majorHAnsi" w:hAnsiTheme="majorHAnsi"/>
        </w:rPr>
        <w:fldChar w:fldCharType="separate"/>
      </w:r>
      <w:r>
        <w:rPr>
          <w:rFonts w:asciiTheme="majorHAnsi" w:hAnsiTheme="majorHAnsi"/>
          <w:noProof/>
        </w:rPr>
        <w:t>(Wang et al., 2007)</w:t>
      </w:r>
      <w:r>
        <w:rPr>
          <w:rFonts w:asciiTheme="majorHAnsi" w:hAnsiTheme="majorHAnsi"/>
        </w:rPr>
        <w:fldChar w:fldCharType="end"/>
      </w:r>
      <w:r>
        <w:rPr>
          <w:rFonts w:asciiTheme="majorHAnsi" w:hAnsiTheme="majorHAnsi"/>
        </w:rPr>
        <w:t xml:space="preserve">. </w:t>
      </w:r>
    </w:p>
    <w:p w14:paraId="3A763AD8" w14:textId="77777777" w:rsidR="00E95AFB" w:rsidRDefault="00E95AFB" w:rsidP="00B15A35">
      <w:pPr>
        <w:spacing w:line="360" w:lineRule="auto"/>
        <w:jc w:val="both"/>
        <w:rPr>
          <w:rFonts w:asciiTheme="majorHAnsi" w:hAnsiTheme="majorHAnsi"/>
        </w:rPr>
      </w:pPr>
    </w:p>
    <w:p w14:paraId="41F294B8" w14:textId="2B39ACAD" w:rsidR="00B15A35" w:rsidRPr="000E6351" w:rsidRDefault="00B15A35" w:rsidP="00B15A35">
      <w:pPr>
        <w:spacing w:line="360" w:lineRule="auto"/>
        <w:jc w:val="both"/>
        <w:rPr>
          <w:rFonts w:asciiTheme="majorHAnsi" w:hAnsiTheme="majorHAnsi"/>
        </w:rPr>
      </w:pPr>
      <w:r>
        <w:rPr>
          <w:rFonts w:asciiTheme="majorHAnsi" w:hAnsiTheme="majorHAnsi"/>
        </w:rPr>
        <w:t xml:space="preserve">With chromatin remodelers playing critical roles in cellular fates, it isn’t surprising that aberrations </w:t>
      </w:r>
      <w:r w:rsidR="00781FDC">
        <w:rPr>
          <w:rFonts w:asciiTheme="majorHAnsi" w:hAnsiTheme="majorHAnsi"/>
        </w:rPr>
        <w:t>in</w:t>
      </w:r>
      <w:r>
        <w:rPr>
          <w:rFonts w:asciiTheme="majorHAnsi" w:hAnsiTheme="majorHAnsi"/>
        </w:rPr>
        <w:t xml:space="preserve"> these proteins could have the potential to drive cellular progression. </w:t>
      </w:r>
      <w:r w:rsidRPr="00202CBC">
        <w:rPr>
          <w:rFonts w:asciiTheme="majorHAnsi" w:hAnsiTheme="majorHAnsi"/>
        </w:rPr>
        <w:t>The SWI/SNF family is the most highly researched</w:t>
      </w:r>
      <w:r>
        <w:rPr>
          <w:rFonts w:asciiTheme="majorHAnsi" w:hAnsiTheme="majorHAnsi"/>
        </w:rPr>
        <w:t xml:space="preserve"> in this regard</w:t>
      </w:r>
      <w:r w:rsidRPr="00202CBC">
        <w:rPr>
          <w:rFonts w:asciiTheme="majorHAnsi" w:hAnsiTheme="majorHAnsi"/>
        </w:rPr>
        <w:t xml:space="preserve">. In fact in recent genetic profiling, one of the most frequent mutations in all cancer types is </w:t>
      </w:r>
      <w:r w:rsidR="00781FDC">
        <w:rPr>
          <w:rFonts w:asciiTheme="majorHAnsi" w:hAnsiTheme="majorHAnsi"/>
        </w:rPr>
        <w:t>in</w:t>
      </w:r>
      <w:r w:rsidRPr="00202CBC">
        <w:rPr>
          <w:rFonts w:asciiTheme="majorHAnsi" w:hAnsiTheme="majorHAnsi"/>
        </w:rPr>
        <w:t xml:space="preserve"> the SWI/SNF complex, with </w:t>
      </w:r>
      <w:r w:rsidR="00781FDC">
        <w:rPr>
          <w:rFonts w:asciiTheme="majorHAnsi" w:hAnsiTheme="majorHAnsi"/>
        </w:rPr>
        <w:t>mutations</w:t>
      </w:r>
      <w:r w:rsidRPr="00202CBC">
        <w:rPr>
          <w:rFonts w:asciiTheme="majorHAnsi" w:hAnsiTheme="majorHAnsi"/>
        </w:rPr>
        <w:t xml:space="preserve"> being found in around 20%</w:t>
      </w:r>
      <w:r>
        <w:rPr>
          <w:rFonts w:asciiTheme="majorHAnsi" w:hAnsiTheme="majorHAnsi"/>
        </w:rPr>
        <w:t xml:space="preserve"> of cancers</w:t>
      </w:r>
      <w:r w:rsidRPr="00202CBC">
        <w:rPr>
          <w:rFonts w:asciiTheme="majorHAnsi" w:hAnsiTheme="majorHAnsi"/>
        </w:rPr>
        <w:t xml:space="preserve">, </w:t>
      </w:r>
      <w:r w:rsidR="00781FDC">
        <w:rPr>
          <w:rFonts w:asciiTheme="majorHAnsi" w:hAnsiTheme="majorHAnsi"/>
        </w:rPr>
        <w:t>thus</w:t>
      </w:r>
      <w:r w:rsidRPr="00202CBC">
        <w:rPr>
          <w:rFonts w:asciiTheme="majorHAnsi" w:hAnsiTheme="majorHAnsi"/>
        </w:rPr>
        <w:t xml:space="preserve"> showing </w:t>
      </w:r>
      <w:r w:rsidR="00781FDC">
        <w:rPr>
          <w:rFonts w:asciiTheme="majorHAnsi" w:hAnsiTheme="majorHAnsi"/>
        </w:rPr>
        <w:t>that there may be</w:t>
      </w:r>
      <w:r w:rsidRPr="00202CBC">
        <w:rPr>
          <w:rFonts w:asciiTheme="majorHAnsi" w:hAnsiTheme="majorHAnsi"/>
        </w:rPr>
        <w:t xml:space="preserve"> potential in targeting this area </w:t>
      </w:r>
      <w:r w:rsidRPr="00202CBC">
        <w:rPr>
          <w:rFonts w:asciiTheme="majorHAnsi" w:hAnsiTheme="majorHAnsi"/>
        </w:rPr>
        <w:fldChar w:fldCharType="begin"/>
      </w:r>
      <w:r w:rsidRPr="00202CBC">
        <w:rPr>
          <w:rFonts w:asciiTheme="majorHAnsi" w:hAnsiTheme="majorHAnsi"/>
        </w:rPr>
        <w:instrText xml:space="preserve"> ADDIN EN.CITE &lt;EndNote&gt;&lt;Cite&gt;&lt;Author&gt;Kadoch&lt;/Author&gt;&lt;Year&gt;2013&lt;/Year&gt;&lt;IDText&gt;Proteomic and bioinformatic analysis of mammalian SWI/SNF complexes identifies extensive roles in human malignancy&lt;/IDText&gt;&lt;DisplayText&gt;(Kadoch et al., 2013)&lt;/DisplayText&gt;&lt;record&gt;&lt;dates&gt;&lt;pub-dates&gt;&lt;date&gt;Jun&lt;/date&gt;&lt;/pub-dates&gt;&lt;year&gt;2013&lt;/year&gt;&lt;/dates&gt;&lt;keywords&gt;&lt;keyword&gt;Animals&lt;/keyword&gt;&lt;keyword&gt;Cells, Cultured&lt;/keyword&gt;&lt;keyword&gt;Chromosomal Proteins, Non-Histone&lt;/keyword&gt;&lt;keyword&gt;Gene Frequency&lt;/keyword&gt;&lt;keyword&gt;Genes, Tumor Suppressor&lt;/keyword&gt;&lt;keyword&gt;Humans&lt;/keyword&gt;&lt;keyword&gt;Mice&lt;/keyword&gt;&lt;keyword&gt;Mutation&lt;/keyword&gt;&lt;keyword&gt;Neoplasms&lt;/keyword&gt;&lt;keyword&gt;Oncogenes&lt;/keyword&gt;&lt;keyword&gt;Protein Subunits&lt;/keyword&gt;&lt;keyword&gt;Proteomics&lt;/keyword&gt;&lt;keyword&gt;Transcription Factors&lt;/keyword&gt;&lt;/keywords&gt;&lt;urls&gt;&lt;related-urls&gt;&lt;url&gt;https://www.ncbi.nlm.nih.gov/pubmed/23644491&lt;/url&gt;&lt;/related-urls&gt;&lt;/urls&gt;&lt;isbn&gt;1546-1718&lt;/isbn&gt;&lt;custom2&gt;PMC3667980&lt;/custom2&gt;&lt;titles&gt;&lt;title&gt;Proteomic and bioinformatic analysis of mammalian SWI/SNF complexes identifies extensive roles in human malignancy&lt;/title&gt;&lt;secondary-title&gt;Nat Genet&lt;/secondary-title&gt;&lt;/titles&gt;&lt;pages&gt;592-601&lt;/pages&gt;&lt;number&gt;6&lt;/number&gt;&lt;contributors&gt;&lt;authors&gt;&lt;author&gt;Kadoch, C.&lt;/author&gt;&lt;author&gt;Hargreaves, D. C.&lt;/author&gt;&lt;author&gt;Hodges, C.&lt;/author&gt;&lt;author&gt;Elias, L.&lt;/author&gt;&lt;author&gt;Ho, L.&lt;/author&gt;&lt;author&gt;Ranish, J.&lt;/author&gt;&lt;author&gt;Crabtree, G. R.&lt;/author&gt;&lt;/authors&gt;&lt;/contributors&gt;&lt;edition&gt;2013/05/05&lt;/edition&gt;&lt;language&gt;eng&lt;/language&gt;&lt;added-date format="utc"&gt;1497885685&lt;/added-date&gt;&lt;ref-type name="Journal Article"&gt;17&lt;/ref-type&gt;&lt;rec-number&gt;184&lt;/rec-number&gt;&lt;last-updated-date format="utc"&gt;1497885685&lt;/last-updated-date&gt;&lt;accession-num&gt;23644491&lt;/accession-num&gt;&lt;electronic-resource-num&gt;10.1038/ng.2628&lt;/electronic-resource-num&gt;&lt;volume&gt;45&lt;/volume&gt;&lt;/record&gt;&lt;/Cite&gt;&lt;/EndNote&gt;</w:instrText>
      </w:r>
      <w:r w:rsidRPr="00202CBC">
        <w:rPr>
          <w:rFonts w:asciiTheme="majorHAnsi" w:hAnsiTheme="majorHAnsi"/>
        </w:rPr>
        <w:fldChar w:fldCharType="separate"/>
      </w:r>
      <w:r w:rsidRPr="00202CBC">
        <w:rPr>
          <w:rFonts w:asciiTheme="majorHAnsi" w:hAnsiTheme="majorHAnsi"/>
          <w:noProof/>
        </w:rPr>
        <w:t>(Kadoch et al., 2013)</w:t>
      </w:r>
      <w:r w:rsidRPr="00202CBC">
        <w:rPr>
          <w:rFonts w:asciiTheme="majorHAnsi" w:hAnsiTheme="majorHAnsi"/>
        </w:rPr>
        <w:fldChar w:fldCharType="end"/>
      </w:r>
      <w:r w:rsidRPr="00202CBC">
        <w:rPr>
          <w:rFonts w:asciiTheme="majorHAnsi" w:hAnsiTheme="majorHAnsi"/>
        </w:rPr>
        <w:t>.</w:t>
      </w:r>
      <w:r>
        <w:rPr>
          <w:rFonts w:asciiTheme="majorHAnsi" w:hAnsiTheme="majorHAnsi"/>
        </w:rPr>
        <w:t xml:space="preserve">  For example the SWI/SNF subunit BRG1, also known as SMARCA4, has been reported to have tumour suppressor properties</w:t>
      </w:r>
      <w:r w:rsidR="00781FDC">
        <w:rPr>
          <w:rFonts w:asciiTheme="majorHAnsi" w:hAnsiTheme="majorHAnsi"/>
        </w:rPr>
        <w:t>,</w:t>
      </w:r>
      <w:r>
        <w:rPr>
          <w:rFonts w:asciiTheme="majorHAnsi" w:hAnsiTheme="majorHAnsi"/>
        </w:rPr>
        <w:t xml:space="preserve"> as its loss is found in a variety of cancers including breast and pancreatic </w:t>
      </w:r>
      <w:r w:rsidR="00781FDC">
        <w:rPr>
          <w:rFonts w:asciiTheme="majorHAnsi" w:hAnsiTheme="majorHAnsi"/>
        </w:rPr>
        <w:t xml:space="preserve">cancers </w:t>
      </w:r>
      <w:r>
        <w:rPr>
          <w:rFonts w:asciiTheme="majorHAnsi" w:hAnsiTheme="majorHAnsi"/>
        </w:rPr>
        <w:fldChar w:fldCharType="begin"/>
      </w:r>
      <w:r>
        <w:rPr>
          <w:rFonts w:asciiTheme="majorHAnsi" w:hAnsiTheme="majorHAnsi"/>
        </w:rPr>
        <w:instrText xml:space="preserve"> ADDIN EN.CITE &lt;EndNote&gt;&lt;Cite&gt;&lt;Author&gt;Decristofaro&lt;/Author&gt;&lt;Year&gt;2001&lt;/Year&gt;&lt;IDText&gt;Characterization of SWI/SNF protein expression in human breast cancer cell lines and other malignancies&lt;/IDText&gt;&lt;DisplayText&gt;(Decristofaro et al., 2001)&lt;/DisplayText&gt;&lt;record&gt;&lt;dates&gt;&lt;pub-dates&gt;&lt;date&gt;Jan&lt;/date&gt;&lt;/pub-dates&gt;&lt;year&gt;2001&lt;/year&gt;&lt;/dates&gt;&lt;keywords&gt;&lt;keyword&gt;Adenocarcinoma&lt;/keyword&gt;&lt;keyword&gt;Breast Neoplasms&lt;/keyword&gt;&lt;keyword&gt;Carcinoma&lt;/keyword&gt;&lt;keyword&gt;Drosophila Proteins&lt;/keyword&gt;&lt;keyword&gt;Humans&lt;/keyword&gt;&lt;keyword&gt;Neoplasms&lt;/keyword&gt;&lt;keyword&gt;Nervous System Neoplasms&lt;/keyword&gt;&lt;keyword&gt;Neural Crest&lt;/keyword&gt;&lt;keyword&gt;RNA-Binding Proteins&lt;/keyword&gt;&lt;keyword&gt;Ribonucleoprotein, U1 Small Nuclear&lt;/keyword&gt;&lt;keyword&gt;Sarcoma&lt;/keyword&gt;&lt;keyword&gt;Soft Tissue Neoplasms&lt;/keyword&gt;&lt;keyword&gt;Transcription Factors&lt;/keyword&gt;&lt;keyword&gt;Tumor Cells, Cultured&lt;/keyword&gt;&lt;/keywords&gt;&lt;urls&gt;&lt;related-urls&gt;&lt;url&gt;https://www.ncbi.nlm.nih.gov/pubmed/11147808&lt;/url&gt;&lt;/related-urls&gt;&lt;/urls&gt;&lt;isbn&gt;0021-9541&lt;/isbn&gt;&lt;titles&gt;&lt;title&gt;Characterization of SWI/SNF protein expression in human breast cancer cell lines and other malignancies&lt;/title&gt;&lt;secondary-title&gt;J Cell Physiol&lt;/secondary-title&gt;&lt;/titles&gt;&lt;pages&gt;136-45&lt;/pages&gt;&lt;number&gt;1&lt;/number&gt;&lt;contributors&gt;&lt;authors&gt;&lt;author&gt;Decristofaro, M. F.&lt;/author&gt;&lt;author&gt;Betz, B. L.&lt;/author&gt;&lt;author&gt;Rorie, C. J.&lt;/author&gt;&lt;author&gt;Reisman, D. N.&lt;/author&gt;&lt;author&gt;Wang, W.&lt;/author&gt;&lt;author&gt;Weissman, B. E.&lt;/author&gt;&lt;/authors&gt;&lt;/contributors&gt;&lt;language&gt;eng&lt;/language&gt;&lt;added-date format="utc"&gt;1509719290&lt;/added-date&gt;&lt;ref-type name="Journal Article"&gt;17&lt;/ref-type&gt;&lt;rec-number&gt;329&lt;/rec-number&gt;&lt;last-updated-date format="utc"&gt;1509719290&lt;/last-updated-date&gt;&lt;accession-num&gt;11147808&lt;/accession-num&gt;&lt;electronic-resource-num&gt;10.1002/1097-4652(200101)186:1&amp;lt;136::AID-JCP1010&amp;gt;3.0.CO;2-4&lt;/electronic-resource-num&gt;&lt;volume&gt;186&lt;/volume&gt;&lt;/record&gt;&lt;/Cite&gt;&lt;/EndNote&gt;</w:instrText>
      </w:r>
      <w:r>
        <w:rPr>
          <w:rFonts w:asciiTheme="majorHAnsi" w:hAnsiTheme="majorHAnsi"/>
        </w:rPr>
        <w:fldChar w:fldCharType="separate"/>
      </w:r>
      <w:r>
        <w:rPr>
          <w:rFonts w:asciiTheme="majorHAnsi" w:hAnsiTheme="majorHAnsi"/>
          <w:noProof/>
        </w:rPr>
        <w:t>(Decristofaro et al., 2001)</w:t>
      </w:r>
      <w:r>
        <w:rPr>
          <w:rFonts w:asciiTheme="majorHAnsi" w:hAnsiTheme="majorHAnsi"/>
        </w:rPr>
        <w:fldChar w:fldCharType="end"/>
      </w:r>
      <w:r>
        <w:rPr>
          <w:rFonts w:asciiTheme="majorHAnsi" w:hAnsiTheme="majorHAnsi"/>
        </w:rPr>
        <w:t xml:space="preserve">, and heterozygous BRG1 mice develop epithelial tumours </w:t>
      </w:r>
      <w:r>
        <w:rPr>
          <w:rFonts w:asciiTheme="majorHAnsi" w:hAnsiTheme="majorHAnsi"/>
        </w:rPr>
        <w:fldChar w:fldCharType="begin"/>
      </w:r>
      <w:r>
        <w:rPr>
          <w:rFonts w:asciiTheme="majorHAnsi" w:hAnsiTheme="majorHAnsi"/>
        </w:rPr>
        <w:instrText xml:space="preserve"> ADDIN EN.CITE &lt;EndNote&gt;&lt;Cite&gt;&lt;Author&gt;Bultman&lt;/Author&gt;&lt;Year&gt;2000&lt;/Year&gt;&lt;IDText&gt;A Brg1 null mutation in the mouse reveals functional differences among mammalian SWI/SNF complexes&lt;/IDText&gt;&lt;DisplayText&gt;(Bultman et al., 2000)&lt;/DisplayText&gt;&lt;record&gt;&lt;dates&gt;&lt;pub-dates&gt;&lt;date&gt;Dec&lt;/date&gt;&lt;/pub-dates&gt;&lt;year&gt;2000&lt;/year&gt;&lt;/dates&gt;&lt;keywords&gt;&lt;keyword&gt;Animals&lt;/keyword&gt;&lt;keyword&gt;Blastocyst&lt;/keyword&gt;&lt;keyword&gt;Cell Cycle Proteins&lt;/keyword&gt;&lt;keyword&gt;Cell Survival&lt;/keyword&gt;&lt;keyword&gt;DNA Helicases&lt;/keyword&gt;&lt;keyword&gt;DNA-Binding Proteins&lt;/keyword&gt;&lt;keyword&gt;Drosophila Proteins&lt;/keyword&gt;&lt;keyword&gt;Embryo Loss&lt;/keyword&gt;&lt;keyword&gt;Fibroblasts&lt;/keyword&gt;&lt;keyword&gt;Gene Deletion&lt;/keyword&gt;&lt;keyword&gt;Gene Expression Regulation, Developmental&lt;/keyword&gt;&lt;keyword&gt;Genes, Essential&lt;/keyword&gt;&lt;keyword&gt;Heterozygote&lt;/keyword&gt;&lt;keyword&gt;Histocytochemistry&lt;/keyword&gt;&lt;keyword&gt;Homozygote&lt;/keyword&gt;&lt;keyword&gt;Mice&lt;/keyword&gt;&lt;keyword&gt;Mice, Knockout&lt;/keyword&gt;&lt;keyword&gt;Nuclear Proteins&lt;/keyword&gt;&lt;keyword&gt;Phenotype&lt;/keyword&gt;&lt;keyword&gt;RNA, Messenger&lt;/keyword&gt;&lt;keyword&gt;Trans-Activators&lt;/keyword&gt;&lt;keyword&gt;Transcription Factors&lt;/keyword&gt;&lt;/keywords&gt;&lt;urls&gt;&lt;related-urls&gt;&lt;url&gt;https://www.ncbi.nlm.nih.gov/pubmed/11163203&lt;/url&gt;&lt;/related-urls&gt;&lt;/urls&gt;&lt;isbn&gt;1097-2765&lt;/isbn&gt;&lt;titles&gt;&lt;title&gt;A Brg1 null mutation in the mouse reveals functional differences among mammalian SWI/SNF complexes&lt;/title&gt;&lt;secondary-title&gt;Mol Cell&lt;/secondary-title&gt;&lt;/titles&gt;&lt;pages&gt;1287-95&lt;/pages&gt;&lt;number&gt;6&lt;/number&gt;&lt;contributors&gt;&lt;authors&gt;&lt;author&gt;Bultman, S.&lt;/author&gt;&lt;author&gt;Gebuhr, T.&lt;/author&gt;&lt;author&gt;Yee, D.&lt;/author&gt;&lt;author&gt;La Mantia, C.&lt;/author&gt;&lt;author&gt;Nicholson, J.&lt;/author&gt;&lt;author&gt;Gilliam, A.&lt;/author&gt;&lt;author&gt;Randazzo, F.&lt;/author&gt;&lt;author&gt;Metzger, D.&lt;/author&gt;&lt;author&gt;Chambon, P.&lt;/author&gt;&lt;author&gt;Crabtree, G.&lt;/author&gt;&lt;author&gt;Magnuson, T.&lt;/author&gt;&lt;/authors&gt;&lt;/contributors&gt;&lt;language&gt;eng&lt;/language&gt;&lt;added-date format="utc"&gt;1509718223&lt;/added-date&gt;&lt;ref-type name="Journal Article"&gt;17&lt;/ref-type&gt;&lt;rec-number&gt;328&lt;/rec-number&gt;&lt;last-updated-date format="utc"&gt;1509718223&lt;/last-updated-date&gt;&lt;accession-num&gt;11163203&lt;/accession-num&gt;&lt;volume&gt;6&lt;/volume&gt;&lt;/record&gt;&lt;/Cite&gt;&lt;/EndNote&gt;</w:instrText>
      </w:r>
      <w:r>
        <w:rPr>
          <w:rFonts w:asciiTheme="majorHAnsi" w:hAnsiTheme="majorHAnsi"/>
        </w:rPr>
        <w:fldChar w:fldCharType="separate"/>
      </w:r>
      <w:r>
        <w:rPr>
          <w:rFonts w:asciiTheme="majorHAnsi" w:hAnsiTheme="majorHAnsi"/>
          <w:noProof/>
        </w:rPr>
        <w:t>(Bultman et al., 2000)</w:t>
      </w:r>
      <w:r>
        <w:rPr>
          <w:rFonts w:asciiTheme="majorHAnsi" w:hAnsiTheme="majorHAnsi"/>
        </w:rPr>
        <w:fldChar w:fldCharType="end"/>
      </w:r>
      <w:r>
        <w:rPr>
          <w:rFonts w:asciiTheme="majorHAnsi" w:hAnsiTheme="majorHAnsi"/>
        </w:rPr>
        <w:t xml:space="preserve">. The knockdown of BRG1 </w:t>
      </w:r>
      <w:r w:rsidR="00781FDC">
        <w:rPr>
          <w:rFonts w:asciiTheme="majorHAnsi" w:hAnsiTheme="majorHAnsi"/>
        </w:rPr>
        <w:t xml:space="preserve">is associated with </w:t>
      </w:r>
      <w:r>
        <w:rPr>
          <w:rFonts w:asciiTheme="majorHAnsi" w:hAnsiTheme="majorHAnsi"/>
        </w:rPr>
        <w:t xml:space="preserve">sensitisation </w:t>
      </w:r>
      <w:r w:rsidR="00781FDC">
        <w:rPr>
          <w:rFonts w:asciiTheme="majorHAnsi" w:hAnsiTheme="majorHAnsi"/>
        </w:rPr>
        <w:t>to</w:t>
      </w:r>
      <w:r>
        <w:rPr>
          <w:rFonts w:asciiTheme="majorHAnsi" w:hAnsiTheme="majorHAnsi"/>
        </w:rPr>
        <w:t xml:space="preserve"> the clinically used Docetaxel in cell line models, </w:t>
      </w:r>
      <w:r w:rsidR="00781FDC">
        <w:rPr>
          <w:rFonts w:asciiTheme="majorHAnsi" w:hAnsiTheme="majorHAnsi"/>
        </w:rPr>
        <w:t xml:space="preserve">suggesting that </w:t>
      </w:r>
      <w:r>
        <w:rPr>
          <w:rFonts w:asciiTheme="majorHAnsi" w:hAnsiTheme="majorHAnsi"/>
        </w:rPr>
        <w:t xml:space="preserve">BRG1 status could become a prognostic factor for treatment response </w:t>
      </w:r>
      <w:r>
        <w:rPr>
          <w:rFonts w:asciiTheme="majorHAnsi" w:hAnsiTheme="majorHAnsi"/>
        </w:rPr>
        <w:fldChar w:fldCharType="begin">
          <w:fldData xml:space="preserve">PEVuZE5vdGU+PENpdGU+PEF1dGhvcj5HdXJhcmQtTGV2aW48L0F1dGhvcj48WWVhcj4yMDE2PC9Z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PEVuZE5vdGU+PENpdGU+PEF1dGhvcj5HdXJhcmQtTGV2aW48L0F1dGhvcj48WWVhcj4yMDE2PC9Z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(Gurard-Levin et al., 2016)</w:t>
      </w:r>
      <w:r>
        <w:rPr>
          <w:rFonts w:asciiTheme="majorHAnsi" w:hAnsiTheme="majorHAnsi"/>
        </w:rPr>
        <w:fldChar w:fldCharType="end"/>
      </w:r>
      <w:r>
        <w:rPr>
          <w:rFonts w:asciiTheme="majorHAnsi" w:hAnsiTheme="majorHAnsi"/>
        </w:rPr>
        <w:t xml:space="preserve">. In comparison, there are also oncogenic properties within the MTA1 (metastasis-associated gene 1) subunit of the </w:t>
      </w:r>
      <w:r w:rsidRPr="00202CBC">
        <w:rPr>
          <w:rFonts w:asciiTheme="majorHAnsi" w:hAnsiTheme="majorHAnsi"/>
        </w:rPr>
        <w:t>Mi-2/NuRD</w:t>
      </w:r>
      <w:r>
        <w:rPr>
          <w:rFonts w:asciiTheme="majorHAnsi" w:hAnsiTheme="majorHAnsi"/>
        </w:rPr>
        <w:t xml:space="preserve"> fa</w:t>
      </w:r>
      <w:r w:rsidR="00781FDC">
        <w:rPr>
          <w:rFonts w:asciiTheme="majorHAnsi" w:hAnsiTheme="majorHAnsi"/>
        </w:rPr>
        <w:t>mily. O</w:t>
      </w:r>
      <w:r>
        <w:rPr>
          <w:rFonts w:asciiTheme="majorHAnsi" w:hAnsiTheme="majorHAnsi"/>
        </w:rPr>
        <w:t xml:space="preserve">ver expression </w:t>
      </w:r>
      <w:r w:rsidR="00781FDC">
        <w:rPr>
          <w:rFonts w:asciiTheme="majorHAnsi" w:hAnsiTheme="majorHAnsi"/>
        </w:rPr>
        <w:t xml:space="preserve">of this gene is </w:t>
      </w:r>
      <w:r>
        <w:rPr>
          <w:rFonts w:asciiTheme="majorHAnsi" w:hAnsiTheme="majorHAnsi"/>
        </w:rPr>
        <w:t xml:space="preserve">seen in colorectal and gastric cancers </w:t>
      </w:r>
      <w:r w:rsidR="00781FDC">
        <w:rPr>
          <w:rFonts w:asciiTheme="majorHAnsi" w:hAnsiTheme="majorHAnsi"/>
        </w:rPr>
        <w:t xml:space="preserve">where it confers </w:t>
      </w:r>
      <w:r>
        <w:rPr>
          <w:rFonts w:asciiTheme="majorHAnsi" w:hAnsiTheme="majorHAnsi"/>
        </w:rPr>
        <w:t xml:space="preserve">an invasive phenotype with </w:t>
      </w:r>
      <w:r w:rsidR="00781FDC">
        <w:rPr>
          <w:rFonts w:asciiTheme="majorHAnsi" w:hAnsiTheme="majorHAnsi"/>
        </w:rPr>
        <w:t>increased vasculature</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&lt;EndNote&gt;&lt;Cite&gt;&lt;Author&gt;Toh&lt;/Author&gt;&lt;Year&gt;1997&lt;/Year&gt;&lt;IDText&gt;Overexpression of the MTA1 gene in gastrointestinal carcinomas: correlation with invasion and metastasis&lt;/IDText&gt;&lt;DisplayText&gt;(Toh et al., 1997)&lt;/DisplayText&gt;&lt;record&gt;&lt;dates&gt;&lt;pub-dates&gt;&lt;date&gt;Aug&lt;/date&gt;&lt;/pub-dates&gt;&lt;year&gt;1997&lt;/year&gt;&lt;/dates&gt;&lt;keywords&gt;&lt;keyword&gt;Aged&lt;/keyword&gt;&lt;keyword&gt;Animals&lt;/keyword&gt;&lt;keyword&gt;Colorectal Neoplasms&lt;/keyword&gt;&lt;keyword&gt;DNA Primers&lt;/keyword&gt;&lt;keyword&gt;Female&lt;/keyword&gt;&lt;keyword&gt;Gastrointestinal Neoplasms&lt;/keyword&gt;&lt;keyword&gt;Histone Deacetylases&lt;/keyword&gt;&lt;keyword&gt;Humans&lt;/keyword&gt;&lt;keyword&gt;Liver Neoplasms&lt;/keyword&gt;&lt;keyword&gt;Lymphatic Metastasis&lt;/keyword&gt;&lt;keyword&gt;Male&lt;/keyword&gt;&lt;keyword&gt;Middle Aged&lt;/keyword&gt;&lt;keyword&gt;Neoplasm Invasiveness&lt;/keyword&gt;&lt;keyword&gt;Neoplasm Metastasis&lt;/keyword&gt;&lt;keyword&gt;Polymerase Chain Reaction&lt;/keyword&gt;&lt;keyword&gt;Predictive Value of Tests&lt;/keyword&gt;&lt;keyword&gt;Protein Biosynthesis&lt;/keyword&gt;&lt;keyword&gt;Proteins&lt;/keyword&gt;&lt;keyword&gt;RNA, Messenger&lt;/keyword&gt;&lt;keyword&gt;RNA, Neoplasm&lt;/keyword&gt;&lt;keyword&gt;Rats&lt;/keyword&gt;&lt;keyword&gt;Repressor Proteins&lt;/keyword&gt;&lt;keyword&gt;Stomach Neoplasms&lt;/keyword&gt;&lt;keyword&gt;Transcription, Genetic&lt;/keyword&gt;&lt;/keywords&gt;&lt;urls&gt;&lt;related-urls&gt;&lt;url&gt;https://www.ncbi.nlm.nih.gov/pubmed/9291440&lt;/url&gt;&lt;/related-urls&gt;&lt;/urls&gt;&lt;isbn&gt;0020-7136&lt;/isbn&gt;&lt;titles&gt;&lt;title&gt;Overexpression of the MTA1 gene in gastrointestinal carcinomas: correlation with invasion and metastasis&lt;/title&gt;&lt;secondary-title&gt;Int J Cancer&lt;/secondary-title&gt;&lt;/titles&gt;&lt;pages&gt;459-63&lt;/pages&gt;&lt;number&gt;4&lt;/number&gt;&lt;contributors&gt;&lt;authors&gt;&lt;author&gt;Toh, Y.&lt;/author&gt;&lt;author&gt;Oki, E.&lt;/author&gt;&lt;author&gt;Oda, S.&lt;/author&gt;&lt;author&gt;Tokunaga, E.&lt;/author&gt;&lt;author&gt;Ohno, S.&lt;/author&gt;&lt;author&gt;Maehara, Y.&lt;/author&gt;&lt;author&gt;Nicolson, G. L.&lt;/author&gt;&lt;author&gt;Sugimachi, K.&lt;/author&gt;&lt;/authors&gt;&lt;/contributors&gt;&lt;language&gt;eng&lt;/language&gt;&lt;added-date format="utc"&gt;1509717814&lt;/added-date&gt;&lt;ref-type name="Journal Article"&gt;17&lt;/ref-type&gt;&lt;rec-number&gt;326&lt;/rec-number&gt;&lt;last-updated-date format="utc"&gt;1509717814&lt;/last-updated-date&gt;&lt;accession-num&gt;9291440&lt;/accession-num&gt;&lt;volume&gt;74&lt;/volume&gt;&lt;/record&gt;&lt;/Cite&gt;&lt;/EndNote&gt;</w:instrText>
      </w:r>
      <w:r>
        <w:rPr>
          <w:rFonts w:asciiTheme="majorHAnsi" w:hAnsiTheme="majorHAnsi"/>
        </w:rPr>
        <w:fldChar w:fldCharType="separate"/>
      </w:r>
      <w:r>
        <w:rPr>
          <w:rFonts w:asciiTheme="majorHAnsi" w:hAnsiTheme="majorHAnsi"/>
          <w:noProof/>
        </w:rPr>
        <w:t>(Toh et al., 1997)</w:t>
      </w:r>
      <w:r>
        <w:rPr>
          <w:rFonts w:asciiTheme="majorHAnsi" w:hAnsiTheme="majorHAnsi"/>
        </w:rPr>
        <w:fldChar w:fldCharType="end"/>
      </w:r>
      <w:r>
        <w:rPr>
          <w:rFonts w:asciiTheme="majorHAnsi" w:hAnsiTheme="majorHAnsi"/>
        </w:rPr>
        <w:t xml:space="preserve">. </w:t>
      </w:r>
    </w:p>
    <w:p w14:paraId="12402D17" w14:textId="77777777" w:rsidR="00B15A35" w:rsidRDefault="00B15A35" w:rsidP="00B15A35">
      <w:pPr>
        <w:spacing w:line="360" w:lineRule="auto"/>
        <w:jc w:val="both"/>
        <w:rPr>
          <w:rFonts w:asciiTheme="majorHAnsi" w:hAnsiTheme="majorHAnsi"/>
        </w:rPr>
      </w:pPr>
    </w:p>
    <w:p w14:paraId="652EB8AD" w14:textId="75973D3A" w:rsidR="002A1B85" w:rsidRPr="00DF1056" w:rsidRDefault="00B15A35" w:rsidP="00DF1056">
      <w:pPr>
        <w:spacing w:line="360" w:lineRule="auto"/>
        <w:jc w:val="both"/>
        <w:rPr>
          <w:rFonts w:asciiTheme="majorHAnsi" w:hAnsiTheme="majorHAnsi"/>
        </w:rPr>
      </w:pPr>
      <w:r w:rsidRPr="000E6351">
        <w:rPr>
          <w:rFonts w:asciiTheme="majorHAnsi" w:hAnsiTheme="majorHAnsi"/>
        </w:rPr>
        <w:t>Some studies have found that tumours with epigenetic alterations in chromatin remodelers are often aggres</w:t>
      </w:r>
      <w:r w:rsidR="00781FDC">
        <w:rPr>
          <w:rFonts w:asciiTheme="majorHAnsi" w:hAnsiTheme="majorHAnsi"/>
        </w:rPr>
        <w:t xml:space="preserve">sive and therefore have a worse </w:t>
      </w:r>
      <w:r w:rsidRPr="000E6351">
        <w:rPr>
          <w:rFonts w:asciiTheme="majorHAnsi" w:hAnsiTheme="majorHAnsi"/>
        </w:rPr>
        <w:t>prognosis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&lt;EndNote&gt;&lt;Cite&gt;&lt;Author&gt;Morel&lt;/Author&gt;&lt;Year&gt;2017&lt;/Year&gt;&lt;IDText&gt;Targeting chromatin defects in selected solid tumors based on oncogene addiction, synthetic lethality and epigenetic antagonism&lt;/IDText&gt;&lt;DisplayText&gt;(Morel et al., 2017)&lt;/DisplayText&gt;&lt;record&gt;&lt;dates&gt;&lt;pub-dates&gt;&lt;date&gt;02&lt;/date&gt;&lt;/pub-dates&gt;&lt;year&gt;2017&lt;/year&gt;&lt;/dates&gt;&lt;urls&gt;&lt;related-urls&gt;&lt;url&gt;https://www.ncbi.nlm.nih.gov/pubmed/28426098&lt;/url&gt;&lt;/related-urls&gt;&lt;/urls&gt;&lt;isbn&gt;1569-8041&lt;/isbn&gt;&lt;titles&gt;&lt;title&gt;Targeting chromatin defects in selected solid tumors based on oncogene addiction, synthetic lethality and epigenetic antagonism&lt;/title&gt;&lt;secondary-title&gt;Ann Oncol&lt;/secondary-title&gt;&lt;/titles&gt;&lt;pages&gt;254-269&lt;/pages&gt;&lt;number&gt;2&lt;/number&gt;&lt;contributors&gt;&lt;authors&gt;&lt;author&gt;Morel, D.&lt;/author&gt;&lt;author&gt;Almouzni, G.&lt;/author&gt;&lt;author&gt;Soria, J. C.&lt;/author&gt;&lt;author&gt;Postel-Vinay, S.&lt;/author&gt;&lt;/authors&gt;&lt;/contributors&gt;&lt;language&gt;eng&lt;/language&gt;&lt;added-date format="utc"&gt;1509456889&lt;/added-date&gt;&lt;ref-type name="Journal Article"&gt;17&lt;/ref-type&gt;&lt;rec-number&gt;323&lt;/rec-number&gt;&lt;last-updated-date format="utc"&gt;1509456889&lt;/last-updated-date&gt;&lt;accession-num&gt;28426098&lt;/accession-num&gt;&lt;electronic-resource-num&gt;10.1093/annonc/mdw552&lt;/electronic-resource-num&gt;&lt;volume&gt;28&lt;/volume&gt;&lt;/record&gt;&lt;/Cite&gt;&lt;/EndNote&gt;</w:instrText>
      </w:r>
      <w:r>
        <w:rPr>
          <w:rFonts w:asciiTheme="majorHAnsi" w:hAnsiTheme="majorHAnsi"/>
        </w:rPr>
        <w:fldChar w:fldCharType="separate"/>
      </w:r>
      <w:r>
        <w:rPr>
          <w:rFonts w:asciiTheme="majorHAnsi" w:hAnsiTheme="majorHAnsi"/>
          <w:noProof/>
        </w:rPr>
        <w:t>(Morel et al., 2017)</w:t>
      </w:r>
      <w:r>
        <w:rPr>
          <w:rFonts w:asciiTheme="majorHAnsi" w:hAnsiTheme="majorHAnsi"/>
        </w:rPr>
        <w:fldChar w:fldCharType="end"/>
      </w:r>
      <w:r w:rsidRPr="000E6351">
        <w:rPr>
          <w:rFonts w:asciiTheme="majorHAnsi" w:hAnsiTheme="majorHAnsi"/>
        </w:rPr>
        <w:t xml:space="preserve">. </w:t>
      </w:r>
      <w:r>
        <w:rPr>
          <w:rFonts w:asciiTheme="majorHAnsi" w:hAnsiTheme="majorHAnsi"/>
        </w:rPr>
        <w:t xml:space="preserve">Although research into ATP dependent chromatin remodelers has uncovered some exciting </w:t>
      </w:r>
      <w:r w:rsidR="00781FDC">
        <w:rPr>
          <w:rFonts w:asciiTheme="majorHAnsi" w:hAnsiTheme="majorHAnsi"/>
        </w:rPr>
        <w:t>possibilities</w:t>
      </w:r>
      <w:r>
        <w:rPr>
          <w:rFonts w:asciiTheme="majorHAnsi" w:hAnsiTheme="majorHAnsi"/>
        </w:rPr>
        <w:t xml:space="preserve"> </w:t>
      </w:r>
      <w:r w:rsidR="00781FDC">
        <w:rPr>
          <w:rFonts w:asciiTheme="majorHAnsi" w:hAnsiTheme="majorHAnsi"/>
        </w:rPr>
        <w:t>regarding</w:t>
      </w:r>
      <w:r>
        <w:rPr>
          <w:rFonts w:asciiTheme="majorHAnsi" w:hAnsiTheme="majorHAnsi"/>
        </w:rPr>
        <w:t xml:space="preserve"> novel cancer therapies, there are currently no prognostic or therapeutic techniques </w:t>
      </w:r>
      <w:r w:rsidR="00781FDC">
        <w:rPr>
          <w:rFonts w:asciiTheme="majorHAnsi" w:hAnsiTheme="majorHAnsi"/>
        </w:rPr>
        <w:t xml:space="preserve">based on these in use </w:t>
      </w:r>
      <w:r>
        <w:rPr>
          <w:rFonts w:asciiTheme="majorHAnsi" w:hAnsiTheme="majorHAnsi"/>
        </w:rPr>
        <w:t>within the clinic</w:t>
      </w:r>
      <w:r w:rsidRPr="000E6351">
        <w:rPr>
          <w:rFonts w:asciiTheme="majorHAnsi" w:hAnsiTheme="majorHAnsi"/>
        </w:rPr>
        <w:t>.</w:t>
      </w:r>
      <w:r>
        <w:rPr>
          <w:rFonts w:asciiTheme="majorHAnsi" w:hAnsiTheme="majorHAnsi"/>
        </w:rPr>
        <w:t xml:space="preserve"> </w:t>
      </w:r>
      <w:r w:rsidR="00781FDC">
        <w:rPr>
          <w:rFonts w:asciiTheme="majorHAnsi" w:hAnsiTheme="majorHAnsi"/>
        </w:rPr>
        <w:t>Improved mechanistic understanding of the function of these proteins may help suggest novel clinical approaches.</w:t>
      </w:r>
    </w:p>
    <w:p w14:paraId="25186E71" w14:textId="77777777" w:rsidR="00781FDC" w:rsidRDefault="00781FDC" w:rsidP="00B15A35">
      <w:pPr>
        <w:rPr>
          <w:rFonts w:asciiTheme="majorHAnsi" w:hAnsiTheme="majorHAnsi"/>
          <w:sz w:val="28"/>
          <w:u w:val="single"/>
        </w:rPr>
      </w:pPr>
    </w:p>
    <w:p w14:paraId="2ACC1EB8" w14:textId="77777777" w:rsidR="00E95AFB" w:rsidRDefault="00E95AFB" w:rsidP="00B15A35">
      <w:pPr>
        <w:rPr>
          <w:rFonts w:asciiTheme="majorHAnsi" w:hAnsiTheme="majorHAnsi"/>
          <w:sz w:val="28"/>
          <w:u w:val="single"/>
        </w:rPr>
      </w:pPr>
    </w:p>
    <w:p w14:paraId="718A14DB" w14:textId="57BDD7D3" w:rsidR="00B15A35" w:rsidRPr="00B15A35" w:rsidRDefault="00EB3408" w:rsidP="00B15A35">
      <w:pPr>
        <w:rPr>
          <w:rFonts w:asciiTheme="majorHAnsi" w:hAnsiTheme="majorHAnsi"/>
          <w:sz w:val="28"/>
          <w:u w:val="single"/>
          <w:lang w:val="en-US"/>
        </w:rPr>
      </w:pPr>
      <w:r>
        <w:rPr>
          <w:rFonts w:asciiTheme="majorHAnsi" w:hAnsiTheme="majorHAnsi"/>
          <w:sz w:val="28"/>
          <w:u w:val="single"/>
        </w:rPr>
        <w:t>1.7</w:t>
      </w:r>
      <w:r w:rsidR="00B15A35" w:rsidRPr="00227BF6">
        <w:rPr>
          <w:rFonts w:asciiTheme="majorHAnsi" w:hAnsiTheme="majorHAnsi"/>
          <w:sz w:val="28"/>
          <w:u w:val="single"/>
        </w:rPr>
        <w:t xml:space="preserve"> Preliminary Project Data</w:t>
      </w:r>
    </w:p>
    <w:p w14:paraId="594EFF82" w14:textId="77777777" w:rsidR="00B15A35" w:rsidRDefault="00B15A35" w:rsidP="00B15A35">
      <w:pPr>
        <w:pStyle w:val="EndNoteBibliography"/>
        <w:ind w:left="720" w:hanging="720"/>
        <w:rPr>
          <w:rFonts w:asciiTheme="majorHAnsi" w:hAnsiTheme="majorHAnsi"/>
          <w:sz w:val="28"/>
          <w:u w:val="single"/>
        </w:rPr>
      </w:pPr>
    </w:p>
    <w:p w14:paraId="46ACF212" w14:textId="77777777" w:rsidR="00B15A35" w:rsidRDefault="00B15A35" w:rsidP="002F41C6">
      <w:pPr>
        <w:pStyle w:val="EndNoteBibliography"/>
        <w:numPr>
          <w:ilvl w:val="0"/>
          <w:numId w:val="37"/>
        </w:numPr>
        <w:rPr>
          <w:rFonts w:asciiTheme="majorHAnsi" w:hAnsiTheme="majorHAnsi"/>
          <w:b/>
          <w:i/>
        </w:rPr>
      </w:pPr>
      <w:r w:rsidRPr="00227BF6">
        <w:rPr>
          <w:rFonts w:asciiTheme="majorHAnsi" w:hAnsiTheme="majorHAnsi"/>
          <w:b/>
          <w:i/>
        </w:rPr>
        <w:t>Target Selection</w:t>
      </w:r>
    </w:p>
    <w:p w14:paraId="73CF8031" w14:textId="07198B9F" w:rsidR="00B15A35" w:rsidRPr="00444A35" w:rsidRDefault="00781FDC" w:rsidP="00B15A35">
      <w:pPr>
        <w:pStyle w:val="NoSpacing"/>
        <w:spacing w:line="360" w:lineRule="auto"/>
        <w:jc w:val="both"/>
        <w:rPr>
          <w:rFonts w:asciiTheme="majorHAnsi" w:hAnsiTheme="majorHAnsi"/>
        </w:rPr>
      </w:pPr>
      <w:r>
        <w:rPr>
          <w:rFonts w:asciiTheme="majorHAnsi" w:hAnsiTheme="majorHAnsi"/>
        </w:rPr>
        <w:t>In p</w:t>
      </w:r>
      <w:r w:rsidR="00B15A35" w:rsidRPr="008E3EC0">
        <w:rPr>
          <w:rFonts w:asciiTheme="majorHAnsi" w:hAnsiTheme="majorHAnsi"/>
        </w:rPr>
        <w:t>revious work</w:t>
      </w:r>
      <w:r w:rsidR="00B15A35">
        <w:rPr>
          <w:rFonts w:asciiTheme="majorHAnsi" w:hAnsiTheme="majorHAnsi"/>
        </w:rPr>
        <w:t xml:space="preserve"> conducted by George Burghel </w:t>
      </w:r>
      <w:r>
        <w:rPr>
          <w:rFonts w:asciiTheme="majorHAnsi" w:hAnsiTheme="majorHAnsi"/>
        </w:rPr>
        <w:t>in</w:t>
      </w:r>
      <w:r w:rsidR="00B15A35">
        <w:rPr>
          <w:rFonts w:asciiTheme="majorHAnsi" w:hAnsiTheme="majorHAnsi"/>
        </w:rPr>
        <w:t xml:space="preserve"> the Cox laboratory</w:t>
      </w:r>
      <w:r>
        <w:rPr>
          <w:rFonts w:asciiTheme="majorHAnsi" w:hAnsiTheme="majorHAnsi"/>
        </w:rPr>
        <w:t>,</w:t>
      </w:r>
      <w:r w:rsidR="00B15A35">
        <w:rPr>
          <w:rFonts w:asciiTheme="majorHAnsi" w:hAnsiTheme="majorHAnsi"/>
        </w:rPr>
        <w:t xml:space="preserve"> 45</w:t>
      </w:r>
      <w:r w:rsidR="00B15A35" w:rsidRPr="008E3EC0">
        <w:rPr>
          <w:rFonts w:asciiTheme="majorHAnsi" w:hAnsiTheme="majorHAnsi"/>
        </w:rPr>
        <w:t xml:space="preserve"> MS</w:t>
      </w:r>
      <w:r w:rsidR="00C5170E">
        <w:rPr>
          <w:rFonts w:asciiTheme="majorHAnsi" w:hAnsiTheme="majorHAnsi"/>
        </w:rPr>
        <w:t>S</w:t>
      </w:r>
      <w:r w:rsidR="00B15A35" w:rsidRPr="008E3EC0">
        <w:rPr>
          <w:rFonts w:asciiTheme="majorHAnsi" w:hAnsiTheme="majorHAnsi"/>
        </w:rPr>
        <w:t xml:space="preserve"> stable colon tumour samples </w:t>
      </w:r>
      <w:r>
        <w:rPr>
          <w:rFonts w:asciiTheme="majorHAnsi" w:hAnsiTheme="majorHAnsi"/>
        </w:rPr>
        <w:t>were</w:t>
      </w:r>
      <w:r w:rsidR="00B15A35">
        <w:rPr>
          <w:rFonts w:asciiTheme="majorHAnsi" w:hAnsiTheme="majorHAnsi"/>
        </w:rPr>
        <w:t xml:space="preserve"> </w:t>
      </w:r>
      <w:r w:rsidR="00B15A35" w:rsidRPr="008E3EC0">
        <w:rPr>
          <w:rFonts w:asciiTheme="majorHAnsi" w:hAnsiTheme="majorHAnsi"/>
        </w:rPr>
        <w:t>assessed</w:t>
      </w:r>
      <w:r w:rsidR="00B15A35">
        <w:rPr>
          <w:rFonts w:asciiTheme="majorHAnsi" w:hAnsiTheme="majorHAnsi"/>
        </w:rPr>
        <w:t xml:space="preserve"> </w:t>
      </w:r>
      <w:r w:rsidR="00B15A35" w:rsidRPr="008E3EC0">
        <w:rPr>
          <w:rFonts w:asciiTheme="majorHAnsi" w:hAnsiTheme="majorHAnsi"/>
        </w:rPr>
        <w:t>for</w:t>
      </w:r>
      <w:r>
        <w:rPr>
          <w:rFonts w:asciiTheme="majorHAnsi" w:hAnsiTheme="majorHAnsi"/>
        </w:rPr>
        <w:t xml:space="preserve"> the presence of</w:t>
      </w:r>
      <w:r w:rsidR="00B15A35" w:rsidRPr="008E3EC0">
        <w:rPr>
          <w:rFonts w:asciiTheme="majorHAnsi" w:hAnsiTheme="majorHAnsi"/>
        </w:rPr>
        <w:t xml:space="preserve"> gene amplifications and deletions </w:t>
      </w:r>
      <w:r w:rsidR="00B15A35">
        <w:rPr>
          <w:rFonts w:asciiTheme="majorHAnsi" w:hAnsiTheme="majorHAnsi"/>
        </w:rPr>
        <w:t xml:space="preserve">using comparative genome hybridisation (CGH) against </w:t>
      </w:r>
      <w:r w:rsidR="00021551">
        <w:rPr>
          <w:rFonts w:asciiTheme="majorHAnsi" w:hAnsiTheme="majorHAnsi"/>
        </w:rPr>
        <w:t>matched</w:t>
      </w:r>
      <w:r w:rsidR="00B15A35">
        <w:rPr>
          <w:rFonts w:asciiTheme="majorHAnsi" w:hAnsiTheme="majorHAnsi"/>
        </w:rPr>
        <w:t xml:space="preserve"> peripheral blood DNA </w:t>
      </w:r>
      <w:r w:rsidR="00B15A35">
        <w:rPr>
          <w:rFonts w:asciiTheme="majorHAnsi" w:hAnsiTheme="majorHAnsi"/>
        </w:rPr>
        <w:fldChar w:fldCharType="begin"/>
      </w:r>
      <w:r w:rsidR="00B15A35">
        <w:rPr>
          <w:rFonts w:asciiTheme="majorHAnsi" w:hAnsiTheme="majorHAnsi"/>
        </w:rPr>
        <w:instrText xml:space="preserve"> ADDIN EN.CITE &lt;EndNote&gt;&lt;Cite&gt;&lt;Author&gt;Burghel&lt;/Author&gt;&lt;Year&gt;2013&lt;/Year&gt;&lt;IDText&gt;Identification of candidate driver genes in common focal chromosomal aberrations of microsatellite stable colorectal cancer&lt;/IDText&gt;&lt;DisplayText&gt;(Burghel et al., 2013)&lt;/DisplayText&gt;&lt;record&gt;&lt;keywords&gt;&lt;keyword&gt;Colorectal Neoplasms&lt;/keyword&gt;&lt;keyword&gt;Comparative Genomic Hybridization&lt;/keyword&gt;&lt;keyword&gt;Genes, Neoplasm&lt;/keyword&gt;&lt;keyword&gt;Genomics&lt;/keyword&gt;&lt;keyword&gt;Humans&lt;/keyword&gt;&lt;keyword&gt;Microsatellite Instability&lt;/keyword&gt;&lt;keyword&gt;Microsatellite Repeats&lt;/keyword&gt;&lt;keyword&gt;Mutation&lt;/keyword&gt;&lt;keyword&gt;Oligonucleotide Array Sequence Analysis&lt;/keyword&gt;&lt;keyword&gt;Recurrence&lt;/keyword&gt;&lt;/keywords&gt;&lt;urls&gt;&lt;related-urls&gt;&lt;url&gt;http://www.ncbi.nlm.nih.gov/pubmed/24367615&lt;/url&gt;&lt;/related-urls&gt;&lt;/urls&gt;&lt;isbn&gt;1932-6203&lt;/isbn&gt;&lt;custom2&gt;PMC3867468&lt;/custom2&gt;&lt;titles&gt;&lt;title&gt;Identification of candidate driver genes in common focal chromosomal aberrations of microsatellite stable colorectal cancer&lt;/title&gt;&lt;secondary-title&gt;PLoS One&lt;/secondary-title&gt;&lt;/titles&gt;&lt;pages&gt;e83859&lt;/pages&gt;&lt;number&gt;12&lt;/number&gt;&lt;contributors&gt;&lt;authors&gt;&lt;author&gt;Burghel, G. J.&lt;/author&gt;&lt;author&gt;Lin, W. Y.&lt;/author&gt;&lt;author&gt;Whitehouse, H.&lt;/author&gt;&lt;author&gt;Brock, I.&lt;/author&gt;&lt;author&gt;Hammond, D.&lt;/author&gt;&lt;author&gt;Bury, J.&lt;/author&gt;&lt;author&gt;Stephenson, Y.&lt;/author&gt;&lt;author&gt;George, R.&lt;/author&gt;&lt;author&gt;Cox, A.&lt;/author&gt;&lt;/authors&gt;&lt;/contributors&gt;&lt;language&gt;eng&lt;/language&gt;&lt;added-date format="utc"&gt;1425918643&lt;/added-date&gt;&lt;ref-type name="Journal Article"&gt;17&lt;/ref-type&gt;&lt;dates&gt;&lt;year&gt;2013&lt;/year&gt;&lt;/dates&gt;&lt;rec-number&gt;20&lt;/rec-number&gt;&lt;last-updated-date format="utc"&gt;1447343679&lt;/last-updated-date&gt;&lt;accession-num&gt;24367615&lt;/accession-num&gt;&lt;electronic-resource-num&gt;10.1371/journal.pone.0083859&lt;/electronic-resource-num&gt;&lt;volume&gt;8&lt;/volume&gt;&lt;/record&gt;&lt;/Cite&gt;&lt;/EndNote&gt;</w:instrText>
      </w:r>
      <w:r w:rsidR="00B15A35">
        <w:rPr>
          <w:rFonts w:asciiTheme="majorHAnsi" w:hAnsiTheme="majorHAnsi"/>
        </w:rPr>
        <w:fldChar w:fldCharType="separate"/>
      </w:r>
      <w:r w:rsidR="00B15A35">
        <w:rPr>
          <w:rFonts w:asciiTheme="majorHAnsi" w:hAnsiTheme="majorHAnsi"/>
          <w:noProof/>
        </w:rPr>
        <w:t>(Burghel et al., 2013)</w:t>
      </w:r>
      <w:r w:rsidR="00B15A35">
        <w:rPr>
          <w:rFonts w:asciiTheme="majorHAnsi" w:hAnsiTheme="majorHAnsi"/>
        </w:rPr>
        <w:fldChar w:fldCharType="end"/>
      </w:r>
      <w:r w:rsidR="00B15A35" w:rsidRPr="008E3EC0">
        <w:rPr>
          <w:rFonts w:asciiTheme="majorHAnsi" w:hAnsiTheme="majorHAnsi"/>
        </w:rPr>
        <w:t xml:space="preserve">. </w:t>
      </w:r>
      <w:r w:rsidR="00B15A35">
        <w:rPr>
          <w:rFonts w:asciiTheme="majorHAnsi" w:hAnsiTheme="majorHAnsi"/>
          <w:lang w:val="en-GB"/>
        </w:rPr>
        <w:t>CGH</w:t>
      </w:r>
      <w:r w:rsidR="00B15A35" w:rsidRPr="00444A35">
        <w:rPr>
          <w:rFonts w:asciiTheme="majorHAnsi" w:hAnsiTheme="majorHAnsi"/>
          <w:lang w:val="en-GB"/>
        </w:rPr>
        <w:t xml:space="preserve"> first came to the forefront in cancer gene identification in the 1990s, by applying the technique to quantitatively measure copy number </w:t>
      </w:r>
      <w:r w:rsidR="00021551">
        <w:rPr>
          <w:rFonts w:asciiTheme="majorHAnsi" w:hAnsiTheme="majorHAnsi"/>
          <w:lang w:val="en-GB"/>
        </w:rPr>
        <w:t>aberrations (CNA</w:t>
      </w:r>
      <w:r w:rsidR="00B15A35" w:rsidRPr="00444A35">
        <w:rPr>
          <w:rFonts w:asciiTheme="majorHAnsi" w:hAnsiTheme="majorHAnsi"/>
          <w:lang w:val="en-GB"/>
        </w:rPr>
        <w:t xml:space="preserve">) across tumour sequences in comparison to the normal genome </w:t>
      </w:r>
      <w:r w:rsidR="00B15A35">
        <w:rPr>
          <w:rFonts w:asciiTheme="majorHAnsi" w:hAnsiTheme="majorHAnsi"/>
          <w:lang w:val="en-GB"/>
        </w:rPr>
        <w:fldChar w:fldCharType="begin"/>
      </w:r>
      <w:r w:rsidR="00B15A35">
        <w:rPr>
          <w:rFonts w:asciiTheme="majorHAnsi" w:hAnsiTheme="majorHAnsi"/>
          <w:lang w:val="en-GB"/>
        </w:rPr>
        <w:instrText xml:space="preserve"> ADDIN EN.CITE &lt;EndNote&gt;&lt;Cite&gt;&lt;Author&gt;Kallioniemi&lt;/Author&gt;&lt;Year&gt;1992&lt;/Year&gt;&lt;IDText&gt;Comparative genomic hybridization for molecular cytogenetic analysis of solid tumors&lt;/IDText&gt;&lt;DisplayText&gt;(Kallioniemi et al., 1992)&lt;/DisplayText&gt;&lt;record&gt;&lt;isbn&gt;00368075&lt;/isbn&gt;&lt;titles&gt;&lt;title&gt;Comparative genomic hybridization for molecular cytogenetic analysis of solid tumors&lt;/title&gt;&lt;secondary-title&gt;Science&lt;/secondary-title&gt;&lt;/titles&gt;&lt;pages&gt;818-821&lt;/pages&gt;&lt;number&gt;5083&lt;/number&gt;&lt;contributors&gt;&lt;authors&gt;&lt;author&gt;Kallioniemi, Anne&lt;/author&gt;&lt;author&gt;Kallioniemi, Olli- P.&lt;/author&gt;&lt;author&gt;Sudar, Damir&lt;/author&gt;&lt;author&gt;Gray, Joe W.&lt;/author&gt;&lt;author&gt;Waldman, Fred&lt;/author&gt;&lt;author&gt;Pinkel, Dan&lt;/author&gt;&lt;author&gt;Rutovitz, Denis&lt;/author&gt;&lt;/authors&gt;&lt;/contributors&gt;&lt;added-date format="utc"&gt;1425983622&lt;/added-date&gt;&lt;ref-type name="Journal Article"&gt;17&lt;/ref-type&gt;&lt;dates&gt;&lt;year&gt;1992&lt;/year&gt;&lt;/dates&gt;&lt;rec-number&gt;59&lt;/rec-number&gt;&lt;last-updated-date format="utc"&gt;1425983869&lt;/last-updated-date&gt;&lt;volume&gt;258&lt;/volume&gt;&lt;/record&gt;&lt;/Cite&gt;&lt;/EndNote&gt;</w:instrText>
      </w:r>
      <w:r w:rsidR="00B15A35">
        <w:rPr>
          <w:rFonts w:asciiTheme="majorHAnsi" w:hAnsiTheme="majorHAnsi"/>
          <w:lang w:val="en-GB"/>
        </w:rPr>
        <w:fldChar w:fldCharType="separate"/>
      </w:r>
      <w:r w:rsidR="00B15A35">
        <w:rPr>
          <w:rFonts w:asciiTheme="majorHAnsi" w:hAnsiTheme="majorHAnsi"/>
          <w:noProof/>
          <w:lang w:val="en-GB"/>
        </w:rPr>
        <w:t>(Kallioniemi et al., 1992)</w:t>
      </w:r>
      <w:r w:rsidR="00B15A35">
        <w:rPr>
          <w:rFonts w:asciiTheme="majorHAnsi" w:hAnsiTheme="majorHAnsi"/>
          <w:lang w:val="en-GB"/>
        </w:rPr>
        <w:fldChar w:fldCharType="end"/>
      </w:r>
      <w:r w:rsidR="00B15A35" w:rsidRPr="00444A35">
        <w:rPr>
          <w:rFonts w:asciiTheme="majorHAnsi" w:hAnsiTheme="majorHAnsi"/>
          <w:lang w:val="en-GB"/>
        </w:rPr>
        <w:t>. Albertson et al.</w:t>
      </w:r>
      <w:r w:rsidR="00B15A35">
        <w:rPr>
          <w:rFonts w:asciiTheme="majorHAnsi" w:hAnsiTheme="majorHAnsi"/>
          <w:lang w:val="en-GB"/>
        </w:rPr>
        <w:t xml:space="preserve"> </w:t>
      </w:r>
      <w:r w:rsidR="00B15A35">
        <w:rPr>
          <w:rFonts w:asciiTheme="majorHAnsi" w:hAnsiTheme="majorHAnsi"/>
          <w:lang w:val="en-GB"/>
        </w:rPr>
        <w:fldChar w:fldCharType="begin"/>
      </w:r>
      <w:r w:rsidR="00B15A35">
        <w:rPr>
          <w:rFonts w:asciiTheme="majorHAnsi" w:hAnsiTheme="majorHAnsi"/>
          <w:lang w:val="en-GB"/>
        </w:rPr>
        <w:instrText xml:space="preserve"> ADDIN EN.CITE &lt;EndNote&gt;&lt;Cite ExcludeAuth="1"&gt;&lt;Author&gt;Albertson&lt;/Author&gt;&lt;Year&gt;2000&lt;/Year&gt;&lt;IDText&gt;Quantitative mapping of amplicon structure by array CGH identifies CYP24 as a candidate oncogene&lt;/IDText&gt;&lt;DisplayText&gt;(2000)&lt;/DisplayText&gt;&lt;record&gt;&lt;dates&gt;&lt;pub-dates&gt;&lt;date&gt;Jun&lt;/date&gt;&lt;/pub-dates&gt;&lt;year&gt;2000&lt;/year&gt;&lt;/dates&gt;&lt;keywords&gt;&lt;keyword&gt;Breast Neoplasms&lt;/keyword&gt;&lt;keyword&gt;Chromosomes, Human, Pair 20&lt;/keyword&gt;&lt;keyword&gt;Cytochrome P-450 Enzyme System&lt;/keyword&gt;&lt;keyword&gt;Gene Amplification&lt;/keyword&gt;&lt;keyword&gt;Gene Dosage&lt;/keyword&gt;&lt;keyword&gt;Humans&lt;/keyword&gt;&lt;keyword&gt;Nucleic Acid Hybridization&lt;/keyword&gt;&lt;keyword&gt;Oncogenes&lt;/keyword&gt;&lt;keyword&gt;Physical Chromosome Mapping&lt;/keyword&gt;&lt;keyword&gt;RNA, Messenger&lt;/keyword&gt;&lt;keyword&gt;Steroid Hydroxylases&lt;/keyword&gt;&lt;keyword&gt;Trans-Activators&lt;/keyword&gt;&lt;keyword&gt;Vitamin D3 24-Hydroxylase&lt;/keyword&gt;&lt;/keywords&gt;&lt;urls&gt;&lt;related-urls&gt;&lt;url&gt;http://www.ncbi.nlm.nih.gov/pubmed/10835626&lt;/url&gt;&lt;/related-urls&gt;&lt;/urls&gt;&lt;isbn&gt;1061-4036&lt;/isbn&gt;&lt;titles&gt;&lt;title&gt;Quantitative mapping of amplicon structure by array CGH identifies CYP24 as a candidate oncogene&lt;/title&gt;&lt;secondary-title&gt;Nat Genet&lt;/secondary-title&gt;&lt;/titles&gt;&lt;pages&gt;144-6&lt;/pages&gt;&lt;number&gt;2&lt;/number&gt;&lt;contributors&gt;&lt;authors&gt;&lt;author&gt;Albertson, D. G.&lt;/author&gt;&lt;author&gt;Ylstra, B.&lt;/author&gt;&lt;author&gt;Segraves, R.&lt;/author&gt;&lt;author&gt;Collins, C.&lt;/author&gt;&lt;author&gt;Dairkee, S. H.&lt;/author&gt;&lt;author&gt;Kowbel, D.&lt;/author&gt;&lt;author&gt;Kuo, W. L.&lt;/author&gt;&lt;author&gt;Gray, J. W.&lt;/author&gt;&lt;author&gt;Pinkel, D.&lt;/author&gt;&lt;/authors&gt;&lt;/contributors&gt;&lt;language&gt;eng&lt;/language&gt;&lt;added-date format="utc"&gt;1425912237&lt;/added-date&gt;&lt;ref-type name="Journal Article"&gt;17&lt;/ref-type&gt;&lt;rec-number&gt;8&lt;/rec-number&gt;&lt;last-updated-date format="utc"&gt;1425912237&lt;/last-updated-date&gt;&lt;accession-num&gt;10835626&lt;/accession-num&gt;&lt;electronic-resource-num&gt;10.1038/75985&lt;/electronic-resource-num&gt;&lt;volume&gt;25&lt;/volume&gt;&lt;/record&gt;&lt;/Cite&gt;&lt;/EndNote&gt;</w:instrText>
      </w:r>
      <w:r w:rsidR="00B15A35">
        <w:rPr>
          <w:rFonts w:asciiTheme="majorHAnsi" w:hAnsiTheme="majorHAnsi"/>
          <w:lang w:val="en-GB"/>
        </w:rPr>
        <w:fldChar w:fldCharType="separate"/>
      </w:r>
      <w:r w:rsidR="00B15A35">
        <w:rPr>
          <w:rFonts w:asciiTheme="majorHAnsi" w:hAnsiTheme="majorHAnsi"/>
          <w:noProof/>
          <w:lang w:val="en-GB"/>
        </w:rPr>
        <w:t>(2000)</w:t>
      </w:r>
      <w:r w:rsidR="00B15A35">
        <w:rPr>
          <w:rFonts w:asciiTheme="majorHAnsi" w:hAnsiTheme="majorHAnsi"/>
          <w:lang w:val="en-GB"/>
        </w:rPr>
        <w:fldChar w:fldCharType="end"/>
      </w:r>
      <w:r w:rsidR="00B15A35" w:rsidRPr="00444A35">
        <w:rPr>
          <w:rFonts w:asciiTheme="majorHAnsi" w:hAnsiTheme="majorHAnsi"/>
          <w:lang w:val="en-GB"/>
        </w:rPr>
        <w:t xml:space="preserve"> </w:t>
      </w:r>
      <w:r w:rsidR="00B15A35">
        <w:rPr>
          <w:rFonts w:asciiTheme="majorHAnsi" w:hAnsiTheme="majorHAnsi"/>
          <w:lang w:val="en-GB"/>
        </w:rPr>
        <w:t xml:space="preserve">later </w:t>
      </w:r>
      <w:r w:rsidR="00B15A35" w:rsidRPr="00444A35">
        <w:rPr>
          <w:rFonts w:asciiTheme="majorHAnsi" w:hAnsiTheme="majorHAnsi"/>
          <w:lang w:val="en-GB"/>
        </w:rPr>
        <w:t xml:space="preserve">showed that by using </w:t>
      </w:r>
      <w:proofErr w:type="spellStart"/>
      <w:r w:rsidR="00B15A35">
        <w:rPr>
          <w:rFonts w:asciiTheme="majorHAnsi" w:hAnsiTheme="majorHAnsi"/>
          <w:lang w:val="en-GB"/>
        </w:rPr>
        <w:t>aCGH</w:t>
      </w:r>
      <w:proofErr w:type="spellEnd"/>
      <w:r w:rsidR="00B15A35">
        <w:rPr>
          <w:rFonts w:asciiTheme="majorHAnsi" w:hAnsiTheme="majorHAnsi"/>
          <w:lang w:val="en-GB"/>
        </w:rPr>
        <w:t xml:space="preserve"> </w:t>
      </w:r>
      <w:r w:rsidR="00B15A35" w:rsidRPr="00444A35">
        <w:rPr>
          <w:rFonts w:asciiTheme="majorHAnsi" w:hAnsiTheme="majorHAnsi"/>
          <w:lang w:val="en-GB"/>
        </w:rPr>
        <w:t xml:space="preserve">they could determine </w:t>
      </w:r>
      <w:r w:rsidR="00021551">
        <w:rPr>
          <w:rFonts w:asciiTheme="majorHAnsi" w:hAnsiTheme="majorHAnsi"/>
          <w:lang w:val="en-GB"/>
        </w:rPr>
        <w:t>peaks of CNA</w:t>
      </w:r>
      <w:r w:rsidR="00B15A35" w:rsidRPr="00444A35">
        <w:rPr>
          <w:rFonts w:asciiTheme="majorHAnsi" w:hAnsiTheme="majorHAnsi"/>
          <w:lang w:val="en-GB"/>
        </w:rPr>
        <w:t>, which could be used to localize genes important in driving cancer progression, for example amplified oncogenes and deleted tumo</w:t>
      </w:r>
      <w:r w:rsidR="00B15A35">
        <w:rPr>
          <w:rFonts w:asciiTheme="majorHAnsi" w:hAnsiTheme="majorHAnsi"/>
          <w:lang w:val="en-GB"/>
        </w:rPr>
        <w:t>u</w:t>
      </w:r>
      <w:r w:rsidR="00B15A35" w:rsidRPr="00444A35">
        <w:rPr>
          <w:rFonts w:asciiTheme="majorHAnsi" w:hAnsiTheme="majorHAnsi"/>
          <w:lang w:val="en-GB"/>
        </w:rPr>
        <w:t>r suppressor genes.</w:t>
      </w:r>
      <w:r w:rsidR="00B15A35" w:rsidRPr="008E3EC0">
        <w:rPr>
          <w:rFonts w:asciiTheme="majorHAnsi" w:hAnsiTheme="majorHAnsi"/>
        </w:rPr>
        <w:t xml:space="preserve"> </w:t>
      </w:r>
    </w:p>
    <w:p w14:paraId="7A75C7F7" w14:textId="77777777" w:rsidR="00B15A35" w:rsidRDefault="00B15A35" w:rsidP="00B15A35">
      <w:pPr>
        <w:pStyle w:val="NoSpacing"/>
        <w:spacing w:line="360" w:lineRule="auto"/>
        <w:jc w:val="both"/>
        <w:rPr>
          <w:rFonts w:asciiTheme="majorHAnsi" w:hAnsiTheme="majorHAnsi"/>
          <w:lang w:val="en-GB"/>
        </w:rPr>
      </w:pPr>
    </w:p>
    <w:p w14:paraId="7BB93E00" w14:textId="392EC712" w:rsidR="00B15A35" w:rsidRPr="000C0396" w:rsidRDefault="00B15A35" w:rsidP="000C0396">
      <w:pPr>
        <w:pStyle w:val="NoSpacing"/>
        <w:spacing w:line="360" w:lineRule="auto"/>
        <w:jc w:val="both"/>
        <w:rPr>
          <w:rFonts w:asciiTheme="majorHAnsi" w:hAnsiTheme="majorHAnsi"/>
          <w:lang w:val="en-GB"/>
        </w:rPr>
      </w:pPr>
      <w:r>
        <w:rPr>
          <w:rFonts w:asciiTheme="majorHAnsi" w:hAnsiTheme="majorHAnsi"/>
          <w:lang w:val="en-GB"/>
        </w:rPr>
        <w:t xml:space="preserve">At the start of the current project, the data from the </w:t>
      </w:r>
      <w:proofErr w:type="spellStart"/>
      <w:r>
        <w:rPr>
          <w:rFonts w:asciiTheme="majorHAnsi" w:hAnsiTheme="majorHAnsi"/>
          <w:lang w:val="en-GB"/>
        </w:rPr>
        <w:t>Burghel</w:t>
      </w:r>
      <w:proofErr w:type="spellEnd"/>
      <w:r>
        <w:rPr>
          <w:rFonts w:asciiTheme="majorHAnsi" w:hAnsiTheme="majorHAnsi"/>
          <w:lang w:val="en-GB"/>
        </w:rPr>
        <w:t xml:space="preserve"> CGH screen was</w:t>
      </w:r>
      <w:r w:rsidR="00021551">
        <w:rPr>
          <w:rFonts w:asciiTheme="majorHAnsi" w:hAnsiTheme="majorHAnsi"/>
          <w:lang w:val="en-GB"/>
        </w:rPr>
        <w:t xml:space="preserve"> combined with several other datasets in a bioinformatic analysis carried out by James Bradford to identify potential cancer driver genes. </w:t>
      </w:r>
      <w:r w:rsidR="00021551">
        <w:rPr>
          <w:rFonts w:asciiTheme="majorHAnsi" w:hAnsiTheme="majorHAnsi"/>
        </w:rPr>
        <w:t>Firstly,</w:t>
      </w:r>
      <w:r w:rsidR="00021551" w:rsidRPr="008E3EC0">
        <w:rPr>
          <w:rFonts w:asciiTheme="majorHAnsi" w:hAnsiTheme="majorHAnsi"/>
        </w:rPr>
        <w:t xml:space="preserve"> </w:t>
      </w:r>
      <w:r w:rsidR="00021551">
        <w:rPr>
          <w:rFonts w:asciiTheme="majorHAnsi" w:hAnsiTheme="majorHAnsi"/>
        </w:rPr>
        <w:t>publicly available</w:t>
      </w:r>
      <w:r>
        <w:rPr>
          <w:rFonts w:asciiTheme="majorHAnsi" w:hAnsiTheme="majorHAnsi"/>
          <w:lang w:val="en-GB"/>
        </w:rPr>
        <w:t xml:space="preserve"> </w:t>
      </w:r>
      <w:r w:rsidR="00021551">
        <w:rPr>
          <w:rFonts w:asciiTheme="majorHAnsi" w:hAnsiTheme="majorHAnsi"/>
        </w:rPr>
        <w:t>CNA</w:t>
      </w:r>
      <w:r w:rsidRPr="008E3EC0">
        <w:rPr>
          <w:rFonts w:asciiTheme="majorHAnsi" w:hAnsiTheme="majorHAnsi"/>
        </w:rPr>
        <w:t xml:space="preserve"> </w:t>
      </w:r>
      <w:r>
        <w:rPr>
          <w:rFonts w:asciiTheme="majorHAnsi" w:hAnsiTheme="majorHAnsi"/>
        </w:rPr>
        <w:t xml:space="preserve">data </w:t>
      </w:r>
      <w:r w:rsidR="00021551">
        <w:rPr>
          <w:rFonts w:asciiTheme="majorHAnsi" w:hAnsiTheme="majorHAnsi"/>
        </w:rPr>
        <w:t>from</w:t>
      </w:r>
      <w:r w:rsidRPr="008E3EC0">
        <w:rPr>
          <w:rFonts w:asciiTheme="majorHAnsi" w:hAnsiTheme="majorHAnsi"/>
        </w:rPr>
        <w:t xml:space="preserve"> The Cancer Genome Atlas (TCGA)</w:t>
      </w:r>
      <w:r w:rsidR="00021551">
        <w:rPr>
          <w:rFonts w:asciiTheme="majorHAnsi" w:hAnsiTheme="majorHAnsi"/>
        </w:rPr>
        <w:t xml:space="preserve"> </w:t>
      </w:r>
      <w:r w:rsidR="00A625F7">
        <w:rPr>
          <w:rFonts w:asciiTheme="majorHAnsi" w:hAnsiTheme="majorHAnsi"/>
        </w:rPr>
        <w:t>(</w:t>
      </w:r>
      <w:hyperlink r:id="rId20" w:history="1">
        <w:r w:rsidR="00A625F7" w:rsidRPr="009573D1">
          <w:rPr>
            <w:rStyle w:val="Hyperlink"/>
            <w:rFonts w:asciiTheme="majorHAnsi" w:hAnsiTheme="majorHAnsi"/>
          </w:rPr>
          <w:t>https://cancergenome.nih.gov/</w:t>
        </w:r>
      </w:hyperlink>
      <w:r w:rsidR="00A625F7">
        <w:rPr>
          <w:rFonts w:asciiTheme="majorHAnsi" w:hAnsiTheme="majorHAnsi"/>
        </w:rPr>
        <w:t xml:space="preserve">) </w:t>
      </w:r>
      <w:r w:rsidR="00021551">
        <w:rPr>
          <w:rFonts w:asciiTheme="majorHAnsi" w:hAnsiTheme="majorHAnsi"/>
        </w:rPr>
        <w:t xml:space="preserve">was used </w:t>
      </w:r>
      <w:r>
        <w:rPr>
          <w:rFonts w:asciiTheme="majorHAnsi" w:hAnsiTheme="majorHAnsi"/>
        </w:rPr>
        <w:t xml:space="preserve">to </w:t>
      </w:r>
      <w:r w:rsidR="00021551">
        <w:rPr>
          <w:rFonts w:asciiTheme="majorHAnsi" w:hAnsiTheme="majorHAnsi"/>
        </w:rPr>
        <w:t>identify genes for which</w:t>
      </w:r>
      <w:r>
        <w:rPr>
          <w:rFonts w:asciiTheme="majorHAnsi" w:hAnsiTheme="majorHAnsi"/>
        </w:rPr>
        <w:t xml:space="preserve"> </w:t>
      </w:r>
      <w:r w:rsidR="00021551">
        <w:rPr>
          <w:rFonts w:asciiTheme="majorHAnsi" w:hAnsiTheme="majorHAnsi"/>
        </w:rPr>
        <w:t>there was evidence of CNA</w:t>
      </w:r>
      <w:r>
        <w:rPr>
          <w:rFonts w:asciiTheme="majorHAnsi" w:hAnsiTheme="majorHAnsi"/>
        </w:rPr>
        <w:t xml:space="preserve"> (</w:t>
      </w:r>
      <w:r w:rsidR="00021551">
        <w:rPr>
          <w:rFonts w:asciiTheme="majorHAnsi" w:hAnsiTheme="majorHAnsi"/>
        </w:rPr>
        <w:t>based on</w:t>
      </w:r>
      <w:r>
        <w:rPr>
          <w:rFonts w:asciiTheme="majorHAnsi" w:hAnsiTheme="majorHAnsi"/>
        </w:rPr>
        <w:t xml:space="preserve"> least one sample with amplification or deletion)</w:t>
      </w:r>
      <w:r w:rsidR="00021551">
        <w:rPr>
          <w:rFonts w:asciiTheme="majorHAnsi" w:hAnsiTheme="majorHAnsi"/>
        </w:rPr>
        <w:t>,</w:t>
      </w:r>
      <w:r>
        <w:rPr>
          <w:rFonts w:asciiTheme="majorHAnsi" w:hAnsiTheme="majorHAnsi"/>
        </w:rPr>
        <w:t xml:space="preserve"> and </w:t>
      </w:r>
      <w:r w:rsidR="00021551">
        <w:rPr>
          <w:rFonts w:asciiTheme="majorHAnsi" w:hAnsiTheme="majorHAnsi"/>
        </w:rPr>
        <w:t xml:space="preserve">to identify genes for which the gene copy number </w:t>
      </w:r>
      <w:r>
        <w:rPr>
          <w:rFonts w:asciiTheme="majorHAnsi" w:hAnsiTheme="majorHAnsi"/>
        </w:rPr>
        <w:t>correlated</w:t>
      </w:r>
      <w:r w:rsidR="00021551">
        <w:rPr>
          <w:rFonts w:asciiTheme="majorHAnsi" w:hAnsiTheme="majorHAnsi"/>
        </w:rPr>
        <w:t xml:space="preserve"> with</w:t>
      </w:r>
      <w:r>
        <w:rPr>
          <w:rFonts w:asciiTheme="majorHAnsi" w:hAnsiTheme="majorHAnsi"/>
        </w:rPr>
        <w:t xml:space="preserve"> gene expression. </w:t>
      </w:r>
      <w:r w:rsidR="00021551">
        <w:rPr>
          <w:rFonts w:asciiTheme="majorHAnsi" w:hAnsiTheme="majorHAnsi"/>
        </w:rPr>
        <w:t>Secondly, the</w:t>
      </w:r>
      <w:r w:rsidRPr="008E3EC0">
        <w:rPr>
          <w:rFonts w:asciiTheme="majorHAnsi" w:hAnsiTheme="majorHAnsi"/>
        </w:rPr>
        <w:t xml:space="preserve"> </w:t>
      </w:r>
      <w:proofErr w:type="spellStart"/>
      <w:r w:rsidRPr="008E3EC0">
        <w:rPr>
          <w:rFonts w:asciiTheme="majorHAnsi" w:hAnsiTheme="majorHAnsi"/>
        </w:rPr>
        <w:t>canSAR</w:t>
      </w:r>
      <w:proofErr w:type="spellEnd"/>
      <w:r w:rsidRPr="008E3EC0">
        <w:rPr>
          <w:rFonts w:asciiTheme="majorHAnsi" w:hAnsiTheme="majorHAnsi"/>
        </w:rPr>
        <w:t xml:space="preserve"> database</w:t>
      </w:r>
      <w:r w:rsidR="00A625F7">
        <w:rPr>
          <w:rFonts w:asciiTheme="majorHAnsi" w:hAnsiTheme="majorHAnsi"/>
        </w:rPr>
        <w:t xml:space="preserve"> (</w:t>
      </w:r>
      <w:hyperlink r:id="rId21" w:history="1">
        <w:r w:rsidR="00A625F7" w:rsidRPr="00A625F7">
          <w:rPr>
            <w:rStyle w:val="Hyperlink"/>
            <w:rFonts w:asciiTheme="majorHAnsi" w:hAnsiTheme="majorHAnsi"/>
          </w:rPr>
          <w:t>https://cansar.icr.ac.uk/</w:t>
        </w:r>
      </w:hyperlink>
      <w:r w:rsidR="00A625F7">
        <w:rPr>
          <w:rFonts w:asciiTheme="majorHAnsi" w:hAnsiTheme="majorHAnsi"/>
        </w:rPr>
        <w:t>)</w:t>
      </w:r>
      <w:r w:rsidRPr="008E3EC0">
        <w:rPr>
          <w:rFonts w:asciiTheme="majorHAnsi" w:hAnsiTheme="majorHAnsi"/>
        </w:rPr>
        <w:t xml:space="preserve"> was used in order to determine whether </w:t>
      </w:r>
      <w:r>
        <w:rPr>
          <w:rFonts w:asciiTheme="majorHAnsi" w:hAnsiTheme="majorHAnsi"/>
        </w:rPr>
        <w:t xml:space="preserve">there was </w:t>
      </w:r>
      <w:r w:rsidR="00021551">
        <w:rPr>
          <w:rFonts w:asciiTheme="majorHAnsi" w:hAnsiTheme="majorHAnsi"/>
        </w:rPr>
        <w:t>any</w:t>
      </w:r>
      <w:r>
        <w:rPr>
          <w:rFonts w:asciiTheme="majorHAnsi" w:hAnsiTheme="majorHAnsi"/>
        </w:rPr>
        <w:t xml:space="preserve"> available evidence suggesting that such genes could be druggable targets</w:t>
      </w:r>
      <w:r w:rsidR="00A625F7">
        <w:rPr>
          <w:rFonts w:asciiTheme="majorHAnsi" w:hAnsiTheme="majorHAnsi"/>
        </w:rPr>
        <w:t xml:space="preserve"> </w:t>
      </w:r>
      <w:r w:rsidR="00A625F7">
        <w:rPr>
          <w:rFonts w:asciiTheme="majorHAnsi" w:hAnsiTheme="majorHAnsi"/>
        </w:rPr>
        <w:fldChar w:fldCharType="begin"/>
      </w:r>
      <w:r w:rsidR="00A625F7">
        <w:rPr>
          <w:rFonts w:asciiTheme="majorHAnsi" w:hAnsiTheme="majorHAnsi"/>
        </w:rPr>
        <w:instrText xml:space="preserve"> ADDIN EN.CITE &lt;EndNote&gt;&lt;Cite&gt;&lt;Author&gt;Burghel&lt;/Author&gt;&lt;Year&gt;2013&lt;/Year&gt;&lt;IDText&gt;Identification of candidate driver genes in common focal chromosomal aberrations of microsatellite stable colorectal cancer&lt;/IDText&gt;&lt;DisplayText&gt;(Burghel et al., 2013)&lt;/DisplayText&gt;&lt;record&gt;&lt;keywords&gt;&lt;keyword&gt;Colorectal Neoplasms&lt;/keyword&gt;&lt;keyword&gt;Comparative Genomic Hybridization&lt;/keyword&gt;&lt;keyword&gt;Genes, Neoplasm&lt;/keyword&gt;&lt;keyword&gt;Genomics&lt;/keyword&gt;&lt;keyword&gt;Humans&lt;/keyword&gt;&lt;keyword&gt;Microsatellite Instability&lt;/keyword&gt;&lt;keyword&gt;Microsatellite Repeats&lt;/keyword&gt;&lt;keyword&gt;Mutation&lt;/keyword&gt;&lt;keyword&gt;Oligonucleotide Array Sequence Analysis&lt;/keyword&gt;&lt;keyword&gt;Recurrence&lt;/keyword&gt;&lt;/keywords&gt;&lt;urls&gt;&lt;related-urls&gt;&lt;url&gt;http://www.ncbi.nlm.nih.gov/pubmed/24367615&lt;/url&gt;&lt;/related-urls&gt;&lt;/urls&gt;&lt;isbn&gt;1932-6203&lt;/isbn&gt;&lt;custom2&gt;PMC3867468&lt;/custom2&gt;&lt;titles&gt;&lt;title&gt;Identification of candidate driver genes in common focal chromosomal aberrations of microsatellite stable colorectal cancer&lt;/title&gt;&lt;secondary-title&gt;PLoS One&lt;/secondary-title&gt;&lt;/titles&gt;&lt;pages&gt;e83859&lt;/pages&gt;&lt;number&gt;12&lt;/number&gt;&lt;contributors&gt;&lt;authors&gt;&lt;author&gt;Burghel, G. J.&lt;/author&gt;&lt;author&gt;Lin, W. Y.&lt;/author&gt;&lt;author&gt;Whitehouse, H.&lt;/author&gt;&lt;author&gt;Brock, I.&lt;/author&gt;&lt;author&gt;Hammond, D.&lt;/author&gt;&lt;author&gt;Bury, J.&lt;/author&gt;&lt;author&gt;Stephenson, Y.&lt;/author&gt;&lt;author&gt;George, R.&lt;/author&gt;&lt;author&gt;Cox, A.&lt;/author&gt;&lt;/authors&gt;&lt;/contributors&gt;&lt;language&gt;eng&lt;/language&gt;&lt;added-date format="utc"&gt;1425918643&lt;/added-date&gt;&lt;ref-type name="Journal Article"&gt;17&lt;/ref-type&gt;&lt;dates&gt;&lt;year&gt;2013&lt;/year&gt;&lt;/dates&gt;&lt;rec-number&gt;20&lt;/rec-number&gt;&lt;last-updated-date format="utc"&gt;1447343679&lt;/last-updated-date&gt;&lt;accession-num&gt;24367615&lt;/accession-num&gt;&lt;electronic-resource-num&gt;10.1371/journal.pone.0083859&lt;/electronic-resource-num&gt;&lt;volume&gt;8&lt;/volume&gt;&lt;/record&gt;&lt;/Cite&gt;&lt;/EndNote&gt;</w:instrText>
      </w:r>
      <w:r w:rsidR="00A625F7">
        <w:rPr>
          <w:rFonts w:asciiTheme="majorHAnsi" w:hAnsiTheme="majorHAnsi"/>
        </w:rPr>
        <w:fldChar w:fldCharType="separate"/>
      </w:r>
      <w:r w:rsidR="00A625F7">
        <w:rPr>
          <w:rFonts w:asciiTheme="majorHAnsi" w:hAnsiTheme="majorHAnsi"/>
          <w:noProof/>
        </w:rPr>
        <w:t>(Burghel et al., 2013)</w:t>
      </w:r>
      <w:r w:rsidR="00A625F7">
        <w:rPr>
          <w:rFonts w:asciiTheme="majorHAnsi" w:hAnsiTheme="majorHAnsi"/>
        </w:rPr>
        <w:fldChar w:fldCharType="end"/>
      </w:r>
      <w:r>
        <w:rPr>
          <w:rFonts w:asciiTheme="majorHAnsi" w:hAnsiTheme="majorHAnsi"/>
        </w:rPr>
        <w:t xml:space="preserve">. </w:t>
      </w:r>
      <w:r w:rsidR="00021551">
        <w:rPr>
          <w:rFonts w:asciiTheme="majorHAnsi" w:hAnsiTheme="majorHAnsi"/>
        </w:rPr>
        <w:t>Thirdly,</w:t>
      </w:r>
      <w:r>
        <w:rPr>
          <w:rFonts w:asciiTheme="majorHAnsi" w:hAnsiTheme="majorHAnsi"/>
        </w:rPr>
        <w:t xml:space="preserve"> data from another previously conducted screen was cross-referenced</w:t>
      </w:r>
      <w:r w:rsidR="00021551">
        <w:rPr>
          <w:rFonts w:asciiTheme="majorHAnsi" w:hAnsiTheme="majorHAnsi"/>
        </w:rPr>
        <w:t xml:space="preserve"> to these data</w:t>
      </w:r>
      <w:r>
        <w:rPr>
          <w:rFonts w:asciiTheme="majorHAnsi" w:hAnsiTheme="majorHAnsi"/>
        </w:rPr>
        <w:t xml:space="preserve">. This was </w:t>
      </w:r>
      <w:r w:rsidRPr="00875BFD">
        <w:rPr>
          <w:rFonts w:asciiTheme="majorHAnsi" w:hAnsiTheme="majorHAnsi" w:cs="Helvetica"/>
        </w:rPr>
        <w:t xml:space="preserve">a genome-wide (~22,000 gene) human siRNA screen carried out </w:t>
      </w:r>
      <w:r w:rsidR="00021551">
        <w:rPr>
          <w:rFonts w:asciiTheme="majorHAnsi" w:hAnsiTheme="majorHAnsi" w:cs="Helvetica"/>
        </w:rPr>
        <w:t xml:space="preserve">by Spencer Collis </w:t>
      </w:r>
      <w:r w:rsidRPr="00875BFD">
        <w:rPr>
          <w:rFonts w:asciiTheme="majorHAnsi" w:hAnsiTheme="majorHAnsi" w:cs="Helvetica"/>
        </w:rPr>
        <w:t>in HCT116 cells</w:t>
      </w:r>
      <w:r w:rsidR="00021551">
        <w:rPr>
          <w:rFonts w:asciiTheme="majorHAnsi" w:hAnsiTheme="majorHAnsi" w:cs="Helvetica"/>
        </w:rPr>
        <w:t>,</w:t>
      </w:r>
      <w:r w:rsidRPr="00875BFD">
        <w:rPr>
          <w:rFonts w:asciiTheme="majorHAnsi" w:hAnsiTheme="majorHAnsi" w:cs="Helvetica"/>
        </w:rPr>
        <w:t xml:space="preserve"> using increased </w:t>
      </w:r>
      <w:r>
        <w:rPr>
          <w:rFonts w:ascii="Calibri" w:hAnsi="Calibri" w:cs="Helvetica"/>
        </w:rPr>
        <w:t>γ</w:t>
      </w:r>
      <w:r w:rsidRPr="00875BFD">
        <w:rPr>
          <w:rFonts w:asciiTheme="majorHAnsi" w:hAnsiTheme="majorHAnsi" w:cs="Helvetica"/>
        </w:rPr>
        <w:t>H2AX as a read out/marker of increased DNA damage</w:t>
      </w:r>
      <w:r w:rsidR="00021551">
        <w:rPr>
          <w:rFonts w:asciiTheme="majorHAnsi" w:hAnsiTheme="majorHAnsi" w:cs="Helvetica"/>
        </w:rPr>
        <w:t>,</w:t>
      </w:r>
      <w:r w:rsidRPr="00875BFD">
        <w:rPr>
          <w:rFonts w:asciiTheme="majorHAnsi" w:hAnsiTheme="majorHAnsi" w:cs="Helvetica"/>
        </w:rPr>
        <w:t xml:space="preserve"> to identify potential novel regulators of genome stability. </w:t>
      </w:r>
      <w:r w:rsidR="00021551">
        <w:rPr>
          <w:rFonts w:asciiTheme="majorHAnsi" w:hAnsiTheme="majorHAnsi" w:cs="Helvetica"/>
        </w:rPr>
        <w:t xml:space="preserve">The screen </w:t>
      </w:r>
      <w:r w:rsidRPr="00875BFD">
        <w:rPr>
          <w:rFonts w:asciiTheme="majorHAnsi" w:hAnsiTheme="majorHAnsi" w:cs="Helvetica"/>
        </w:rPr>
        <w:t xml:space="preserve">was carried out </w:t>
      </w:r>
      <w:r w:rsidR="00021551">
        <w:rPr>
          <w:rFonts w:asciiTheme="majorHAnsi" w:hAnsiTheme="majorHAnsi" w:cs="Helvetica"/>
        </w:rPr>
        <w:t>at</w:t>
      </w:r>
      <w:r w:rsidRPr="00875BFD">
        <w:rPr>
          <w:rFonts w:asciiTheme="majorHAnsi" w:hAnsiTheme="majorHAnsi" w:cs="Helvetica"/>
        </w:rPr>
        <w:t xml:space="preserve"> the RNA screening facility at CRUKs Lincoln's Inn Field</w:t>
      </w:r>
      <w:r w:rsidR="00021551">
        <w:rPr>
          <w:rFonts w:asciiTheme="majorHAnsi" w:hAnsiTheme="majorHAnsi" w:cs="Helvetica"/>
        </w:rPr>
        <w:t>,</w:t>
      </w:r>
      <w:r>
        <w:rPr>
          <w:rFonts w:asciiTheme="majorHAnsi" w:hAnsiTheme="majorHAnsi" w:cs="Helvetica"/>
        </w:rPr>
        <w:t xml:space="preserve"> and hits </w:t>
      </w:r>
      <w:r w:rsidRPr="00875BFD">
        <w:rPr>
          <w:rFonts w:asciiTheme="majorHAnsi" w:hAnsiTheme="majorHAnsi" w:cs="Helvetica"/>
        </w:rPr>
        <w:t xml:space="preserve">were identified as having a z-score greater than non-targeting siRNA control samples, using various positive controls such as </w:t>
      </w:r>
      <w:r w:rsidRPr="00115D33">
        <w:rPr>
          <w:rFonts w:asciiTheme="majorHAnsi" w:hAnsiTheme="majorHAnsi" w:cs="Helvetica"/>
          <w:i/>
        </w:rPr>
        <w:t>TOP2A</w:t>
      </w:r>
      <w:r w:rsidRPr="00875BFD">
        <w:rPr>
          <w:rFonts w:asciiTheme="majorHAnsi" w:hAnsiTheme="majorHAnsi" w:cs="Helvetica"/>
        </w:rPr>
        <w:t xml:space="preserve">, </w:t>
      </w:r>
      <w:r w:rsidRPr="00115D33">
        <w:rPr>
          <w:rFonts w:asciiTheme="majorHAnsi" w:hAnsiTheme="majorHAnsi" w:cs="Helvetica"/>
          <w:i/>
        </w:rPr>
        <w:t>RPA1</w:t>
      </w:r>
      <w:r w:rsidRPr="00875BFD">
        <w:rPr>
          <w:rFonts w:asciiTheme="majorHAnsi" w:hAnsiTheme="majorHAnsi" w:cs="Helvetica"/>
        </w:rPr>
        <w:t xml:space="preserve"> and </w:t>
      </w:r>
      <w:r w:rsidRPr="00115D33">
        <w:rPr>
          <w:rFonts w:asciiTheme="majorHAnsi" w:hAnsiTheme="majorHAnsi" w:cs="Helvetica"/>
          <w:i/>
        </w:rPr>
        <w:t>KIF11</w:t>
      </w:r>
      <w:r>
        <w:rPr>
          <w:rFonts w:asciiTheme="majorHAnsi" w:hAnsiTheme="majorHAnsi" w:cs="Helvetica"/>
        </w:rPr>
        <w:t xml:space="preserve">. This has led to the identification and characterization of several novel regulators of genome stability by the Collis laboratory </w:t>
      </w:r>
      <w:r>
        <w:rPr>
          <w:rFonts w:asciiTheme="majorHAnsi" w:hAnsiTheme="majorHAnsi" w:cs="Helvetica"/>
        </w:rPr>
        <w:fldChar w:fldCharType="begin">
          <w:fldData xml:space="preserve">PEVuZE5vdGU+PENpdGU+PEF1dGhvcj5TdGFwbGVzPC9BdXRob3I+PFllYXI+MjAxMjwvWWVhcj48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==
</w:fldData>
        </w:fldChar>
      </w:r>
      <w:r>
        <w:rPr>
          <w:rFonts w:asciiTheme="majorHAnsi" w:hAnsiTheme="majorHAnsi" w:cs="Helvetica"/>
        </w:rPr>
        <w:instrText xml:space="preserve"> ADDIN EN.CITE </w:instrText>
      </w:r>
      <w:r>
        <w:rPr>
          <w:rFonts w:asciiTheme="majorHAnsi" w:hAnsiTheme="majorHAnsi" w:cs="Helvetica"/>
        </w:rPr>
        <w:fldChar w:fldCharType="begin">
          <w:fldData xml:space="preserve">PEVuZE5vdGU+PENpdGU+PEF1dGhvcj5TdGFwbGVzPC9BdXRob3I+PFllYXI+MjAxMjwvWWVhcj48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==
</w:fldData>
        </w:fldChar>
      </w:r>
      <w:r>
        <w:rPr>
          <w:rFonts w:asciiTheme="majorHAnsi" w:hAnsiTheme="majorHAnsi" w:cs="Helvetica"/>
        </w:rPr>
        <w:instrText xml:space="preserve"> ADDIN EN.CITE.DATA </w:instrText>
      </w:r>
      <w:r>
        <w:rPr>
          <w:rFonts w:asciiTheme="majorHAnsi" w:hAnsiTheme="majorHAnsi" w:cs="Helvetica"/>
        </w:rPr>
      </w:r>
      <w:r>
        <w:rPr>
          <w:rFonts w:asciiTheme="majorHAnsi" w:hAnsiTheme="majorHAnsi" w:cs="Helvetica"/>
        </w:rPr>
        <w:fldChar w:fldCharType="end"/>
      </w:r>
      <w:r>
        <w:rPr>
          <w:rFonts w:asciiTheme="majorHAnsi" w:hAnsiTheme="majorHAnsi" w:cs="Helvetica"/>
        </w:rPr>
      </w:r>
      <w:r>
        <w:rPr>
          <w:rFonts w:asciiTheme="majorHAnsi" w:hAnsiTheme="majorHAnsi" w:cs="Helvetica"/>
        </w:rPr>
        <w:fldChar w:fldCharType="separate"/>
      </w:r>
      <w:r>
        <w:rPr>
          <w:rFonts w:asciiTheme="majorHAnsi" w:hAnsiTheme="majorHAnsi" w:cs="Helvetica"/>
          <w:noProof/>
        </w:rPr>
        <w:t>(Staples et al., 2012, Staples et al., 2014, Barone et al., 2016, Myers et al., 2016, Staples et al., 2016)</w:t>
      </w:r>
      <w:r>
        <w:rPr>
          <w:rFonts w:asciiTheme="majorHAnsi" w:hAnsiTheme="majorHAnsi" w:cs="Helvetica"/>
        </w:rPr>
        <w:fldChar w:fldCharType="end"/>
      </w:r>
      <w:r>
        <w:rPr>
          <w:rFonts w:asciiTheme="majorHAnsi" w:hAnsiTheme="majorHAnsi" w:cs="Helvetica"/>
        </w:rPr>
        <w:t>.</w:t>
      </w:r>
    </w:p>
    <w:p w14:paraId="0C8C79FE" w14:textId="7BFE1CAE" w:rsidR="00B15A35" w:rsidRPr="008E3EC0" w:rsidRDefault="00021551" w:rsidP="00B15A35">
      <w:pPr>
        <w:pStyle w:val="NoSpacing"/>
        <w:spacing w:line="360" w:lineRule="auto"/>
        <w:jc w:val="both"/>
        <w:rPr>
          <w:rFonts w:asciiTheme="majorHAnsi" w:hAnsiTheme="majorHAnsi"/>
          <w:b/>
          <w:i/>
        </w:rPr>
      </w:pPr>
      <w:r>
        <w:rPr>
          <w:rFonts w:asciiTheme="majorHAnsi" w:hAnsiTheme="majorHAnsi"/>
        </w:rPr>
        <w:t xml:space="preserve">Genes were prioritized according to the following criteria: significant evidence of amplification in the </w:t>
      </w:r>
      <w:proofErr w:type="spellStart"/>
      <w:r>
        <w:rPr>
          <w:rFonts w:asciiTheme="majorHAnsi" w:hAnsiTheme="majorHAnsi"/>
        </w:rPr>
        <w:t>Burghel</w:t>
      </w:r>
      <w:proofErr w:type="spellEnd"/>
      <w:r>
        <w:rPr>
          <w:rFonts w:asciiTheme="majorHAnsi" w:hAnsiTheme="majorHAnsi"/>
        </w:rPr>
        <w:t xml:space="preserve"> </w:t>
      </w:r>
      <w:proofErr w:type="spellStart"/>
      <w:r>
        <w:rPr>
          <w:rFonts w:asciiTheme="majorHAnsi" w:hAnsiTheme="majorHAnsi"/>
        </w:rPr>
        <w:t>aCGH</w:t>
      </w:r>
      <w:proofErr w:type="spellEnd"/>
      <w:r>
        <w:rPr>
          <w:rFonts w:asciiTheme="majorHAnsi" w:hAnsiTheme="majorHAnsi"/>
        </w:rPr>
        <w:t xml:space="preserve"> screen; evidence of CNA in the TCGA data; evidence of gene copy number and gene expression correlation in the TCGA data; evidence of druggability in the </w:t>
      </w:r>
      <w:proofErr w:type="spellStart"/>
      <w:r>
        <w:rPr>
          <w:rFonts w:asciiTheme="majorHAnsi" w:hAnsiTheme="majorHAnsi"/>
        </w:rPr>
        <w:t>canSAR</w:t>
      </w:r>
      <w:proofErr w:type="spellEnd"/>
      <w:r>
        <w:rPr>
          <w:rFonts w:asciiTheme="majorHAnsi" w:hAnsiTheme="majorHAnsi"/>
        </w:rPr>
        <w:t xml:space="preserve"> database, and magnitude of the siRNA screen Z-score. These data are shown in Appendix 1. </w:t>
      </w:r>
      <w:r w:rsidR="00B15A35" w:rsidRPr="008E3EC0">
        <w:rPr>
          <w:rFonts w:asciiTheme="majorHAnsi" w:hAnsiTheme="majorHAnsi"/>
        </w:rPr>
        <w:t xml:space="preserve">Using this approach, five </w:t>
      </w:r>
      <w:r w:rsidR="00934B56">
        <w:rPr>
          <w:rFonts w:asciiTheme="majorHAnsi" w:hAnsiTheme="majorHAnsi"/>
        </w:rPr>
        <w:t>candidate driver</w:t>
      </w:r>
      <w:r w:rsidR="00B15A35">
        <w:rPr>
          <w:rFonts w:asciiTheme="majorHAnsi" w:hAnsiTheme="majorHAnsi"/>
        </w:rPr>
        <w:t xml:space="preserve"> genes were shortlisted which we</w:t>
      </w:r>
      <w:r w:rsidR="00B15A35" w:rsidRPr="008E3EC0">
        <w:rPr>
          <w:rFonts w:asciiTheme="majorHAnsi" w:hAnsiTheme="majorHAnsi"/>
        </w:rPr>
        <w:t xml:space="preserve">re highly amplified </w:t>
      </w:r>
      <w:r w:rsidR="00934B56">
        <w:rPr>
          <w:rFonts w:asciiTheme="majorHAnsi" w:hAnsiTheme="majorHAnsi"/>
        </w:rPr>
        <w:t>in</w:t>
      </w:r>
      <w:r w:rsidR="00B15A35" w:rsidRPr="008E3EC0">
        <w:rPr>
          <w:rFonts w:asciiTheme="majorHAnsi" w:hAnsiTheme="majorHAnsi"/>
        </w:rPr>
        <w:t xml:space="preserve"> the colon </w:t>
      </w:r>
      <w:r w:rsidR="00B15A35">
        <w:rPr>
          <w:rFonts w:asciiTheme="majorHAnsi" w:hAnsiTheme="majorHAnsi"/>
        </w:rPr>
        <w:t xml:space="preserve">tumour </w:t>
      </w:r>
      <w:r w:rsidR="00B15A35" w:rsidRPr="008E3EC0">
        <w:rPr>
          <w:rFonts w:asciiTheme="majorHAnsi" w:hAnsiTheme="majorHAnsi"/>
        </w:rPr>
        <w:t>samples</w:t>
      </w:r>
      <w:r w:rsidR="00934B56">
        <w:rPr>
          <w:rFonts w:asciiTheme="majorHAnsi" w:hAnsiTheme="majorHAnsi"/>
        </w:rPr>
        <w:t xml:space="preserve"> and the</w:t>
      </w:r>
      <w:r w:rsidR="00B15A35">
        <w:rPr>
          <w:rFonts w:asciiTheme="majorHAnsi" w:hAnsiTheme="majorHAnsi"/>
        </w:rPr>
        <w:t xml:space="preserve"> TCGA, a </w:t>
      </w:r>
      <w:r w:rsidR="00C5170E">
        <w:rPr>
          <w:rFonts w:asciiTheme="majorHAnsi" w:hAnsiTheme="majorHAnsi"/>
        </w:rPr>
        <w:t>z score</w:t>
      </w:r>
      <w:r w:rsidR="00B15A35">
        <w:rPr>
          <w:rFonts w:asciiTheme="majorHAnsi" w:hAnsiTheme="majorHAnsi"/>
        </w:rPr>
        <w:t xml:space="preserve"> over 2 from the siRNA screen and evidence of potential druggability. </w:t>
      </w:r>
      <w:r w:rsidR="00934B56">
        <w:rPr>
          <w:rFonts w:asciiTheme="majorHAnsi" w:hAnsiTheme="majorHAnsi"/>
        </w:rPr>
        <w:t xml:space="preserve">From </w:t>
      </w:r>
      <w:r w:rsidR="00B15A35" w:rsidRPr="00444A35">
        <w:rPr>
          <w:rFonts w:asciiTheme="majorHAnsi" w:hAnsiTheme="majorHAnsi"/>
        </w:rPr>
        <w:t>these five</w:t>
      </w:r>
      <w:r w:rsidR="00B15A35">
        <w:rPr>
          <w:rFonts w:asciiTheme="majorHAnsi" w:hAnsiTheme="majorHAnsi"/>
        </w:rPr>
        <w:t xml:space="preserve"> genes</w:t>
      </w:r>
      <w:r w:rsidR="00934B56">
        <w:rPr>
          <w:rFonts w:asciiTheme="majorHAnsi" w:hAnsiTheme="majorHAnsi"/>
        </w:rPr>
        <w:t>,</w:t>
      </w:r>
      <w:r w:rsidR="00B15A35" w:rsidRPr="00444A35">
        <w:rPr>
          <w:rFonts w:asciiTheme="majorHAnsi" w:hAnsiTheme="majorHAnsi"/>
        </w:rPr>
        <w:t xml:space="preserve"> </w:t>
      </w:r>
      <w:r w:rsidR="00B15A35" w:rsidRPr="00FF0F8E">
        <w:rPr>
          <w:rFonts w:asciiTheme="majorHAnsi" w:hAnsiTheme="majorHAnsi"/>
          <w:lang w:val="en-GB"/>
        </w:rPr>
        <w:t xml:space="preserve">SNF-related CREBBP Activator Protein </w:t>
      </w:r>
      <w:r w:rsidR="00B15A35">
        <w:rPr>
          <w:rFonts w:asciiTheme="majorHAnsi" w:hAnsiTheme="majorHAnsi"/>
          <w:lang w:val="en-GB"/>
        </w:rPr>
        <w:t>(</w:t>
      </w:r>
      <w:r w:rsidR="00B15A35" w:rsidRPr="00115D33">
        <w:rPr>
          <w:rFonts w:asciiTheme="majorHAnsi" w:hAnsiTheme="majorHAnsi"/>
          <w:i/>
        </w:rPr>
        <w:t>SRCAP</w:t>
      </w:r>
      <w:r w:rsidR="00B15A35">
        <w:rPr>
          <w:rFonts w:asciiTheme="majorHAnsi" w:hAnsiTheme="majorHAnsi"/>
        </w:rPr>
        <w:t xml:space="preserve">) </w:t>
      </w:r>
      <w:r w:rsidR="00B15A35" w:rsidRPr="00444A35">
        <w:rPr>
          <w:rFonts w:asciiTheme="majorHAnsi" w:hAnsiTheme="majorHAnsi"/>
        </w:rPr>
        <w:t xml:space="preserve">was chosen </w:t>
      </w:r>
      <w:r w:rsidR="00B15A35">
        <w:rPr>
          <w:rFonts w:asciiTheme="majorHAnsi" w:hAnsiTheme="majorHAnsi"/>
        </w:rPr>
        <w:t xml:space="preserve">for further experimental investigation </w:t>
      </w:r>
      <w:r w:rsidR="00B15A35" w:rsidRPr="00444A35">
        <w:rPr>
          <w:rFonts w:asciiTheme="majorHAnsi" w:hAnsiTheme="majorHAnsi"/>
        </w:rPr>
        <w:t xml:space="preserve">based on already published literature that highlights </w:t>
      </w:r>
      <w:r w:rsidR="00B15A35">
        <w:rPr>
          <w:rFonts w:asciiTheme="majorHAnsi" w:hAnsiTheme="majorHAnsi"/>
        </w:rPr>
        <w:t>how it is an important regulator of genome i</w:t>
      </w:r>
      <w:r w:rsidR="00C5170E">
        <w:rPr>
          <w:rFonts w:asciiTheme="majorHAnsi" w:hAnsiTheme="majorHAnsi"/>
        </w:rPr>
        <w:t xml:space="preserve">nstability in </w:t>
      </w:r>
      <w:r w:rsidR="00B15A35" w:rsidRPr="00444A35">
        <w:rPr>
          <w:rFonts w:asciiTheme="majorHAnsi" w:hAnsiTheme="majorHAnsi"/>
        </w:rPr>
        <w:t>chromatin remodeling.</w:t>
      </w:r>
      <w:r w:rsidR="00B15A35">
        <w:rPr>
          <w:rFonts w:asciiTheme="majorHAnsi" w:hAnsiTheme="majorHAnsi"/>
        </w:rPr>
        <w:t xml:space="preserve"> </w:t>
      </w:r>
    </w:p>
    <w:p w14:paraId="0430BFA6" w14:textId="77777777" w:rsidR="00B15A35" w:rsidRPr="00227BF6" w:rsidRDefault="00B15A35" w:rsidP="00B15A35">
      <w:pPr>
        <w:pStyle w:val="EndNoteBibliography"/>
        <w:rPr>
          <w:rFonts w:asciiTheme="majorHAnsi" w:hAnsiTheme="majorHAnsi"/>
        </w:rPr>
      </w:pPr>
    </w:p>
    <w:p w14:paraId="5D34E386" w14:textId="77777777" w:rsidR="00B15A35" w:rsidRDefault="00B15A35" w:rsidP="00B15A35">
      <w:pPr>
        <w:pStyle w:val="EndNoteBibliography"/>
        <w:rPr>
          <w:rFonts w:asciiTheme="majorHAnsi" w:hAnsiTheme="majorHAnsi"/>
          <w:b/>
          <w:i/>
        </w:rPr>
      </w:pPr>
    </w:p>
    <w:p w14:paraId="51096990" w14:textId="77777777" w:rsidR="00B15A35" w:rsidRPr="00227BF6" w:rsidRDefault="00B15A35" w:rsidP="002F41C6">
      <w:pPr>
        <w:pStyle w:val="EndNoteBibliography"/>
        <w:numPr>
          <w:ilvl w:val="0"/>
          <w:numId w:val="37"/>
        </w:numPr>
        <w:spacing w:line="360" w:lineRule="auto"/>
        <w:rPr>
          <w:rFonts w:asciiTheme="majorHAnsi" w:hAnsiTheme="majorHAnsi"/>
          <w:b/>
          <w:i/>
        </w:rPr>
      </w:pPr>
      <w:r>
        <w:rPr>
          <w:rFonts w:asciiTheme="majorHAnsi" w:hAnsiTheme="majorHAnsi"/>
          <w:b/>
          <w:i/>
        </w:rPr>
        <w:t>SNF-related CREBBP Activator Protein (SRCAP)</w:t>
      </w:r>
    </w:p>
    <w:p w14:paraId="003DC966" w14:textId="73C348DD" w:rsidR="00B15A35" w:rsidRDefault="00B15A35" w:rsidP="00B15A35">
      <w:pPr>
        <w:spacing w:line="360" w:lineRule="auto"/>
        <w:jc w:val="both"/>
        <w:rPr>
          <w:rFonts w:asciiTheme="majorHAnsi" w:hAnsiTheme="majorHAnsi"/>
        </w:rPr>
      </w:pPr>
      <w:r>
        <w:rPr>
          <w:rFonts w:asciiTheme="majorHAnsi" w:hAnsiTheme="majorHAnsi"/>
        </w:rPr>
        <w:t xml:space="preserve">Johnston et al., </w:t>
      </w:r>
      <w:r w:rsidRPr="00227BF6">
        <w:rPr>
          <w:rFonts w:asciiTheme="majorHAnsi" w:hAnsiTheme="majorHAnsi"/>
        </w:rPr>
        <w:fldChar w:fldCharType="begin"/>
      </w:r>
      <w:r w:rsidR="003F0192">
        <w:rPr>
          <w:rFonts w:asciiTheme="majorHAnsi" w:hAnsiTheme="majorHAnsi"/>
        </w:rPr>
        <w:instrText xml:space="preserve"> ADDIN EN.CITE &lt;EndNote&gt;&lt;Cite ExcludeAuth="1"&gt;&lt;Author&gt;Johnston&lt;/Author&gt;&lt;Year&gt;1999&lt;/Year&gt;&lt;IDText&gt;Identification of a novel SNF2/ SWI2 protein family member, SRCAP, which interacts with CREB-binding protein&lt;/IDText&gt;&lt;DisplayText&gt;(1999a)&lt;/DisplayText&gt;&lt;record&gt;&lt;isbn&gt;0021-9258&lt;/isbn&gt;&lt;titles&gt;&lt;title&gt;Identification of a novel SNF2/ SWI2 protein family member, SRCAP, which interacts with CREB-binding protein&lt;/title&gt;&lt;secondary-title&gt;J. Biol. Chem.&lt;/secondary-title&gt;&lt;/titles&gt;&lt;pages&gt;16370-16376&lt;/pages&gt;&lt;number&gt;23&lt;/number&gt;&lt;contributors&gt;&lt;authors&gt;&lt;author&gt;Johnston, H.&lt;/author&gt;&lt;author&gt;Kneer, J.&lt;/author&gt;&lt;author&gt;Chackalaparampil, I.&lt;/author&gt;&lt;author&gt;Yaciuk, P.&lt;/author&gt;&lt;author&gt;Chrivia, J.&lt;/author&gt;&lt;/authors&gt;&lt;/contributors&gt;&lt;added-date format="utc"&gt;1425983495&lt;/added-date&gt;&lt;ref-type name="Journal Article"&gt;17&lt;/ref-type&gt;&lt;dates&gt;&lt;year&gt;1999&lt;/year&gt;&lt;/dates&gt;&lt;rec-number&gt;56&lt;/rec-number&gt;&lt;last-updated-date format="utc"&gt;1447344612&lt;/last-updated-date&gt;&lt;volume&gt;274&lt;/volume&gt;&lt;/record&gt;&lt;/Cite&gt;&lt;/EndNote&gt;</w:instrText>
      </w:r>
      <w:r w:rsidRPr="00227BF6">
        <w:rPr>
          <w:rFonts w:asciiTheme="majorHAnsi" w:hAnsiTheme="majorHAnsi"/>
        </w:rPr>
        <w:fldChar w:fldCharType="separate"/>
      </w:r>
      <w:r w:rsidR="003F0192">
        <w:rPr>
          <w:rFonts w:asciiTheme="majorHAnsi" w:hAnsiTheme="majorHAnsi"/>
          <w:noProof/>
        </w:rPr>
        <w:t>(1999a)</w:t>
      </w:r>
      <w:r w:rsidRPr="00227BF6">
        <w:rPr>
          <w:rFonts w:asciiTheme="majorHAnsi" w:hAnsiTheme="majorHAnsi"/>
        </w:rPr>
        <w:fldChar w:fldCharType="end"/>
      </w:r>
      <w:r w:rsidRPr="00227BF6">
        <w:rPr>
          <w:rFonts w:asciiTheme="majorHAnsi" w:hAnsiTheme="majorHAnsi"/>
        </w:rPr>
        <w:t xml:space="preserve"> were the first group to discover and name SRCAP from a yeast two-hybrid screen which </w:t>
      </w:r>
      <w:r>
        <w:rPr>
          <w:rFonts w:asciiTheme="majorHAnsi" w:hAnsiTheme="majorHAnsi"/>
        </w:rPr>
        <w:t>was devised</w:t>
      </w:r>
      <w:r w:rsidRPr="00227BF6">
        <w:rPr>
          <w:rFonts w:asciiTheme="majorHAnsi" w:hAnsiTheme="majorHAnsi"/>
        </w:rPr>
        <w:t xml:space="preserve"> to identify novel proteins which bound to the N-terminal transcription activation domain (amino acids 227 to 460) of CREB- binding protein (CBP). </w:t>
      </w:r>
      <w:proofErr w:type="spellStart"/>
      <w:proofErr w:type="gramStart"/>
      <w:r w:rsidRPr="00227BF6">
        <w:rPr>
          <w:rFonts w:asciiTheme="majorHAnsi" w:hAnsiTheme="majorHAnsi"/>
        </w:rPr>
        <w:t>cAMP</w:t>
      </w:r>
      <w:proofErr w:type="spellEnd"/>
      <w:proofErr w:type="gramEnd"/>
      <w:r w:rsidRPr="00227BF6">
        <w:rPr>
          <w:rFonts w:asciiTheme="majorHAnsi" w:hAnsiTheme="majorHAnsi"/>
        </w:rPr>
        <w:t>-responsive element-binding protein (CREB) stimulates transcription following phosphorylation of serine 133 by a number of kinases such as protein kinase A. This phosphorylation then allows the interaction with its co-activator CBP and thus the regulation of a large number of genes, either by direct interaction with general transcription factors such as RNA helicase A</w:t>
      </w:r>
      <w:r w:rsidR="00934B56">
        <w:rPr>
          <w:rFonts w:asciiTheme="majorHAnsi" w:hAnsiTheme="majorHAnsi"/>
        </w:rPr>
        <w:t>,</w:t>
      </w:r>
      <w:r w:rsidRPr="00227BF6">
        <w:rPr>
          <w:rFonts w:asciiTheme="majorHAnsi" w:hAnsiTheme="majorHAnsi"/>
        </w:rPr>
        <w:t xml:space="preserve"> or by acetylating histones or other tra</w:t>
      </w:r>
      <w:r w:rsidR="00C5170E">
        <w:rPr>
          <w:rFonts w:asciiTheme="majorHAnsi" w:hAnsiTheme="majorHAnsi"/>
        </w:rPr>
        <w:t>nscription factors such as c-MYB</w:t>
      </w:r>
      <w:r w:rsidRPr="00227BF6">
        <w:rPr>
          <w:rFonts w:asciiTheme="majorHAnsi" w:hAnsiTheme="majorHAnsi"/>
        </w:rPr>
        <w:t xml:space="preserve">. </w:t>
      </w:r>
      <w:r w:rsidR="00934B56">
        <w:rPr>
          <w:rFonts w:asciiTheme="majorHAnsi" w:hAnsiTheme="majorHAnsi"/>
        </w:rPr>
        <w:t xml:space="preserve">Johnson et al. </w:t>
      </w:r>
      <w:r w:rsidRPr="00227BF6">
        <w:rPr>
          <w:rFonts w:asciiTheme="majorHAnsi" w:hAnsiTheme="majorHAnsi"/>
        </w:rPr>
        <w:t xml:space="preserve">found that the protein contained an ATPase </w:t>
      </w:r>
      <w:r w:rsidR="00934B56" w:rsidRPr="00227BF6">
        <w:rPr>
          <w:rFonts w:asciiTheme="majorHAnsi" w:hAnsiTheme="majorHAnsi"/>
        </w:rPr>
        <w:t>domain that</w:t>
      </w:r>
      <w:r w:rsidRPr="00227BF6">
        <w:rPr>
          <w:rFonts w:asciiTheme="majorHAnsi" w:hAnsiTheme="majorHAnsi"/>
        </w:rPr>
        <w:t xml:space="preserve"> was conserved between the Snf2 family of proteins</w:t>
      </w:r>
      <w:r w:rsidR="00934B56">
        <w:rPr>
          <w:rFonts w:asciiTheme="majorHAnsi" w:hAnsiTheme="majorHAnsi"/>
        </w:rPr>
        <w:t>,</w:t>
      </w:r>
      <w:r w:rsidRPr="00227BF6">
        <w:rPr>
          <w:rFonts w:asciiTheme="majorHAnsi" w:hAnsiTheme="majorHAnsi"/>
        </w:rPr>
        <w:t xml:space="preserve"> and that it increased the ability of CBP to activate transcription of reporter </w:t>
      </w:r>
      <w:r w:rsidR="00934B56" w:rsidRPr="00227BF6">
        <w:rPr>
          <w:rFonts w:asciiTheme="majorHAnsi" w:hAnsiTheme="majorHAnsi"/>
        </w:rPr>
        <w:t>genes;</w:t>
      </w:r>
      <w:r w:rsidRPr="00227BF6">
        <w:rPr>
          <w:rFonts w:asciiTheme="majorHAnsi" w:hAnsiTheme="majorHAnsi"/>
        </w:rPr>
        <w:t xml:space="preserve"> </w:t>
      </w:r>
      <w:r w:rsidR="00934B56">
        <w:rPr>
          <w:rFonts w:asciiTheme="majorHAnsi" w:hAnsiTheme="majorHAnsi"/>
        </w:rPr>
        <w:t>therefore</w:t>
      </w:r>
      <w:r w:rsidRPr="00227BF6">
        <w:rPr>
          <w:rFonts w:asciiTheme="majorHAnsi" w:hAnsiTheme="majorHAnsi"/>
        </w:rPr>
        <w:t xml:space="preserve"> they termed this novel protein </w:t>
      </w:r>
      <w:r w:rsidRPr="00227BF6">
        <w:rPr>
          <w:rFonts w:asciiTheme="majorHAnsi" w:hAnsiTheme="majorHAnsi"/>
          <w:u w:val="single"/>
        </w:rPr>
        <w:t>S</w:t>
      </w:r>
      <w:r w:rsidRPr="00227BF6">
        <w:rPr>
          <w:rFonts w:asciiTheme="majorHAnsi" w:hAnsiTheme="majorHAnsi"/>
        </w:rPr>
        <w:t xml:space="preserve">nf2 </w:t>
      </w:r>
      <w:r w:rsidRPr="00227BF6">
        <w:rPr>
          <w:rFonts w:asciiTheme="majorHAnsi" w:hAnsiTheme="majorHAnsi"/>
          <w:u w:val="single"/>
        </w:rPr>
        <w:t>R</w:t>
      </w:r>
      <w:r w:rsidRPr="00227BF6">
        <w:rPr>
          <w:rFonts w:asciiTheme="majorHAnsi" w:hAnsiTheme="majorHAnsi"/>
        </w:rPr>
        <w:t xml:space="preserve">elated </w:t>
      </w:r>
      <w:r w:rsidRPr="00227BF6">
        <w:rPr>
          <w:rFonts w:asciiTheme="majorHAnsi" w:hAnsiTheme="majorHAnsi"/>
          <w:u w:val="single"/>
        </w:rPr>
        <w:t>C</w:t>
      </w:r>
      <w:r w:rsidRPr="00227BF6">
        <w:rPr>
          <w:rFonts w:asciiTheme="majorHAnsi" w:hAnsiTheme="majorHAnsi"/>
        </w:rPr>
        <w:t xml:space="preserve">BP </w:t>
      </w:r>
      <w:r w:rsidRPr="00227BF6">
        <w:rPr>
          <w:rFonts w:asciiTheme="majorHAnsi" w:hAnsiTheme="majorHAnsi"/>
          <w:u w:val="single"/>
        </w:rPr>
        <w:t>A</w:t>
      </w:r>
      <w:r w:rsidRPr="00227BF6">
        <w:rPr>
          <w:rFonts w:asciiTheme="majorHAnsi" w:hAnsiTheme="majorHAnsi"/>
        </w:rPr>
        <w:t xml:space="preserve">ctivator </w:t>
      </w:r>
      <w:r w:rsidRPr="00227BF6">
        <w:rPr>
          <w:rFonts w:asciiTheme="majorHAnsi" w:hAnsiTheme="majorHAnsi"/>
          <w:u w:val="single"/>
        </w:rPr>
        <w:t>P</w:t>
      </w:r>
      <w:r w:rsidRPr="00227BF6">
        <w:rPr>
          <w:rFonts w:asciiTheme="majorHAnsi" w:hAnsiTheme="majorHAnsi"/>
        </w:rPr>
        <w:t>rotein.  Snf2 family members, including Rad16, Chd1 and Hip116, all have the critically conserved ATPase domain, however they have very diverse roles within chromatin remodelling, DNA repair and transcription activation. The yeast Snf2 functions to remodel chromatin in order to stop the repression of transcription by allowing transcription factors access to the DNA. Johnston’s group also hypothesised that as well as binding to CBP</w:t>
      </w:r>
      <w:r w:rsidR="00934B56">
        <w:rPr>
          <w:rFonts w:asciiTheme="majorHAnsi" w:hAnsiTheme="majorHAnsi"/>
        </w:rPr>
        <w:t>,</w:t>
      </w:r>
      <w:r w:rsidRPr="00227BF6">
        <w:rPr>
          <w:rFonts w:asciiTheme="majorHAnsi" w:hAnsiTheme="majorHAnsi"/>
        </w:rPr>
        <w:t xml:space="preserve"> SRCAP had a</w:t>
      </w:r>
      <w:r w:rsidR="00934B56">
        <w:rPr>
          <w:rFonts w:asciiTheme="majorHAnsi" w:hAnsiTheme="majorHAnsi"/>
        </w:rPr>
        <w:t xml:space="preserve"> motif in the C terminal domain</w:t>
      </w:r>
      <w:r w:rsidRPr="00227BF6">
        <w:rPr>
          <w:rFonts w:asciiTheme="majorHAnsi" w:hAnsiTheme="majorHAnsi"/>
        </w:rPr>
        <w:t xml:space="preserve"> </w:t>
      </w:r>
      <w:r w:rsidR="00934B56">
        <w:rPr>
          <w:rFonts w:asciiTheme="majorHAnsi" w:hAnsiTheme="majorHAnsi"/>
        </w:rPr>
        <w:t>found in</w:t>
      </w:r>
      <w:r w:rsidRPr="00227BF6">
        <w:rPr>
          <w:rFonts w:asciiTheme="majorHAnsi" w:hAnsiTheme="majorHAnsi"/>
        </w:rPr>
        <w:t xml:space="preserve"> many DNA binding proteins. </w:t>
      </w:r>
    </w:p>
    <w:p w14:paraId="7D932F9C" w14:textId="77777777" w:rsidR="007D5361" w:rsidRPr="00227BF6" w:rsidRDefault="007D5361" w:rsidP="00B15A35">
      <w:pPr>
        <w:spacing w:line="360" w:lineRule="auto"/>
        <w:jc w:val="both"/>
        <w:rPr>
          <w:rFonts w:asciiTheme="majorHAnsi" w:hAnsiTheme="majorHAnsi"/>
        </w:rPr>
      </w:pPr>
    </w:p>
    <w:p w14:paraId="5D640A38" w14:textId="000AAD54" w:rsidR="00B15A35" w:rsidRPr="00227BF6" w:rsidRDefault="00B15A35" w:rsidP="00B15A35">
      <w:pPr>
        <w:spacing w:line="360" w:lineRule="auto"/>
        <w:jc w:val="both"/>
        <w:rPr>
          <w:rFonts w:asciiTheme="majorHAnsi" w:hAnsiTheme="majorHAnsi"/>
        </w:rPr>
      </w:pPr>
      <w:r w:rsidRPr="00227BF6">
        <w:rPr>
          <w:rFonts w:asciiTheme="majorHAnsi" w:hAnsiTheme="majorHAnsi"/>
        </w:rPr>
        <w:t xml:space="preserve">Two years later the same group </w:t>
      </w:r>
      <w:r>
        <w:rPr>
          <w:rFonts w:asciiTheme="majorHAnsi" w:hAnsiTheme="majorHAnsi"/>
        </w:rPr>
        <w:t>showed that increased levels of SRCAP le</w:t>
      </w:r>
      <w:r w:rsidR="00934B56">
        <w:rPr>
          <w:rFonts w:asciiTheme="majorHAnsi" w:hAnsiTheme="majorHAnsi"/>
        </w:rPr>
        <w:t>a</w:t>
      </w:r>
      <w:r>
        <w:rPr>
          <w:rFonts w:asciiTheme="majorHAnsi" w:hAnsiTheme="majorHAnsi"/>
        </w:rPr>
        <w:t>d to an</w:t>
      </w:r>
      <w:r w:rsidRPr="00227BF6">
        <w:rPr>
          <w:rFonts w:asciiTheme="majorHAnsi" w:hAnsiTheme="majorHAnsi"/>
        </w:rPr>
        <w:t xml:space="preserve"> up</w:t>
      </w:r>
      <w:r w:rsidR="00934B56">
        <w:rPr>
          <w:rFonts w:asciiTheme="majorHAnsi" w:hAnsiTheme="majorHAnsi"/>
        </w:rPr>
        <w:t>-</w:t>
      </w:r>
      <w:r w:rsidRPr="00227BF6">
        <w:rPr>
          <w:rFonts w:asciiTheme="majorHAnsi" w:hAnsiTheme="majorHAnsi"/>
        </w:rPr>
        <w:t>regulation of CREB-mediated transcription, and conversely</w:t>
      </w:r>
      <w:r>
        <w:rPr>
          <w:rFonts w:asciiTheme="majorHAnsi" w:hAnsiTheme="majorHAnsi"/>
        </w:rPr>
        <w:t>,</w:t>
      </w:r>
      <w:r w:rsidRPr="00227BF6">
        <w:rPr>
          <w:rFonts w:asciiTheme="majorHAnsi" w:hAnsiTheme="majorHAnsi"/>
        </w:rPr>
        <w:t xml:space="preserve"> if the interaction between CBP and SRCAP was inhibited</w:t>
      </w:r>
      <w:r w:rsidR="00934B56">
        <w:rPr>
          <w:rFonts w:asciiTheme="majorHAnsi" w:hAnsiTheme="majorHAnsi"/>
        </w:rPr>
        <w:t>,</w:t>
      </w:r>
      <w:r w:rsidRPr="00227BF6">
        <w:rPr>
          <w:rFonts w:asciiTheme="majorHAnsi" w:hAnsiTheme="majorHAnsi"/>
        </w:rPr>
        <w:t xml:space="preserve"> then levels of CREB-mediated transcription fell</w:t>
      </w:r>
      <w:r>
        <w:rPr>
          <w:rFonts w:asciiTheme="majorHAnsi" w:hAnsiTheme="majorHAnsi"/>
        </w:rPr>
        <w:t xml:space="preserve"> </w:t>
      </w:r>
      <w:r w:rsidRPr="00227BF6">
        <w:rPr>
          <w:rFonts w:asciiTheme="majorHAnsi" w:hAnsiTheme="majorHAnsi"/>
        </w:rPr>
        <w:fldChar w:fldCharType="begin"/>
      </w:r>
      <w:r w:rsidRPr="00227BF6">
        <w:rPr>
          <w:rFonts w:asciiTheme="majorHAnsi" w:hAnsiTheme="majorHAnsi"/>
        </w:rPr>
        <w:instrText xml:space="preserve"> ADDIN EN.CITE &lt;EndNote&gt;&lt;Cite&gt;&lt;Author&gt;Monroy&lt;/Author&gt;&lt;Year&gt;2001&lt;/Year&gt;&lt;IDText&gt;Regulation of cAMP-responsive element-binding protein-mediated transcription by the SNF2/SWI-related protein, SRCAP&lt;/IDText&gt;&lt;DisplayText&gt;(Monroy et al., 2001)&lt;/DisplayText&gt;&lt;record&gt;&lt;dates&gt;&lt;pub-dates&gt;&lt;date&gt;Nov&lt;/date&gt;&lt;/pub-dates&gt;&lt;year&gt;2001&lt;/year&gt;&lt;/dates&gt;&lt;keywords&gt;&lt;keyword&gt;Adenosine Triphosphatases&lt;/keyword&gt;&lt;keyword&gt;Base Sequence&lt;/keyword&gt;&lt;keyword&gt;CREB-Binding Protein&lt;/keyword&gt;&lt;keyword&gt;DNA Primers&lt;/keyword&gt;&lt;keyword&gt;HeLa Cells&lt;/keyword&gt;&lt;keyword&gt;Humans&lt;/keyword&gt;&lt;keyword&gt;Nuclear Proteins&lt;/keyword&gt;&lt;keyword&gt;Phosphoenolpyruvate Carboxykinase (ATP)&lt;/keyword&gt;&lt;keyword&gt;Promoter Regions, Genetic&lt;/keyword&gt;&lt;keyword&gt;Trans-Activators&lt;/keyword&gt;&lt;keyword&gt;Transcription, Genetic&lt;/keyword&gt;&lt;/keywords&gt;&lt;urls&gt;&lt;related-urls&gt;&lt;url&gt;https://www.ncbi.nlm.nih.gov/pubmed/11522779&lt;/url&gt;&lt;/related-urls&gt;&lt;/urls&gt;&lt;isbn&gt;0021-9258&lt;/isbn&gt;&lt;titles&gt;&lt;title&gt;Regulation of cAMP-responsive element-binding protein-mediated transcription by the SNF2/SWI-related protein, SRCAP&lt;/title&gt;&lt;secondary-title&gt;J Biol Chem&lt;/secondary-title&gt;&lt;/titles&gt;&lt;pages&gt;40721-6&lt;/pages&gt;&lt;number&gt;44&lt;/number&gt;&lt;contributors&gt;&lt;authors&gt;&lt;author&gt;Monroy, M. A.&lt;/author&gt;&lt;author&gt;Ruhl, D. D.&lt;/author&gt;&lt;author&gt;Xu, X.&lt;/author&gt;&lt;author&gt;Granner, D. K.&lt;/author&gt;&lt;author&gt;Yaciuk, P.&lt;/author&gt;&lt;author&gt;Chrivia, J. C.&lt;/author&gt;&lt;/authors&gt;&lt;/contributors&gt;&lt;edition&gt;2001/08/24&lt;/edition&gt;&lt;language&gt;eng&lt;/language&gt;&lt;added-date format="utc"&gt;1500987404&lt;/added-date&gt;&lt;ref-type name="Journal Article"&gt;17&lt;/ref-type&gt;&lt;rec-number&gt;203&lt;/rec-number&gt;&lt;last-updated-date format="utc"&gt;1500987404&lt;/last-updated-date&gt;&lt;accession-num&gt;11522779&lt;/accession-num&gt;&lt;electronic-resource-num&gt;10.1074/jbc.M103615200&lt;/electronic-resource-num&gt;&lt;volume&gt;276&lt;/volume&gt;&lt;/record&gt;&lt;/Cite&gt;&lt;/EndNote&gt;</w:instrText>
      </w:r>
      <w:r w:rsidRPr="00227BF6">
        <w:rPr>
          <w:rFonts w:asciiTheme="majorHAnsi" w:hAnsiTheme="majorHAnsi"/>
        </w:rPr>
        <w:fldChar w:fldCharType="separate"/>
      </w:r>
      <w:r w:rsidRPr="00227BF6">
        <w:rPr>
          <w:rFonts w:asciiTheme="majorHAnsi" w:hAnsiTheme="majorHAnsi"/>
          <w:noProof/>
        </w:rPr>
        <w:t>(Monroy et al., 2001)</w:t>
      </w:r>
      <w:r w:rsidRPr="00227BF6">
        <w:rPr>
          <w:rFonts w:asciiTheme="majorHAnsi" w:hAnsiTheme="majorHAnsi"/>
        </w:rPr>
        <w:fldChar w:fldCharType="end"/>
      </w:r>
      <w:r w:rsidRPr="00227BF6">
        <w:rPr>
          <w:rFonts w:asciiTheme="majorHAnsi" w:hAnsiTheme="majorHAnsi"/>
        </w:rPr>
        <w:t xml:space="preserve">. </w:t>
      </w:r>
      <w:r>
        <w:rPr>
          <w:rFonts w:asciiTheme="majorHAnsi" w:hAnsiTheme="majorHAnsi"/>
        </w:rPr>
        <w:t xml:space="preserve">These findings </w:t>
      </w:r>
      <w:r w:rsidRPr="00227BF6">
        <w:rPr>
          <w:rFonts w:asciiTheme="majorHAnsi" w:hAnsiTheme="majorHAnsi"/>
        </w:rPr>
        <w:t>indicated that SRCAP levels could be a factor in the regulation of a large number of genes. However, when they mutated the ATPase domain, SRCAP was still able to activate CREB-mediated transcription and bind to CBP. This pointed to a secondary</w:t>
      </w:r>
      <w:r w:rsidR="00934B56">
        <w:rPr>
          <w:rFonts w:asciiTheme="majorHAnsi" w:hAnsiTheme="majorHAnsi"/>
        </w:rPr>
        <w:t>, as yet unknown</w:t>
      </w:r>
      <w:r w:rsidRPr="00227BF6">
        <w:rPr>
          <w:rFonts w:asciiTheme="majorHAnsi" w:hAnsiTheme="majorHAnsi"/>
        </w:rPr>
        <w:t xml:space="preserve"> function for the SRCAP </w:t>
      </w:r>
      <w:proofErr w:type="gramStart"/>
      <w:r w:rsidRPr="00227BF6">
        <w:rPr>
          <w:rFonts w:asciiTheme="majorHAnsi" w:hAnsiTheme="majorHAnsi"/>
        </w:rPr>
        <w:t>complex which</w:t>
      </w:r>
      <w:proofErr w:type="gramEnd"/>
      <w:r w:rsidRPr="00227BF6">
        <w:rPr>
          <w:rFonts w:asciiTheme="majorHAnsi" w:hAnsiTheme="majorHAnsi"/>
        </w:rPr>
        <w:t xml:space="preserve"> utilised the ATPase domain. A few years later and this group further discovered that SRCAP also plays a role in glucocorticoid-receptor mediated transcription </w:t>
      </w:r>
      <w:r w:rsidRPr="00227BF6">
        <w:rPr>
          <w:rFonts w:asciiTheme="majorHAnsi" w:hAnsiTheme="majorHAnsi"/>
        </w:rPr>
        <w:fldChar w:fldCharType="begin"/>
      </w:r>
      <w:r w:rsidRPr="00227BF6">
        <w:rPr>
          <w:rFonts w:asciiTheme="majorHAnsi" w:hAnsiTheme="majorHAnsi"/>
        </w:rPr>
        <w:instrText xml:space="preserve"> ADDIN EN.CITE &lt;EndNote&gt;&lt;Cite&gt;&lt;Author&gt;Monroy&lt;/Author&gt;&lt;Year&gt;2003&lt;/Year&gt;&lt;IDText&gt;SNF2-related CBP activator protein (SRCAP) functions as a coactivator of steroid receptor-mediated transcription through synergistic interactions with CARM-1 and GRIP-1&lt;/IDText&gt;&lt;DisplayText&gt;(Monroy et al., 2003)&lt;/DisplayText&gt;&lt;record&gt;&lt;dates&gt;&lt;pub-dates&gt;&lt;date&gt;Dec&lt;/date&gt;&lt;/pub-dates&gt;&lt;year&gt;2003&lt;/year&gt;&lt;/dates&gt;&lt;keywords&gt;&lt;keyword&gt;Adenosine Triphosphatases&lt;/keyword&gt;&lt;keyword&gt;Animals&lt;/keyword&gt;&lt;keyword&gt;COS Cells&lt;/keyword&gt;&lt;keyword&gt;Carrier Proteins&lt;/keyword&gt;&lt;keyword&gt;Cercopithecus aethiops&lt;/keyword&gt;&lt;keyword&gt;Cloning, Molecular&lt;/keyword&gt;&lt;keyword&gt;HeLa Cells&lt;/keyword&gt;&lt;keyword&gt;Humans&lt;/keyword&gt;&lt;keyword&gt;Nerve Tissue Proteins&lt;/keyword&gt;&lt;keyword&gt;Plasmids&lt;/keyword&gt;&lt;keyword&gt;Protein-Arginine N-Methyltransferases&lt;/keyword&gt;&lt;keyword&gt;Receptors, AMPA&lt;/keyword&gt;&lt;keyword&gt;Recombinant Proteins&lt;/keyword&gt;&lt;keyword&gt;Transcription, Genetic&lt;/keyword&gt;&lt;keyword&gt;Transfection&lt;/keyword&gt;&lt;/keywords&gt;&lt;urls&gt;&lt;related-urls&gt;&lt;url&gt;http://www.ncbi.nlm.nih.gov/pubmed/14500758&lt;/url&gt;&lt;/related-urls&gt;&lt;/urls&gt;&lt;isbn&gt;0888-8809&lt;/isbn&gt;&lt;titles&gt;&lt;title&gt;SNF2-related CBP activator protein (SRCAP) functions as a coactivator of steroid receptor-mediated transcription through synergistic interactions with CARM-1 and GRIP-1&lt;/title&gt;&lt;secondary-title&gt;Mol Endocrinol&lt;/secondary-title&gt;&lt;/titles&gt;&lt;pages&gt;2519-28&lt;/pages&gt;&lt;number&gt;12&lt;/number&gt;&lt;contributors&gt;&lt;authors&gt;&lt;author&gt;Monroy, M. A.&lt;/author&gt;&lt;author&gt;Schott, N. M.&lt;/author&gt;&lt;author&gt;Cox, L.&lt;/author&gt;&lt;author&gt;Chen, J. D.&lt;/author&gt;&lt;author&gt;Ruh, M.&lt;/author&gt;&lt;author&gt;Chrivia, J. C.&lt;/author&gt;&lt;/authors&gt;&lt;/contributors&gt;&lt;language&gt;eng&lt;/language&gt;&lt;added-date format="utc"&gt;1447686626&lt;/added-date&gt;&lt;ref-type name="Journal Article"&gt;17&lt;/ref-type&gt;&lt;rec-number&gt;137&lt;/rec-number&gt;&lt;last-updated-date format="utc"&gt;1447686626&lt;/last-updated-date&gt;&lt;accession-num&gt;14500758&lt;/accession-num&gt;&lt;electronic-resource-num&gt;10.1210/me.2003-0208&lt;/electronic-resource-num&gt;&lt;volume&gt;17&lt;/volume&gt;&lt;/record&gt;&lt;/Cite&gt;&lt;/EndNote&gt;</w:instrText>
      </w:r>
      <w:r w:rsidRPr="00227BF6">
        <w:rPr>
          <w:rFonts w:asciiTheme="majorHAnsi" w:hAnsiTheme="majorHAnsi"/>
        </w:rPr>
        <w:fldChar w:fldCharType="separate"/>
      </w:r>
      <w:r w:rsidRPr="00227BF6">
        <w:rPr>
          <w:rFonts w:asciiTheme="majorHAnsi" w:hAnsiTheme="majorHAnsi"/>
          <w:noProof/>
        </w:rPr>
        <w:t>(Monroy et al., 2003)</w:t>
      </w:r>
      <w:r w:rsidRPr="00227BF6">
        <w:rPr>
          <w:rFonts w:asciiTheme="majorHAnsi" w:hAnsiTheme="majorHAnsi"/>
        </w:rPr>
        <w:fldChar w:fldCharType="end"/>
      </w:r>
      <w:r w:rsidRPr="00227BF6">
        <w:rPr>
          <w:rFonts w:asciiTheme="majorHAnsi" w:hAnsiTheme="majorHAnsi"/>
        </w:rPr>
        <w:t>. As well as being a co-activator by its interaction with CBP, they found by co-immunoprecipit</w:t>
      </w:r>
      <w:r w:rsidR="00934B56">
        <w:rPr>
          <w:rFonts w:asciiTheme="majorHAnsi" w:hAnsiTheme="majorHAnsi"/>
        </w:rPr>
        <w:t>ation that SRCAP also interacts with</w:t>
      </w:r>
      <w:r w:rsidRPr="00227BF6">
        <w:rPr>
          <w:rFonts w:asciiTheme="majorHAnsi" w:hAnsiTheme="majorHAnsi"/>
        </w:rPr>
        <w:t xml:space="preserve"> CARM-1 and GRIP-1</w:t>
      </w:r>
      <w:r>
        <w:rPr>
          <w:rFonts w:asciiTheme="majorHAnsi" w:hAnsiTheme="majorHAnsi"/>
        </w:rPr>
        <w:t>, which</w:t>
      </w:r>
      <w:r w:rsidRPr="00227BF6">
        <w:rPr>
          <w:rFonts w:asciiTheme="majorHAnsi" w:hAnsiTheme="majorHAnsi"/>
        </w:rPr>
        <w:t xml:space="preserve"> significantly increased transcription activation. It appears however that CBP needs to be present in order for the interaction with GRIP-1 to be of consequence, and that it is the synergistically functioning protein connections between these four proteins which needs to occur to maximise </w:t>
      </w:r>
      <w:r w:rsidR="00C5170E">
        <w:rPr>
          <w:rFonts w:asciiTheme="majorHAnsi" w:hAnsiTheme="majorHAnsi"/>
        </w:rPr>
        <w:t>transcription</w:t>
      </w:r>
      <w:r w:rsidRPr="00227BF6">
        <w:rPr>
          <w:rFonts w:asciiTheme="majorHAnsi" w:hAnsiTheme="majorHAnsi"/>
        </w:rPr>
        <w:t xml:space="preserve"> activation. </w:t>
      </w:r>
    </w:p>
    <w:p w14:paraId="61E90113" w14:textId="77777777" w:rsidR="00B15A35" w:rsidRPr="00227BF6" w:rsidRDefault="00B15A35" w:rsidP="00B15A35">
      <w:pPr>
        <w:spacing w:line="360" w:lineRule="auto"/>
        <w:jc w:val="both"/>
        <w:rPr>
          <w:rFonts w:asciiTheme="majorHAnsi" w:hAnsiTheme="majorHAnsi"/>
        </w:rPr>
      </w:pPr>
    </w:p>
    <w:p w14:paraId="42DB325C" w14:textId="61329783" w:rsidR="00B15A35" w:rsidRPr="00227BF6" w:rsidRDefault="00B15A35" w:rsidP="00B15A35">
      <w:pPr>
        <w:spacing w:line="360" w:lineRule="auto"/>
        <w:jc w:val="both"/>
        <w:rPr>
          <w:rFonts w:asciiTheme="majorHAnsi" w:hAnsiTheme="majorHAnsi"/>
        </w:rPr>
      </w:pPr>
      <w:r>
        <w:rPr>
          <w:rFonts w:asciiTheme="majorHAnsi" w:hAnsiTheme="majorHAnsi"/>
        </w:rPr>
        <w:t>It was first mentioned in 2004 t</w:t>
      </w:r>
      <w:r w:rsidRPr="00227BF6">
        <w:rPr>
          <w:rFonts w:asciiTheme="majorHAnsi" w:hAnsiTheme="majorHAnsi"/>
        </w:rPr>
        <w:t>hat the function of the ATPase in SRCAP could possibly be</w:t>
      </w:r>
      <w:r>
        <w:rPr>
          <w:rFonts w:asciiTheme="majorHAnsi" w:hAnsiTheme="majorHAnsi"/>
        </w:rPr>
        <w:t xml:space="preserve"> involved in the</w:t>
      </w:r>
      <w:r w:rsidRPr="00227BF6">
        <w:rPr>
          <w:rFonts w:asciiTheme="majorHAnsi" w:hAnsiTheme="majorHAnsi"/>
        </w:rPr>
        <w:t xml:space="preserve"> deposition of histone variant H2A</w:t>
      </w:r>
      <w:r>
        <w:rPr>
          <w:rFonts w:asciiTheme="majorHAnsi" w:hAnsiTheme="majorHAnsi"/>
        </w:rPr>
        <w:t>.</w:t>
      </w:r>
      <w:r w:rsidRPr="00227BF6">
        <w:rPr>
          <w:rFonts w:asciiTheme="majorHAnsi" w:hAnsiTheme="majorHAnsi"/>
        </w:rPr>
        <w:t xml:space="preserve">Z in place of the canonical histone H2A </w:t>
      </w:r>
      <w:r w:rsidRPr="00227BF6">
        <w:rPr>
          <w:rFonts w:asciiTheme="majorHAnsi" w:hAnsiTheme="majorHAnsi"/>
        </w:rPr>
        <w:fldChar w:fldCharType="begin">
          <w:fldData xml:space="preserve">PEVuZE5vdGU+PENpdGU+PEF1dGhvcj5Lb2JvcjwvQXV0aG9yPjxZZWFyPjIwMDQ8L1llYXI+PElE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</w:fldData>
        </w:fldChar>
      </w:r>
      <w:r w:rsidRPr="00227BF6">
        <w:rPr>
          <w:rFonts w:asciiTheme="majorHAnsi" w:hAnsiTheme="majorHAnsi"/>
        </w:rPr>
        <w:instrText xml:space="preserve"> ADDIN EN.CITE </w:instrText>
      </w:r>
      <w:r w:rsidRPr="00227BF6">
        <w:rPr>
          <w:rFonts w:asciiTheme="majorHAnsi" w:hAnsiTheme="majorHAnsi"/>
        </w:rPr>
        <w:fldChar w:fldCharType="begin">
          <w:fldData xml:space="preserve">PEVuZE5vdGU+PENpdGU+PEF1dGhvcj5Lb2JvcjwvQXV0aG9yPjxZZWFyPjIwMDQ8L1llYXI+PElE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</w:fldData>
        </w:fldChar>
      </w:r>
      <w:r w:rsidRPr="00227BF6">
        <w:rPr>
          <w:rFonts w:asciiTheme="majorHAnsi" w:hAnsiTheme="majorHAnsi"/>
        </w:rPr>
        <w:instrText xml:space="preserve"> ADDIN EN.CITE.DATA </w:instrText>
      </w:r>
      <w:r w:rsidRPr="00227BF6">
        <w:rPr>
          <w:rFonts w:asciiTheme="majorHAnsi" w:hAnsiTheme="majorHAnsi"/>
        </w:rPr>
      </w:r>
      <w:r w:rsidRPr="00227BF6">
        <w:rPr>
          <w:rFonts w:asciiTheme="majorHAnsi" w:hAnsiTheme="majorHAnsi"/>
        </w:rPr>
        <w:fldChar w:fldCharType="end"/>
      </w:r>
      <w:r w:rsidRPr="00227BF6">
        <w:rPr>
          <w:rFonts w:asciiTheme="majorHAnsi" w:hAnsiTheme="majorHAnsi"/>
        </w:rPr>
      </w:r>
      <w:r w:rsidRPr="00227BF6">
        <w:rPr>
          <w:rFonts w:asciiTheme="majorHAnsi" w:hAnsiTheme="majorHAnsi"/>
        </w:rPr>
        <w:fldChar w:fldCharType="separate"/>
      </w:r>
      <w:r w:rsidRPr="00227BF6">
        <w:rPr>
          <w:rFonts w:asciiTheme="majorHAnsi" w:hAnsiTheme="majorHAnsi"/>
          <w:noProof/>
        </w:rPr>
        <w:t>(Kobor et al., 2004)</w:t>
      </w:r>
      <w:r w:rsidRPr="00227BF6">
        <w:rPr>
          <w:rFonts w:asciiTheme="majorHAnsi" w:hAnsiTheme="majorHAnsi"/>
        </w:rPr>
        <w:fldChar w:fldCharType="end"/>
      </w:r>
      <w:r w:rsidRPr="00227BF6">
        <w:rPr>
          <w:rFonts w:asciiTheme="majorHAnsi" w:hAnsiTheme="majorHAnsi"/>
        </w:rPr>
        <w:t xml:space="preserve">. However, this was just speculation as the original data was </w:t>
      </w:r>
      <w:r w:rsidR="00934B56">
        <w:rPr>
          <w:rFonts w:asciiTheme="majorHAnsi" w:hAnsiTheme="majorHAnsi"/>
        </w:rPr>
        <w:t>derived from</w:t>
      </w:r>
      <w:r w:rsidRPr="00227BF6">
        <w:rPr>
          <w:rFonts w:asciiTheme="majorHAnsi" w:hAnsiTheme="majorHAnsi"/>
        </w:rPr>
        <w:t xml:space="preserve"> the </w:t>
      </w:r>
      <w:r w:rsidRPr="00227BF6">
        <w:rPr>
          <w:rFonts w:asciiTheme="majorHAnsi" w:hAnsiTheme="majorHAnsi"/>
          <w:i/>
        </w:rPr>
        <w:t>S. cerevisiae</w:t>
      </w:r>
      <w:r w:rsidRPr="00227BF6">
        <w:rPr>
          <w:rFonts w:asciiTheme="majorHAnsi" w:hAnsiTheme="majorHAnsi"/>
        </w:rPr>
        <w:t xml:space="preserve"> SNF2 related SWRI complex. </w:t>
      </w:r>
      <w:proofErr w:type="spellStart"/>
      <w:r w:rsidR="00934B56">
        <w:rPr>
          <w:rFonts w:asciiTheme="majorHAnsi" w:hAnsiTheme="majorHAnsi"/>
        </w:rPr>
        <w:t>Kobor</w:t>
      </w:r>
      <w:proofErr w:type="spellEnd"/>
      <w:r w:rsidR="00934B56">
        <w:rPr>
          <w:rFonts w:asciiTheme="majorHAnsi" w:hAnsiTheme="majorHAnsi"/>
        </w:rPr>
        <w:t xml:space="preserve"> et al.</w:t>
      </w:r>
      <w:r w:rsidRPr="00227BF6">
        <w:rPr>
          <w:rFonts w:asciiTheme="majorHAnsi" w:hAnsiTheme="majorHAnsi"/>
        </w:rPr>
        <w:t xml:space="preserve"> showed that this complex did indeed bind tightly to H2A</w:t>
      </w:r>
      <w:r>
        <w:rPr>
          <w:rFonts w:asciiTheme="majorHAnsi" w:hAnsiTheme="majorHAnsi"/>
        </w:rPr>
        <w:t>.</w:t>
      </w:r>
      <w:r w:rsidRPr="00227BF6">
        <w:rPr>
          <w:rFonts w:asciiTheme="majorHAnsi" w:hAnsiTheme="majorHAnsi"/>
        </w:rPr>
        <w:t>Z and is needed for its depositio</w:t>
      </w:r>
      <w:r>
        <w:rPr>
          <w:rFonts w:asciiTheme="majorHAnsi" w:hAnsiTheme="majorHAnsi"/>
        </w:rPr>
        <w:t>n into the nucleosome. D</w:t>
      </w:r>
      <w:r w:rsidRPr="00227BF6">
        <w:rPr>
          <w:rFonts w:asciiTheme="majorHAnsi" w:hAnsiTheme="majorHAnsi"/>
        </w:rPr>
        <w:t xml:space="preserve">ue to </w:t>
      </w:r>
      <w:r w:rsidR="00934B56">
        <w:rPr>
          <w:rFonts w:asciiTheme="majorHAnsi" w:hAnsiTheme="majorHAnsi"/>
        </w:rPr>
        <w:t>the</w:t>
      </w:r>
      <w:r w:rsidRPr="00227BF6">
        <w:rPr>
          <w:rFonts w:asciiTheme="majorHAnsi" w:hAnsiTheme="majorHAnsi"/>
        </w:rPr>
        <w:t xml:space="preserve"> homology </w:t>
      </w:r>
      <w:r w:rsidR="00934B56">
        <w:rPr>
          <w:rFonts w:asciiTheme="majorHAnsi" w:hAnsiTheme="majorHAnsi"/>
        </w:rPr>
        <w:t xml:space="preserve">between </w:t>
      </w:r>
      <w:r w:rsidR="00934B56" w:rsidRPr="00934B56">
        <w:rPr>
          <w:rFonts w:asciiTheme="majorHAnsi" w:hAnsiTheme="majorHAnsi"/>
        </w:rPr>
        <w:t>SNF2</w:t>
      </w:r>
      <w:r w:rsidR="00934B56">
        <w:rPr>
          <w:rFonts w:asciiTheme="majorHAnsi" w:hAnsiTheme="majorHAnsi"/>
        </w:rPr>
        <w:t xml:space="preserve"> and</w:t>
      </w:r>
      <w:r w:rsidRPr="00227BF6">
        <w:rPr>
          <w:rFonts w:asciiTheme="majorHAnsi" w:hAnsiTheme="majorHAnsi"/>
        </w:rPr>
        <w:t xml:space="preserve"> </w:t>
      </w:r>
      <w:r w:rsidRPr="00115D33">
        <w:rPr>
          <w:rFonts w:asciiTheme="majorHAnsi" w:hAnsiTheme="majorHAnsi"/>
          <w:i/>
        </w:rPr>
        <w:t>SRCAP</w:t>
      </w:r>
      <w:r w:rsidRPr="00227BF6">
        <w:rPr>
          <w:rFonts w:asciiTheme="majorHAnsi" w:hAnsiTheme="majorHAnsi"/>
        </w:rPr>
        <w:t xml:space="preserve"> they </w:t>
      </w:r>
      <w:r>
        <w:rPr>
          <w:rFonts w:asciiTheme="majorHAnsi" w:hAnsiTheme="majorHAnsi"/>
        </w:rPr>
        <w:t xml:space="preserve">therefore suggested </w:t>
      </w:r>
      <w:r w:rsidRPr="00227BF6">
        <w:rPr>
          <w:rFonts w:asciiTheme="majorHAnsi" w:hAnsiTheme="majorHAnsi"/>
        </w:rPr>
        <w:t xml:space="preserve">that SRCAP </w:t>
      </w:r>
      <w:r w:rsidR="00934B56">
        <w:rPr>
          <w:rFonts w:asciiTheme="majorHAnsi" w:hAnsiTheme="majorHAnsi"/>
        </w:rPr>
        <w:t>might</w:t>
      </w:r>
      <w:r>
        <w:rPr>
          <w:rFonts w:asciiTheme="majorHAnsi" w:hAnsiTheme="majorHAnsi"/>
        </w:rPr>
        <w:t xml:space="preserve"> function in the same way</w:t>
      </w:r>
      <w:r w:rsidRPr="00227BF6">
        <w:rPr>
          <w:rFonts w:asciiTheme="majorHAnsi" w:hAnsiTheme="majorHAnsi"/>
        </w:rPr>
        <w:t xml:space="preserve">. </w:t>
      </w:r>
    </w:p>
    <w:p w14:paraId="6E27C1F2" w14:textId="77777777" w:rsidR="00B15A35" w:rsidRPr="00227BF6" w:rsidRDefault="00B15A35" w:rsidP="00B15A35">
      <w:pPr>
        <w:spacing w:line="360" w:lineRule="auto"/>
        <w:jc w:val="both"/>
        <w:rPr>
          <w:rFonts w:asciiTheme="majorHAnsi" w:hAnsiTheme="majorHAnsi"/>
        </w:rPr>
      </w:pPr>
    </w:p>
    <w:p w14:paraId="0648488B" w14:textId="0F5CC723" w:rsidR="00B15A35" w:rsidRPr="00227BF6" w:rsidRDefault="00B15A35" w:rsidP="00B15A35">
      <w:pPr>
        <w:spacing w:line="360" w:lineRule="auto"/>
        <w:jc w:val="both"/>
        <w:rPr>
          <w:rFonts w:asciiTheme="majorHAnsi" w:hAnsiTheme="majorHAnsi"/>
        </w:rPr>
      </w:pPr>
      <w:r w:rsidRPr="00227BF6">
        <w:rPr>
          <w:rFonts w:asciiTheme="majorHAnsi" w:hAnsiTheme="majorHAnsi"/>
        </w:rPr>
        <w:t>As further work on the yeast protein SWRI and how it was involve</w:t>
      </w:r>
      <w:r w:rsidR="00A5506E">
        <w:rPr>
          <w:rFonts w:asciiTheme="majorHAnsi" w:hAnsiTheme="majorHAnsi"/>
        </w:rPr>
        <w:t>d</w:t>
      </w:r>
      <w:r w:rsidRPr="00227BF6">
        <w:rPr>
          <w:rFonts w:asciiTheme="majorHAnsi" w:hAnsiTheme="majorHAnsi"/>
        </w:rPr>
        <w:t xml:space="preserve"> in histone exchange was published</w:t>
      </w:r>
      <w:r w:rsidR="00934B56">
        <w:rPr>
          <w:rFonts w:asciiTheme="majorHAnsi" w:hAnsiTheme="majorHAnsi"/>
        </w:rPr>
        <w:t>,</w:t>
      </w:r>
      <w:r w:rsidRPr="00227BF6">
        <w:rPr>
          <w:rFonts w:asciiTheme="majorHAnsi" w:hAnsiTheme="majorHAnsi"/>
        </w:rPr>
        <w:t xml:space="preserve"> it became apparent that SRCAP had several homologous subunits and that similar proteins could be found in many different species, indicating a highly conserved </w:t>
      </w:r>
      <w:r w:rsidR="00934B56">
        <w:rPr>
          <w:rFonts w:asciiTheme="majorHAnsi" w:hAnsiTheme="majorHAnsi"/>
        </w:rPr>
        <w:t xml:space="preserve">gene </w:t>
      </w:r>
      <w:r w:rsidRPr="00227BF6">
        <w:rPr>
          <w:rFonts w:asciiTheme="majorHAnsi" w:hAnsiTheme="majorHAnsi"/>
        </w:rPr>
        <w:t>family</w:t>
      </w:r>
      <w:r w:rsidR="00C5170E">
        <w:rPr>
          <w:rFonts w:asciiTheme="majorHAnsi" w:hAnsiTheme="majorHAnsi"/>
        </w:rPr>
        <w:t xml:space="preserve">. </w:t>
      </w:r>
      <w:r w:rsidRPr="00227BF6">
        <w:rPr>
          <w:rFonts w:asciiTheme="majorHAnsi" w:hAnsiTheme="majorHAnsi"/>
        </w:rPr>
        <w:t xml:space="preserve">Studies in </w:t>
      </w:r>
      <w:r w:rsidRPr="00227BF6">
        <w:rPr>
          <w:rFonts w:asciiTheme="majorHAnsi" w:hAnsiTheme="majorHAnsi"/>
          <w:i/>
        </w:rPr>
        <w:t xml:space="preserve">Drosophila </w:t>
      </w:r>
      <w:r w:rsidRPr="00227BF6">
        <w:rPr>
          <w:rFonts w:asciiTheme="majorHAnsi" w:hAnsiTheme="majorHAnsi"/>
        </w:rPr>
        <w:t>using the related protein Domino (DOM) suggested that it was essential for organism viability through roles in development and haematopoiesis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&lt;EndNote&gt;&lt;Cite&gt;&lt;Author&gt;Eissenberg&lt;/Author&gt;&lt;Year&gt;2005&lt;/Year&gt;&lt;IDText&gt;Human SRCAP and Drosophila melanogaster DOM are homologs that function in the notch signaling pathway&lt;/IDText&gt;&lt;DisplayText&gt;(Eissenberg et al., 2005)&lt;/DisplayText&gt;&lt;record&gt;&lt;dates&gt;&lt;pub-dates&gt;&lt;date&gt;Aug&lt;/date&gt;&lt;/pub-dates&gt;&lt;year&gt;2005&lt;/year&gt;&lt;/dates&gt;&lt;keywords&gt;&lt;keyword&gt;Adenosine Triphosphatases&lt;/keyword&gt;&lt;keyword&gt;Animals&lt;/keyword&gt;&lt;keyword&gt;Drosophila Proteins&lt;/keyword&gt;&lt;keyword&gt;Drosophila melanogaster&lt;/keyword&gt;&lt;keyword&gt;Female&lt;/keyword&gt;&lt;keyword&gt;HeLa Cells&lt;/keyword&gt;&lt;keyword&gt;Heat-Shock Proteins&lt;/keyword&gt;&lt;keyword&gt;Humans&lt;/keyword&gt;&lt;keyword&gt;Infertility, Female&lt;/keyword&gt;&lt;keyword&gt;Membrane Proteins&lt;/keyword&gt;&lt;keyword&gt;Mutation&lt;/keyword&gt;&lt;keyword&gt;Receptors, Notch&lt;/keyword&gt;&lt;keyword&gt;Sequence Analysis, Protein&lt;/keyword&gt;&lt;keyword&gt;Sequence Homology, Amino Acid&lt;/keyword&gt;&lt;keyword&gt;Signal Transduction&lt;/keyword&gt;&lt;keyword&gt;Transcription Factors&lt;/keyword&gt;&lt;keyword&gt;Transcription, Genetic&lt;/keyword&gt;&lt;/keywords&gt;&lt;urls&gt;&lt;related-urls&gt;&lt;url&gt;http://www.ncbi.nlm.nih.gov/pubmed/16024792&lt;/url&gt;&lt;/related-urls&gt;&lt;/urls&gt;&lt;isbn&gt;0270-7306&lt;/isbn&gt;&lt;custom2&gt;PMC1190335&lt;/custom2&gt;&lt;titles&gt;&lt;title&gt;Human SRCAP and Drosophila melanogaster DOM are homologs that function in the notch signaling pathway&lt;/title&gt;&lt;secondary-title&gt;Mol Cell Biol&lt;/secondary-title&gt;&lt;/titles&gt;&lt;pages&gt;6559-69&lt;/pages&gt;&lt;number&gt;15&lt;/number&gt;&lt;contributors&gt;&lt;authors&gt;&lt;author&gt;Eissenberg, J. C.&lt;/author&gt;&lt;author&gt;Wong, M.&lt;/author&gt;&lt;author&gt;Chrivia, J. C.&lt;/author&gt;&lt;/authors&gt;&lt;/contributors&gt;&lt;language&gt;eng&lt;/language&gt;&lt;added-date format="utc"&gt;1447686369&lt;/added-date&gt;&lt;ref-type name="Journal Article"&gt;17&lt;/ref-type&gt;&lt;rec-number&gt;136&lt;/rec-number&gt;&lt;last-updated-date format="utc"&gt;1447686369&lt;/last-updated-date&gt;&lt;accession-num&gt;16024792&lt;/accession-num&gt;&lt;electronic-resource-num&gt;10.1128/MCB.25.15.6559-6569.2005&lt;/electronic-resource-num&gt;&lt;volume&gt;25&lt;/volume&gt;&lt;/record&gt;&lt;/Cite&gt;&lt;/EndNote&gt;</w:instrText>
      </w:r>
      <w:r>
        <w:rPr>
          <w:rFonts w:asciiTheme="majorHAnsi" w:hAnsiTheme="majorHAnsi"/>
        </w:rPr>
        <w:fldChar w:fldCharType="separate"/>
      </w:r>
      <w:r>
        <w:rPr>
          <w:rFonts w:asciiTheme="majorHAnsi" w:hAnsiTheme="majorHAnsi"/>
          <w:noProof/>
        </w:rPr>
        <w:t>(Eissenberg et al., 2005)</w:t>
      </w:r>
      <w:r>
        <w:rPr>
          <w:rFonts w:asciiTheme="majorHAnsi" w:hAnsiTheme="majorHAnsi"/>
        </w:rPr>
        <w:fldChar w:fldCharType="end"/>
      </w:r>
      <w:r w:rsidRPr="00227BF6">
        <w:rPr>
          <w:rFonts w:asciiTheme="majorHAnsi" w:hAnsiTheme="majorHAnsi"/>
        </w:rPr>
        <w:t xml:space="preserve">. </w:t>
      </w:r>
      <w:proofErr w:type="spellStart"/>
      <w:r>
        <w:rPr>
          <w:rFonts w:asciiTheme="majorHAnsi" w:hAnsiTheme="majorHAnsi"/>
        </w:rPr>
        <w:t>Eissenberg</w:t>
      </w:r>
      <w:proofErr w:type="spellEnd"/>
      <w:r>
        <w:rPr>
          <w:rFonts w:asciiTheme="majorHAnsi" w:hAnsiTheme="majorHAnsi"/>
        </w:rPr>
        <w:t xml:space="preserve"> et al. </w:t>
      </w:r>
      <w:r w:rsidRPr="00227BF6">
        <w:rPr>
          <w:rFonts w:asciiTheme="majorHAnsi" w:hAnsiTheme="majorHAnsi"/>
        </w:rPr>
        <w:t xml:space="preserve">showed that SRCAP binds to </w:t>
      </w:r>
      <w:r w:rsidRPr="00227BF6">
        <w:rPr>
          <w:rFonts w:asciiTheme="majorHAnsi" w:hAnsiTheme="majorHAnsi"/>
          <w:i/>
        </w:rPr>
        <w:t xml:space="preserve">Drosophila </w:t>
      </w:r>
      <w:r w:rsidRPr="00227BF6">
        <w:rPr>
          <w:rFonts w:asciiTheme="majorHAnsi" w:hAnsiTheme="majorHAnsi"/>
        </w:rPr>
        <w:t>chromosomes, often at the site of active transcription and that when DOM is absent</w:t>
      </w:r>
      <w:r w:rsidR="00934B56">
        <w:rPr>
          <w:rFonts w:asciiTheme="majorHAnsi" w:hAnsiTheme="majorHAnsi"/>
        </w:rPr>
        <w:t>,</w:t>
      </w:r>
      <w:r w:rsidRPr="00227BF6">
        <w:rPr>
          <w:rFonts w:asciiTheme="majorHAnsi" w:hAnsiTheme="majorHAnsi"/>
        </w:rPr>
        <w:t xml:space="preserve"> SRCAP can reactivate its role in </w:t>
      </w:r>
      <w:r w:rsidRPr="00227BF6">
        <w:rPr>
          <w:rFonts w:asciiTheme="majorHAnsi" w:hAnsiTheme="majorHAnsi"/>
          <w:i/>
        </w:rPr>
        <w:t>Notch</w:t>
      </w:r>
      <w:r w:rsidRPr="00227BF6">
        <w:rPr>
          <w:rFonts w:asciiTheme="majorHAnsi" w:hAnsiTheme="majorHAnsi"/>
        </w:rPr>
        <w:t>-mediated wing development, demonstrating another co-activator that SRCAP interacts with in order to regulate gene expression.</w:t>
      </w:r>
    </w:p>
    <w:p w14:paraId="1E13B811" w14:textId="77777777" w:rsidR="00B15A35" w:rsidRPr="00227BF6" w:rsidRDefault="00B15A35" w:rsidP="00B15A35">
      <w:pPr>
        <w:spacing w:line="360" w:lineRule="auto"/>
        <w:jc w:val="both"/>
        <w:rPr>
          <w:rFonts w:asciiTheme="majorHAnsi" w:hAnsiTheme="majorHAnsi"/>
        </w:rPr>
      </w:pPr>
    </w:p>
    <w:p w14:paraId="75892729" w14:textId="7D7A38DE" w:rsidR="00B15A35" w:rsidRPr="00227BF6" w:rsidRDefault="00B15A35" w:rsidP="00B15A35">
      <w:pPr>
        <w:spacing w:line="360" w:lineRule="auto"/>
        <w:jc w:val="both"/>
        <w:rPr>
          <w:rFonts w:asciiTheme="majorHAnsi" w:hAnsiTheme="majorHAnsi"/>
        </w:rPr>
      </w:pPr>
      <w:proofErr w:type="spellStart"/>
      <w:r>
        <w:rPr>
          <w:rFonts w:asciiTheme="majorHAnsi" w:hAnsiTheme="majorHAnsi"/>
        </w:rPr>
        <w:t>Cai</w:t>
      </w:r>
      <w:proofErr w:type="spellEnd"/>
      <w:r>
        <w:rPr>
          <w:rFonts w:asciiTheme="majorHAnsi" w:hAnsiTheme="majorHAnsi"/>
        </w:rPr>
        <w:t xml:space="preserve"> et al., </w:t>
      </w:r>
      <w:r w:rsidRPr="00227BF6">
        <w:rPr>
          <w:rFonts w:asciiTheme="majorHAnsi" w:hAnsiTheme="majorHAnsi"/>
        </w:rPr>
        <w:fldChar w:fldCharType="begin"/>
      </w:r>
      <w:r>
        <w:rPr>
          <w:rFonts w:asciiTheme="majorHAnsi" w:hAnsiTheme="majorHAnsi"/>
        </w:rPr>
        <w:instrText xml:space="preserve"> ADDIN EN.CITE &lt;EndNote&gt;&lt;Cite ExcludeAuth="1"&gt;&lt;Author&gt;Cai&lt;/Author&gt;&lt;Year&gt;2006&lt;/Year&gt;&lt;IDText&gt;Purification and assay of the human INO80 and SRCAP chromatin remodeling complexes&lt;/IDText&gt;&lt;DisplayText&gt;(2006)&lt;/DisplayText&gt;&lt;record&gt;&lt;dates&gt;&lt;pub-dates&gt;&lt;date&gt;Dec&lt;/date&gt;&lt;/pub-dates&gt;&lt;year&gt;2006&lt;/year&gt;&lt;/dates&gt;&lt;keywords&gt;&lt;keyword&gt;Adenosine Triphosphatases&lt;/keyword&gt;&lt;keyword&gt;Chromatin Assembly and Disassembly&lt;/keyword&gt;&lt;keyword&gt;Chromatography, Affinity&lt;/keyword&gt;&lt;keyword&gt;Chromosomal Proteins, Non-Histone&lt;/keyword&gt;&lt;keyword&gt;Humans&lt;/keyword&gt;&lt;keyword&gt;Multiprotein Complexes&lt;/keyword&gt;&lt;keyword&gt;Nucleosomes&lt;/keyword&gt;&lt;keyword&gt;Transcription Factors&lt;/keyword&gt;&lt;/keywords&gt;&lt;urls&gt;&lt;related-urls&gt;&lt;url&gt;https://www.ncbi.nlm.nih.gov/pubmed/17101442&lt;/url&gt;&lt;/related-urls&gt;&lt;/urls&gt;&lt;isbn&gt;1046-2023&lt;/isbn&gt;&lt;custom2&gt;PMC3092633&lt;/custom2&gt;&lt;titles&gt;&lt;title&gt;Purification and assay of the human INO80 and SRCAP chromatin remodeling complexes&lt;/title&gt;&lt;secondary-title&gt;Methods&lt;/secondary-title&gt;&lt;/titles&gt;&lt;pages&gt;312-7&lt;/pages&gt;&lt;number&gt;4&lt;/number&gt;&lt;contributors&gt;&lt;authors&gt;&lt;author&gt;Cai, Y.&lt;/author&gt;&lt;author&gt;Jin, J.&lt;/author&gt;&lt;author&gt;Gottschalk, A. J.&lt;/author&gt;&lt;author&gt;Yao, T.&lt;/author&gt;&lt;author&gt;Conaway, J. W.&lt;/author&gt;&lt;author&gt;Conaway, R. C.&lt;/author&gt;&lt;/authors&gt;&lt;/contributors&gt;&lt;language&gt;eng&lt;/language&gt;&lt;added-date format="utc"&gt;1501075548&lt;/added-date&gt;&lt;ref-type name="Journal Article"&gt;17&lt;/ref-type&gt;&lt;rec-number&gt;213&lt;/rec-number&gt;&lt;last-updated-date format="utc"&gt;1501075548&lt;/last-updated-date&gt;&lt;accession-num&gt;17101442&lt;/accession-num&gt;&lt;electronic-resource-num&gt;10.1016/j.ymeth.2006.06.023&lt;/electronic-resource-num&gt;&lt;volume&gt;40&lt;/volume&gt;&lt;/record&gt;&lt;/Cite&gt;&lt;/EndNote&gt;</w:instrText>
      </w:r>
      <w:r w:rsidRPr="00227BF6">
        <w:rPr>
          <w:rFonts w:asciiTheme="majorHAnsi" w:hAnsiTheme="majorHAnsi"/>
        </w:rPr>
        <w:fldChar w:fldCharType="separate"/>
      </w:r>
      <w:r>
        <w:rPr>
          <w:rFonts w:asciiTheme="majorHAnsi" w:hAnsiTheme="majorHAnsi"/>
          <w:noProof/>
        </w:rPr>
        <w:t>(2006)</w:t>
      </w:r>
      <w:r w:rsidRPr="00227BF6">
        <w:rPr>
          <w:rFonts w:asciiTheme="majorHAnsi" w:hAnsiTheme="majorHAnsi"/>
        </w:rPr>
        <w:fldChar w:fldCharType="end"/>
      </w:r>
      <w:r w:rsidRPr="00227BF6">
        <w:rPr>
          <w:rFonts w:asciiTheme="majorHAnsi" w:hAnsiTheme="majorHAnsi"/>
        </w:rPr>
        <w:t xml:space="preserve"> were the first to purify the SRCAP protein</w:t>
      </w:r>
      <w:r w:rsidR="00934B56">
        <w:rPr>
          <w:rFonts w:asciiTheme="majorHAnsi" w:hAnsiTheme="majorHAnsi"/>
        </w:rPr>
        <w:t>,</w:t>
      </w:r>
      <w:r w:rsidRPr="00227BF6">
        <w:rPr>
          <w:rFonts w:asciiTheme="majorHAnsi" w:hAnsiTheme="majorHAnsi"/>
        </w:rPr>
        <w:t xml:space="preserve"> and another </w:t>
      </w:r>
      <w:r>
        <w:rPr>
          <w:rFonts w:asciiTheme="majorHAnsi" w:hAnsiTheme="majorHAnsi"/>
        </w:rPr>
        <w:t>publication that year from the same l</w:t>
      </w:r>
      <w:r w:rsidRPr="00227BF6">
        <w:rPr>
          <w:rFonts w:asciiTheme="majorHAnsi" w:hAnsiTheme="majorHAnsi"/>
        </w:rPr>
        <w:t>ab</w:t>
      </w:r>
      <w:r>
        <w:rPr>
          <w:rFonts w:asciiTheme="majorHAnsi" w:hAnsiTheme="majorHAnsi"/>
        </w:rPr>
        <w:t>oratory</w:t>
      </w:r>
      <w:r w:rsidRPr="00227BF6">
        <w:rPr>
          <w:rFonts w:asciiTheme="majorHAnsi" w:hAnsiTheme="majorHAnsi"/>
        </w:rPr>
        <w:t xml:space="preserve"> showed</w:t>
      </w:r>
      <w:r>
        <w:rPr>
          <w:rFonts w:asciiTheme="majorHAnsi" w:hAnsiTheme="majorHAnsi"/>
        </w:rPr>
        <w:t xml:space="preserve"> for the first time that SRCAP wa</w:t>
      </w:r>
      <w:r w:rsidRPr="00227BF6">
        <w:rPr>
          <w:rFonts w:asciiTheme="majorHAnsi" w:hAnsiTheme="majorHAnsi"/>
        </w:rPr>
        <w:t>s able to catalyse ATP-dependent exchange of H2A-H2B dimers for the variant dimer H2A</w:t>
      </w:r>
      <w:r>
        <w:rPr>
          <w:rFonts w:asciiTheme="majorHAnsi" w:hAnsiTheme="majorHAnsi"/>
        </w:rPr>
        <w:t>.</w:t>
      </w:r>
      <w:r w:rsidRPr="00227BF6">
        <w:rPr>
          <w:rFonts w:asciiTheme="majorHAnsi" w:hAnsiTheme="majorHAnsi"/>
        </w:rPr>
        <w:t xml:space="preserve">Z-H2B </w:t>
      </w:r>
      <w:r w:rsidRPr="00227BF6">
        <w:rPr>
          <w:rFonts w:asciiTheme="majorHAnsi" w:hAnsiTheme="majorHAnsi"/>
          <w:i/>
        </w:rPr>
        <w:t>in vitro</w:t>
      </w:r>
      <w:r w:rsidRPr="00227BF6">
        <w:rPr>
          <w:rFonts w:asciiTheme="majorHAnsi" w:hAnsiTheme="majorHAnsi"/>
        </w:rPr>
        <w:t xml:space="preserve"> </w:t>
      </w:r>
      <w:r w:rsidRPr="00227BF6">
        <w:rPr>
          <w:rFonts w:asciiTheme="majorHAnsi" w:hAnsiTheme="majorHAnsi"/>
        </w:rPr>
        <w:fldChar w:fldCharType="begin"/>
      </w:r>
      <w:r w:rsidRPr="00227BF6">
        <w:rPr>
          <w:rFonts w:asciiTheme="majorHAnsi" w:hAnsiTheme="majorHAnsi"/>
        </w:rPr>
        <w:instrText xml:space="preserve"> ADDIN EN.CITE &lt;EndNote&gt;&lt;Cite&gt;&lt;Author&gt;Ruhl&lt;/Author&gt;&lt;Year&gt;2006&lt;/Year&gt;&lt;IDText&gt;Purification of a human SRCAP complex that remodels chromatin by incorporating the histone variant H2A.Z into nucleosomes&lt;/IDText&gt;&lt;DisplayText&gt;(Ruhl et al., 2006)&lt;/DisplayText&gt;&lt;record&gt;&lt;dates&gt;&lt;pub-dates&gt;&lt;date&gt;May&lt;/date&gt;&lt;/pub-dates&gt;&lt;year&gt;2006&lt;/year&gt;&lt;/dates&gt;&lt;keywords&gt;&lt;keyword&gt;Adenosine Triphosphatases&lt;/keyword&gt;&lt;keyword&gt;Chromatin&lt;/keyword&gt;&lt;keyword&gt;Chromatography, Ion Exchange&lt;/keyword&gt;&lt;keyword&gt;Histones&lt;/keyword&gt;&lt;keyword&gt;Multiprotein Complexes&lt;/keyword&gt;&lt;keyword&gt;Nucleosomes&lt;/keyword&gt;&lt;keyword&gt;Proteomics&lt;/keyword&gt;&lt;keyword&gt;Saccharomyces cerevisiae Proteins&lt;/keyword&gt;&lt;/keywords&gt;&lt;urls&gt;&lt;related-urls&gt;&lt;url&gt;http://www.ncbi.nlm.nih.gov/pubmed/16634648&lt;/url&gt;&lt;/related-urls&gt;&lt;/urls&gt;&lt;isbn&gt;0006-2960&lt;/isbn&gt;&lt;titles&gt;&lt;title&gt;Purification of a human SRCAP complex that remodels chromatin by incorporating the histone variant H2A.Z into nucleosomes&lt;/title&gt;&lt;secondary-title&gt;Biochemistry&lt;/secondary-title&gt;&lt;/titles&gt;&lt;pages&gt;5671-7&lt;/pages&gt;&lt;number&gt;17&lt;/number&gt;&lt;contributors&gt;&lt;authors&gt;&lt;author&gt;Ruhl, D. D.&lt;/author&gt;&lt;author&gt;Jin, J.&lt;/author&gt;&lt;author&gt;Cai, Y.&lt;/author&gt;&lt;author&gt;Swanson, S.&lt;/author&gt;&lt;author&gt;Florens, L.&lt;/author&gt;&lt;author&gt;Washburn, M. P.&lt;/author&gt;&lt;author&gt;Conaway, R. C.&lt;/author&gt;&lt;author&gt;Conaway, J. W.&lt;/author&gt;&lt;author&gt;Chrivia, J. C.&lt;/author&gt;&lt;/authors&gt;&lt;/contributors&gt;&lt;language&gt;eng&lt;/language&gt;&lt;added-date format="utc"&gt;1425998564&lt;/added-date&gt;&lt;ref-type name="Journal Article"&gt;17&lt;/ref-type&gt;&lt;rec-number&gt;91&lt;/rec-number&gt;&lt;last-updated-date format="utc"&gt;1447344658&lt;/last-updated-date&gt;&lt;accession-num&gt;16634648&lt;/accession-num&gt;&lt;electronic-resource-num&gt;10.1021/bi060043d&lt;/electronic-resource-num&gt;&lt;volume&gt;45&lt;/volume&gt;&lt;/record&gt;&lt;/Cite&gt;&lt;/EndNote&gt;</w:instrText>
      </w:r>
      <w:r w:rsidRPr="00227BF6">
        <w:rPr>
          <w:rFonts w:asciiTheme="majorHAnsi" w:hAnsiTheme="majorHAnsi"/>
        </w:rPr>
        <w:fldChar w:fldCharType="separate"/>
      </w:r>
      <w:r w:rsidRPr="00227BF6">
        <w:rPr>
          <w:rFonts w:asciiTheme="majorHAnsi" w:hAnsiTheme="majorHAnsi"/>
          <w:noProof/>
        </w:rPr>
        <w:t>(Ruhl et al., 2006)</w:t>
      </w:r>
      <w:r w:rsidRPr="00227BF6">
        <w:rPr>
          <w:rFonts w:asciiTheme="majorHAnsi" w:hAnsiTheme="majorHAnsi"/>
        </w:rPr>
        <w:fldChar w:fldCharType="end"/>
      </w:r>
      <w:r w:rsidRPr="00227BF6">
        <w:rPr>
          <w:rFonts w:asciiTheme="majorHAnsi" w:hAnsiTheme="majorHAnsi"/>
        </w:rPr>
        <w:t>. However, it was still unclear why SRCAP deposited H2A</w:t>
      </w:r>
      <w:r>
        <w:rPr>
          <w:rFonts w:asciiTheme="majorHAnsi" w:hAnsiTheme="majorHAnsi"/>
        </w:rPr>
        <w:t>.</w:t>
      </w:r>
      <w:r w:rsidRPr="00227BF6">
        <w:rPr>
          <w:rFonts w:asciiTheme="majorHAnsi" w:hAnsiTheme="majorHAnsi"/>
        </w:rPr>
        <w:t xml:space="preserve">Z at certain sites, until in 2007 </w:t>
      </w:r>
      <w:r>
        <w:rPr>
          <w:rFonts w:asciiTheme="majorHAnsi" w:hAnsiTheme="majorHAnsi"/>
        </w:rPr>
        <w:t xml:space="preserve">a publication by Wong et al., </w:t>
      </w:r>
      <w:r w:rsidR="00934B56">
        <w:rPr>
          <w:rFonts w:asciiTheme="majorHAnsi" w:hAnsiTheme="majorHAnsi"/>
        </w:rPr>
        <w:t>sought</w:t>
      </w:r>
      <w:r w:rsidRPr="00227BF6">
        <w:rPr>
          <w:rFonts w:asciiTheme="majorHAnsi" w:hAnsiTheme="majorHAnsi"/>
        </w:rPr>
        <w:t xml:space="preserve"> to answer many of the remaining questions</w:t>
      </w:r>
      <w:r>
        <w:rPr>
          <w:rFonts w:asciiTheme="majorHAnsi" w:hAnsiTheme="majorHAnsi"/>
        </w:rPr>
        <w:t xml:space="preserve"> about SRCAP function</w:t>
      </w:r>
      <w:r w:rsidRPr="00227BF6">
        <w:rPr>
          <w:rFonts w:asciiTheme="majorHAnsi" w:hAnsiTheme="majorHAnsi"/>
        </w:rPr>
        <w:t>. Using a promoter array they showed that SRCAP was pre</w:t>
      </w:r>
      <w:r>
        <w:rPr>
          <w:rFonts w:asciiTheme="majorHAnsi" w:hAnsiTheme="majorHAnsi"/>
        </w:rPr>
        <w:t xml:space="preserve">sent at around 10% of promoters, which </w:t>
      </w:r>
      <w:r w:rsidRPr="00227BF6">
        <w:rPr>
          <w:rFonts w:asciiTheme="majorHAnsi" w:hAnsiTheme="majorHAnsi"/>
        </w:rPr>
        <w:t>were both active and inactive. However, active promoters were more enriched for SRCAP, possibly indicating the need for increased levels of H2A</w:t>
      </w:r>
      <w:r>
        <w:rPr>
          <w:rFonts w:asciiTheme="majorHAnsi" w:hAnsiTheme="majorHAnsi"/>
        </w:rPr>
        <w:t>.</w:t>
      </w:r>
      <w:r w:rsidRPr="00227BF6">
        <w:rPr>
          <w:rFonts w:asciiTheme="majorHAnsi" w:hAnsiTheme="majorHAnsi"/>
        </w:rPr>
        <w:t>Z in order to keep up with the rapid turn over of nucleosomes and open chromatin state</w:t>
      </w:r>
      <w:r w:rsidR="00D06F96">
        <w:rPr>
          <w:rFonts w:asciiTheme="majorHAnsi" w:hAnsiTheme="majorHAnsi"/>
        </w:rPr>
        <w:t xml:space="preserve"> for transcriptional proteins to be able to bind</w:t>
      </w:r>
      <w:r w:rsidRPr="00227BF6">
        <w:rPr>
          <w:rFonts w:asciiTheme="majorHAnsi" w:hAnsiTheme="majorHAnsi"/>
        </w:rPr>
        <w:t xml:space="preserve">. </w:t>
      </w:r>
      <w:r w:rsidR="00934B56">
        <w:rPr>
          <w:rFonts w:asciiTheme="majorHAnsi" w:hAnsiTheme="majorHAnsi"/>
        </w:rPr>
        <w:t>Wong et al.</w:t>
      </w:r>
      <w:r w:rsidRPr="00227BF6">
        <w:rPr>
          <w:rFonts w:asciiTheme="majorHAnsi" w:hAnsiTheme="majorHAnsi"/>
        </w:rPr>
        <w:t xml:space="preserve"> hypothesised that certain histone modifications would direct SRCAP recruitment</w:t>
      </w:r>
      <w:r w:rsidR="00CD3CE5">
        <w:rPr>
          <w:rFonts w:asciiTheme="majorHAnsi" w:hAnsiTheme="majorHAnsi"/>
        </w:rPr>
        <w:t xml:space="preserve"> to promoter regions</w:t>
      </w:r>
      <w:r w:rsidRPr="00227BF6">
        <w:rPr>
          <w:rFonts w:asciiTheme="majorHAnsi" w:hAnsiTheme="majorHAnsi"/>
        </w:rPr>
        <w:t xml:space="preserve">. </w:t>
      </w:r>
      <w:r w:rsidR="00934B56">
        <w:rPr>
          <w:rFonts w:asciiTheme="majorHAnsi" w:hAnsiTheme="majorHAnsi"/>
        </w:rPr>
        <w:t>I</w:t>
      </w:r>
      <w:r w:rsidRPr="00227BF6">
        <w:rPr>
          <w:rFonts w:asciiTheme="majorHAnsi" w:hAnsiTheme="majorHAnsi"/>
        </w:rPr>
        <w:t xml:space="preserve">ndeed they </w:t>
      </w:r>
      <w:r w:rsidR="00934B56">
        <w:rPr>
          <w:rFonts w:asciiTheme="majorHAnsi" w:hAnsiTheme="majorHAnsi"/>
        </w:rPr>
        <w:t xml:space="preserve">observed </w:t>
      </w:r>
      <w:r w:rsidRPr="00227BF6">
        <w:rPr>
          <w:rFonts w:asciiTheme="majorHAnsi" w:hAnsiTheme="majorHAnsi"/>
        </w:rPr>
        <w:t xml:space="preserve">that </w:t>
      </w:r>
      <w:r w:rsidR="00934B56">
        <w:rPr>
          <w:rFonts w:asciiTheme="majorHAnsi" w:hAnsiTheme="majorHAnsi"/>
        </w:rPr>
        <w:t xml:space="preserve">the </w:t>
      </w:r>
      <w:r w:rsidRPr="00227BF6">
        <w:rPr>
          <w:rFonts w:asciiTheme="majorHAnsi" w:hAnsiTheme="majorHAnsi"/>
        </w:rPr>
        <w:t>histon</w:t>
      </w:r>
      <w:r w:rsidR="00934B56">
        <w:rPr>
          <w:rFonts w:asciiTheme="majorHAnsi" w:hAnsiTheme="majorHAnsi"/>
        </w:rPr>
        <w:t xml:space="preserve">e modification triMeH3K4 was </w:t>
      </w:r>
      <w:r w:rsidR="00D06F96">
        <w:rPr>
          <w:rFonts w:asciiTheme="majorHAnsi" w:hAnsiTheme="majorHAnsi"/>
        </w:rPr>
        <w:t>up regulated</w:t>
      </w:r>
      <w:r w:rsidRPr="00227BF6">
        <w:rPr>
          <w:rFonts w:asciiTheme="majorHAnsi" w:hAnsiTheme="majorHAnsi"/>
        </w:rPr>
        <w:t xml:space="preserve"> in nucleosomes containing H2A</w:t>
      </w:r>
      <w:r>
        <w:rPr>
          <w:rFonts w:asciiTheme="majorHAnsi" w:hAnsiTheme="majorHAnsi"/>
        </w:rPr>
        <w:t>.</w:t>
      </w:r>
      <w:r w:rsidRPr="00227BF6">
        <w:rPr>
          <w:rFonts w:asciiTheme="majorHAnsi" w:hAnsiTheme="majorHAnsi"/>
        </w:rPr>
        <w:t xml:space="preserve">Z, however, the methylation </w:t>
      </w:r>
      <w:r w:rsidR="00934B56">
        <w:rPr>
          <w:rFonts w:asciiTheme="majorHAnsi" w:hAnsiTheme="majorHAnsi"/>
        </w:rPr>
        <w:t>did not</w:t>
      </w:r>
      <w:r w:rsidRPr="00227BF6">
        <w:rPr>
          <w:rFonts w:asciiTheme="majorHAnsi" w:hAnsiTheme="majorHAnsi"/>
        </w:rPr>
        <w:t xml:space="preserve"> corr</w:t>
      </w:r>
      <w:r>
        <w:rPr>
          <w:rFonts w:asciiTheme="majorHAnsi" w:hAnsiTheme="majorHAnsi"/>
        </w:rPr>
        <w:t xml:space="preserve">espond to SRCAP binding sites, suggesting that </w:t>
      </w:r>
      <w:r w:rsidR="00934B56">
        <w:rPr>
          <w:rFonts w:asciiTheme="majorHAnsi" w:hAnsiTheme="majorHAnsi"/>
        </w:rPr>
        <w:t>it is</w:t>
      </w:r>
      <w:r w:rsidRPr="00227BF6">
        <w:rPr>
          <w:rFonts w:asciiTheme="majorHAnsi" w:hAnsiTheme="majorHAnsi"/>
        </w:rPr>
        <w:t xml:space="preserve"> probably not a specific target for recruitment. </w:t>
      </w:r>
      <w:r w:rsidR="00934B56">
        <w:rPr>
          <w:rFonts w:asciiTheme="majorHAnsi" w:hAnsiTheme="majorHAnsi"/>
        </w:rPr>
        <w:t>Additionally</w:t>
      </w:r>
      <w:r w:rsidRPr="00227BF6">
        <w:rPr>
          <w:rFonts w:asciiTheme="majorHAnsi" w:hAnsiTheme="majorHAnsi"/>
        </w:rPr>
        <w:t xml:space="preserve"> for the first time</w:t>
      </w:r>
      <w:r w:rsidR="00934B56">
        <w:rPr>
          <w:rFonts w:asciiTheme="majorHAnsi" w:hAnsiTheme="majorHAnsi"/>
        </w:rPr>
        <w:t>,</w:t>
      </w:r>
      <w:r w:rsidRPr="00227BF6">
        <w:rPr>
          <w:rFonts w:asciiTheme="majorHAnsi" w:hAnsiTheme="majorHAnsi"/>
        </w:rPr>
        <w:t xml:space="preserve"> Wong et al. presented data showing that knockdown of SRCAP with siRNA correlated to a </w:t>
      </w:r>
      <w:r w:rsidR="00934B56">
        <w:rPr>
          <w:rFonts w:asciiTheme="majorHAnsi" w:hAnsiTheme="majorHAnsi"/>
        </w:rPr>
        <w:t xml:space="preserve">60-80% </w:t>
      </w:r>
      <w:r w:rsidRPr="00227BF6">
        <w:rPr>
          <w:rFonts w:asciiTheme="majorHAnsi" w:hAnsiTheme="majorHAnsi"/>
        </w:rPr>
        <w:t>decrease in H2A</w:t>
      </w:r>
      <w:r>
        <w:rPr>
          <w:rFonts w:asciiTheme="majorHAnsi" w:hAnsiTheme="majorHAnsi"/>
        </w:rPr>
        <w:t>.</w:t>
      </w:r>
      <w:r w:rsidR="00934B56">
        <w:rPr>
          <w:rFonts w:asciiTheme="majorHAnsi" w:hAnsiTheme="majorHAnsi"/>
        </w:rPr>
        <w:t>Z deposition</w:t>
      </w:r>
      <w:r w:rsidRPr="00227BF6">
        <w:rPr>
          <w:rFonts w:asciiTheme="majorHAnsi" w:hAnsiTheme="majorHAnsi"/>
        </w:rPr>
        <w:t xml:space="preserve">, </w:t>
      </w:r>
      <w:r>
        <w:rPr>
          <w:rFonts w:asciiTheme="majorHAnsi" w:hAnsiTheme="majorHAnsi"/>
        </w:rPr>
        <w:t xml:space="preserve">which </w:t>
      </w:r>
      <w:r w:rsidRPr="00227BF6">
        <w:rPr>
          <w:rFonts w:asciiTheme="majorHAnsi" w:hAnsiTheme="majorHAnsi"/>
        </w:rPr>
        <w:t xml:space="preserve">resulted in decreased transcription rates </w:t>
      </w:r>
      <w:r w:rsidR="00934B56">
        <w:rPr>
          <w:rFonts w:asciiTheme="majorHAnsi" w:hAnsiTheme="majorHAnsi"/>
        </w:rPr>
        <w:t>and</w:t>
      </w:r>
      <w:r w:rsidRPr="00227BF6">
        <w:rPr>
          <w:rFonts w:asciiTheme="majorHAnsi" w:hAnsiTheme="majorHAnsi"/>
        </w:rPr>
        <w:t xml:space="preserve"> 40-50% lower mRNA levels. However, whether this was because of the decrease of H2A</w:t>
      </w:r>
      <w:r>
        <w:rPr>
          <w:rFonts w:asciiTheme="majorHAnsi" w:hAnsiTheme="majorHAnsi"/>
        </w:rPr>
        <w:t>.</w:t>
      </w:r>
      <w:r w:rsidRPr="00227BF6">
        <w:rPr>
          <w:rFonts w:asciiTheme="majorHAnsi" w:hAnsiTheme="majorHAnsi"/>
        </w:rPr>
        <w:t>Z or because of the loss of SRCAP CRE</w:t>
      </w:r>
      <w:r>
        <w:rPr>
          <w:rFonts w:asciiTheme="majorHAnsi" w:hAnsiTheme="majorHAnsi"/>
        </w:rPr>
        <w:t>B-mediated transcription remained</w:t>
      </w:r>
      <w:r w:rsidRPr="00227BF6">
        <w:rPr>
          <w:rFonts w:asciiTheme="majorHAnsi" w:hAnsiTheme="majorHAnsi"/>
        </w:rPr>
        <w:t xml:space="preserve"> unknown</w:t>
      </w:r>
      <w:r>
        <w:rPr>
          <w:rFonts w:asciiTheme="majorHAnsi" w:hAnsiTheme="majorHAnsi"/>
        </w:rPr>
        <w:t xml:space="preserve"> </w:t>
      </w:r>
      <w:r w:rsidRPr="00227BF6">
        <w:rPr>
          <w:rFonts w:asciiTheme="majorHAnsi" w:hAnsiTheme="majorHAnsi"/>
        </w:rPr>
        <w:fldChar w:fldCharType="begin"/>
      </w:r>
      <w:r w:rsidRPr="00227BF6">
        <w:rPr>
          <w:rFonts w:asciiTheme="majorHAnsi" w:hAnsiTheme="majorHAnsi"/>
        </w:rPr>
        <w:instrText xml:space="preserve"> ADDIN EN.CITE &lt;EndNote&gt;&lt;Cite&gt;&lt;Author&gt;Wong&lt;/Author&gt;&lt;Year&gt;2007&lt;/Year&gt;&lt;IDText&gt;The chromatin remodeling protein, SRCAP, is critical for deposition of the histone variant H2A.Z at promoters&lt;/IDText&gt;&lt;DisplayText&gt;(Wong et al., 2007)&lt;/DisplayText&gt;&lt;record&gt;&lt;isbn&gt;00219258&lt;/isbn&gt;&lt;titles&gt;&lt;title&gt;The chromatin remodeling protein, SRCAP, is critical for deposition of the histone variant H2A.Z at promoters&lt;/title&gt;&lt;secondary-title&gt;Journal of Biological Chemistry&lt;/secondary-title&gt;&lt;/titles&gt;&lt;pages&gt;26132-26139&lt;/pages&gt;&lt;number&gt;36&lt;/number&gt;&lt;contributors&gt;&lt;authors&gt;&lt;author&gt;Wong, Madeline M.&lt;/author&gt;&lt;author&gt;Cox, Linda K.&lt;/author&gt;&lt;author&gt;Chrivia, John C.&lt;/author&gt;&lt;/authors&gt;&lt;/contributors&gt;&lt;added-date format="utc"&gt;1425999390&lt;/added-date&gt;&lt;ref-type name="Journal Article"&gt;17&lt;/ref-type&gt;&lt;dates&gt;&lt;year&gt;2007&lt;/year&gt;&lt;/dates&gt;&lt;rec-number&gt;106&lt;/rec-number&gt;&lt;last-updated-date format="utc"&gt;1447344290&lt;/last-updated-date&gt;&lt;electronic-resource-num&gt;10.1074/jbc.M703418200&lt;/electronic-resource-num&gt;&lt;volume&gt;282&lt;/volume&gt;&lt;/record&gt;&lt;/Cite&gt;&lt;/EndNote&gt;</w:instrText>
      </w:r>
      <w:r w:rsidRPr="00227BF6">
        <w:rPr>
          <w:rFonts w:asciiTheme="majorHAnsi" w:hAnsiTheme="majorHAnsi"/>
        </w:rPr>
        <w:fldChar w:fldCharType="separate"/>
      </w:r>
      <w:r w:rsidRPr="00227BF6">
        <w:rPr>
          <w:rFonts w:asciiTheme="majorHAnsi" w:hAnsiTheme="majorHAnsi"/>
          <w:noProof/>
        </w:rPr>
        <w:t>(Wong et al., 2007)</w:t>
      </w:r>
      <w:r w:rsidRPr="00227BF6">
        <w:rPr>
          <w:rFonts w:asciiTheme="majorHAnsi" w:hAnsiTheme="majorHAnsi"/>
        </w:rPr>
        <w:fldChar w:fldCharType="end"/>
      </w:r>
      <w:r w:rsidRPr="00227BF6">
        <w:rPr>
          <w:rFonts w:asciiTheme="majorHAnsi" w:hAnsiTheme="majorHAnsi"/>
        </w:rPr>
        <w:t xml:space="preserve">. </w:t>
      </w:r>
    </w:p>
    <w:p w14:paraId="29B03892" w14:textId="77777777" w:rsidR="00B15A35" w:rsidRPr="00227BF6" w:rsidRDefault="00B15A35" w:rsidP="00B15A35">
      <w:pPr>
        <w:spacing w:line="360" w:lineRule="auto"/>
        <w:jc w:val="both"/>
        <w:rPr>
          <w:rFonts w:asciiTheme="majorHAnsi" w:hAnsiTheme="majorHAnsi"/>
        </w:rPr>
      </w:pPr>
    </w:p>
    <w:p w14:paraId="6877096F" w14:textId="6BDA1781" w:rsidR="00B15A35" w:rsidRDefault="00B15A35" w:rsidP="00B15A35">
      <w:pPr>
        <w:spacing w:line="360" w:lineRule="auto"/>
        <w:jc w:val="both"/>
        <w:rPr>
          <w:rFonts w:asciiTheme="majorHAnsi" w:hAnsiTheme="majorHAnsi"/>
        </w:rPr>
      </w:pPr>
      <w:r w:rsidRPr="00227BF6">
        <w:rPr>
          <w:rFonts w:asciiTheme="majorHAnsi" w:hAnsiTheme="majorHAnsi"/>
        </w:rPr>
        <w:t xml:space="preserve">We now know that the </w:t>
      </w:r>
      <w:r w:rsidRPr="00115D33">
        <w:rPr>
          <w:rFonts w:asciiTheme="majorHAnsi" w:hAnsiTheme="majorHAnsi"/>
          <w:i/>
        </w:rPr>
        <w:t>SRCAP</w:t>
      </w:r>
      <w:r w:rsidRPr="00227BF6">
        <w:rPr>
          <w:rFonts w:asciiTheme="majorHAnsi" w:hAnsiTheme="majorHAnsi"/>
        </w:rPr>
        <w:t xml:space="preserve"> gene situated on chromosome 16p11.2 codes for the core catalytic component (ATPase) of the multi-subunit SRCAP complex</w:t>
      </w:r>
      <w:r>
        <w:rPr>
          <w:rFonts w:asciiTheme="majorHAnsi" w:hAnsiTheme="majorHAnsi"/>
        </w:rPr>
        <w:t>, which is a member of the INO80/SWR1 family of ATP dependent chromatin remodelers</w:t>
      </w:r>
      <w:r w:rsidRPr="00227BF6">
        <w:rPr>
          <w:rFonts w:asciiTheme="majorHAnsi" w:hAnsiTheme="majorHAnsi"/>
        </w:rPr>
        <w:t>. This subunit has been shown to be essential in the incorporation of H2A</w:t>
      </w:r>
      <w:r>
        <w:rPr>
          <w:rFonts w:asciiTheme="majorHAnsi" w:hAnsiTheme="majorHAnsi"/>
        </w:rPr>
        <w:t>.</w:t>
      </w:r>
      <w:r w:rsidRPr="00227BF6">
        <w:rPr>
          <w:rFonts w:asciiTheme="majorHAnsi" w:hAnsiTheme="majorHAnsi"/>
        </w:rPr>
        <w:t xml:space="preserve">Z </w:t>
      </w:r>
      <w:r w:rsidR="00CD3CE5">
        <w:rPr>
          <w:rFonts w:asciiTheme="majorHAnsi" w:hAnsiTheme="majorHAnsi"/>
        </w:rPr>
        <w:t xml:space="preserve">to chromatin, </w:t>
      </w:r>
      <w:r w:rsidRPr="00227BF6">
        <w:rPr>
          <w:rFonts w:asciiTheme="majorHAnsi" w:hAnsiTheme="majorHAnsi"/>
        </w:rPr>
        <w:t>and plays a role in many transcription activation pathways</w:t>
      </w:r>
      <w:r>
        <w:rPr>
          <w:rFonts w:asciiTheme="majorHAnsi" w:hAnsiTheme="majorHAnsi"/>
        </w:rPr>
        <w:t xml:space="preserve"> (Figure 1.7)</w:t>
      </w:r>
      <w:r w:rsidRPr="00227BF6">
        <w:rPr>
          <w:rFonts w:asciiTheme="majorHAnsi" w:hAnsiTheme="majorHAnsi"/>
        </w:rPr>
        <w:t xml:space="preserve">. However, the other subunits are also critical and recently their crystallised structures </w:t>
      </w:r>
      <w:r w:rsidR="00CD3CE5">
        <w:rPr>
          <w:rFonts w:asciiTheme="majorHAnsi" w:hAnsiTheme="majorHAnsi"/>
        </w:rPr>
        <w:t xml:space="preserve">have been </w:t>
      </w:r>
      <w:r w:rsidRPr="00227BF6">
        <w:rPr>
          <w:rFonts w:asciiTheme="majorHAnsi" w:hAnsiTheme="majorHAnsi"/>
        </w:rPr>
        <w:t xml:space="preserve">determined and functions elucidated. For example </w:t>
      </w:r>
      <w:r w:rsidR="00CD3CE5">
        <w:rPr>
          <w:rFonts w:asciiTheme="majorHAnsi" w:hAnsiTheme="majorHAnsi"/>
        </w:rPr>
        <w:t xml:space="preserve">subunit </w:t>
      </w:r>
      <w:r w:rsidRPr="00227BF6">
        <w:rPr>
          <w:rFonts w:asciiTheme="majorHAnsi" w:hAnsiTheme="majorHAnsi"/>
        </w:rPr>
        <w:t>YL1 has been shown to bind the H2A</w:t>
      </w:r>
      <w:r>
        <w:rPr>
          <w:rFonts w:asciiTheme="majorHAnsi" w:hAnsiTheme="majorHAnsi"/>
        </w:rPr>
        <w:t>.</w:t>
      </w:r>
      <w:r w:rsidRPr="00227BF6">
        <w:rPr>
          <w:rFonts w:asciiTheme="majorHAnsi" w:hAnsiTheme="majorHAnsi"/>
        </w:rPr>
        <w:t>Z-H2B dimer in order to d</w:t>
      </w:r>
      <w:r w:rsidR="00CD3CE5">
        <w:rPr>
          <w:rFonts w:asciiTheme="majorHAnsi" w:hAnsiTheme="majorHAnsi"/>
        </w:rPr>
        <w:t>eposit it into the nucleosome. I</w:t>
      </w:r>
      <w:r w:rsidRPr="00227BF6">
        <w:rPr>
          <w:rFonts w:asciiTheme="majorHAnsi" w:hAnsiTheme="majorHAnsi"/>
        </w:rPr>
        <w:t>t has four residues essential for</w:t>
      </w:r>
      <w:r w:rsidR="00CD3CE5">
        <w:rPr>
          <w:rFonts w:asciiTheme="majorHAnsi" w:hAnsiTheme="majorHAnsi"/>
        </w:rPr>
        <w:t xml:space="preserve"> this</w:t>
      </w:r>
      <w:r w:rsidRPr="00227BF6">
        <w:rPr>
          <w:rFonts w:asciiTheme="majorHAnsi" w:hAnsiTheme="majorHAnsi"/>
        </w:rPr>
        <w:t xml:space="preserve"> binding</w:t>
      </w:r>
      <w:r w:rsidR="00CD3CE5">
        <w:rPr>
          <w:rFonts w:asciiTheme="majorHAnsi" w:hAnsiTheme="majorHAnsi"/>
        </w:rPr>
        <w:t>,</w:t>
      </w:r>
      <w:r w:rsidRPr="00227BF6">
        <w:rPr>
          <w:rFonts w:asciiTheme="majorHAnsi" w:hAnsiTheme="majorHAnsi"/>
        </w:rPr>
        <w:t xml:space="preserve"> and appears to be the major subunit involved in the final deposition step </w:t>
      </w:r>
      <w:r w:rsidRPr="00227BF6">
        <w:rPr>
          <w:rFonts w:asciiTheme="majorHAnsi" w:hAnsiTheme="majorHAnsi"/>
        </w:rPr>
        <w:fldChar w:fldCharType="begin">
          <w:fldData xml:space="preserve">PEVuZE5vdGU+PENpdGU+PEF1dGhvcj5MaWFuZzwvQXV0aG9yPjxZZWFyPjIwMTY8L1llYXI+PElE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</w:fldData>
        </w:fldChar>
      </w:r>
      <w:r w:rsidRPr="00227BF6">
        <w:rPr>
          <w:rFonts w:asciiTheme="majorHAnsi" w:hAnsiTheme="majorHAnsi"/>
        </w:rPr>
        <w:instrText xml:space="preserve"> ADDIN EN.CITE </w:instrText>
      </w:r>
      <w:r w:rsidRPr="00227BF6">
        <w:rPr>
          <w:rFonts w:asciiTheme="majorHAnsi" w:hAnsiTheme="majorHAnsi"/>
        </w:rPr>
        <w:fldChar w:fldCharType="begin">
          <w:fldData xml:space="preserve">PEVuZE5vdGU+PENpdGU+PEF1dGhvcj5MaWFuZzwvQXV0aG9yPjxZZWFyPjIwMTY8L1llYXI+PElE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</w:fldData>
        </w:fldChar>
      </w:r>
      <w:r w:rsidRPr="00227BF6">
        <w:rPr>
          <w:rFonts w:asciiTheme="majorHAnsi" w:hAnsiTheme="majorHAnsi"/>
        </w:rPr>
        <w:instrText xml:space="preserve"> ADDIN EN.CITE.DATA </w:instrText>
      </w:r>
      <w:r w:rsidRPr="00227BF6">
        <w:rPr>
          <w:rFonts w:asciiTheme="majorHAnsi" w:hAnsiTheme="majorHAnsi"/>
        </w:rPr>
      </w:r>
      <w:r w:rsidRPr="00227BF6">
        <w:rPr>
          <w:rFonts w:asciiTheme="majorHAnsi" w:hAnsiTheme="majorHAnsi"/>
        </w:rPr>
        <w:fldChar w:fldCharType="end"/>
      </w:r>
      <w:r w:rsidRPr="00227BF6">
        <w:rPr>
          <w:rFonts w:asciiTheme="majorHAnsi" w:hAnsiTheme="majorHAnsi"/>
        </w:rPr>
      </w:r>
      <w:r w:rsidRPr="00227BF6">
        <w:rPr>
          <w:rFonts w:asciiTheme="majorHAnsi" w:hAnsiTheme="majorHAnsi"/>
        </w:rPr>
        <w:fldChar w:fldCharType="separate"/>
      </w:r>
      <w:r w:rsidRPr="00227BF6">
        <w:rPr>
          <w:rFonts w:asciiTheme="majorHAnsi" w:hAnsiTheme="majorHAnsi"/>
          <w:noProof/>
        </w:rPr>
        <w:t>(Liang et al., 2016, Latrick et al., 2016)</w:t>
      </w:r>
      <w:r w:rsidRPr="00227BF6">
        <w:rPr>
          <w:rFonts w:asciiTheme="majorHAnsi" w:hAnsiTheme="majorHAnsi"/>
        </w:rPr>
        <w:fldChar w:fldCharType="end"/>
      </w:r>
      <w:r w:rsidRPr="00227BF6">
        <w:rPr>
          <w:rFonts w:asciiTheme="majorHAnsi" w:hAnsiTheme="majorHAnsi"/>
        </w:rPr>
        <w:t xml:space="preserve">. </w:t>
      </w:r>
    </w:p>
    <w:p w14:paraId="39B1E3B5" w14:textId="77777777" w:rsidR="00B15A35" w:rsidRDefault="00B15A35" w:rsidP="00B15A35">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134400" behindDoc="0" locked="0" layoutInCell="1" allowOverlap="1" wp14:anchorId="0C988B24" wp14:editId="531E9B13">
                <wp:simplePos x="0" y="0"/>
                <wp:positionH relativeFrom="column">
                  <wp:posOffset>0</wp:posOffset>
                </wp:positionH>
                <wp:positionV relativeFrom="paragraph">
                  <wp:posOffset>3328035</wp:posOffset>
                </wp:positionV>
                <wp:extent cx="5372100" cy="1143000"/>
                <wp:effectExtent l="0" t="0" r="0" b="0"/>
                <wp:wrapSquare wrapText="bothSides"/>
                <wp:docPr id="370" name="Text Box 370"/>
                <wp:cNvGraphicFramePr/>
                <a:graphic xmlns:a="http://schemas.openxmlformats.org/drawingml/2006/main">
                  <a:graphicData uri="http://schemas.microsoft.com/office/word/2010/wordprocessingShape">
                    <wps:wsp>
                      <wps:cNvSpPr txBox="1"/>
                      <wps:spPr>
                        <a:xfrm>
                          <a:off x="0" y="0"/>
                          <a:ext cx="53721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4F36B3" w14:textId="4D4B8844" w:rsidR="00E82D3B" w:rsidRDefault="00E82D3B" w:rsidP="00B15A35">
                            <w:pPr>
                              <w:rPr>
                                <w:b/>
                                <w:i/>
                                <w:sz w:val="22"/>
                              </w:rPr>
                            </w:pPr>
                            <w:r w:rsidRPr="00153D69">
                              <w:rPr>
                                <w:b/>
                                <w:i/>
                                <w:sz w:val="22"/>
                              </w:rPr>
                              <w:t>F</w:t>
                            </w:r>
                            <w:r>
                              <w:rPr>
                                <w:b/>
                                <w:i/>
                                <w:sz w:val="22"/>
                              </w:rPr>
                              <w:t>igure 1.7 SRCAP’s role in chromatin remodelling</w:t>
                            </w:r>
                          </w:p>
                          <w:p w14:paraId="13F25A61" w14:textId="77777777" w:rsidR="00E82D3B" w:rsidRPr="00153D69" w:rsidRDefault="00E82D3B" w:rsidP="00B15A35">
                            <w:pPr>
                              <w:jc w:val="both"/>
                              <w:rPr>
                                <w:i/>
                                <w:sz w:val="22"/>
                              </w:rPr>
                            </w:pPr>
                            <w:r>
                              <w:rPr>
                                <w:i/>
                                <w:sz w:val="22"/>
                              </w:rPr>
                              <w:t xml:space="preserve">SRCAP uses the hydrolysis of ATP to catalyse the removal of the H2A-H2B histone dimer for its variant H2A.Z-H2B. In doing this it allows creates and more unstable nucleosome which means the histones are held further apart and this in turns means the DNA wound around the histones is more loosely compacted. This more open architecture means transcription factors gain access to the DNA, bind and can activate transcription.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0" o:spid="_x0000_s1033" type="#_x0000_t202" style="position:absolute;left:0;text-align:left;margin-left:0;margin-top:262.05pt;width:423pt;height:90pt;z-index:25213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" filled="f" stroked="f">
                <v:textbox>
                  <w:txbxContent>
                    <w:p w14:paraId="624F36B3" w14:textId="4D4B8844" w:rsidR="000A1E0D" w:rsidRDefault="000A1E0D" w:rsidP="00B15A35">
                      <w:pPr>
                        <w:rPr>
                          <w:b/>
                          <w:i/>
                          <w:sz w:val="22"/>
                        </w:rPr>
                      </w:pPr>
                      <w:r w:rsidRPr="00153D69">
                        <w:rPr>
                          <w:b/>
                          <w:i/>
                          <w:sz w:val="22"/>
                        </w:rPr>
                        <w:t>F</w:t>
                      </w:r>
                      <w:r>
                        <w:rPr>
                          <w:b/>
                          <w:i/>
                          <w:sz w:val="22"/>
                        </w:rPr>
                        <w:t>igure 1.7 SRCAP’s role in chromatin remodelling</w:t>
                      </w:r>
                    </w:p>
                    <w:p w14:paraId="13F25A61" w14:textId="77777777" w:rsidR="000A1E0D" w:rsidRPr="00153D69" w:rsidRDefault="000A1E0D" w:rsidP="00B15A35">
                      <w:pPr>
                        <w:jc w:val="both"/>
                        <w:rPr>
                          <w:i/>
                          <w:sz w:val="22"/>
                        </w:rPr>
                      </w:pPr>
                      <w:r>
                        <w:rPr>
                          <w:i/>
                          <w:sz w:val="22"/>
                        </w:rPr>
                        <w:t xml:space="preserve">SRCAP uses the hydrolysis of ATP to catalyse the removal of the H2A-H2B histone dimer for its variant H2A.Z-H2B. In doing this it allows creates and more unstable nucleosome which means the histones are held further apart and this in turns means the DNA wound around the histones is more loosely compacted. This more open architecture means transcription factors gain access to the DNA, bind and can activate transcription. </w:t>
                      </w:r>
                    </w:p>
                  </w:txbxContent>
                </v:textbox>
                <w10:wrap type="square"/>
              </v:shape>
            </w:pict>
          </mc:Fallback>
        </mc:AlternateContent>
      </w:r>
      <w:r>
        <w:rPr>
          <w:rFonts w:asciiTheme="majorHAnsi" w:hAnsiTheme="majorHAnsi"/>
          <w:noProof/>
          <w:lang w:val="en-US"/>
        </w:rPr>
        <w:drawing>
          <wp:anchor distT="0" distB="0" distL="114300" distR="114300" simplePos="0" relativeHeight="252133376" behindDoc="0" locked="0" layoutInCell="1" allowOverlap="1" wp14:anchorId="58300E2E" wp14:editId="469CD23A">
            <wp:simplePos x="0" y="0"/>
            <wp:positionH relativeFrom="column">
              <wp:posOffset>0</wp:posOffset>
            </wp:positionH>
            <wp:positionV relativeFrom="paragraph">
              <wp:posOffset>241935</wp:posOffset>
            </wp:positionV>
            <wp:extent cx="5391785" cy="2869565"/>
            <wp:effectExtent l="0" t="0" r="0" b="635"/>
            <wp:wrapSquare wrapText="bothSides"/>
            <wp:docPr id="377" name="Picture 377" descr="Macintosh HD:Users:ClairFellows:Desktop:Screen Shot 2017-11-02 at 14.0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lairFellows:Desktop:Screen Shot 2017-11-02 at 14.03.5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1785" cy="2869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95E4F" w14:textId="2497048E" w:rsidR="00B15A35" w:rsidRPr="00227BF6" w:rsidRDefault="00CD3CE5" w:rsidP="00B15A35">
      <w:pPr>
        <w:spacing w:line="360" w:lineRule="auto"/>
        <w:jc w:val="both"/>
        <w:rPr>
          <w:rFonts w:asciiTheme="majorHAnsi" w:hAnsiTheme="majorHAnsi"/>
        </w:rPr>
      </w:pPr>
      <w:r>
        <w:rPr>
          <w:rFonts w:asciiTheme="majorHAnsi" w:hAnsiTheme="majorHAnsi"/>
        </w:rPr>
        <w:t xml:space="preserve">Changes </w:t>
      </w:r>
      <w:r w:rsidR="00B15A35">
        <w:rPr>
          <w:rFonts w:asciiTheme="majorHAnsi" w:hAnsiTheme="majorHAnsi"/>
        </w:rPr>
        <w:t xml:space="preserve">to H2A.Z </w:t>
      </w:r>
      <w:r>
        <w:rPr>
          <w:rFonts w:asciiTheme="majorHAnsi" w:hAnsiTheme="majorHAnsi"/>
        </w:rPr>
        <w:t>levels have</w:t>
      </w:r>
      <w:r w:rsidR="00B15A35">
        <w:rPr>
          <w:rFonts w:asciiTheme="majorHAnsi" w:hAnsiTheme="majorHAnsi"/>
        </w:rPr>
        <w:t xml:space="preserve"> been implicated in the progression of tumourigenesis (discussed in detail in 1.5.IV) and therefore it would be expected that differing levels of the protein involved in H2A.Z deposition, namely SRCAP, would also have associations with cancer development. </w:t>
      </w:r>
      <w:r>
        <w:rPr>
          <w:rFonts w:asciiTheme="majorHAnsi" w:hAnsiTheme="majorHAnsi"/>
        </w:rPr>
        <w:t>Consistent with this idea,</w:t>
      </w:r>
      <w:r w:rsidR="00B15A35">
        <w:rPr>
          <w:rFonts w:asciiTheme="majorHAnsi" w:hAnsiTheme="majorHAnsi"/>
        </w:rPr>
        <w:t xml:space="preserve"> other chromatin remodelers have been shown to play </w:t>
      </w:r>
      <w:r>
        <w:rPr>
          <w:rFonts w:asciiTheme="majorHAnsi" w:hAnsiTheme="majorHAnsi"/>
        </w:rPr>
        <w:t>a vital role in tumourigenesis.</w:t>
      </w:r>
    </w:p>
    <w:p w14:paraId="73993F0B" w14:textId="77777777" w:rsidR="00B15A35" w:rsidRPr="001B6698" w:rsidRDefault="00B15A35" w:rsidP="00B15A35">
      <w:pPr>
        <w:spacing w:line="360" w:lineRule="auto"/>
        <w:jc w:val="both"/>
        <w:rPr>
          <w:rFonts w:asciiTheme="majorHAnsi" w:hAnsiTheme="majorHAnsi"/>
          <w:b/>
          <w:i/>
        </w:rPr>
      </w:pPr>
    </w:p>
    <w:p w14:paraId="59147CD6" w14:textId="77777777" w:rsidR="00B15A35" w:rsidRPr="009F260C" w:rsidRDefault="00B15A35" w:rsidP="002F41C6">
      <w:pPr>
        <w:pStyle w:val="ListParagraph"/>
        <w:numPr>
          <w:ilvl w:val="0"/>
          <w:numId w:val="37"/>
        </w:numPr>
        <w:spacing w:line="360" w:lineRule="auto"/>
        <w:jc w:val="both"/>
        <w:rPr>
          <w:rFonts w:asciiTheme="majorHAnsi" w:hAnsiTheme="majorHAnsi"/>
          <w:b/>
          <w:i/>
        </w:rPr>
      </w:pPr>
      <w:r w:rsidRPr="009F260C">
        <w:rPr>
          <w:rFonts w:asciiTheme="majorHAnsi" w:hAnsiTheme="majorHAnsi"/>
          <w:b/>
          <w:i/>
        </w:rPr>
        <w:t>Floating Harbor Syndrome</w:t>
      </w:r>
    </w:p>
    <w:p w14:paraId="0205F0B1" w14:textId="3ECEB40A" w:rsidR="00B15A35" w:rsidRDefault="00B15A35" w:rsidP="00B15A35">
      <w:pPr>
        <w:spacing w:line="360" w:lineRule="auto"/>
        <w:jc w:val="both"/>
        <w:rPr>
          <w:rFonts w:asciiTheme="majorHAnsi" w:hAnsiTheme="majorHAnsi"/>
        </w:rPr>
      </w:pPr>
      <w:r>
        <w:rPr>
          <w:rFonts w:asciiTheme="majorHAnsi" w:hAnsiTheme="majorHAnsi"/>
        </w:rPr>
        <w:t xml:space="preserve">Floating Harbor syndrome (FHS) is a rare autosomal dominant disease characterised by distinctive facial features such as a wide flat mouth, thin upper lip and triangular face, as well as skeletal development delay and intellectual disabilities </w:t>
      </w:r>
      <w:r>
        <w:rPr>
          <w:rFonts w:asciiTheme="majorHAnsi" w:hAnsiTheme="majorHAnsi"/>
        </w:rPr>
        <w:fldChar w:fldCharType="begin"/>
      </w:r>
      <w:r>
        <w:rPr>
          <w:rFonts w:asciiTheme="majorHAnsi" w:hAnsiTheme="majorHAnsi"/>
        </w:rPr>
        <w:instrText xml:space="preserve"> ADDIN EN.CITE &lt;EndNote&gt;&lt;Cite&gt;&lt;Author&gt;Seifert&lt;/Author&gt;&lt;Year&gt;2014&lt;/Year&gt;&lt;IDText&gt;Expanded spectrum of exon 33 and 34 mutations in SRCAP and follow-up in patients with Floating-Harbor syndrome&lt;/IDText&gt;&lt;DisplayText&gt;(Seifert et al., 2014)&lt;/DisplayText&gt;&lt;record&gt;&lt;dates&gt;&lt;pub-dates&gt;&lt;date&gt;Nov&lt;/date&gt;&lt;/pub-dates&gt;&lt;year&gt;2014&lt;/year&gt;&lt;/dates&gt;&lt;keywords&gt;&lt;keyword&gt;Abnormalities, Multiple&lt;/keyword&gt;&lt;keyword&gt;Adenosine Triphosphatases&lt;/keyword&gt;&lt;keyword&gt;Child&lt;/keyword&gt;&lt;keyword&gt;Child, Preschool&lt;/keyword&gt;&lt;keyword&gt;Codon, Terminator&lt;/keyword&gt;&lt;keyword&gt;Craniofacial Abnormalities&lt;/keyword&gt;&lt;keyword&gt;DNA Mutational Analysis&lt;/keyword&gt;&lt;keyword&gt;Exons&lt;/keyword&gt;&lt;keyword&gt;Female&lt;/keyword&gt;&lt;keyword&gt;Frameshift Mutation&lt;/keyword&gt;&lt;keyword&gt;Growth Disorders&lt;/keyword&gt;&lt;keyword&gt;Heart Septal Defects, Ventricular&lt;/keyword&gt;&lt;keyword&gt;Humans&lt;/keyword&gt;&lt;keyword&gt;Sequence Analysis, DNA&lt;/keyword&gt;&lt;keyword&gt;Young Adult&lt;/keyword&gt;&lt;/keywords&gt;&lt;urls&gt;&lt;related-urls&gt;&lt;url&gt;https://www.ncbi.nlm.nih.gov/pubmed/25433523&lt;/url&gt;&lt;/related-urls&gt;&lt;/urls&gt;&lt;isbn&gt;1471-2350&lt;/isbn&gt;&lt;custom2&gt;PMC4412025&lt;/custom2&gt;&lt;titles&gt;&lt;title&gt;Expanded spectrum of exon 33 and 34 mutations in SRCAP and follow-up in patients with Floating-Harbor syndrome&lt;/title&gt;&lt;secondary-title&gt;BMC Med Genet&lt;/secondary-title&gt;&lt;/titles&gt;&lt;pages&gt;127&lt;/pages&gt;&lt;contributors&gt;&lt;authors&gt;&lt;author&gt;Seifert, W.&lt;/author&gt;&lt;author&gt;Meinecke, P.&lt;/author&gt;&lt;author&gt;Krüger, G.&lt;/author&gt;&lt;author&gt;Rossier, E.&lt;/author&gt;&lt;author&gt;Heinritz, W.&lt;/author&gt;&lt;author&gt;Wüsthof, A.&lt;/author&gt;&lt;author&gt;Horn, D.&lt;/author&gt;&lt;/authors&gt;&lt;/contributors&gt;&lt;edition&gt;2014/11/30&lt;/edition&gt;&lt;language&gt;eng&lt;/language&gt;&lt;added-date format="utc"&gt;1501068687&lt;/added-date&gt;&lt;ref-type name="Journal Article"&gt;17&lt;/ref-type&gt;&lt;rec-number&gt;211&lt;/rec-number&gt;&lt;last-updated-date format="utc"&gt;1501068687&lt;/last-updated-date&gt;&lt;accession-num&gt;25433523&lt;/accession-num&gt;&lt;electronic-resource-num&gt;10.1186/s12881-014-0127-0&lt;/electronic-resource-num&gt;&lt;volume&gt;15&lt;/volume&gt;&lt;/record&gt;&lt;/Cite&gt;&lt;/EndNote&gt;</w:instrText>
      </w:r>
      <w:r>
        <w:rPr>
          <w:rFonts w:asciiTheme="majorHAnsi" w:hAnsiTheme="majorHAnsi"/>
        </w:rPr>
        <w:fldChar w:fldCharType="separate"/>
      </w:r>
      <w:r>
        <w:rPr>
          <w:rFonts w:asciiTheme="majorHAnsi" w:hAnsiTheme="majorHAnsi"/>
          <w:noProof/>
        </w:rPr>
        <w:t>(Seifert et al., 2014)</w:t>
      </w:r>
      <w:r>
        <w:rPr>
          <w:rFonts w:asciiTheme="majorHAnsi" w:hAnsiTheme="majorHAnsi"/>
        </w:rPr>
        <w:fldChar w:fldCharType="end"/>
      </w:r>
      <w:r>
        <w:rPr>
          <w:rFonts w:asciiTheme="majorHAnsi" w:hAnsiTheme="majorHAnsi"/>
        </w:rPr>
        <w:t xml:space="preserve">. Its name originates from the two hospitals where it was first reported Boston’s Floating Hospital in 1973 and Harbor General Hospital in California in 1975 </w:t>
      </w:r>
      <w:r>
        <w:rPr>
          <w:rFonts w:asciiTheme="majorHAnsi" w:hAnsiTheme="majorHAnsi"/>
        </w:rPr>
        <w:fldChar w:fldCharType="begin"/>
      </w:r>
      <w:r>
        <w:rPr>
          <w:rFonts w:asciiTheme="majorHAnsi" w:hAnsiTheme="majorHAnsi"/>
        </w:rPr>
        <w:instrText xml:space="preserve"> ADDIN EN.CITE &lt;EndNote&gt;&lt;Cite&gt;&lt;Author&gt;Messina&lt;/Author&gt;&lt;Year&gt;2016&lt;/Year&gt;&lt;IDText&gt;When chromatin organisation floats astray: the Srcap gene and Floating-Harbor syndrome&lt;/IDText&gt;&lt;DisplayText&gt;(Messina et al., 2016)&lt;/DisplayText&gt;&lt;record&gt;&lt;dates&gt;&lt;pub-dates&gt;&lt;date&gt;Dec&lt;/date&gt;&lt;/pub-dates&gt;&lt;year&gt;2016&lt;/year&gt;&lt;/dates&gt;&lt;urls&gt;&lt;related-urls&gt;&lt;url&gt;https://www.ncbi.nlm.nih.gov/pubmed/27208210&lt;/url&gt;&lt;/related-urls&gt;&lt;/urls&gt;&lt;isbn&gt;1468-6244&lt;/isbn&gt;&lt;titles&gt;&lt;title&gt;When chromatin organisation floats astray: the Srcap gene and Floating-Harbor syndrome&lt;/title&gt;&lt;secondary-title&gt;J Med Genet&lt;/secondary-title&gt;&lt;/titles&gt;&lt;pages&gt;793-797&lt;/pages&gt;&lt;number&gt;12&lt;/number&gt;&lt;contributors&gt;&lt;authors&gt;&lt;author&gt;Messina, G.&lt;/author&gt;&lt;author&gt;Atterrato, M. T.&lt;/author&gt;&lt;author&gt;Dimitri, P.&lt;/author&gt;&lt;/authors&gt;&lt;/contributors&gt;&lt;edition&gt;2016/04/26&lt;/edition&gt;&lt;language&gt;eng&lt;/language&gt;&lt;added-date format="utc"&gt;1501062996&lt;/added-date&gt;&lt;ref-type name="Journal Article"&gt;17&lt;/ref-type&gt;&lt;rec-number&gt;206&lt;/rec-number&gt;&lt;last-updated-date format="utc"&gt;1501062996&lt;/last-updated-date&gt;&lt;accession-num&gt;27208210&lt;/accession-num&gt;&lt;electronic-resource-num&gt;10.1136/jmedgenet-2016-103842&lt;/electronic-resource-num&gt;&lt;volume&gt;53&lt;/volume&gt;&lt;/record&gt;&lt;/Cite&gt;&lt;/EndNote&gt;</w:instrText>
      </w:r>
      <w:r>
        <w:rPr>
          <w:rFonts w:asciiTheme="majorHAnsi" w:hAnsiTheme="majorHAnsi"/>
        </w:rPr>
        <w:fldChar w:fldCharType="separate"/>
      </w:r>
      <w:r>
        <w:rPr>
          <w:rFonts w:asciiTheme="majorHAnsi" w:hAnsiTheme="majorHAnsi"/>
          <w:noProof/>
        </w:rPr>
        <w:t>(Messina et al., 2016)</w:t>
      </w:r>
      <w:r>
        <w:rPr>
          <w:rFonts w:asciiTheme="majorHAnsi" w:hAnsiTheme="majorHAnsi"/>
        </w:rPr>
        <w:fldChar w:fldCharType="end"/>
      </w:r>
      <w:r>
        <w:rPr>
          <w:rFonts w:asciiTheme="majorHAnsi" w:hAnsiTheme="majorHAnsi"/>
        </w:rPr>
        <w:t xml:space="preserve">. Although the disease was clinically characterised many years ago it </w:t>
      </w:r>
      <w:r w:rsidR="00CD3CE5">
        <w:rPr>
          <w:rFonts w:asciiTheme="majorHAnsi" w:hAnsiTheme="majorHAnsi"/>
        </w:rPr>
        <w:t>was only</w:t>
      </w:r>
      <w:r>
        <w:rPr>
          <w:rFonts w:asciiTheme="majorHAnsi" w:hAnsiTheme="majorHAnsi"/>
        </w:rPr>
        <w:t xml:space="preserve"> recently that high-throughput genetic sequencing of 13 patients uncovered the underlying</w:t>
      </w:r>
      <w:r w:rsidR="00CD3CE5">
        <w:rPr>
          <w:rFonts w:asciiTheme="majorHAnsi" w:hAnsiTheme="majorHAnsi"/>
        </w:rPr>
        <w:t xml:space="preserve"> genetic cause- a heterozygous C</w:t>
      </w:r>
      <w:r>
        <w:rPr>
          <w:rFonts w:asciiTheme="majorHAnsi" w:hAnsiTheme="majorHAnsi"/>
        </w:rPr>
        <w:t xml:space="preserve">-terminal truncating mutation in </w:t>
      </w:r>
      <w:r w:rsidRPr="009A0EDB">
        <w:rPr>
          <w:rFonts w:asciiTheme="majorHAnsi" w:hAnsiTheme="majorHAnsi"/>
          <w:i/>
        </w:rPr>
        <w:t>SRCAP</w:t>
      </w:r>
      <w:r>
        <w:rPr>
          <w:rFonts w:asciiTheme="majorHAnsi" w:hAnsiTheme="majorHAnsi"/>
        </w:rPr>
        <w:t xml:space="preserve">, </w:t>
      </w:r>
      <w:r w:rsidR="00CD3CE5">
        <w:rPr>
          <w:rFonts w:asciiTheme="majorHAnsi" w:hAnsiTheme="majorHAnsi"/>
        </w:rPr>
        <w:t xml:space="preserve">resulting in the loss of </w:t>
      </w:r>
      <w:r>
        <w:rPr>
          <w:rFonts w:asciiTheme="majorHAnsi" w:hAnsiTheme="majorHAnsi"/>
        </w:rPr>
        <w:t>functional domains. The delay in finding the genetic cause could be due to the rarity of the disease with only around 50 cases being reported in the literature and the fact that the majority seem to arise spontaneously</w:t>
      </w:r>
      <w:r w:rsidR="00CD3CE5">
        <w:rPr>
          <w:rFonts w:asciiTheme="majorHAnsi" w:hAnsiTheme="majorHAnsi"/>
        </w:rPr>
        <w:t>,</w:t>
      </w:r>
      <w:r>
        <w:rPr>
          <w:rFonts w:asciiTheme="majorHAnsi" w:hAnsiTheme="majorHAnsi"/>
        </w:rPr>
        <w:t xml:space="preserve"> with less than 10% due to heritability </w:t>
      </w:r>
      <w:r>
        <w:rPr>
          <w:rFonts w:asciiTheme="majorHAnsi" w:hAnsiTheme="majorHAnsi"/>
        </w:rPr>
        <w:fldChar w:fldCharType="begin">
          <w:fldData xml:space="preserve">PEVuZE5vdGU+PENpdGU+PEF1dGhvcj5Ib29kPC9BdXRob3I+PFllYXI+MjAxMjwvWWVhcj48SURU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PEVuZE5vdGU+PENpdGU+PEF1dGhvcj5Ib29kPC9BdXRob3I+PFllYXI+MjAxMjwvWWVhcj48SURU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(Hood et al., 2012)</w:t>
      </w:r>
      <w:r>
        <w:rPr>
          <w:rFonts w:asciiTheme="majorHAnsi" w:hAnsiTheme="majorHAnsi"/>
        </w:rPr>
        <w:fldChar w:fldCharType="end"/>
      </w:r>
      <w:r>
        <w:rPr>
          <w:rFonts w:asciiTheme="majorHAnsi" w:hAnsiTheme="majorHAnsi"/>
        </w:rPr>
        <w:t xml:space="preserve">. All the mutations were nonsense or frame-shift </w:t>
      </w:r>
      <w:r w:rsidR="00CD3CE5">
        <w:rPr>
          <w:rFonts w:asciiTheme="majorHAnsi" w:hAnsiTheme="majorHAnsi"/>
        </w:rPr>
        <w:t xml:space="preserve">variants </w:t>
      </w:r>
      <w:r>
        <w:rPr>
          <w:rFonts w:asciiTheme="majorHAnsi" w:hAnsiTheme="majorHAnsi"/>
        </w:rPr>
        <w:t xml:space="preserve">and </w:t>
      </w:r>
      <w:r w:rsidR="00CD3CE5">
        <w:rPr>
          <w:rFonts w:asciiTheme="majorHAnsi" w:hAnsiTheme="majorHAnsi"/>
        </w:rPr>
        <w:t xml:space="preserve">were </w:t>
      </w:r>
      <w:r>
        <w:rPr>
          <w:rFonts w:asciiTheme="majorHAnsi" w:hAnsiTheme="majorHAnsi"/>
        </w:rPr>
        <w:t xml:space="preserve">found clustered in exon 34 of </w:t>
      </w:r>
      <w:r w:rsidRPr="009A0EDB">
        <w:rPr>
          <w:rFonts w:asciiTheme="majorHAnsi" w:hAnsiTheme="majorHAnsi"/>
          <w:i/>
        </w:rPr>
        <w:t>SRCAP</w:t>
      </w:r>
      <w:r w:rsidR="00CD3CE5">
        <w:rPr>
          <w:rFonts w:asciiTheme="majorHAnsi" w:hAnsiTheme="majorHAnsi"/>
        </w:rPr>
        <w:t>, possibly affecting the three C</w:t>
      </w:r>
      <w:r>
        <w:rPr>
          <w:rFonts w:asciiTheme="majorHAnsi" w:hAnsiTheme="majorHAnsi"/>
        </w:rPr>
        <w:t xml:space="preserve">-terminal AT-hook motifs for binding DNA. However, it is yet unclear what effects the mutation has on transcriptional activity and how this affects phenotype. A recent paper hypothesised that the truncated SRCAP variants either compete with wild type SRCAP for chromatin binding sites or that they actually interact and form heterodimers, resulting in the loss of binding potential and therefore chromatin remodelling </w:t>
      </w:r>
      <w:r>
        <w:rPr>
          <w:rFonts w:asciiTheme="majorHAnsi" w:hAnsiTheme="majorHAnsi"/>
        </w:rPr>
        <w:fldChar w:fldCharType="begin"/>
      </w:r>
      <w:r>
        <w:rPr>
          <w:rFonts w:asciiTheme="majorHAnsi" w:hAnsiTheme="majorHAnsi"/>
        </w:rPr>
        <w:instrText xml:space="preserve"> ADDIN EN.CITE &lt;EndNote&gt;&lt;Cite&gt;&lt;Author&gt;Messina&lt;/Author&gt;&lt;Year&gt;2016&lt;/Year&gt;&lt;IDText&gt;When chromatin organisation floats astray: the Srcap gene and Floating-Harbor syndrome&lt;/IDText&gt;&lt;DisplayText&gt;(Messina et al., 2016)&lt;/DisplayText&gt;&lt;record&gt;&lt;dates&gt;&lt;pub-dates&gt;&lt;date&gt;Dec&lt;/date&gt;&lt;/pub-dates&gt;&lt;year&gt;2016&lt;/year&gt;&lt;/dates&gt;&lt;urls&gt;&lt;related-urls&gt;&lt;url&gt;https://www.ncbi.nlm.nih.gov/pubmed/27208210&lt;/url&gt;&lt;/related-urls&gt;&lt;/urls&gt;&lt;isbn&gt;1468-6244&lt;/isbn&gt;&lt;titles&gt;&lt;title&gt;When chromatin organisation floats astray: the Srcap gene and Floating-Harbor syndrome&lt;/title&gt;&lt;secondary-title&gt;J Med Genet&lt;/secondary-title&gt;&lt;/titles&gt;&lt;pages&gt;793-797&lt;/pages&gt;&lt;number&gt;12&lt;/number&gt;&lt;contributors&gt;&lt;authors&gt;&lt;author&gt;Messina, G.&lt;/author&gt;&lt;author&gt;Atterrato, M. T.&lt;/author&gt;&lt;author&gt;Dimitri, P.&lt;/author&gt;&lt;/authors&gt;&lt;/contributors&gt;&lt;edition&gt;2016/04/26&lt;/edition&gt;&lt;language&gt;eng&lt;/language&gt;&lt;added-date format="utc"&gt;1501062996&lt;/added-date&gt;&lt;ref-type name="Journal Article"&gt;17&lt;/ref-type&gt;&lt;rec-number&gt;206&lt;/rec-number&gt;&lt;last-updated-date format="utc"&gt;1501062996&lt;/last-updated-date&gt;&lt;accession-num&gt;27208210&lt;/accession-num&gt;&lt;electronic-resource-num&gt;10.1136/jmedgenet-2016-103842&lt;/electronic-resource-num&gt;&lt;volume&gt;53&lt;/volume&gt;&lt;/record&gt;&lt;/Cite&gt;&lt;/EndNote&gt;</w:instrText>
      </w:r>
      <w:r>
        <w:rPr>
          <w:rFonts w:asciiTheme="majorHAnsi" w:hAnsiTheme="majorHAnsi"/>
        </w:rPr>
        <w:fldChar w:fldCharType="separate"/>
      </w:r>
      <w:r>
        <w:rPr>
          <w:rFonts w:asciiTheme="majorHAnsi" w:hAnsiTheme="majorHAnsi"/>
          <w:noProof/>
        </w:rPr>
        <w:t>(Messina et al., 2016)</w:t>
      </w:r>
      <w:r>
        <w:rPr>
          <w:rFonts w:asciiTheme="majorHAnsi" w:hAnsiTheme="majorHAnsi"/>
        </w:rPr>
        <w:fldChar w:fldCharType="end"/>
      </w:r>
      <w:r>
        <w:rPr>
          <w:rFonts w:asciiTheme="majorHAnsi" w:hAnsiTheme="majorHAnsi"/>
        </w:rPr>
        <w:t>, however there is</w:t>
      </w:r>
      <w:r w:rsidR="00CD3CE5">
        <w:rPr>
          <w:rFonts w:asciiTheme="majorHAnsi" w:hAnsiTheme="majorHAnsi"/>
        </w:rPr>
        <w:t xml:space="preserve"> yet no evidence to support this</w:t>
      </w:r>
      <w:r>
        <w:rPr>
          <w:rFonts w:asciiTheme="majorHAnsi" w:hAnsiTheme="majorHAnsi"/>
        </w:rPr>
        <w:t xml:space="preserve">. </w:t>
      </w:r>
    </w:p>
    <w:p w14:paraId="38EF6CB3" w14:textId="77777777" w:rsidR="00B15A35" w:rsidRDefault="00B15A35" w:rsidP="00B15A35">
      <w:pPr>
        <w:spacing w:line="360" w:lineRule="auto"/>
        <w:jc w:val="both"/>
        <w:rPr>
          <w:rFonts w:asciiTheme="majorHAnsi" w:hAnsiTheme="majorHAnsi"/>
        </w:rPr>
      </w:pPr>
    </w:p>
    <w:p w14:paraId="12966DE2" w14:textId="76F8F82B" w:rsidR="007D5361" w:rsidRPr="00A845F0" w:rsidRDefault="00B15A35" w:rsidP="00B15A35">
      <w:pPr>
        <w:spacing w:line="360" w:lineRule="auto"/>
        <w:jc w:val="both"/>
        <w:rPr>
          <w:rFonts w:asciiTheme="majorHAnsi" w:hAnsiTheme="majorHAnsi"/>
        </w:rPr>
      </w:pPr>
      <w:r>
        <w:rPr>
          <w:rFonts w:asciiTheme="majorHAnsi" w:hAnsiTheme="majorHAnsi"/>
        </w:rPr>
        <w:t>Recent work on FHS</w:t>
      </w:r>
      <w:r w:rsidR="00CD3CE5">
        <w:rPr>
          <w:rFonts w:asciiTheme="majorHAnsi" w:hAnsiTheme="majorHAnsi"/>
        </w:rPr>
        <w:t xml:space="preserve"> has looked to uncover</w:t>
      </w:r>
      <w:r>
        <w:rPr>
          <w:rFonts w:asciiTheme="majorHAnsi" w:hAnsiTheme="majorHAnsi"/>
        </w:rPr>
        <w:t xml:space="preserve"> specific methylation signatures, as other Snf2 chroma</w:t>
      </w:r>
      <w:r w:rsidR="00CD3CE5">
        <w:rPr>
          <w:rFonts w:asciiTheme="majorHAnsi" w:hAnsiTheme="majorHAnsi"/>
        </w:rPr>
        <w:t xml:space="preserve">tin remodelling family members; </w:t>
      </w:r>
      <w:r>
        <w:rPr>
          <w:rFonts w:asciiTheme="majorHAnsi" w:hAnsiTheme="majorHAnsi"/>
        </w:rPr>
        <w:t xml:space="preserve">Lymphoid Specific Helicase (HELLS) and X-linked alpha thalassemia/mental retardation (ATRX) have been shown to influence methylation patterns. Indeed, </w:t>
      </w:r>
      <w:r w:rsidR="00770EBD">
        <w:rPr>
          <w:rFonts w:asciiTheme="majorHAnsi" w:hAnsiTheme="majorHAnsi"/>
        </w:rPr>
        <w:t xml:space="preserve">Hood et al., </w:t>
      </w:r>
      <w:r>
        <w:rPr>
          <w:rFonts w:asciiTheme="majorHAnsi" w:hAnsiTheme="majorHAnsi"/>
        </w:rPr>
        <w:fldChar w:fldCharType="begin"/>
      </w:r>
      <w:r w:rsidR="00770EBD">
        <w:rPr>
          <w:rFonts w:asciiTheme="majorHAnsi" w:hAnsiTheme="majorHAnsi"/>
        </w:rPr>
        <w:instrText xml:space="preserve"> ADDIN EN.CITE &lt;EndNote&gt;&lt;Cite ExcludeAuth="1"&gt;&lt;Author&gt;Hood&lt;/Author&gt;&lt;Year&gt;2016&lt;/Year&gt;&lt;IDText&gt;The defining DNA methylation signature of Floating-Harbor Syndrome&lt;/IDText&gt;&lt;DisplayText&gt;(2016)&lt;/DisplayText&gt;&lt;record&gt;&lt;dates&gt;&lt;pub-dates&gt;&lt;date&gt;Dec&lt;/date&gt;&lt;/pub-dates&gt;&lt;year&gt;2016&lt;/year&gt;&lt;/dates&gt;&lt;urls&gt;&lt;related-urls&gt;&lt;url&gt;https://www.ncbi.nlm.nih.gov/pubmed/27934915&lt;/url&gt;&lt;/related-urls&gt;&lt;/urls&gt;&lt;isbn&gt;2045-2322&lt;/isbn&gt;&lt;custom2&gt;PMC5146968&lt;/custom2&gt;&lt;titles&gt;&lt;title&gt;The defining DNA methylation signature of Floating-Harbor Syndrome&lt;/title&gt;&lt;secondary-title&gt;Sci Rep&lt;/secondary-title&gt;&lt;/titles&gt;&lt;pages&gt;38803&lt;/pages&gt;&lt;contributors&gt;&lt;authors&gt;&lt;author&gt;Hood, R. L.&lt;/author&gt;&lt;author&gt;Schenkel, L. C.&lt;/author&gt;&lt;author&gt;Nikkel, S. M.&lt;/author&gt;&lt;author&gt;Ainsworth, P. J.&lt;/author&gt;&lt;author&gt;Pare, G.&lt;/author&gt;&lt;author&gt;Boycott, K. M.&lt;/author&gt;&lt;author&gt;Bulman, D. E.&lt;/author&gt;&lt;author&gt;Sadikovic, B.&lt;/author&gt;&lt;/authors&gt;&lt;/contributors&gt;&lt;edition&gt;2016/12/09&lt;/edition&gt;&lt;language&gt;eng&lt;/language&gt;&lt;added-date format="utc"&gt;1500993204&lt;/added-date&gt;&lt;ref-type name="Journal Article"&gt;17&lt;/ref-type&gt;&lt;rec-number&gt;205&lt;/rec-number&gt;&lt;last-updated-date format="utc"&gt;1500993204&lt;/last-updated-date&gt;&lt;accession-num&gt;27934915&lt;/accession-num&gt;&lt;electronic-resource-num&gt;10.1038/srep38803&lt;/electronic-resource-num&gt;&lt;volume&gt;6&lt;/volume&gt;&lt;/record&gt;&lt;/Cite&gt;&lt;/EndNote&gt;</w:instrText>
      </w:r>
      <w:r>
        <w:rPr>
          <w:rFonts w:asciiTheme="majorHAnsi" w:hAnsiTheme="majorHAnsi"/>
        </w:rPr>
        <w:fldChar w:fldCharType="separate"/>
      </w:r>
      <w:r w:rsidR="00770EBD">
        <w:rPr>
          <w:rFonts w:asciiTheme="majorHAnsi" w:hAnsiTheme="majorHAnsi"/>
          <w:noProof/>
        </w:rPr>
        <w:t>(2016)</w:t>
      </w:r>
      <w:r>
        <w:rPr>
          <w:rFonts w:asciiTheme="majorHAnsi" w:hAnsiTheme="majorHAnsi"/>
        </w:rPr>
        <w:fldChar w:fldCharType="end"/>
      </w:r>
      <w:r>
        <w:rPr>
          <w:rFonts w:asciiTheme="majorHAnsi" w:hAnsiTheme="majorHAnsi"/>
        </w:rPr>
        <w:t xml:space="preserve"> identified a DNA methylation signature in FHS patient peripheral blood samples, with 116 differentially expressed genes, and enrichment analysis highlighted genes associated with developmental processes especially neurological systems. However, it </w:t>
      </w:r>
      <w:r w:rsidR="00CD3CE5">
        <w:rPr>
          <w:rFonts w:asciiTheme="majorHAnsi" w:hAnsiTheme="majorHAnsi"/>
        </w:rPr>
        <w:t xml:space="preserve">is </w:t>
      </w:r>
      <w:r>
        <w:rPr>
          <w:rFonts w:asciiTheme="majorHAnsi" w:hAnsiTheme="majorHAnsi"/>
        </w:rPr>
        <w:t xml:space="preserve">still </w:t>
      </w:r>
      <w:r w:rsidR="00CD3CE5">
        <w:rPr>
          <w:rFonts w:asciiTheme="majorHAnsi" w:hAnsiTheme="majorHAnsi"/>
        </w:rPr>
        <w:t>un</w:t>
      </w:r>
      <w:r>
        <w:rPr>
          <w:rFonts w:asciiTheme="majorHAnsi" w:hAnsiTheme="majorHAnsi"/>
        </w:rPr>
        <w:t xml:space="preserve">clear whether truncation of SRCAP causes this differing methylation signature or whether it is due to a secondary compensatory mechanism because of the </w:t>
      </w:r>
      <w:r w:rsidRPr="009A0EDB">
        <w:rPr>
          <w:rFonts w:asciiTheme="majorHAnsi" w:hAnsiTheme="majorHAnsi"/>
          <w:i/>
        </w:rPr>
        <w:t>SRCAP</w:t>
      </w:r>
      <w:r>
        <w:rPr>
          <w:rFonts w:asciiTheme="majorHAnsi" w:hAnsiTheme="majorHAnsi"/>
        </w:rPr>
        <w:t xml:space="preserve"> mutation. Further work is </w:t>
      </w:r>
      <w:r w:rsidR="00CD3CE5">
        <w:rPr>
          <w:rFonts w:asciiTheme="majorHAnsi" w:hAnsiTheme="majorHAnsi"/>
        </w:rPr>
        <w:t>also</w:t>
      </w:r>
      <w:r>
        <w:rPr>
          <w:rFonts w:asciiTheme="majorHAnsi" w:hAnsiTheme="majorHAnsi"/>
        </w:rPr>
        <w:t xml:space="preserve"> needed to understand how this methylation pattern then affects transcription regulation</w:t>
      </w:r>
      <w:r w:rsidR="00CD3CE5">
        <w:rPr>
          <w:rFonts w:asciiTheme="majorHAnsi" w:hAnsiTheme="majorHAnsi"/>
        </w:rPr>
        <w:t>,</w:t>
      </w:r>
      <w:r>
        <w:rPr>
          <w:rFonts w:asciiTheme="majorHAnsi" w:hAnsiTheme="majorHAnsi"/>
        </w:rPr>
        <w:t xml:space="preserve"> and whether any of </w:t>
      </w:r>
      <w:r w:rsidR="00CD3CE5">
        <w:rPr>
          <w:rFonts w:asciiTheme="majorHAnsi" w:hAnsiTheme="majorHAnsi"/>
        </w:rPr>
        <w:t xml:space="preserve">these effects are </w:t>
      </w:r>
      <w:r>
        <w:rPr>
          <w:rFonts w:asciiTheme="majorHAnsi" w:hAnsiTheme="majorHAnsi"/>
        </w:rPr>
        <w:t xml:space="preserve">translatable to what happens </w:t>
      </w:r>
      <w:r w:rsidR="00CD3CE5">
        <w:rPr>
          <w:rFonts w:asciiTheme="majorHAnsi" w:hAnsiTheme="majorHAnsi"/>
        </w:rPr>
        <w:t>as a result of</w:t>
      </w:r>
      <w:r>
        <w:rPr>
          <w:rFonts w:asciiTheme="majorHAnsi" w:hAnsiTheme="majorHAnsi"/>
        </w:rPr>
        <w:t xml:space="preserve"> SRCAP aberrations </w:t>
      </w:r>
      <w:r w:rsidR="00CD3CE5">
        <w:rPr>
          <w:rFonts w:asciiTheme="majorHAnsi" w:hAnsiTheme="majorHAnsi"/>
        </w:rPr>
        <w:t>in tumours</w:t>
      </w:r>
      <w:r>
        <w:rPr>
          <w:rFonts w:asciiTheme="majorHAnsi" w:hAnsiTheme="majorHAnsi"/>
        </w:rPr>
        <w:t>.</w:t>
      </w:r>
      <w:r w:rsidRPr="00166197">
        <w:rPr>
          <w:rFonts w:asciiTheme="majorHAnsi" w:hAnsiTheme="majorHAnsi"/>
        </w:rPr>
        <w:t xml:space="preserve"> </w:t>
      </w:r>
      <w:r>
        <w:rPr>
          <w:rFonts w:asciiTheme="majorHAnsi" w:hAnsiTheme="majorHAnsi"/>
        </w:rPr>
        <w:t>There is no evidence suggesting that patients with FHS have an increased risk of developing cancer, however with only 50 cases reported within the literature, and all the patients displaying varying degrees of intensity of the disease it is proving difficult to characterise. Although genetic testing can be utilised for suspected FHS patients, as in the past it has been d</w:t>
      </w:r>
      <w:r w:rsidR="00CD3CE5">
        <w:rPr>
          <w:rFonts w:asciiTheme="majorHAnsi" w:hAnsiTheme="majorHAnsi"/>
        </w:rPr>
        <w:t>ifficult to diagnose the very non-</w:t>
      </w:r>
      <w:r>
        <w:rPr>
          <w:rFonts w:asciiTheme="majorHAnsi" w:hAnsiTheme="majorHAnsi"/>
        </w:rPr>
        <w:t xml:space="preserve">specific features, any therapeutic targets are a long way off being developed </w:t>
      </w:r>
      <w:r>
        <w:rPr>
          <w:rFonts w:asciiTheme="majorHAnsi" w:hAnsiTheme="majorHAnsi"/>
        </w:rPr>
        <w:fldChar w:fldCharType="begin">
          <w:fldData xml:space="preserve">PEVuZE5vdGU+PENpdGU+PEF1dGhvcj5OaWtrZWw8L0F1dGhvcj48WWVhcj4yMDEzPC9ZZWFyPjxJ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PEVuZE5vdGU+PENpdGU+PEF1dGhvcj5OaWtrZWw8L0F1dGhvcj48WWVhcj4yMDEzPC9ZZWFyPjxJ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(Nikkel et al., 2013)</w:t>
      </w:r>
      <w:r>
        <w:rPr>
          <w:rFonts w:asciiTheme="majorHAnsi" w:hAnsiTheme="majorHAnsi"/>
        </w:rPr>
        <w:fldChar w:fldCharType="end"/>
      </w:r>
      <w:r>
        <w:rPr>
          <w:rFonts w:asciiTheme="majorHAnsi" w:hAnsiTheme="majorHAnsi"/>
        </w:rPr>
        <w:t>.</w:t>
      </w:r>
    </w:p>
    <w:p w14:paraId="049574B2" w14:textId="61C264D0" w:rsidR="00B15A35" w:rsidRPr="00491A0A" w:rsidRDefault="00B15A35" w:rsidP="002F41C6">
      <w:pPr>
        <w:pStyle w:val="ListParagraph"/>
        <w:numPr>
          <w:ilvl w:val="0"/>
          <w:numId w:val="37"/>
        </w:numPr>
        <w:spacing w:line="360" w:lineRule="auto"/>
        <w:jc w:val="both"/>
        <w:rPr>
          <w:rFonts w:asciiTheme="majorHAnsi" w:hAnsiTheme="majorHAnsi"/>
          <w:b/>
          <w:i/>
        </w:rPr>
      </w:pPr>
      <w:r>
        <w:rPr>
          <w:rFonts w:asciiTheme="majorHAnsi" w:hAnsiTheme="majorHAnsi"/>
          <w:b/>
          <w:i/>
        </w:rPr>
        <w:t xml:space="preserve">H2A.Z and its Implications </w:t>
      </w:r>
      <w:r w:rsidR="00CD3CE5">
        <w:rPr>
          <w:rFonts w:asciiTheme="majorHAnsi" w:hAnsiTheme="majorHAnsi"/>
          <w:b/>
          <w:i/>
        </w:rPr>
        <w:t>for</w:t>
      </w:r>
      <w:r>
        <w:rPr>
          <w:rFonts w:asciiTheme="majorHAnsi" w:hAnsiTheme="majorHAnsi"/>
          <w:b/>
          <w:i/>
        </w:rPr>
        <w:t xml:space="preserve"> C</w:t>
      </w:r>
      <w:r w:rsidRPr="00491A0A">
        <w:rPr>
          <w:rFonts w:asciiTheme="majorHAnsi" w:hAnsiTheme="majorHAnsi"/>
          <w:b/>
          <w:i/>
        </w:rPr>
        <w:t>ancer</w:t>
      </w:r>
    </w:p>
    <w:p w14:paraId="74AA86FC" w14:textId="2547CFF2" w:rsidR="00B15A35" w:rsidRDefault="00B15A35" w:rsidP="00B15A35">
      <w:pPr>
        <w:spacing w:line="360" w:lineRule="auto"/>
        <w:jc w:val="both"/>
        <w:rPr>
          <w:rFonts w:asciiTheme="majorHAnsi" w:hAnsiTheme="majorHAnsi"/>
          <w:lang w:val="en-US"/>
        </w:rPr>
      </w:pPr>
      <w:r>
        <w:rPr>
          <w:rFonts w:asciiTheme="majorHAnsi" w:hAnsiTheme="majorHAnsi"/>
        </w:rPr>
        <w:t xml:space="preserve">H2A.Z is a variant of histone H2A, which is </w:t>
      </w:r>
      <w:r w:rsidR="00CD3CE5">
        <w:rPr>
          <w:rFonts w:asciiTheme="majorHAnsi" w:hAnsiTheme="majorHAnsi"/>
        </w:rPr>
        <w:t>deposited</w:t>
      </w:r>
      <w:r>
        <w:rPr>
          <w:rFonts w:asciiTheme="majorHAnsi" w:hAnsiTheme="majorHAnsi"/>
        </w:rPr>
        <w:t xml:space="preserve"> into the nucleosome in a replication independent manner, by </w:t>
      </w:r>
      <w:r w:rsidR="00B57AF2">
        <w:rPr>
          <w:rFonts w:asciiTheme="majorHAnsi" w:hAnsiTheme="majorHAnsi"/>
        </w:rPr>
        <w:t xml:space="preserve">members of </w:t>
      </w:r>
      <w:r>
        <w:rPr>
          <w:rFonts w:asciiTheme="majorHAnsi" w:hAnsiTheme="majorHAnsi"/>
        </w:rPr>
        <w:t xml:space="preserve">the INO80 family of chromatin remodelers, </w:t>
      </w:r>
      <w:r w:rsidR="00B57AF2">
        <w:rPr>
          <w:rFonts w:asciiTheme="majorHAnsi" w:hAnsiTheme="majorHAnsi"/>
        </w:rPr>
        <w:t>which</w:t>
      </w:r>
      <w:r>
        <w:rPr>
          <w:rFonts w:asciiTheme="majorHAnsi" w:hAnsiTheme="majorHAnsi"/>
        </w:rPr>
        <w:t xml:space="preserve"> include</w:t>
      </w:r>
      <w:r w:rsidR="00B57AF2">
        <w:rPr>
          <w:rFonts w:asciiTheme="majorHAnsi" w:hAnsiTheme="majorHAnsi"/>
        </w:rPr>
        <w:t>s</w:t>
      </w:r>
      <w:r>
        <w:rPr>
          <w:rFonts w:asciiTheme="majorHAnsi" w:hAnsiTheme="majorHAnsi"/>
        </w:rPr>
        <w:t xml:space="preserve"> SRCAP and p400. </w:t>
      </w:r>
      <w:r w:rsidR="00CD6E8B">
        <w:rPr>
          <w:rFonts w:asciiTheme="majorHAnsi" w:hAnsiTheme="majorHAnsi"/>
          <w:lang w:val="en-US"/>
        </w:rPr>
        <w:t xml:space="preserve">H2A.Z is </w:t>
      </w:r>
      <w:r w:rsidR="00B57AF2">
        <w:rPr>
          <w:rFonts w:asciiTheme="majorHAnsi" w:hAnsiTheme="majorHAnsi"/>
          <w:lang w:val="en-US"/>
        </w:rPr>
        <w:t>removed</w:t>
      </w:r>
      <w:r w:rsidR="00CD6E8B">
        <w:rPr>
          <w:rFonts w:asciiTheme="majorHAnsi" w:hAnsiTheme="majorHAnsi"/>
          <w:lang w:val="en-US"/>
        </w:rPr>
        <w:t xml:space="preserve"> from the nucleosome, again in an ATP-dependent manner by INO80</w:t>
      </w:r>
      <w:r w:rsidR="00B57AF2">
        <w:rPr>
          <w:rFonts w:asciiTheme="majorHAnsi" w:hAnsiTheme="majorHAnsi"/>
          <w:lang w:val="en-US"/>
        </w:rPr>
        <w:t xml:space="preserve"> itself</w:t>
      </w:r>
      <w:r w:rsidR="00CD6E8B">
        <w:rPr>
          <w:rFonts w:asciiTheme="majorHAnsi" w:hAnsiTheme="majorHAnsi"/>
          <w:lang w:val="en-US"/>
        </w:rPr>
        <w:t xml:space="preserve">, which swaps H2A back in, and this process has been found to occur at promoters during transcriptional induction </w:t>
      </w:r>
      <w:r w:rsidR="00CD6E8B">
        <w:rPr>
          <w:rFonts w:asciiTheme="majorHAnsi" w:hAnsiTheme="majorHAnsi"/>
          <w:lang w:val="en-US"/>
        </w:rPr>
        <w:fldChar w:fldCharType="begin"/>
      </w:r>
      <w:r w:rsidR="00CD6E8B">
        <w:rPr>
          <w:rFonts w:asciiTheme="majorHAnsi" w:hAnsiTheme="majorHAnsi"/>
          <w:lang w:val="en-US"/>
        </w:rPr>
        <w:instrText xml:space="preserve"> ADDIN EN.CITE &lt;EndNote&gt;&lt;Cite&gt;&lt;Author&gt;Papamichos-Chronakis&lt;/Author&gt;&lt;Year&gt;2011&lt;/Year&gt;&lt;IDText&gt;Global regulation of H2A.Z localization by the INO80 chromatin-remodeling enzyme is essential for genome integrity&lt;/IDText&gt;&lt;DisplayText&gt;(Papamichos-Chronakis et al., 2011)&lt;/DisplayText&gt;&lt;record&gt;&lt;dates&gt;&lt;pub-dates&gt;&lt;date&gt;Jan&lt;/date&gt;&lt;/pub-dates&gt;&lt;year&gt;2011&lt;/year&gt;&lt;/dates&gt;&lt;keywords&gt;&lt;keyword&gt;Chromatin Assembly and Disassembly&lt;/keyword&gt;&lt;keyword&gt;Genome, Fungal&lt;/keyword&gt;&lt;keyword&gt;Genomic Instability&lt;/keyword&gt;&lt;keyword&gt;Histones&lt;/keyword&gt;&lt;keyword&gt;Nucleosomes&lt;/keyword&gt;&lt;keyword&gt;Saccharomyces cerevisiae&lt;/keyword&gt;&lt;keyword&gt;Saccharomyces cerevisiae Proteins&lt;/keyword&gt;&lt;keyword&gt;Transcription, Genetic&lt;/keyword&gt;&lt;/keywords&gt;&lt;urls&gt;&lt;related-urls&gt;&lt;url&gt;https://www.ncbi.nlm.nih.gov/pubmed/21241891&lt;/url&gt;&lt;/related-urls&gt;&lt;/urls&gt;&lt;isbn&gt;1097-4172&lt;/isbn&gt;&lt;custom2&gt;PMC3035940&lt;/custom2&gt;&lt;titles&gt;&lt;title&gt;Global regulation of H2A.Z localization by the INO80 chromatin-remodeling enzyme is essential for genome integrity&lt;/title&gt;&lt;secondary-title&gt;Cell&lt;/secondary-title&gt;&lt;/titles&gt;&lt;pages&gt;200-13&lt;/pages&gt;&lt;number&gt;2&lt;/number&gt;&lt;contributors&gt;&lt;authors&gt;&lt;author&gt;Papamichos-Chronakis, M.&lt;/author&gt;&lt;author&gt;Watanabe, S.&lt;/author&gt;&lt;author&gt;Rando, O. J.&lt;/author&gt;&lt;author&gt;Peterson, C. L.&lt;/author&gt;&lt;/authors&gt;&lt;/contributors&gt;&lt;language&gt;eng&lt;/language&gt;&lt;added-date format="utc"&gt;1510063541&lt;/added-date&gt;&lt;ref-type name="Journal Article"&gt;17&lt;/ref-type&gt;&lt;rec-number&gt;352&lt;/rec-number&gt;&lt;last-updated-date format="utc"&gt;1510063541&lt;/last-updated-date&gt;&lt;accession-num&gt;21241891&lt;/accession-num&gt;&lt;electronic-resource-num&gt;10.1016/j.cell.2010.12.021&lt;/electronic-resource-num&gt;&lt;volume&gt;144&lt;/volume&gt;&lt;/record&gt;&lt;/Cite&gt;&lt;/EndNote&gt;</w:instrText>
      </w:r>
      <w:r w:rsidR="00CD6E8B">
        <w:rPr>
          <w:rFonts w:asciiTheme="majorHAnsi" w:hAnsiTheme="majorHAnsi"/>
          <w:lang w:val="en-US"/>
        </w:rPr>
        <w:fldChar w:fldCharType="separate"/>
      </w:r>
      <w:r w:rsidR="00CD6E8B">
        <w:rPr>
          <w:rFonts w:asciiTheme="majorHAnsi" w:hAnsiTheme="majorHAnsi"/>
          <w:noProof/>
          <w:lang w:val="en-US"/>
        </w:rPr>
        <w:t>(Papamichos-Chronakis et al., 2011)</w:t>
      </w:r>
      <w:r w:rsidR="00CD6E8B">
        <w:rPr>
          <w:rFonts w:asciiTheme="majorHAnsi" w:hAnsiTheme="majorHAnsi"/>
          <w:lang w:val="en-US"/>
        </w:rPr>
        <w:fldChar w:fldCharType="end"/>
      </w:r>
      <w:r w:rsidR="00CD6E8B">
        <w:rPr>
          <w:rFonts w:asciiTheme="majorHAnsi" w:hAnsiTheme="majorHAnsi"/>
          <w:lang w:val="en-US"/>
        </w:rPr>
        <w:t xml:space="preserve">. </w:t>
      </w:r>
      <w:proofErr w:type="gramStart"/>
      <w:r>
        <w:rPr>
          <w:rFonts w:asciiTheme="majorHAnsi" w:hAnsiTheme="majorHAnsi"/>
        </w:rPr>
        <w:t>p400</w:t>
      </w:r>
      <w:proofErr w:type="gramEnd"/>
      <w:r>
        <w:rPr>
          <w:rFonts w:asciiTheme="majorHAnsi" w:hAnsiTheme="majorHAnsi"/>
        </w:rPr>
        <w:t xml:space="preserve"> </w:t>
      </w:r>
      <w:r w:rsidRPr="004D0763">
        <w:rPr>
          <w:rFonts w:asciiTheme="majorHAnsi" w:hAnsiTheme="majorHAnsi"/>
        </w:rPr>
        <w:t xml:space="preserve">expression levels </w:t>
      </w:r>
      <w:r w:rsidR="00B57AF2">
        <w:rPr>
          <w:rFonts w:asciiTheme="majorHAnsi" w:hAnsiTheme="majorHAnsi"/>
        </w:rPr>
        <w:t>are increased</w:t>
      </w:r>
      <w:r w:rsidR="00B57AF2" w:rsidRPr="004D0763">
        <w:rPr>
          <w:rFonts w:asciiTheme="majorHAnsi" w:hAnsiTheme="majorHAnsi"/>
        </w:rPr>
        <w:t xml:space="preserve"> </w:t>
      </w:r>
      <w:r w:rsidRPr="004D0763">
        <w:rPr>
          <w:rFonts w:asciiTheme="majorHAnsi" w:hAnsiTheme="majorHAnsi"/>
        </w:rPr>
        <w:t>in CRC cell lines</w:t>
      </w:r>
      <w:r>
        <w:rPr>
          <w:rFonts w:asciiTheme="majorHAnsi" w:hAnsiTheme="majorHAnsi"/>
        </w:rPr>
        <w:t>, a</w:t>
      </w:r>
      <w:r w:rsidRPr="004D0763">
        <w:rPr>
          <w:rFonts w:asciiTheme="majorHAnsi" w:hAnsiTheme="majorHAnsi"/>
        </w:rPr>
        <w:t xml:space="preserve">nd </w:t>
      </w:r>
      <w:r w:rsidR="00B57AF2">
        <w:rPr>
          <w:rFonts w:asciiTheme="majorHAnsi" w:hAnsiTheme="majorHAnsi"/>
        </w:rPr>
        <w:t xml:space="preserve">p400 </w:t>
      </w:r>
      <w:r w:rsidR="00A5506E">
        <w:rPr>
          <w:rFonts w:asciiTheme="majorHAnsi" w:hAnsiTheme="majorHAnsi"/>
        </w:rPr>
        <w:t>knock</w:t>
      </w:r>
      <w:r w:rsidRPr="004D0763">
        <w:rPr>
          <w:rFonts w:asciiTheme="majorHAnsi" w:hAnsiTheme="majorHAnsi"/>
        </w:rPr>
        <w:t xml:space="preserve"> down </w:t>
      </w:r>
      <w:r w:rsidR="00B57AF2">
        <w:rPr>
          <w:rFonts w:asciiTheme="majorHAnsi" w:hAnsiTheme="majorHAnsi"/>
        </w:rPr>
        <w:t xml:space="preserve">resulted in decreased proliferation </w:t>
      </w:r>
      <w:r>
        <w:rPr>
          <w:rFonts w:asciiTheme="majorHAnsi" w:hAnsiTheme="majorHAnsi"/>
        </w:rPr>
        <w:fldChar w:fldCharType="begin"/>
      </w:r>
      <w:r>
        <w:rPr>
          <w:rFonts w:asciiTheme="majorHAnsi" w:hAnsiTheme="majorHAnsi"/>
        </w:rPr>
        <w:instrText xml:space="preserve"> ADDIN EN.CITE &lt;EndNote&gt;&lt;Cite&gt;&lt;Author&gt;Mattera&lt;/Author&gt;&lt;Year&gt;2009&lt;/Year&gt;&lt;IDText&gt;The p400/ Tip60 ratio is critical for colorectal cancer cell proliferation through DNA damage response pathways&lt;/IDText&gt;&lt;DisplayText&gt;(Mattera et al., 2009)&lt;/DisplayText&gt;&lt;record&gt;&lt;isbn&gt;0950-9232&lt;/isbn&gt;&lt;titles&gt;&lt;title&gt;The p400/ Tip60 ratio is critical for colorectal cancer cell proliferation through DNA damage response pathways&lt;/title&gt;&lt;secondary-title&gt;Oncogene&lt;/secondary-title&gt;&lt;/titles&gt;&lt;pages&gt;1506-1517&lt;/pages&gt;&lt;number&gt;12&lt;/number&gt;&lt;contributors&gt;&lt;authors&gt;&lt;author&gt;Mattera, L.&lt;/author&gt;&lt;author&gt;Escaffit, F.&lt;/author&gt;&lt;author&gt;Pillaire, Mj&lt;/author&gt;&lt;author&gt;Selves, J.&lt;/author&gt;&lt;author&gt;Tyteca, S.&lt;/author&gt;&lt;author&gt;Hoffmann, Js&lt;/author&gt;&lt;author&gt;Gourraud, P. A.&lt;/author&gt;&lt;author&gt;Chevillard-Briet, M.&lt;/author&gt;&lt;author&gt;Cazaux, C.&lt;/author&gt;&lt;author&gt;Trouche, D.&lt;/author&gt;&lt;/authors&gt;&lt;/contributors&gt;&lt;added-date format="utc"&gt;1425996939&lt;/added-date&gt;&lt;ref-type name="Journal Article"&gt;17&lt;/ref-type&gt;&lt;dates&gt;&lt;year&gt;2009&lt;/year&gt;&lt;/dates&gt;&lt;rec-number&gt;70&lt;/rec-number&gt;&lt;last-updated-date format="utc"&gt;1447344165&lt;/last-updated-date&gt;&lt;electronic-resource-num&gt;10.1038/onc.2008.499&lt;/electronic-resource-num&gt;&lt;volume&gt;28&lt;/volume&gt;&lt;/record&gt;&lt;/Cite&gt;&lt;/EndNote&gt;</w:instrText>
      </w:r>
      <w:r>
        <w:rPr>
          <w:rFonts w:asciiTheme="majorHAnsi" w:hAnsiTheme="majorHAnsi"/>
        </w:rPr>
        <w:fldChar w:fldCharType="separate"/>
      </w:r>
      <w:r>
        <w:rPr>
          <w:rFonts w:asciiTheme="majorHAnsi" w:hAnsiTheme="majorHAnsi"/>
          <w:noProof/>
        </w:rPr>
        <w:t>(Mattera et al., 2009)</w:t>
      </w:r>
      <w:r>
        <w:rPr>
          <w:rFonts w:asciiTheme="majorHAnsi" w:hAnsiTheme="majorHAnsi"/>
        </w:rPr>
        <w:fldChar w:fldCharType="end"/>
      </w:r>
      <w:r>
        <w:rPr>
          <w:rFonts w:asciiTheme="majorHAnsi" w:hAnsiTheme="majorHAnsi"/>
        </w:rPr>
        <w:t>.</w:t>
      </w:r>
      <w:r w:rsidRPr="004D0763">
        <w:rPr>
          <w:rFonts w:asciiTheme="majorHAnsi" w:hAnsiTheme="majorHAnsi"/>
        </w:rPr>
        <w:t xml:space="preserve"> This suggests that alterations of chromatin remodelling complexes could be potential cancer drivers</w:t>
      </w:r>
      <w:r>
        <w:rPr>
          <w:rFonts w:asciiTheme="majorHAnsi" w:hAnsiTheme="majorHAnsi"/>
        </w:rPr>
        <w:t>, certainly in terms of cell growth</w:t>
      </w:r>
      <w:r w:rsidRPr="004D0763">
        <w:rPr>
          <w:rFonts w:asciiTheme="majorHAnsi" w:hAnsiTheme="majorHAnsi"/>
        </w:rPr>
        <w:t>.</w:t>
      </w:r>
      <w:r>
        <w:rPr>
          <w:rFonts w:asciiTheme="majorHAnsi" w:hAnsiTheme="majorHAnsi"/>
        </w:rPr>
        <w:t xml:space="preserve"> </w:t>
      </w:r>
      <w:proofErr w:type="gramStart"/>
      <w:r w:rsidRPr="004D0763">
        <w:rPr>
          <w:rFonts w:asciiTheme="majorHAnsi" w:hAnsiTheme="majorHAnsi"/>
          <w:lang w:val="en-US"/>
        </w:rPr>
        <w:t>p400</w:t>
      </w:r>
      <w:proofErr w:type="gramEnd"/>
      <w:r w:rsidRPr="004D0763">
        <w:rPr>
          <w:rFonts w:asciiTheme="majorHAnsi" w:hAnsiTheme="majorHAnsi"/>
          <w:lang w:val="en-US"/>
        </w:rPr>
        <w:t xml:space="preserve"> also acts within the W</w:t>
      </w:r>
      <w:r w:rsidR="00642915">
        <w:rPr>
          <w:rFonts w:asciiTheme="majorHAnsi" w:hAnsiTheme="majorHAnsi"/>
          <w:lang w:val="en-US"/>
        </w:rPr>
        <w:t>NT</w:t>
      </w:r>
      <w:r w:rsidRPr="004D0763">
        <w:rPr>
          <w:rFonts w:asciiTheme="majorHAnsi" w:hAnsiTheme="majorHAnsi"/>
          <w:lang w:val="en-US"/>
        </w:rPr>
        <w:t xml:space="preserve"> pathway to alter transcriptional regulation. Therefore unregulated expression of p400 i</w:t>
      </w:r>
      <w:r w:rsidR="00642915">
        <w:rPr>
          <w:rFonts w:asciiTheme="majorHAnsi" w:hAnsiTheme="majorHAnsi"/>
          <w:lang w:val="en-US"/>
        </w:rPr>
        <w:t>n CRC leads to activation of WNT</w:t>
      </w:r>
      <w:r w:rsidRPr="004D0763">
        <w:rPr>
          <w:rFonts w:asciiTheme="majorHAnsi" w:hAnsiTheme="majorHAnsi"/>
          <w:lang w:val="en-US"/>
        </w:rPr>
        <w:t xml:space="preserve"> target genes, which drives cellular proliferation </w:t>
      </w:r>
      <w:r>
        <w:rPr>
          <w:rFonts w:asciiTheme="majorHAnsi" w:hAnsiTheme="majorHAnsi"/>
          <w:lang w:val="en-US"/>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Pr>
          <w:rFonts w:asciiTheme="majorHAnsi" w:hAnsiTheme="majorHAnsi"/>
          <w:lang w:val="en-US"/>
        </w:rPr>
        <w:instrText xml:space="preserve"> ADDIN EN.CITE </w:instrText>
      </w:r>
      <w:r>
        <w:rPr>
          <w:rFonts w:asciiTheme="majorHAnsi" w:hAnsiTheme="majorHAnsi"/>
          <w:lang w:val="en-US"/>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Pr>
          <w:rFonts w:asciiTheme="majorHAnsi" w:hAnsiTheme="majorHAnsi"/>
          <w:lang w:val="en-US"/>
        </w:rPr>
        <w:instrText xml:space="preserve"> ADDIN EN.CITE.DATA </w:instrText>
      </w:r>
      <w:r>
        <w:rPr>
          <w:rFonts w:asciiTheme="majorHAnsi" w:hAnsiTheme="majorHAnsi"/>
          <w:lang w:val="en-US"/>
        </w:rPr>
      </w:r>
      <w:r>
        <w:rPr>
          <w:rFonts w:asciiTheme="majorHAnsi" w:hAnsiTheme="majorHAnsi"/>
          <w:lang w:val="en-US"/>
        </w:rPr>
        <w:fldChar w:fldCharType="end"/>
      </w:r>
      <w:r>
        <w:rPr>
          <w:rFonts w:asciiTheme="majorHAnsi" w:hAnsiTheme="majorHAnsi"/>
          <w:lang w:val="en-US"/>
        </w:rPr>
      </w:r>
      <w:r>
        <w:rPr>
          <w:rFonts w:asciiTheme="majorHAnsi" w:hAnsiTheme="majorHAnsi"/>
          <w:lang w:val="en-US"/>
        </w:rPr>
        <w:fldChar w:fldCharType="separate"/>
      </w:r>
      <w:r>
        <w:rPr>
          <w:rFonts w:asciiTheme="majorHAnsi" w:hAnsiTheme="majorHAnsi"/>
          <w:noProof/>
          <w:lang w:val="en-US"/>
        </w:rPr>
        <w:t>(Chevillard-Briet et al., 2014)</w:t>
      </w:r>
      <w:r>
        <w:rPr>
          <w:rFonts w:asciiTheme="majorHAnsi" w:hAnsiTheme="majorHAnsi"/>
          <w:lang w:val="en-US"/>
        </w:rPr>
        <w:fldChar w:fldCharType="end"/>
      </w:r>
      <w:r>
        <w:rPr>
          <w:rFonts w:asciiTheme="majorHAnsi" w:hAnsiTheme="majorHAnsi"/>
          <w:lang w:val="en-US"/>
        </w:rPr>
        <w:t>.</w:t>
      </w:r>
      <w:r w:rsidRPr="004D0763">
        <w:rPr>
          <w:rFonts w:asciiTheme="majorHAnsi" w:hAnsiTheme="majorHAnsi"/>
          <w:lang w:val="en-US"/>
        </w:rPr>
        <w:t xml:space="preserve"> </w:t>
      </w:r>
      <w:r w:rsidR="00B57AF2">
        <w:rPr>
          <w:rFonts w:asciiTheme="majorHAnsi" w:hAnsiTheme="majorHAnsi"/>
          <w:lang w:val="en-US"/>
        </w:rPr>
        <w:t xml:space="preserve">It is possible that </w:t>
      </w:r>
      <w:r w:rsidRPr="004D0763">
        <w:rPr>
          <w:rFonts w:asciiTheme="majorHAnsi" w:hAnsiTheme="majorHAnsi"/>
          <w:lang w:val="en-US"/>
        </w:rPr>
        <w:t xml:space="preserve">similar phenotypes </w:t>
      </w:r>
      <w:r w:rsidR="00B57AF2">
        <w:rPr>
          <w:rFonts w:asciiTheme="majorHAnsi" w:hAnsiTheme="majorHAnsi"/>
          <w:lang w:val="en-US"/>
        </w:rPr>
        <w:t>could result from</w:t>
      </w:r>
      <w:r w:rsidRPr="004D0763">
        <w:rPr>
          <w:rFonts w:asciiTheme="majorHAnsi" w:hAnsiTheme="majorHAnsi"/>
          <w:lang w:val="en-US"/>
        </w:rPr>
        <w:t xml:space="preserve"> SRCAP up-regulation. However</w:t>
      </w:r>
      <w:r>
        <w:rPr>
          <w:rFonts w:asciiTheme="majorHAnsi" w:hAnsiTheme="majorHAnsi"/>
          <w:lang w:val="en-US"/>
        </w:rPr>
        <w:t>,</w:t>
      </w:r>
      <w:r w:rsidRPr="004D0763">
        <w:rPr>
          <w:rFonts w:asciiTheme="majorHAnsi" w:hAnsiTheme="majorHAnsi"/>
          <w:lang w:val="en-US"/>
        </w:rPr>
        <w:t xml:space="preserve"> one group proposed the theory that SRCAP and p400 deposit H2A.Z at different promoters</w:t>
      </w:r>
      <w:r w:rsidR="00B57AF2">
        <w:rPr>
          <w:rFonts w:asciiTheme="majorHAnsi" w:hAnsiTheme="majorHAnsi"/>
          <w:lang w:val="en-US"/>
        </w:rPr>
        <w:t>,</w:t>
      </w:r>
      <w:r w:rsidRPr="004D0763">
        <w:rPr>
          <w:rFonts w:asciiTheme="majorHAnsi" w:hAnsiTheme="majorHAnsi"/>
          <w:lang w:val="en-US"/>
        </w:rPr>
        <w:t xml:space="preserve"> and in consequence have differing actions on transcription </w:t>
      </w:r>
      <w:r>
        <w:rPr>
          <w:rFonts w:asciiTheme="majorHAnsi" w:hAnsiTheme="majorHAnsi"/>
          <w:lang w:val="en-US"/>
        </w:rPr>
        <w:fldChar w:fldCharType="begin"/>
      </w:r>
      <w:r>
        <w:rPr>
          <w:rFonts w:asciiTheme="majorHAnsi" w:hAnsiTheme="majorHAnsi"/>
          <w:lang w:val="en-US"/>
        </w:rPr>
        <w:instrText xml:space="preserve"> ADDIN EN.CITE &lt;EndNote&gt;&lt;Cite&gt;&lt;Author&gt;Bowman&lt;/Author&gt;&lt;Year&gt;2011&lt;/Year&gt;&lt;IDText&gt;Loss of H2A.Z Is Not Sufficient to Determine Transcriptional Activity of Snf2-Related CBP Activator Protein or p400 Complexes&lt;/IDText&gt;&lt;DisplayText&gt;(Bowman et al., 2011)&lt;/DisplayText&gt;&lt;record&gt;&lt;isbn&gt;1687-8884 (Electronic)&amp;#xD;1687-8876 (Linking)&lt;/isbn&gt;&lt;custom2&gt;PMC3140016&lt;/custom2&gt;&lt;titles&gt;&lt;title&gt;Loss of H2A.Z Is Not Sufficient to Determine Transcriptional Activity of Snf2-Related CBP Activator Protein or p400 Complexes&lt;/title&gt;&lt;secondary-title&gt;Int J Cell Biol&lt;/secondary-title&gt;&lt;/titles&gt;&lt;pages&gt;715642&lt;/pages&gt;&lt;contributors&gt;&lt;authors&gt;&lt;author&gt;Bowman, T. A.&lt;/author&gt;&lt;author&gt;Wong, M. M.&lt;/author&gt;&lt;author&gt;Cox, L. K.&lt;/author&gt;&lt;author&gt;Baldassare, J. J.&lt;/author&gt;&lt;author&gt;Chrivia, J. C.&lt;/author&gt;&lt;/authors&gt;&lt;/contributors&gt;&lt;edition&gt;2011/07/26&lt;/edition&gt;&lt;language&gt;eng&lt;/language&gt;&lt;added-date format="utc"&gt;1425383064&lt;/added-date&gt;&lt;ref-type name="Journal Article"&gt;17&lt;/ref-type&gt;&lt;auth-address&gt;Department of Pharmacological and Physiological Science, Saint Louis University School of Medicine, 1402 South Grand Boulevard, Saint Louis, MO 63104, USA.&lt;/auth-address&gt;&lt;dates&gt;&lt;year&gt;2011&lt;/year&gt;&lt;/dates&gt;&lt;remote-database-provider&gt;NLM&lt;/remote-database-provider&gt;&lt;rec-number&gt;4&lt;/rec-number&gt;&lt;last-updated-date format="utc"&gt;1447343623&lt;/last-updated-date&gt;&lt;accession-num&gt;21785598&lt;/accession-num&gt;&lt;electronic-resource-num&gt;10.1155/2011/715642&lt;/electronic-resource-num&gt;&lt;volume&gt;2011&lt;/volume&gt;&lt;/record&gt;&lt;/Cite&gt;&lt;/EndNote&gt;</w:instrText>
      </w:r>
      <w:r>
        <w:rPr>
          <w:rFonts w:asciiTheme="majorHAnsi" w:hAnsiTheme="majorHAnsi"/>
          <w:lang w:val="en-US"/>
        </w:rPr>
        <w:fldChar w:fldCharType="separate"/>
      </w:r>
      <w:r>
        <w:rPr>
          <w:rFonts w:asciiTheme="majorHAnsi" w:hAnsiTheme="majorHAnsi"/>
          <w:noProof/>
          <w:lang w:val="en-US"/>
        </w:rPr>
        <w:t>(Bowman et al., 2011)</w:t>
      </w:r>
      <w:r>
        <w:rPr>
          <w:rFonts w:asciiTheme="majorHAnsi" w:hAnsiTheme="majorHAnsi"/>
          <w:lang w:val="en-US"/>
        </w:rPr>
        <w:fldChar w:fldCharType="end"/>
      </w:r>
      <w:r>
        <w:rPr>
          <w:rFonts w:asciiTheme="majorHAnsi" w:hAnsiTheme="majorHAnsi"/>
          <w:lang w:val="en-US"/>
        </w:rPr>
        <w:t>.</w:t>
      </w:r>
      <w:r w:rsidRPr="004D0763">
        <w:rPr>
          <w:rFonts w:asciiTheme="majorHAnsi" w:hAnsiTheme="majorHAnsi"/>
          <w:lang w:val="en-US"/>
        </w:rPr>
        <w:t xml:space="preserve"> </w:t>
      </w:r>
    </w:p>
    <w:p w14:paraId="4D0965D6" w14:textId="77777777" w:rsidR="00B15A35" w:rsidRPr="00AD10F9" w:rsidRDefault="00B15A35" w:rsidP="00B15A35">
      <w:pPr>
        <w:spacing w:line="360" w:lineRule="auto"/>
        <w:jc w:val="both"/>
        <w:rPr>
          <w:rFonts w:asciiTheme="majorHAnsi" w:hAnsiTheme="majorHAnsi"/>
          <w:lang w:val="en-US"/>
        </w:rPr>
      </w:pPr>
    </w:p>
    <w:p w14:paraId="7C9498FB" w14:textId="7EDC98D2" w:rsidR="00B15A35" w:rsidRDefault="00B15A35" w:rsidP="00B15A35">
      <w:pPr>
        <w:spacing w:line="360" w:lineRule="auto"/>
        <w:jc w:val="both"/>
        <w:rPr>
          <w:rFonts w:asciiTheme="majorHAnsi" w:hAnsiTheme="majorHAnsi"/>
        </w:rPr>
      </w:pPr>
      <w:r>
        <w:rPr>
          <w:rFonts w:asciiTheme="majorHAnsi" w:hAnsiTheme="majorHAnsi"/>
        </w:rPr>
        <w:t>H2A.Z makes up 10% of cellular H2A molecules. The H2A.Z sequence differs from H2A by approximately 40%, with differing residues within the carboxyl-terminal region that can directly interact with transcriptional machi</w:t>
      </w:r>
      <w:r w:rsidR="00B57AF2">
        <w:rPr>
          <w:rFonts w:asciiTheme="majorHAnsi" w:hAnsiTheme="majorHAnsi"/>
        </w:rPr>
        <w:t xml:space="preserve">nery such as RNA polymerase II. </w:t>
      </w:r>
      <w:r>
        <w:rPr>
          <w:rFonts w:asciiTheme="majorHAnsi" w:hAnsiTheme="majorHAnsi"/>
        </w:rPr>
        <w:t>H2A.Z depletion in</w:t>
      </w:r>
      <w:r w:rsidRPr="001F6A44">
        <w:rPr>
          <w:rFonts w:asciiTheme="majorHAnsi" w:hAnsiTheme="majorHAnsi"/>
        </w:rPr>
        <w:t> </w:t>
      </w:r>
      <w:r w:rsidRPr="001F6A44">
        <w:rPr>
          <w:rFonts w:asciiTheme="majorHAnsi" w:hAnsiTheme="majorHAnsi"/>
          <w:i/>
          <w:iCs/>
        </w:rPr>
        <w:t>S. cerevisiae</w:t>
      </w:r>
      <w:r>
        <w:rPr>
          <w:rFonts w:asciiTheme="majorHAnsi" w:hAnsiTheme="majorHAnsi"/>
        </w:rPr>
        <w:t xml:space="preserve"> has been shown to lead to a decrease in the efficient recruitment of these proteins </w:t>
      </w:r>
      <w:r w:rsidRPr="00A83D56">
        <w:rPr>
          <w:rFonts w:asciiTheme="majorHAnsi" w:hAnsiTheme="majorHAnsi"/>
        </w:rPr>
        <w:fldChar w:fldCharType="begin"/>
      </w:r>
      <w:r w:rsidRPr="00A83D56">
        <w:rPr>
          <w:rFonts w:asciiTheme="majorHAnsi" w:hAnsiTheme="majorHAnsi"/>
        </w:rPr>
        <w:instrText xml:space="preserve"> ADDIN EN.CITE &lt;EndNote&gt;&lt;Cite&gt;&lt;Author&gt;Adam&lt;/Author&gt;&lt;Year&gt;2001&lt;/Year&gt;&lt;IDText&gt;H2A.Z is required for global chromatin integrity and for recruitment of RNA polymerase II under specific conditions&lt;/IDText&gt;&lt;DisplayText&gt;(Adam et al., 2001)&lt;/DisplayText&gt;&lt;record&gt;&lt;dates&gt;&lt;pub-dates&gt;&lt;date&gt;Sep&lt;/date&gt;&lt;/pub-dates&gt;&lt;year&gt;2001&lt;/year&gt;&lt;/dates&gt;&lt;keywords&gt;&lt;keyword&gt;Amino Acid Sequence&lt;/keyword&gt;&lt;keyword&gt;Chromatin&lt;/keyword&gt;&lt;keyword&gt;Gene Expression Regulation, Fungal&lt;/keyword&gt;&lt;keyword&gt;Histones&lt;/keyword&gt;&lt;keyword&gt;Molecular Sequence Data&lt;/keyword&gt;&lt;keyword&gt;RNA Polymerase II&lt;/keyword&gt;&lt;keyword&gt;Saccharomyces cerevisiae&lt;/keyword&gt;&lt;keyword&gt;Substrate Specificity&lt;/keyword&gt;&lt;keyword&gt;Transcription, Genetic&lt;/keyword&gt;&lt;keyword&gt;Transcriptional Activation&lt;/keyword&gt;&lt;/keywords&gt;&lt;urls&gt;&lt;related-urls&gt;&lt;url&gt;https://www.ncbi.nlm.nih.gov/pubmed/11509669&lt;/url&gt;&lt;/related-urls&gt;&lt;/urls&gt;&lt;isbn&gt;0270-7306&lt;/isbn&gt;&lt;custom2&gt;PMC87352&lt;/custom2&gt;&lt;titles&gt;&lt;title&gt;H2A.Z is required for global chromatin integrity and for recruitment of RNA polymerase II under specific conditions&lt;/title&gt;&lt;secondary-title&gt;Mol Cell Biol&lt;/secondary-title&gt;&lt;/titles&gt;&lt;pages&gt;6270-9&lt;/pages&gt;&lt;number&gt;18&lt;/number&gt;&lt;contributors&gt;&lt;authors&gt;&lt;author&gt;Adam, M.&lt;/author&gt;&lt;author&gt;Robert, F.&lt;/author&gt;&lt;author&gt;Larochelle, M.&lt;/author&gt;&lt;author&gt;Gaudreau, L.&lt;/author&gt;&lt;/authors&gt;&lt;/contributors&gt;&lt;language&gt;eng&lt;/language&gt;&lt;added-date format="utc"&gt;1509979488&lt;/added-date&gt;&lt;ref-type name="Journal Article"&gt;17&lt;/ref-type&gt;&lt;rec-number&gt;336&lt;/rec-number&gt;&lt;last-updated-date format="utc"&gt;1509979488&lt;/last-updated-date&gt;&lt;accession-num&gt;11509669&lt;/accession-num&gt;&lt;volume&gt;21&lt;/volume&gt;&lt;/record&gt;&lt;/Cite&gt;&lt;/EndNote&gt;</w:instrText>
      </w:r>
      <w:r w:rsidRPr="00A83D56">
        <w:rPr>
          <w:rFonts w:asciiTheme="majorHAnsi" w:hAnsiTheme="majorHAnsi"/>
        </w:rPr>
        <w:fldChar w:fldCharType="separate"/>
      </w:r>
      <w:r w:rsidRPr="00A83D56">
        <w:rPr>
          <w:rFonts w:asciiTheme="majorHAnsi" w:hAnsiTheme="majorHAnsi"/>
          <w:noProof/>
        </w:rPr>
        <w:t>(Adam et al., 2001)</w:t>
      </w:r>
      <w:r w:rsidRPr="00A83D56">
        <w:rPr>
          <w:rFonts w:asciiTheme="majorHAnsi" w:hAnsiTheme="majorHAnsi"/>
        </w:rPr>
        <w:fldChar w:fldCharType="end"/>
      </w:r>
      <w:r w:rsidRPr="00A83D56">
        <w:rPr>
          <w:rFonts w:asciiTheme="majorHAnsi" w:hAnsiTheme="majorHAnsi"/>
        </w:rPr>
        <w:t xml:space="preserve">. </w:t>
      </w:r>
      <w:r>
        <w:rPr>
          <w:rFonts w:asciiTheme="majorHAnsi" w:hAnsiTheme="majorHAnsi"/>
        </w:rPr>
        <w:t xml:space="preserve">Another key modification to H2A.Z is a simple glutamine to glycine substitution within the domain required to bind to the H3/H4 tetramer, which weakens the interaction and so destabilises the nucleosome </w:t>
      </w:r>
      <w:r>
        <w:rPr>
          <w:rFonts w:asciiTheme="majorHAnsi" w:hAnsiTheme="majorHAnsi"/>
        </w:rPr>
        <w:fldChar w:fldCharType="begin"/>
      </w:r>
      <w:r>
        <w:rPr>
          <w:rFonts w:asciiTheme="majorHAnsi" w:hAnsiTheme="majorHAnsi"/>
        </w:rPr>
        <w:instrText xml:space="preserve"> ADDIN EN.CITE &lt;EndNote&gt;&lt;Cite&gt;&lt;Author&gt;Suto&lt;/Author&gt;&lt;Year&gt;2000&lt;/Year&gt;&lt;IDText&gt;Crystal structure of a nucleosome core particle containing the variant histone H2A.Z&lt;/IDText&gt;&lt;DisplayText&gt;(Suto et al., 2000)&lt;/DisplayText&gt;&lt;record&gt;&lt;dates&gt;&lt;pub-dates&gt;&lt;date&gt;Dec&lt;/date&gt;&lt;/pub-dates&gt;&lt;year&gt;2000&lt;/year&gt;&lt;/dates&gt;&lt;keywords&gt;&lt;keyword&gt;Amino Acid Sequence&lt;/keyword&gt;&lt;keyword&gt;Animals&lt;/keyword&gt;&lt;keyword&gt;Crystallography, X-Ray&lt;/keyword&gt;&lt;keyword&gt;Dimerization&lt;/keyword&gt;&lt;keyword&gt;Genetic Variation&lt;/keyword&gt;&lt;keyword&gt;Histones&lt;/keyword&gt;&lt;keyword&gt;Metals&lt;/keyword&gt;&lt;keyword&gt;Mice&lt;/keyword&gt;&lt;keyword&gt;Models, Molecular&lt;/keyword&gt;&lt;keyword&gt;Molecular Sequence Data&lt;/keyword&gt;&lt;keyword&gt;Nucleic Acid Conformation&lt;/keyword&gt;&lt;keyword&gt;Nucleosomes&lt;/keyword&gt;&lt;keyword&gt;Protein Structure, Secondary&lt;/keyword&gt;&lt;keyword&gt;Protein Structure, Tertiary&lt;/keyword&gt;&lt;keyword&gt;Sequence Alignment&lt;/keyword&gt;&lt;keyword&gt;Static Electricity&lt;/keyword&gt;&lt;keyword&gt;Xenopus laevis&lt;/keyword&gt;&lt;/keywords&gt;&lt;urls&gt;&lt;related-urls&gt;&lt;url&gt;https://www.ncbi.nlm.nih.gov/pubmed/11101893&lt;/url&gt;&lt;/related-urls&gt;&lt;/urls&gt;&lt;isbn&gt;1072-8368&lt;/isbn&gt;&lt;titles&gt;&lt;title&gt;Crystal structure of a nucleosome core particle containing the variant histone H2A.Z&lt;/title&gt;&lt;secondary-title&gt;Nat Struct Biol&lt;/secondary-title&gt;&lt;/titles&gt;&lt;pages&gt;1121-4&lt;/pages&gt;&lt;number&gt;12&lt;/number&gt;&lt;contributors&gt;&lt;authors&gt;&lt;author&gt;Suto, R. K.&lt;/author&gt;&lt;author&gt;Clarkson, M. J.&lt;/author&gt;&lt;author&gt;Tremethick, D. J.&lt;/author&gt;&lt;author&gt;Luger, K.&lt;/author&gt;&lt;/authors&gt;&lt;/contributors&gt;&lt;language&gt;eng&lt;/language&gt;&lt;added-date format="utc"&gt;1509983906&lt;/added-date&gt;&lt;ref-type name="Journal Article"&gt;17&lt;/ref-type&gt;&lt;rec-number&gt;340&lt;/rec-number&gt;&lt;last-updated-date format="utc"&gt;1509983906&lt;/last-updated-date&gt;&lt;accession-num&gt;11101893&lt;/accession-num&gt;&lt;electronic-resource-num&gt;10.1038/81971&lt;/electronic-resource-num&gt;&lt;volume&gt;7&lt;/volume&gt;&lt;/record&gt;&lt;/Cite&gt;&lt;/EndNote&gt;</w:instrText>
      </w:r>
      <w:r>
        <w:rPr>
          <w:rFonts w:asciiTheme="majorHAnsi" w:hAnsiTheme="majorHAnsi"/>
        </w:rPr>
        <w:fldChar w:fldCharType="separate"/>
      </w:r>
      <w:r>
        <w:rPr>
          <w:rFonts w:asciiTheme="majorHAnsi" w:hAnsiTheme="majorHAnsi"/>
          <w:noProof/>
        </w:rPr>
        <w:t>(Suto et al., 2000)</w:t>
      </w:r>
      <w:r>
        <w:rPr>
          <w:rFonts w:asciiTheme="majorHAnsi" w:hAnsiTheme="majorHAnsi"/>
        </w:rPr>
        <w:fldChar w:fldCharType="end"/>
      </w:r>
      <w:r>
        <w:rPr>
          <w:rFonts w:asciiTheme="majorHAnsi" w:hAnsiTheme="majorHAnsi"/>
        </w:rPr>
        <w:t xml:space="preserve">. </w:t>
      </w:r>
      <w:r w:rsidRPr="00A83D56">
        <w:rPr>
          <w:rFonts w:asciiTheme="majorHAnsi" w:hAnsiTheme="majorHAnsi"/>
        </w:rPr>
        <w:t xml:space="preserve">This </w:t>
      </w:r>
      <w:r>
        <w:rPr>
          <w:rFonts w:asciiTheme="majorHAnsi" w:hAnsiTheme="majorHAnsi"/>
        </w:rPr>
        <w:t xml:space="preserve">destabilisation </w:t>
      </w:r>
      <w:r w:rsidRPr="00A83D56">
        <w:rPr>
          <w:rFonts w:asciiTheme="majorHAnsi" w:hAnsiTheme="majorHAnsi"/>
        </w:rPr>
        <w:t>has been implicated in many cellular processes such as transcription, genome stability and cellular progression. It is widely regarded, following genome wide studies in yeast, that H2A.Z is highly prevalent at transcriptional start sites and that its presence is required for transcription initiation</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&lt;EndNote&gt;&lt;Cite&gt;&lt;Author&gt;Sura&lt;/Author&gt;&lt;Year&gt;2017&lt;/Year&gt;&lt;IDText&gt;Dual Role of the Histone Variant H2A.Z in Transcriptional Regulation of Stress-Response Genes&lt;/IDText&gt;&lt;DisplayText&gt;(Sura et al., 2017)&lt;/DisplayText&gt;&lt;record&gt;&lt;dates&gt;&lt;pub-dates&gt;&lt;date&gt;Apr&lt;/date&gt;&lt;/pub-dates&gt;&lt;year&gt;2017&lt;/year&gt;&lt;/dates&gt;&lt;urls&gt;&lt;related-urls&gt;&lt;url&gt;https://www.ncbi.nlm.nih.gov/pubmed/28258158&lt;/url&gt;&lt;/related-urls&gt;&lt;/urls&gt;&lt;isbn&gt;1532-298X&lt;/isbn&gt;&lt;custom2&gt;PMC5435421&lt;/custom2&gt;&lt;titles&gt;&lt;title&gt;Dual Role of the Histone Variant H2A.Z in Transcriptional Regulation of Stress-Response Genes&lt;/title&gt;&lt;secondary-title&gt;Plant Cell&lt;/secondary-title&gt;&lt;/titles&gt;&lt;pages&gt;791-807&lt;/pages&gt;&lt;number&gt;4&lt;/number&gt;&lt;contributors&gt;&lt;authors&gt;&lt;author&gt;Sura, W.&lt;/author&gt;&lt;author&gt;Kabza, M.&lt;/author&gt;&lt;author&gt;Karlowski, W. M.&lt;/author&gt;&lt;author&gt;Bieluszewski, T.&lt;/author&gt;&lt;author&gt;Kus-Slowinska, M.&lt;/author&gt;&lt;author&gt;Pawełoszek, Ł&lt;/author&gt;&lt;author&gt;Sadowski, J.&lt;/author&gt;&lt;author&gt;Ziolkowski, P. A.&lt;/author&gt;&lt;/authors&gt;&lt;/contributors&gt;&lt;edition&gt;2017/03/03&lt;/edition&gt;&lt;language&gt;eng&lt;/language&gt;&lt;added-date format="utc"&gt;1509981992&lt;/added-date&gt;&lt;ref-type name="Journal Article"&gt;17&lt;/ref-type&gt;&lt;rec-number&gt;339&lt;/rec-number&gt;&lt;last-updated-date format="utc"&gt;1509981992&lt;/last-updated-date&gt;&lt;accession-num&gt;28258158&lt;/accession-num&gt;&lt;electronic-resource-num&gt;10.1105/tpc.16.00573&lt;/electronic-resource-num&gt;&lt;volume&gt;29&lt;/volume&gt;&lt;/record&gt;&lt;/Cite&gt;&lt;/EndNote&gt;</w:instrText>
      </w:r>
      <w:r>
        <w:rPr>
          <w:rFonts w:asciiTheme="majorHAnsi" w:hAnsiTheme="majorHAnsi"/>
        </w:rPr>
        <w:fldChar w:fldCharType="separate"/>
      </w:r>
      <w:r>
        <w:rPr>
          <w:rFonts w:asciiTheme="majorHAnsi" w:hAnsiTheme="majorHAnsi"/>
          <w:noProof/>
        </w:rPr>
        <w:t>(Sura et al., 2017)</w:t>
      </w:r>
      <w:r>
        <w:rPr>
          <w:rFonts w:asciiTheme="majorHAnsi" w:hAnsiTheme="majorHAnsi"/>
        </w:rPr>
        <w:fldChar w:fldCharType="end"/>
      </w:r>
      <w:r w:rsidRPr="00A83D56">
        <w:rPr>
          <w:rFonts w:asciiTheme="majorHAnsi" w:hAnsiTheme="majorHAnsi"/>
        </w:rPr>
        <w:t>. However, yeast studies show an inverse correlation between enrichment of H2A.Z and the activity of the genes wh</w:t>
      </w:r>
      <w:r>
        <w:rPr>
          <w:rFonts w:asciiTheme="majorHAnsi" w:hAnsiTheme="majorHAnsi"/>
        </w:rPr>
        <w:t xml:space="preserve">ere it is found </w:t>
      </w:r>
      <w:r>
        <w:rPr>
          <w:rFonts w:asciiTheme="majorHAnsi" w:hAnsiTheme="majorHAnsi"/>
        </w:rPr>
        <w:fldChar w:fldCharType="begin"/>
      </w:r>
      <w:r>
        <w:rPr>
          <w:rFonts w:asciiTheme="majorHAnsi" w:hAnsiTheme="majorHAnsi"/>
        </w:rPr>
        <w:instrText xml:space="preserve"> ADDIN EN.CITE &lt;EndNote&gt;&lt;Cite&gt;&lt;Author&gt;Guillemette&lt;/Author&gt;&lt;Year&gt;2005&lt;/Year&gt;&lt;IDText&gt;Variant histone H2A.Z is globally localized to the promoters of inactive yeast genes and regulates nucleosome positioning&lt;/IDText&gt;&lt;DisplayText&gt;(Guillemette et al., 2005)&lt;/DisplayText&gt;&lt;record&gt;&lt;dates&gt;&lt;pub-dates&gt;&lt;date&gt;Dec&lt;/date&gt;&lt;/pub-dates&gt;&lt;year&gt;2005&lt;/year&gt;&lt;/dates&gt;&lt;keywords&gt;&lt;keyword&gt;Gene Expression Regulation, Fungal&lt;/keyword&gt;&lt;keyword&gt;Genetic Variation&lt;/keyword&gt;&lt;keyword&gt;Genome, Fungal&lt;/keyword&gt;&lt;keyword&gt;Histones&lt;/keyword&gt;&lt;keyword&gt;Nucleosomes&lt;/keyword&gt;&lt;keyword&gt;Promoter Regions, Genetic&lt;/keyword&gt;&lt;keyword&gt;Saccharomyces cerevisiae&lt;/keyword&gt;&lt;keyword&gt;Saccharomyces cerevisiae Proteins&lt;/keyword&gt;&lt;keyword&gt;Transcription, Genetic&lt;/keyword&gt;&lt;/keywords&gt;&lt;urls&gt;&lt;related-urls&gt;&lt;url&gt;https://www.ncbi.nlm.nih.gov/pubmed/16248679&lt;/url&gt;&lt;/related-urls&gt;&lt;/urls&gt;&lt;isbn&gt;1545-7885&lt;/isbn&gt;&lt;custom2&gt;PMC1275524&lt;/custom2&gt;&lt;titles&gt;&lt;title&gt;Variant histone H2A.Z is globally localized to the promoters of inactive yeast genes and regulates nucleosome positioning&lt;/title&gt;&lt;secondary-title&gt;PLoS Biol&lt;/secondary-title&gt;&lt;/titles&gt;&lt;pages&gt;e384&lt;/pages&gt;&lt;number&gt;12&lt;/number&gt;&lt;contributors&gt;&lt;authors&gt;&lt;author&gt;Guillemette, B.&lt;/author&gt;&lt;author&gt;Bataille, A. R.&lt;/author&gt;&lt;author&gt;Gévry, N.&lt;/author&gt;&lt;author&gt;Adam, M.&lt;/author&gt;&lt;author&gt;Blanchette, M.&lt;/author&gt;&lt;author&gt;Robert, F.&lt;/author&gt;&lt;author&gt;Gaudreau, L.&lt;/author&gt;&lt;/authors&gt;&lt;/contributors&gt;&lt;edition&gt;2005/11/01&lt;/edition&gt;&lt;language&gt;eng&lt;/language&gt;&lt;added-date format="utc"&gt;1509980814&lt;/added-date&gt;&lt;ref-type name="Journal Article"&gt;17&lt;/ref-type&gt;&lt;rec-number&gt;338&lt;/rec-number&gt;&lt;last-updated-date format="utc"&gt;1509980814&lt;/last-updated-date&gt;&lt;accession-num&gt;16248679&lt;/accession-num&gt;&lt;electronic-resource-num&gt;10.1371/journal.pbio.0030384&lt;/electronic-resource-num&gt;&lt;volume&gt;3&lt;/volume&gt;&lt;/record&gt;&lt;/Cite&gt;&lt;/EndNote&gt;</w:instrText>
      </w:r>
      <w:r>
        <w:rPr>
          <w:rFonts w:asciiTheme="majorHAnsi" w:hAnsiTheme="majorHAnsi"/>
        </w:rPr>
        <w:fldChar w:fldCharType="separate"/>
      </w:r>
      <w:r>
        <w:rPr>
          <w:rFonts w:asciiTheme="majorHAnsi" w:hAnsiTheme="majorHAnsi"/>
          <w:noProof/>
        </w:rPr>
        <w:t>(Guillemette et al., 2005)</w:t>
      </w:r>
      <w:r>
        <w:rPr>
          <w:rFonts w:asciiTheme="majorHAnsi" w:hAnsiTheme="majorHAnsi"/>
        </w:rPr>
        <w:fldChar w:fldCharType="end"/>
      </w:r>
      <w:r>
        <w:rPr>
          <w:rFonts w:asciiTheme="majorHAnsi" w:hAnsiTheme="majorHAnsi"/>
        </w:rPr>
        <w:t xml:space="preserve">, whereas animal studies show a positive correlation </w:t>
      </w:r>
      <w:r>
        <w:rPr>
          <w:rFonts w:asciiTheme="majorHAnsi" w:hAnsiTheme="majorHAnsi"/>
        </w:rPr>
        <w:fldChar w:fldCharType="begin"/>
      </w:r>
      <w:r>
        <w:rPr>
          <w:rFonts w:asciiTheme="majorHAnsi" w:hAnsiTheme="majorHAnsi"/>
        </w:rPr>
        <w:instrText xml:space="preserve"> ADDIN EN.CITE &lt;EndNote&gt;&lt;Cite&gt;&lt;Author&gt;Hardy&lt;/Author&gt;&lt;Year&gt;2009&lt;/Year&gt;&lt;IDText&gt;The euchromatic and heterochromatic landscapes are shaped by antagonizing effects of transcription on H2A.Z deposition&lt;/IDText&gt;&lt;DisplayText&gt;(Hardy et al., 2009)&lt;/DisplayText&gt;&lt;record&gt;&lt;dates&gt;&lt;pub-dates&gt;&lt;date&gt;Oct&lt;/date&gt;&lt;/pub-dates&gt;&lt;year&gt;2009&lt;/year&gt;&lt;/dates&gt;&lt;keywords&gt;&lt;keyword&gt;Cell Line, Tumor&lt;/keyword&gt;&lt;keyword&gt;Euchromatin&lt;/keyword&gt;&lt;keyword&gt;Heterochromatin&lt;/keyword&gt;&lt;keyword&gt;Histones&lt;/keyword&gt;&lt;keyword&gt;Humans&lt;/keyword&gt;&lt;keyword&gt;Promoter Regions, Genetic&lt;/keyword&gt;&lt;keyword&gt;RNA Polymerase II&lt;/keyword&gt;&lt;keyword&gt;Transcription, Genetic&lt;/keyword&gt;&lt;/keywords&gt;&lt;urls&gt;&lt;related-urls&gt;&lt;url&gt;https://www.ncbi.nlm.nih.gov/pubmed/19834540&lt;/url&gt;&lt;/related-urls&gt;&lt;/urls&gt;&lt;isbn&gt;1553-7404&lt;/isbn&gt;&lt;custom2&gt;PMC2754525&lt;/custom2&gt;&lt;titles&gt;&lt;title&gt;The euchromatic and heterochromatic landscapes are shaped by antagonizing effects of transcription on H2A.Z deposition&lt;/title&gt;&lt;secondary-title&gt;PLoS Genet&lt;/secondary-title&gt;&lt;/titles&gt;&lt;pages&gt;e1000687&lt;/pages&gt;&lt;number&gt;10&lt;/number&gt;&lt;contributors&gt;&lt;authors&gt;&lt;author&gt;Hardy, S.&lt;/author&gt;&lt;author&gt;Jacques, P. E.&lt;/author&gt;&lt;author&gt;Gévry, N.&lt;/author&gt;&lt;author&gt;Forest, A.&lt;/author&gt;&lt;author&gt;Fortin, M. E.&lt;/author&gt;&lt;author&gt;Laflamme, L.&lt;/author&gt;&lt;author&gt;Gaudreau, L.&lt;/author&gt;&lt;author&gt;Robert, F.&lt;/author&gt;&lt;/authors&gt;&lt;/contributors&gt;&lt;edition&gt;2009/10/16&lt;/edition&gt;&lt;language&gt;eng&lt;/language&gt;&lt;added-date format="utc"&gt;1509980734&lt;/added-date&gt;&lt;ref-type name="Journal Article"&gt;17&lt;/ref-type&gt;&lt;rec-number&gt;337&lt;/rec-number&gt;&lt;last-updated-date format="utc"&gt;1509980734&lt;/last-updated-date&gt;&lt;accession-num&gt;19834540&lt;/accession-num&gt;&lt;electronic-resource-num&gt;10.1371/journal.pgen.1000687&lt;/electronic-resource-num&gt;&lt;volume&gt;5&lt;/volume&gt;&lt;/record&gt;&lt;/Cite&gt;&lt;/EndNote&gt;</w:instrText>
      </w:r>
      <w:r>
        <w:rPr>
          <w:rFonts w:asciiTheme="majorHAnsi" w:hAnsiTheme="majorHAnsi"/>
        </w:rPr>
        <w:fldChar w:fldCharType="separate"/>
      </w:r>
      <w:r>
        <w:rPr>
          <w:rFonts w:asciiTheme="majorHAnsi" w:hAnsiTheme="majorHAnsi"/>
          <w:noProof/>
        </w:rPr>
        <w:t>(Hardy et al., 2009)</w:t>
      </w:r>
      <w:r>
        <w:rPr>
          <w:rFonts w:asciiTheme="majorHAnsi" w:hAnsiTheme="majorHAnsi"/>
        </w:rPr>
        <w:fldChar w:fldCharType="end"/>
      </w:r>
      <w:r>
        <w:rPr>
          <w:rFonts w:asciiTheme="majorHAnsi" w:hAnsiTheme="majorHAnsi"/>
        </w:rPr>
        <w:t xml:space="preserve">. It is now widely recognised that the enrichment of H2A.Z, usually at the 5’ end of genes, can be associated with the activation or repression of transcription depending on other factors within the histone code, as they are also subject to post-translational modifications such as acetylation </w:t>
      </w:r>
      <w:r>
        <w:rPr>
          <w:rFonts w:asciiTheme="majorHAnsi" w:hAnsiTheme="majorHAnsi"/>
        </w:rPr>
        <w:fldChar w:fldCharType="begin"/>
      </w:r>
      <w:r>
        <w:rPr>
          <w:rFonts w:asciiTheme="majorHAnsi" w:hAnsiTheme="majorHAnsi"/>
        </w:rPr>
        <w:instrText xml:space="preserve"> ADDIN EN.CITE &lt;EndNote&gt;&lt;Cite&gt;&lt;Author&gt;Brahma&lt;/Author&gt;&lt;Year&gt;2017&lt;/Year&gt;&lt;IDText&gt;INO80 exchanges H2A.Z for H2A by translocating on DNA proximal to histone dimers&lt;/IDText&gt;&lt;DisplayText&gt;(Brahma et al., 2017)&lt;/DisplayText&gt;&lt;record&gt;&lt;dates&gt;&lt;pub-dates&gt;&lt;date&gt;Jun&lt;/date&gt;&lt;/pub-dates&gt;&lt;year&gt;2017&lt;/year&gt;&lt;/dates&gt;&lt;urls&gt;&lt;related-urls&gt;&lt;url&gt;https://www.ncbi.nlm.nih.gov/pubmed/28604691&lt;/url&gt;&lt;/related-urls&gt;&lt;/urls&gt;&lt;isbn&gt;2041-1723&lt;/isbn&gt;&lt;custom2&gt;PMC5472786&lt;/custom2&gt;&lt;titles&gt;&lt;title&gt;INO80 exchanges H2A.Z for H2A by translocating on DNA proximal to histone dimers&lt;/title&gt;&lt;secondary-title&gt;Nat Commun&lt;/secondary-title&gt;&lt;/titles&gt;&lt;pages&gt;15616&lt;/pages&gt;&lt;contributors&gt;&lt;authors&gt;&lt;author&gt;Brahma, S.&lt;/author&gt;&lt;author&gt;Udugama, M. I.&lt;/author&gt;&lt;author&gt;Kim, J.&lt;/author&gt;&lt;author&gt;Hada, A.&lt;/author&gt;&lt;author&gt;Bhardwaj, S. K.&lt;/author&gt;&lt;author&gt;Hailu, S. G.&lt;/author&gt;&lt;author&gt;Lee, T. H.&lt;/author&gt;&lt;author&gt;Bartholomew, B.&lt;/author&gt;&lt;/authors&gt;&lt;/contributors&gt;&lt;edition&gt;2017/06/12&lt;/edition&gt;&lt;language&gt;eng&lt;/language&gt;&lt;added-date format="utc"&gt;1509984335&lt;/added-date&gt;&lt;ref-type name="Journal Article"&gt;17&lt;/ref-type&gt;&lt;rec-number&gt;341&lt;/rec-number&gt;&lt;last-updated-date format="utc"&gt;1509984335&lt;/last-updated-date&gt;&lt;accession-num&gt;28604691&lt;/accession-num&gt;&lt;electronic-resource-num&gt;10.1038/ncomms15616&lt;/electronic-resource-num&gt;&lt;volume&gt;8&lt;/volume&gt;&lt;/record&gt;&lt;/Cite&gt;&lt;/EndNote&gt;</w:instrText>
      </w:r>
      <w:r>
        <w:rPr>
          <w:rFonts w:asciiTheme="majorHAnsi" w:hAnsiTheme="majorHAnsi"/>
        </w:rPr>
        <w:fldChar w:fldCharType="separate"/>
      </w:r>
      <w:r>
        <w:rPr>
          <w:rFonts w:asciiTheme="majorHAnsi" w:hAnsiTheme="majorHAnsi"/>
          <w:noProof/>
        </w:rPr>
        <w:t>(Brahma et al., 2017)</w:t>
      </w:r>
      <w:r>
        <w:rPr>
          <w:rFonts w:asciiTheme="majorHAnsi" w:hAnsiTheme="majorHAnsi"/>
        </w:rPr>
        <w:fldChar w:fldCharType="end"/>
      </w:r>
      <w:r>
        <w:rPr>
          <w:rFonts w:asciiTheme="majorHAnsi" w:hAnsiTheme="majorHAnsi"/>
        </w:rPr>
        <w:t xml:space="preserve">. Knockdown of H2A.Z causes an increase in genome instability and this is due </w:t>
      </w:r>
      <w:r w:rsidR="00B57AF2">
        <w:rPr>
          <w:rFonts w:asciiTheme="majorHAnsi" w:hAnsiTheme="majorHAnsi"/>
        </w:rPr>
        <w:t>to its</w:t>
      </w:r>
      <w:r>
        <w:rPr>
          <w:rFonts w:asciiTheme="majorHAnsi" w:hAnsiTheme="majorHAnsi"/>
        </w:rPr>
        <w:t xml:space="preserve"> essential </w:t>
      </w:r>
      <w:r w:rsidR="00CD6E8B">
        <w:rPr>
          <w:rFonts w:asciiTheme="majorHAnsi" w:hAnsiTheme="majorHAnsi"/>
        </w:rPr>
        <w:t>function</w:t>
      </w:r>
      <w:r>
        <w:rPr>
          <w:rFonts w:asciiTheme="majorHAnsi" w:hAnsiTheme="majorHAnsi"/>
        </w:rPr>
        <w:t xml:space="preserve"> </w:t>
      </w:r>
      <w:r w:rsidR="00B57AF2">
        <w:rPr>
          <w:rFonts w:asciiTheme="majorHAnsi" w:hAnsiTheme="majorHAnsi"/>
        </w:rPr>
        <w:t>in</w:t>
      </w:r>
      <w:r>
        <w:rPr>
          <w:rFonts w:asciiTheme="majorHAnsi" w:hAnsiTheme="majorHAnsi"/>
        </w:rPr>
        <w:t xml:space="preserve"> chromosome segregation </w:t>
      </w:r>
      <w:r w:rsidR="00B57AF2">
        <w:rPr>
          <w:rFonts w:asciiTheme="majorHAnsi" w:hAnsiTheme="majorHAnsi"/>
        </w:rPr>
        <w:t xml:space="preserve">during mitosis </w:t>
      </w:r>
      <w:r>
        <w:rPr>
          <w:rFonts w:asciiTheme="majorHAnsi" w:hAnsiTheme="majorHAnsi"/>
        </w:rPr>
        <w:t>through its role in the correct localisation of HP1</w:t>
      </w:r>
      <w:r>
        <w:rPr>
          <w:rFonts w:ascii="Calibri" w:hAnsi="Calibri"/>
        </w:rPr>
        <w:t>α</w:t>
      </w:r>
      <w:r w:rsidR="00B57AF2">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&lt;EndNote&gt;&lt;Cite&gt;&lt;Author&gt;Rangasamy&lt;/Author&gt;&lt;Year&gt;2004&lt;/Year&gt;&lt;IDText&gt;RNA interference demonstrates a novel role for H2A.Z in chromosome segregation&lt;/IDText&gt;&lt;DisplayText&gt;(Rangasamy et al., 2004)&lt;/DisplayText&gt;&lt;record&gt;&lt;dates&gt;&lt;pub-dates&gt;&lt;date&gt;Jul&lt;/date&gt;&lt;/pub-dates&gt;&lt;year&gt;2004&lt;/year&gt;&lt;/dates&gt;&lt;keywords&gt;&lt;keyword&gt;Base Sequence&lt;/keyword&gt;&lt;keyword&gt;Blotting, Northern&lt;/keyword&gt;&lt;keyword&gt;Chromatin&lt;/keyword&gt;&lt;keyword&gt;DNA Primers&lt;/keyword&gt;&lt;keyword&gt;Genome&lt;/keyword&gt;&lt;keyword&gt;Histones&lt;/keyword&gt;&lt;keyword&gt;Molecular Sequence Data&lt;/keyword&gt;&lt;keyword&gt;RNA Interference&lt;/keyword&gt;&lt;keyword&gt;Reverse Transcriptase Polymerase Chain Reaction&lt;/keyword&gt;&lt;/keywords&gt;&lt;urls&gt;&lt;related-urls&gt;&lt;url&gt;http://www.ncbi.nlm.nih.gov/pubmed/15195148&lt;/url&gt;&lt;/related-urls&gt;&lt;/urls&gt;&lt;isbn&gt;1545-9993&lt;/isbn&gt;&lt;titles&gt;&lt;title&gt;RNA interference demonstrates a novel role for H2A.Z in chromosome segregation&lt;/title&gt;&lt;secondary-title&gt;Nat Struct Mol Biol&lt;/secondary-title&gt;&lt;/titles&gt;&lt;pages&gt;650-5&lt;/pages&gt;&lt;number&gt;7&lt;/number&gt;&lt;contributors&gt;&lt;authors&gt;&lt;author&gt;Rangasamy, D.&lt;/author&gt;&lt;author&gt;Greaves, I.&lt;/author&gt;&lt;author&gt;Tremethick, D. J.&lt;/author&gt;&lt;/authors&gt;&lt;/contributors&gt;&lt;language&gt;eng&lt;/language&gt;&lt;added-date format="utc"&gt;1425998456&lt;/added-date&gt;&lt;ref-type name="Journal Article"&gt;17&lt;/ref-type&gt;&lt;rec-number&gt;89&lt;/rec-number&gt;&lt;last-updated-date format="utc"&gt;1447344248&lt;/last-updated-date&gt;&lt;accession-num&gt;15195148&lt;/accession-num&gt;&lt;electronic-resource-num&gt;10.1038/nsmb786&lt;/electronic-resource-num&gt;&lt;volume&gt;11&lt;/volume&gt;&lt;/record&gt;&lt;/Cite&gt;&lt;/EndNote&gt;</w:instrText>
      </w:r>
      <w:r>
        <w:rPr>
          <w:rFonts w:asciiTheme="majorHAnsi" w:hAnsiTheme="majorHAnsi"/>
        </w:rPr>
        <w:fldChar w:fldCharType="separate"/>
      </w:r>
      <w:r>
        <w:rPr>
          <w:rFonts w:asciiTheme="majorHAnsi" w:hAnsiTheme="majorHAnsi"/>
          <w:noProof/>
        </w:rPr>
        <w:t>(Rangasamy et al., 2004)</w:t>
      </w:r>
      <w:r>
        <w:rPr>
          <w:rFonts w:asciiTheme="majorHAnsi" w:hAnsiTheme="majorHAnsi"/>
        </w:rPr>
        <w:fldChar w:fldCharType="end"/>
      </w:r>
      <w:r>
        <w:rPr>
          <w:rFonts w:asciiTheme="majorHAnsi" w:hAnsiTheme="majorHAnsi"/>
        </w:rPr>
        <w:t>. Homozygous H2A.Z deficient mouse embryos were not</w:t>
      </w:r>
      <w:r w:rsidR="00B57AF2">
        <w:rPr>
          <w:rFonts w:asciiTheme="majorHAnsi" w:hAnsiTheme="majorHAnsi"/>
        </w:rPr>
        <w:t xml:space="preserve"> viable</w:t>
      </w:r>
      <w:r>
        <w:rPr>
          <w:rFonts w:asciiTheme="majorHAnsi" w:hAnsiTheme="majorHAnsi"/>
        </w:rPr>
        <w:t xml:space="preserve">, highlighting the essential functions H2A.Z plays in correct chromosome segregation and transcriptional activity </w:t>
      </w:r>
      <w:r>
        <w:rPr>
          <w:rFonts w:asciiTheme="majorHAnsi" w:hAnsiTheme="majorHAnsi"/>
        </w:rPr>
        <w:fldChar w:fldCharType="begin"/>
      </w:r>
      <w:r>
        <w:rPr>
          <w:rFonts w:asciiTheme="majorHAnsi" w:hAnsiTheme="majorHAnsi"/>
        </w:rPr>
        <w:instrText xml:space="preserve"> ADDIN EN.CITE &lt;EndNote&gt;&lt;Cite&gt;&lt;Author&gt;Faast&lt;/Author&gt;&lt;Year&gt;2001&lt;/Year&gt;&lt;IDText&gt;Histone variant H2A.Z is required for early mammalian development&lt;/IDText&gt;&lt;DisplayText&gt;(Faast et al., 2001)&lt;/DisplayText&gt;&lt;record&gt;&lt;dates&gt;&lt;pub-dates&gt;&lt;date&gt;Aug&lt;/date&gt;&lt;/pub-dates&gt;&lt;year&gt;2001&lt;/year&gt;&lt;/dates&gt;&lt;keywords&gt;&lt;keyword&gt;Animals&lt;/keyword&gt;&lt;keyword&gt;Base Sequence&lt;/keyword&gt;&lt;keyword&gt;Cell Line&lt;/keyword&gt;&lt;keyword&gt;DNA Primers&lt;/keyword&gt;&lt;keyword&gt;Embryonic and Fetal Development&lt;/keyword&gt;&lt;keyword&gt;Gene Deletion&lt;/keyword&gt;&lt;keyword&gt;Histones&lt;/keyword&gt;&lt;keyword&gt;Mice&lt;/keyword&gt;&lt;/keywords&gt;&lt;urls&gt;&lt;related-urls&gt;&lt;url&gt;http://www.ncbi.nlm.nih.gov/pubmed/11516949&lt;/url&gt;&lt;/related-urls&gt;&lt;/urls&gt;&lt;isbn&gt;0960-9822&lt;/isbn&gt;&lt;titles&gt;&lt;title&gt;Histone variant H2A.Z is required for early mammalian development&lt;/title&gt;&lt;secondary-title&gt;Curr Biol&lt;/secondary-title&gt;&lt;/titles&gt;&lt;pages&gt;1183-7&lt;/pages&gt;&lt;number&gt;15&lt;/number&gt;&lt;contributors&gt;&lt;authors&gt;&lt;author&gt;Faast, R.&lt;/author&gt;&lt;author&gt;Thonglairoam, V.&lt;/author&gt;&lt;author&gt;Schulz, T. C.&lt;/author&gt;&lt;author&gt;Beall, J.&lt;/author&gt;&lt;author&gt;Wells, J. R.&lt;/author&gt;&lt;author&gt;Taylor, H.&lt;/author&gt;&lt;author&gt;Matthaei, K.&lt;/author&gt;&lt;author&gt;Rathjen, P. D.&lt;/author&gt;&lt;author&gt;Tremethick, D. J.&lt;/author&gt;&lt;author&gt;Lyons, I.&lt;/author&gt;&lt;/authors&gt;&lt;/contributors&gt;&lt;language&gt;eng&lt;/language&gt;&lt;added-date format="utc"&gt;1447685873&lt;/added-date&gt;&lt;ref-type name="Journal Article"&gt;17&lt;/ref-type&gt;&lt;rec-number&gt;135&lt;/rec-number&gt;&lt;last-updated-date format="utc"&gt;1447685873&lt;/last-updated-date&gt;&lt;accession-num&gt;11516949&lt;/accession-num&gt;&lt;volume&gt;11&lt;/volume&gt;&lt;/record&gt;&lt;/Cite&gt;&lt;/EndNote&gt;</w:instrText>
      </w:r>
      <w:r>
        <w:rPr>
          <w:rFonts w:asciiTheme="majorHAnsi" w:hAnsiTheme="majorHAnsi"/>
        </w:rPr>
        <w:fldChar w:fldCharType="separate"/>
      </w:r>
      <w:r>
        <w:rPr>
          <w:rFonts w:asciiTheme="majorHAnsi" w:hAnsiTheme="majorHAnsi"/>
          <w:noProof/>
        </w:rPr>
        <w:t>(Faast et al., 2001)</w:t>
      </w:r>
      <w:r>
        <w:rPr>
          <w:rFonts w:asciiTheme="majorHAnsi" w:hAnsiTheme="majorHAnsi"/>
        </w:rPr>
        <w:fldChar w:fldCharType="end"/>
      </w:r>
      <w:r>
        <w:rPr>
          <w:rFonts w:asciiTheme="majorHAnsi" w:hAnsiTheme="majorHAnsi"/>
        </w:rPr>
        <w:t xml:space="preserve">. </w:t>
      </w:r>
    </w:p>
    <w:p w14:paraId="6BBDD802" w14:textId="77777777" w:rsidR="00B15A35" w:rsidRDefault="00B15A35" w:rsidP="00B15A35">
      <w:pPr>
        <w:spacing w:line="360" w:lineRule="auto"/>
        <w:jc w:val="both"/>
        <w:rPr>
          <w:rFonts w:asciiTheme="majorHAnsi" w:hAnsiTheme="majorHAnsi"/>
        </w:rPr>
      </w:pPr>
    </w:p>
    <w:p w14:paraId="30023478" w14:textId="7AE5A117" w:rsidR="007D5361" w:rsidRPr="00513E97" w:rsidRDefault="00B15A35" w:rsidP="00B15A35">
      <w:pPr>
        <w:spacing w:line="360" w:lineRule="auto"/>
        <w:jc w:val="both"/>
        <w:rPr>
          <w:rFonts w:asciiTheme="majorHAnsi" w:hAnsiTheme="majorHAnsi"/>
        </w:rPr>
      </w:pPr>
      <w:r>
        <w:rPr>
          <w:rFonts w:asciiTheme="majorHAnsi" w:hAnsiTheme="majorHAnsi"/>
        </w:rPr>
        <w:t>H2A.Z also plays a crucial role in the DDR pathway, whereby it is deposited at sites of DNA damage so that the change in nucleosome structure can open up the chromatin and this open configuration extends away from the double strand breaks (DSBs), allowing access for DDR proteins. The structure seen where H2A.Z regions flank a nucleosome free region around the DSB, is much like that seen at transcriptional start sites, both allowing ac</w:t>
      </w:r>
      <w:r w:rsidR="00B57AF2">
        <w:rPr>
          <w:rFonts w:asciiTheme="majorHAnsi" w:hAnsiTheme="majorHAnsi"/>
        </w:rPr>
        <w:t>cess to the DNA for a complex</w:t>
      </w:r>
      <w:r>
        <w:rPr>
          <w:rFonts w:asciiTheme="majorHAnsi" w:hAnsiTheme="majorHAnsi"/>
        </w:rPr>
        <w:t xml:space="preserve"> of proteins </w:t>
      </w:r>
      <w:r>
        <w:rPr>
          <w:rFonts w:asciiTheme="majorHAnsi" w:hAnsiTheme="majorHAnsi"/>
        </w:rPr>
        <w:fldChar w:fldCharType="begin">
          <w:fldData xml:space="preserve">PEVuZE5vdGU+PENpdGU+PEF1dGhvcj5YdTwvQXV0aG9yPjxZZWFyPjIwMTI8L1llYXI+PElEVGV4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PEVuZE5vdGU+PENpdGU+PEF1dGhvcj5YdTwvQXV0aG9yPjxZZWFyPjIwMTI8L1llYXI+PElEVGV4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(Xu et al., 2012)</w:t>
      </w:r>
      <w:r>
        <w:rPr>
          <w:rFonts w:asciiTheme="majorHAnsi" w:hAnsiTheme="majorHAnsi"/>
        </w:rPr>
        <w:fldChar w:fldCharType="end"/>
      </w:r>
      <w:r>
        <w:rPr>
          <w:rFonts w:asciiTheme="majorHAnsi" w:hAnsiTheme="majorHAnsi"/>
        </w:rPr>
        <w:t xml:space="preserve">. It may also be that such flanking by H2A.Z inhibits the DNA resection by CtIP, an important protein in the DDR, and thus push the cells to favour </w:t>
      </w:r>
      <w:r w:rsidR="00B57AF2">
        <w:rPr>
          <w:rFonts w:asciiTheme="majorHAnsi" w:hAnsiTheme="majorHAnsi"/>
        </w:rPr>
        <w:t xml:space="preserve">the error-prone </w:t>
      </w:r>
      <w:r>
        <w:rPr>
          <w:rFonts w:asciiTheme="majorHAnsi" w:hAnsiTheme="majorHAnsi"/>
        </w:rPr>
        <w:t>non-homologous end joining (NHEJ)</w:t>
      </w:r>
      <w:r w:rsidR="00B57AF2">
        <w:rPr>
          <w:rFonts w:asciiTheme="majorHAnsi" w:hAnsiTheme="majorHAnsi"/>
        </w:rPr>
        <w:t xml:space="preserve"> DNA repair pathway</w:t>
      </w:r>
      <w:r>
        <w:rPr>
          <w:rFonts w:asciiTheme="majorHAnsi" w:hAnsiTheme="majorHAnsi"/>
        </w:rPr>
        <w:t>. Indeed it appears that H2A.Z presence within nucleosomes at DSB sites is important for BRCA1 and KU70/80 lo</w:t>
      </w:r>
      <w:r w:rsidR="00B57AF2">
        <w:rPr>
          <w:rFonts w:asciiTheme="majorHAnsi" w:hAnsiTheme="majorHAnsi"/>
        </w:rPr>
        <w:t>ading ready for NHEJ. Xu et al.</w:t>
      </w:r>
      <w:r>
        <w:rPr>
          <w:rFonts w:asciiTheme="majorHAnsi" w:hAnsiTheme="majorHAnsi"/>
        </w:rPr>
        <w:t xml:space="preserve"> also hypothesise</w:t>
      </w:r>
      <w:r w:rsidR="00B57AF2">
        <w:rPr>
          <w:rFonts w:asciiTheme="majorHAnsi" w:hAnsiTheme="majorHAnsi"/>
        </w:rPr>
        <w:t>d</w:t>
      </w:r>
      <w:r>
        <w:rPr>
          <w:rFonts w:asciiTheme="majorHAnsi" w:hAnsiTheme="majorHAnsi"/>
        </w:rPr>
        <w:t xml:space="preserve"> that the loss of H2A.Z could therefore result in unregulated end resection and so defective homologous recombination (HR). Indeed in yeast there is an increased sensitivity to DNA damaging agents resulting in genome instability when H2A.Z is lost </w:t>
      </w:r>
      <w:r>
        <w:rPr>
          <w:rFonts w:asciiTheme="majorHAnsi" w:hAnsiTheme="majorHAnsi"/>
        </w:rPr>
        <w:fldChar w:fldCharType="begin"/>
      </w:r>
      <w:r>
        <w:rPr>
          <w:rFonts w:asciiTheme="majorHAnsi" w:hAnsiTheme="majorHAnsi"/>
        </w:rPr>
        <w:instrText xml:space="preserve"> ADDIN EN.CITE &lt;EndNote&gt;&lt;Cite&gt;&lt;Author&gt;Morillo-Huesca&lt;/Author&gt;&lt;Year&gt;2010&lt;/Year&gt;&lt;IDText&gt;The SWR1 histone replacement complex causes genetic instability and genome-wide transcription misregulation in the absence of H2A.Z&lt;/IDText&gt;&lt;DisplayText&gt;(Morillo-Huesca et al., 2010)&lt;/DisplayText&gt;&lt;record&gt;&lt;dates&gt;&lt;pub-dates&gt;&lt;date&gt;Aug&lt;/date&gt;&lt;/pub-dates&gt;&lt;year&gt;2010&lt;/year&gt;&lt;/dates&gt;&lt;keywords&gt;&lt;keyword&gt;Adenosine Triphosphatases&lt;/keyword&gt;&lt;keyword&gt;Chromatin&lt;/keyword&gt;&lt;keyword&gt;DNA Breaks, Double-Stranded&lt;/keyword&gt;&lt;keyword&gt;Genome, Fungal&lt;/keyword&gt;&lt;keyword&gt;Genomic Instability&lt;/keyword&gt;&lt;keyword&gt;Histones&lt;/keyword&gt;&lt;keyword&gt;Saccharomyces cerevisiae&lt;/keyword&gt;&lt;keyword&gt;Saccharomyces cerevisiae Proteins&lt;/keyword&gt;&lt;keyword&gt;Stress, Physiological&lt;/keyword&gt;&lt;keyword&gt;Transcription, Genetic&lt;/keyword&gt;&lt;/keywords&gt;&lt;urls&gt;&lt;related-urls&gt;&lt;url&gt;https://www.ncbi.nlm.nih.gov/pubmed/20711347&lt;/url&gt;&lt;/related-urls&gt;&lt;/urls&gt;&lt;isbn&gt;1932-6203&lt;/isbn&gt;&lt;custom2&gt;PMC2920830&lt;/custom2&gt;&lt;titles&gt;&lt;title&gt;The SWR1 histone replacement complex causes genetic instability and genome-wide transcription misregulation in the absence of H2A.Z&lt;/title&gt;&lt;secondary-title&gt;PLoS One&lt;/secondary-title&gt;&lt;/titles&gt;&lt;pages&gt;e12143&lt;/pages&gt;&lt;number&gt;8&lt;/number&gt;&lt;contributors&gt;&lt;authors&gt;&lt;author&gt;Morillo-Huesca, M.&lt;/author&gt;&lt;author&gt;Clemente-Ruiz, M.&lt;/author&gt;&lt;author&gt;Andújar, E.&lt;/author&gt;&lt;author&gt;Prado, F.&lt;/author&gt;&lt;/authors&gt;&lt;/contributors&gt;&lt;edition&gt;2010/08/12&lt;/edition&gt;&lt;language&gt;eng&lt;/language&gt;&lt;added-date format="utc"&gt;1510060832&lt;/added-date&gt;&lt;ref-type name="Journal Article"&gt;17&lt;/ref-type&gt;&lt;rec-number&gt;350&lt;/rec-number&gt;&lt;last-updated-date format="utc"&gt;1510060832&lt;/last-updated-date&gt;&lt;accession-num&gt;20711347&lt;/accession-num&gt;&lt;electronic-resource-num&gt;10.1371/journal.pone.0012143&lt;/electronic-resource-num&gt;&lt;volume&gt;5&lt;/volume&gt;&lt;/record&gt;&lt;/Cite&gt;&lt;/EndNote&gt;</w:instrText>
      </w:r>
      <w:r>
        <w:rPr>
          <w:rFonts w:asciiTheme="majorHAnsi" w:hAnsiTheme="majorHAnsi"/>
        </w:rPr>
        <w:fldChar w:fldCharType="separate"/>
      </w:r>
      <w:r>
        <w:rPr>
          <w:rFonts w:asciiTheme="majorHAnsi" w:hAnsiTheme="majorHAnsi"/>
          <w:noProof/>
        </w:rPr>
        <w:t>(Morillo-Huesca et al., 2010)</w:t>
      </w:r>
      <w:r>
        <w:rPr>
          <w:rFonts w:asciiTheme="majorHAnsi" w:hAnsiTheme="majorHAnsi"/>
        </w:rPr>
        <w:fldChar w:fldCharType="end"/>
      </w:r>
      <w:r>
        <w:rPr>
          <w:rFonts w:asciiTheme="majorHAnsi" w:hAnsiTheme="majorHAnsi"/>
        </w:rPr>
        <w:t>. However, research into how</w:t>
      </w:r>
      <w:r w:rsidR="00B57AF2">
        <w:rPr>
          <w:rFonts w:asciiTheme="majorHAnsi" w:hAnsiTheme="majorHAnsi"/>
        </w:rPr>
        <w:t>,</w:t>
      </w:r>
      <w:r>
        <w:rPr>
          <w:rFonts w:asciiTheme="majorHAnsi" w:hAnsiTheme="majorHAnsi"/>
        </w:rPr>
        <w:t xml:space="preserve"> and even if</w:t>
      </w:r>
      <w:r w:rsidR="00B57AF2">
        <w:rPr>
          <w:rFonts w:asciiTheme="majorHAnsi" w:hAnsiTheme="majorHAnsi"/>
        </w:rPr>
        <w:t>,</w:t>
      </w:r>
      <w:r>
        <w:rPr>
          <w:rFonts w:asciiTheme="majorHAnsi" w:hAnsiTheme="majorHAnsi"/>
        </w:rPr>
        <w:t xml:space="preserve"> H2A.Z plays a role at double strand breaks is heavily </w:t>
      </w:r>
      <w:r w:rsidR="00B57AF2">
        <w:rPr>
          <w:rFonts w:asciiTheme="majorHAnsi" w:hAnsiTheme="majorHAnsi"/>
        </w:rPr>
        <w:t xml:space="preserve">debated </w:t>
      </w:r>
      <w:r>
        <w:rPr>
          <w:rFonts w:asciiTheme="majorHAnsi" w:hAnsiTheme="majorHAnsi"/>
        </w:rPr>
        <w:t xml:space="preserve">due to </w:t>
      </w:r>
      <w:r w:rsidR="00B57AF2">
        <w:rPr>
          <w:rFonts w:asciiTheme="majorHAnsi" w:hAnsiTheme="majorHAnsi"/>
        </w:rPr>
        <w:t>conflicting</w:t>
      </w:r>
      <w:r>
        <w:rPr>
          <w:rFonts w:asciiTheme="majorHAnsi" w:hAnsiTheme="majorHAnsi"/>
        </w:rPr>
        <w:t xml:space="preserve"> results. For example, another study did not see any H2A.Z presence at DSBs, </w:t>
      </w:r>
      <w:r w:rsidR="00B57AF2">
        <w:rPr>
          <w:rFonts w:asciiTheme="majorHAnsi" w:hAnsiTheme="majorHAnsi"/>
        </w:rPr>
        <w:t>and explained</w:t>
      </w:r>
      <w:r>
        <w:rPr>
          <w:rFonts w:asciiTheme="majorHAnsi" w:hAnsiTheme="majorHAnsi"/>
        </w:rPr>
        <w:t xml:space="preserve"> the differential result by </w:t>
      </w:r>
      <w:r w:rsidR="00B57AF2">
        <w:rPr>
          <w:rFonts w:asciiTheme="majorHAnsi" w:hAnsiTheme="majorHAnsi"/>
        </w:rPr>
        <w:t>hypothesizing that</w:t>
      </w:r>
      <w:r>
        <w:rPr>
          <w:rFonts w:asciiTheme="majorHAnsi" w:hAnsiTheme="majorHAnsi"/>
        </w:rPr>
        <w:t xml:space="preserve"> the accumulation of H2A.Z at DSBs is cell line specific, as </w:t>
      </w:r>
      <w:r w:rsidR="00B57AF2">
        <w:rPr>
          <w:rFonts w:asciiTheme="majorHAnsi" w:hAnsiTheme="majorHAnsi"/>
        </w:rPr>
        <w:t>their study</w:t>
      </w:r>
      <w:r>
        <w:rPr>
          <w:rFonts w:asciiTheme="majorHAnsi" w:hAnsiTheme="majorHAnsi"/>
        </w:rPr>
        <w:t xml:space="preserve"> used an osteosarcoma cell line (U2OS) and immortalised human fibroblasts </w:t>
      </w:r>
      <w:r>
        <w:rPr>
          <w:rFonts w:asciiTheme="majorHAnsi" w:hAnsiTheme="majorHAnsi"/>
        </w:rPr>
        <w:fldChar w:fldCharType="begin"/>
      </w:r>
      <w:r>
        <w:rPr>
          <w:rFonts w:asciiTheme="majorHAnsi" w:hAnsiTheme="majorHAnsi"/>
        </w:rPr>
        <w:instrText xml:space="preserve"> ADDIN EN.CITE &lt;EndNote&gt;&lt;Cite&gt;&lt;Author&gt;Taty-Taty&lt;/Author&gt;&lt;Year&gt;2014&lt;/Year&gt;&lt;IDText&gt;H2A.Z depletion impairs proliferation and viability but not DNA double-strand breaks repair in human immortalized and tumoral cell lines&lt;/IDText&gt;&lt;DisplayText&gt;(Taty-Taty et al., 2014)&lt;/DisplayText&gt;&lt;record&gt;&lt;keywords&gt;&lt;keyword&gt;Cell Cycle Checkpoints&lt;/keyword&gt;&lt;keyword&gt;Cell Line, Transformed&lt;/keyword&gt;&lt;keyword&gt;Cell Line, Tumor&lt;/keyword&gt;&lt;keyword&gt;Cell Proliferation&lt;/keyword&gt;&lt;keyword&gt;Cell Survival&lt;/keyword&gt;&lt;keyword&gt;DNA Breaks, Double-Stranded&lt;/keyword&gt;&lt;keyword&gt;DNA Repair&lt;/keyword&gt;&lt;keyword&gt;Histones&lt;/keyword&gt;&lt;keyword&gt;Humans&lt;/keyword&gt;&lt;keyword&gt;Lasers&lt;/keyword&gt;&lt;/keywords&gt;&lt;urls&gt;&lt;related-urls&gt;&lt;url&gt;https://www.ncbi.nlm.nih.gov/pubmed/24240188&lt;/url&gt;&lt;/related-urls&gt;&lt;/urls&gt;&lt;isbn&gt;1551-4005&lt;/isbn&gt;&lt;custom2&gt;PMC3956535&lt;/custom2&gt;&lt;titles&gt;&lt;title&gt;H2A.Z depletion impairs proliferation and viability but not DNA double-strand breaks repair in human immortalized and tumoral cell lines&lt;/title&gt;&lt;secondary-title&gt;Cell Cycle&lt;/secondary-title&gt;&lt;/titles&gt;&lt;pages&gt;399-407&lt;/pages&gt;&lt;number&gt;3&lt;/number&gt;&lt;contributors&gt;&lt;authors&gt;&lt;author&gt;Taty-Taty, G. C.&lt;/author&gt;&lt;author&gt;Courilleau, C.&lt;/author&gt;&lt;author&gt;Quaranta, M.&lt;/author&gt;&lt;author&gt;Carayon, A.&lt;/author&gt;&lt;author&gt;Chailleux, C.&lt;/author&gt;&lt;author&gt;Aymard, F.&lt;/author&gt;&lt;author&gt;Trouche, D.&lt;/author&gt;&lt;author&gt;Canitrot, Y.&lt;/author&gt;&lt;/authors&gt;&lt;/contributors&gt;&lt;edition&gt;2013/11/14&lt;/edition&gt;&lt;language&gt;eng&lt;/language&gt;&lt;added-date format="utc"&gt;1510062449&lt;/added-date&gt;&lt;ref-type name="Journal Article"&gt;17&lt;/ref-type&gt;&lt;dates&gt;&lt;year&gt;2014&lt;/year&gt;&lt;/dates&gt;&lt;rec-number&gt;351&lt;/rec-number&gt;&lt;last-updated-date format="utc"&gt;1510062449&lt;/last-updated-date&gt;&lt;accession-num&gt;24240188&lt;/accession-num&gt;&lt;electronic-resource-num&gt;10.4161/cc.27143&lt;/electronic-resource-num&gt;&lt;volume&gt;13&lt;/volume&gt;&lt;/record&gt;&lt;/Cite&gt;&lt;/EndNote&gt;</w:instrText>
      </w:r>
      <w:r>
        <w:rPr>
          <w:rFonts w:asciiTheme="majorHAnsi" w:hAnsiTheme="majorHAnsi"/>
        </w:rPr>
        <w:fldChar w:fldCharType="separate"/>
      </w:r>
      <w:r>
        <w:rPr>
          <w:rFonts w:asciiTheme="majorHAnsi" w:hAnsiTheme="majorHAnsi"/>
          <w:noProof/>
        </w:rPr>
        <w:t>(Taty-Taty et al., 2014)</w:t>
      </w:r>
      <w:r>
        <w:rPr>
          <w:rFonts w:asciiTheme="majorHAnsi" w:hAnsiTheme="majorHAnsi"/>
        </w:rPr>
        <w:fldChar w:fldCharType="end"/>
      </w:r>
      <w:r>
        <w:rPr>
          <w:rFonts w:asciiTheme="majorHAnsi" w:hAnsiTheme="majorHAnsi"/>
        </w:rPr>
        <w:t xml:space="preserve">, compared with HEK293 cells which did show H2A.Z localisation to DSBs </w:t>
      </w:r>
      <w:r>
        <w:rPr>
          <w:rFonts w:asciiTheme="majorHAnsi" w:hAnsiTheme="majorHAnsi"/>
        </w:rPr>
        <w:fldChar w:fldCharType="begin">
          <w:fldData xml:space="preserve">PEVuZE5vdGU+PENpdGU+PEF1dGhvcj5YdTwvQXV0aG9yPjxZZWFyPjIwMTI8L1llYXI+PElEVGV4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PEVuZE5vdGU+PENpdGU+PEF1dGhvcj5YdTwvQXV0aG9yPjxZZWFyPjIwMTI8L1llYXI+PElEVGV4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(Xu et al., 2012)</w:t>
      </w:r>
      <w:r>
        <w:rPr>
          <w:rFonts w:asciiTheme="majorHAnsi" w:hAnsiTheme="majorHAnsi"/>
        </w:rPr>
        <w:fldChar w:fldCharType="end"/>
      </w:r>
      <w:r>
        <w:rPr>
          <w:rFonts w:asciiTheme="majorHAnsi" w:hAnsiTheme="majorHAnsi"/>
        </w:rPr>
        <w:t xml:space="preserve">. With H2A.Z having such a wide expanse of functions </w:t>
      </w:r>
      <w:r w:rsidR="00B57AF2">
        <w:rPr>
          <w:rFonts w:asciiTheme="majorHAnsi" w:hAnsiTheme="majorHAnsi"/>
        </w:rPr>
        <w:t>in</w:t>
      </w:r>
      <w:r>
        <w:rPr>
          <w:rFonts w:asciiTheme="majorHAnsi" w:hAnsiTheme="majorHAnsi"/>
        </w:rPr>
        <w:t xml:space="preserve"> chromatin remodelling and transcription it </w:t>
      </w:r>
      <w:r w:rsidR="00B57AF2">
        <w:rPr>
          <w:rFonts w:asciiTheme="majorHAnsi" w:hAnsiTheme="majorHAnsi"/>
        </w:rPr>
        <w:t>is perhaps not</w:t>
      </w:r>
      <w:r>
        <w:rPr>
          <w:rFonts w:asciiTheme="majorHAnsi" w:hAnsiTheme="majorHAnsi"/>
        </w:rPr>
        <w:t xml:space="preserve"> surprising that studies uncover </w:t>
      </w:r>
      <w:r w:rsidR="00B57AF2">
        <w:rPr>
          <w:rFonts w:asciiTheme="majorHAnsi" w:hAnsiTheme="majorHAnsi"/>
        </w:rPr>
        <w:t>inconsistent</w:t>
      </w:r>
      <w:r>
        <w:rPr>
          <w:rFonts w:asciiTheme="majorHAnsi" w:hAnsiTheme="majorHAnsi"/>
        </w:rPr>
        <w:t xml:space="preserve"> results, especially due to possible indirect effects</w:t>
      </w:r>
      <w:r w:rsidR="00B57AF2">
        <w:rPr>
          <w:rFonts w:asciiTheme="majorHAnsi" w:hAnsiTheme="majorHAnsi"/>
        </w:rPr>
        <w:t xml:space="preserve"> that have yet to be explored</w:t>
      </w:r>
      <w:r>
        <w:rPr>
          <w:rFonts w:asciiTheme="majorHAnsi" w:hAnsiTheme="majorHAnsi"/>
        </w:rPr>
        <w:t xml:space="preserve">. </w:t>
      </w:r>
    </w:p>
    <w:p w14:paraId="142F695C" w14:textId="4F01363A" w:rsidR="00B15A35" w:rsidRDefault="00B15A35" w:rsidP="00B15A35">
      <w:pPr>
        <w:spacing w:line="360" w:lineRule="auto"/>
        <w:jc w:val="both"/>
        <w:rPr>
          <w:rFonts w:asciiTheme="majorHAnsi" w:hAnsiTheme="majorHAnsi"/>
        </w:rPr>
      </w:pPr>
      <w:r w:rsidRPr="000E6351">
        <w:rPr>
          <w:rFonts w:asciiTheme="majorHAnsi" w:hAnsiTheme="majorHAnsi"/>
        </w:rPr>
        <w:t>H2A</w:t>
      </w:r>
      <w:r>
        <w:rPr>
          <w:rFonts w:asciiTheme="majorHAnsi" w:hAnsiTheme="majorHAnsi"/>
        </w:rPr>
        <w:t>.</w:t>
      </w:r>
      <w:r w:rsidRPr="000E6351">
        <w:rPr>
          <w:rFonts w:asciiTheme="majorHAnsi" w:hAnsiTheme="majorHAnsi"/>
        </w:rPr>
        <w:t xml:space="preserve">Z </w:t>
      </w:r>
      <w:r>
        <w:rPr>
          <w:rFonts w:asciiTheme="majorHAnsi" w:hAnsiTheme="majorHAnsi"/>
        </w:rPr>
        <w:t xml:space="preserve">is </w:t>
      </w:r>
      <w:r w:rsidRPr="000E6351">
        <w:rPr>
          <w:rFonts w:asciiTheme="majorHAnsi" w:hAnsiTheme="majorHAnsi"/>
        </w:rPr>
        <w:t>over</w:t>
      </w:r>
      <w:r w:rsidR="00327AA2">
        <w:rPr>
          <w:rFonts w:asciiTheme="majorHAnsi" w:hAnsiTheme="majorHAnsi"/>
        </w:rPr>
        <w:t>-</w:t>
      </w:r>
      <w:r w:rsidRPr="000E6351">
        <w:rPr>
          <w:rFonts w:asciiTheme="majorHAnsi" w:hAnsiTheme="majorHAnsi"/>
        </w:rPr>
        <w:t xml:space="preserve">expressed in </w:t>
      </w:r>
      <w:r>
        <w:rPr>
          <w:rFonts w:asciiTheme="majorHAnsi" w:hAnsiTheme="majorHAnsi"/>
        </w:rPr>
        <w:t xml:space="preserve">a variety of cancer types such as sporadic colorectal, prostate and breast </w:t>
      </w:r>
      <w:r w:rsidR="00B57AF2">
        <w:rPr>
          <w:rFonts w:asciiTheme="majorHAnsi" w:hAnsiTheme="majorHAnsi"/>
        </w:rPr>
        <w:t xml:space="preserve">cancer </w:t>
      </w:r>
      <w:r>
        <w:rPr>
          <w:rFonts w:asciiTheme="majorHAnsi" w:hAnsiTheme="majorHAnsi"/>
        </w:rPr>
        <w:fldChar w:fldCharType="begin">
          <w:fldData xml:space="preserve">PEVuZE5vdGU+PENpdGU+PEF1dGhvcj5IdWE8L0F1dGhvcj48WWVhcj4yMDA4PC9ZZWFyPjxJRFRl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PEVuZE5vdGU+PENpdGU+PEF1dGhvcj5IdWE8L0F1dGhvcj48WWVhcj4yMDA4PC9ZZWFyPjxJRFRl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(Hua et al., 2008, Dunican et al., 2002, Dryhurst et al., 2012)</w:t>
      </w:r>
      <w:r>
        <w:rPr>
          <w:rFonts w:asciiTheme="majorHAnsi" w:hAnsiTheme="majorHAnsi"/>
        </w:rPr>
        <w:fldChar w:fldCharType="end"/>
      </w:r>
      <w:r>
        <w:rPr>
          <w:rFonts w:asciiTheme="majorHAnsi" w:hAnsiTheme="majorHAnsi"/>
        </w:rPr>
        <w:t>, and in breast cancer this over</w:t>
      </w:r>
      <w:r w:rsidR="00327AA2">
        <w:rPr>
          <w:rFonts w:asciiTheme="majorHAnsi" w:hAnsiTheme="majorHAnsi"/>
        </w:rPr>
        <w:t>-</w:t>
      </w:r>
      <w:r>
        <w:rPr>
          <w:rFonts w:asciiTheme="majorHAnsi" w:hAnsiTheme="majorHAnsi"/>
        </w:rPr>
        <w:t xml:space="preserve">expression </w:t>
      </w:r>
      <w:r w:rsidRPr="000E6351">
        <w:rPr>
          <w:rFonts w:asciiTheme="majorHAnsi" w:hAnsiTheme="majorHAnsi"/>
        </w:rPr>
        <w:t>appears to correlate with poor prognosis</w:t>
      </w:r>
      <w:r>
        <w:rPr>
          <w:rFonts w:asciiTheme="majorHAnsi" w:hAnsiTheme="majorHAnsi"/>
        </w:rPr>
        <w:t xml:space="preserve"> and an increase in lymph node metastasis </w:t>
      </w:r>
      <w:r>
        <w:rPr>
          <w:rFonts w:asciiTheme="majorHAnsi" w:hAnsiTheme="majorHAnsi"/>
        </w:rPr>
        <w:fldChar w:fldCharType="begin"/>
      </w:r>
      <w:r>
        <w:rPr>
          <w:rFonts w:asciiTheme="majorHAnsi" w:hAnsiTheme="majorHAnsi"/>
        </w:rPr>
        <w:instrText xml:space="preserve"> ADDIN EN.CITE &lt;EndNote&gt;&lt;Cite&gt;&lt;Author&gt;Svotelis&lt;/Author&gt;&lt;Year&gt;2010&lt;/Year&gt;&lt;IDText&gt;H2A.Z overexpression promotes cellular proliferation of breast cancer cells&lt;/IDText&gt;&lt;DisplayText&gt;(Svotelis et al., 2010)&lt;/DisplayText&gt;&lt;record&gt;&lt;dates&gt;&lt;pub-dates&gt;&lt;date&gt;Jan&lt;/date&gt;&lt;/pub-dates&gt;&lt;year&gt;2010&lt;/year&gt;&lt;/dates&gt;&lt;keywords&gt;&lt;keyword&gt;Breast Neoplasms&lt;/keyword&gt;&lt;keyword&gt;Cell Line, Tumor&lt;/keyword&gt;&lt;keyword&gt;Cell Proliferation&lt;/keyword&gt;&lt;keyword&gt;Estrogen Receptor alpha&lt;/keyword&gt;&lt;keyword&gt;Estrogens&lt;/keyword&gt;&lt;keyword&gt;Female&lt;/keyword&gt;&lt;keyword&gt;G1 Phase&lt;/keyword&gt;&lt;keyword&gt;Histones&lt;/keyword&gt;&lt;keyword&gt;Humans&lt;/keyword&gt;&lt;keyword&gt;Promoter Regions, Genetic&lt;/keyword&gt;&lt;keyword&gt;S Phase&lt;/keyword&gt;&lt;/keywords&gt;&lt;urls&gt;&lt;related-urls&gt;&lt;url&gt;https://www.ncbi.nlm.nih.gov/pubmed/20023423&lt;/url&gt;&lt;/related-urls&gt;&lt;/urls&gt;&lt;isbn&gt;1551-4005&lt;/isbn&gt;&lt;titles&gt;&lt;title&gt;H2A.Z overexpression promotes cellular proliferation of breast cancer cells&lt;/title&gt;&lt;secondary-title&gt;Cell Cycle&lt;/secondary-title&gt;&lt;/titles&gt;&lt;pages&gt;364-70&lt;/pages&gt;&lt;number&gt;2&lt;/number&gt;&lt;contributors&gt;&lt;authors&gt;&lt;author&gt;Svotelis, A.&lt;/author&gt;&lt;author&gt;Gévry, N.&lt;/author&gt;&lt;author&gt;Grondin, G.&lt;/author&gt;&lt;author&gt;Gaudreau, L.&lt;/author&gt;&lt;/authors&gt;&lt;/contributors&gt;&lt;edition&gt;2010/01/28&lt;/edition&gt;&lt;language&gt;eng&lt;/language&gt;&lt;added-date format="utc"&gt;1510055277&lt;/added-date&gt;&lt;ref-type name="Journal Article"&gt;17&lt;/ref-type&gt;&lt;rec-number&gt;346&lt;/rec-number&gt;&lt;last-updated-date format="utc"&gt;1510055277&lt;/last-updated-date&gt;&lt;accession-num&gt;20023423&lt;/accession-num&gt;&lt;electronic-resource-num&gt;10.4161/cc.9.2.10465&lt;/electronic-resource-num&gt;&lt;volume&gt;9&lt;/volume&gt;&lt;/record&gt;&lt;/Cite&gt;&lt;/EndNote&gt;</w:instrText>
      </w:r>
      <w:r>
        <w:rPr>
          <w:rFonts w:asciiTheme="majorHAnsi" w:hAnsiTheme="majorHAnsi"/>
        </w:rPr>
        <w:fldChar w:fldCharType="separate"/>
      </w:r>
      <w:r>
        <w:rPr>
          <w:rFonts w:asciiTheme="majorHAnsi" w:hAnsiTheme="majorHAnsi"/>
          <w:noProof/>
        </w:rPr>
        <w:t>(Svotelis et al., 2010)</w:t>
      </w:r>
      <w:r>
        <w:rPr>
          <w:rFonts w:asciiTheme="majorHAnsi" w:hAnsiTheme="majorHAnsi"/>
        </w:rPr>
        <w:fldChar w:fldCharType="end"/>
      </w:r>
      <w:r>
        <w:rPr>
          <w:rFonts w:asciiTheme="majorHAnsi" w:hAnsiTheme="majorHAnsi"/>
        </w:rPr>
        <w:t>. This up-regulation causes the activation of oncogenes, which enhances the proliferative nature of the tumour cells. For example, in melanoma, H2A.Z over</w:t>
      </w:r>
      <w:r w:rsidR="00327AA2">
        <w:rPr>
          <w:rFonts w:asciiTheme="majorHAnsi" w:hAnsiTheme="majorHAnsi"/>
        </w:rPr>
        <w:t>-</w:t>
      </w:r>
      <w:r>
        <w:rPr>
          <w:rFonts w:asciiTheme="majorHAnsi" w:hAnsiTheme="majorHAnsi"/>
        </w:rPr>
        <w:t xml:space="preserve">expression controls </w:t>
      </w:r>
      <w:r w:rsidRPr="009A0EDB">
        <w:rPr>
          <w:rFonts w:asciiTheme="majorHAnsi" w:hAnsiTheme="majorHAnsi"/>
          <w:i/>
        </w:rPr>
        <w:t>E2F</w:t>
      </w:r>
      <w:r>
        <w:rPr>
          <w:rFonts w:asciiTheme="majorHAnsi" w:hAnsiTheme="majorHAnsi"/>
        </w:rPr>
        <w:t xml:space="preserve"> transcription to increase tumour growth, and depletion of H2A.Z sensitises to chemotherapies, </w:t>
      </w:r>
      <w:r w:rsidR="00B57AF2">
        <w:rPr>
          <w:rFonts w:asciiTheme="majorHAnsi" w:hAnsiTheme="majorHAnsi"/>
        </w:rPr>
        <w:t>suggesting</w:t>
      </w:r>
      <w:r>
        <w:rPr>
          <w:rFonts w:asciiTheme="majorHAnsi" w:hAnsiTheme="majorHAnsi"/>
        </w:rPr>
        <w:t xml:space="preserve"> novel therap</w:t>
      </w:r>
      <w:r w:rsidR="00B57AF2">
        <w:rPr>
          <w:rFonts w:asciiTheme="majorHAnsi" w:hAnsiTheme="majorHAnsi"/>
        </w:rPr>
        <w:t>eutic possibilities</w:t>
      </w:r>
      <w:r>
        <w:rPr>
          <w:rFonts w:asciiTheme="majorHAnsi" w:hAnsiTheme="majorHAnsi"/>
        </w:rPr>
        <w:t xml:space="preserve"> </w:t>
      </w:r>
      <w:r>
        <w:rPr>
          <w:rFonts w:asciiTheme="majorHAnsi" w:hAnsiTheme="majorHAnsi"/>
        </w:rPr>
        <w:fldChar w:fldCharType="begin">
          <w:fldData xml:space="preserve">PEVuZE5vdGU+PENpdGU+PEF1dGhvcj5WYXJkYWJhc3NvPC9BdXRob3I+PFllYXI+MjAxNTwvWWVh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PEVuZE5vdGU+PENpdGU+PEF1dGhvcj5WYXJkYWJhc3NvPC9BdXRob3I+PFllYXI+MjAxNTwvWWVh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(Vardabasso et al., 2015)</w:t>
      </w:r>
      <w:r>
        <w:rPr>
          <w:rFonts w:asciiTheme="majorHAnsi" w:hAnsiTheme="majorHAnsi"/>
        </w:rPr>
        <w:fldChar w:fldCharType="end"/>
      </w:r>
      <w:r>
        <w:rPr>
          <w:rFonts w:asciiTheme="majorHAnsi" w:hAnsiTheme="majorHAnsi"/>
        </w:rPr>
        <w:t>. It is important to point out that H2A.Z has two isoforms</w:t>
      </w:r>
      <w:r w:rsidR="00B57AF2">
        <w:rPr>
          <w:rFonts w:asciiTheme="majorHAnsi" w:hAnsiTheme="majorHAnsi"/>
        </w:rPr>
        <w:t>;</w:t>
      </w:r>
      <w:r>
        <w:rPr>
          <w:rFonts w:asciiTheme="majorHAnsi" w:hAnsiTheme="majorHAnsi"/>
        </w:rPr>
        <w:t xml:space="preserve"> H2A.Z.1 and H2A.Z.2, which differ by three amino acids, and isoform-specific knockdown studies suggest that they might not be </w:t>
      </w:r>
      <w:r w:rsidR="00A5506E">
        <w:rPr>
          <w:rFonts w:asciiTheme="majorHAnsi" w:hAnsiTheme="majorHAnsi"/>
        </w:rPr>
        <w:t xml:space="preserve">functionally </w:t>
      </w:r>
      <w:r>
        <w:rPr>
          <w:rFonts w:asciiTheme="majorHAnsi" w:hAnsiTheme="majorHAnsi"/>
        </w:rPr>
        <w:t xml:space="preserve">redundant </w:t>
      </w:r>
      <w:r>
        <w:rPr>
          <w:rFonts w:asciiTheme="majorHAnsi" w:hAnsiTheme="majorHAnsi"/>
        </w:rPr>
        <w:fldChar w:fldCharType="begin"/>
      </w:r>
      <w:r>
        <w:rPr>
          <w:rFonts w:asciiTheme="majorHAnsi" w:hAnsiTheme="majorHAnsi"/>
        </w:rPr>
        <w:instrText xml:space="preserve"> ADDIN EN.CITE &lt;EndNote&gt;&lt;Cite&gt;&lt;Author&gt;Eirín-López&lt;/Author&gt;&lt;Year&gt;2009&lt;/Year&gt;&lt;IDText&gt;The evolutionary differentiation of two histone H2A.Z variants in chordates (H2A.Z-1 and H2A.Z-2) is mediated by a stepwise mutation process that affects three amino acid residues&lt;/IDText&gt;&lt;DisplayText&gt;(Eirín-López et al., 2009)&lt;/DisplayText&gt;&lt;record&gt;&lt;dates&gt;&lt;pub-dates&gt;&lt;date&gt;Feb&lt;/date&gt;&lt;/pub-dates&gt;&lt;year&gt;2009&lt;/year&gt;&lt;/dates&gt;&lt;keywords&gt;&lt;keyword&gt;Amino Acid Sequence&lt;/keyword&gt;&lt;keyword&gt;Animals&lt;/keyword&gt;&lt;keyword&gt;Chordata&lt;/keyword&gt;&lt;keyword&gt;Databases, Genetic&lt;/keyword&gt;&lt;keyword&gt;Evolution, Molecular&lt;/keyword&gt;&lt;keyword&gt;Genetic Drift&lt;/keyword&gt;&lt;keyword&gt;Genetic Variation&lt;/keyword&gt;&lt;keyword&gt;Histones&lt;/keyword&gt;&lt;keyword&gt;Likelihood Functions&lt;/keyword&gt;&lt;keyword&gt;Models, Genetic&lt;/keyword&gt;&lt;keyword&gt;Molecular Sequence Data&lt;/keyword&gt;&lt;keyword&gt;Mutation&lt;/keyword&gt;&lt;keyword&gt;Phylogeny&lt;/keyword&gt;&lt;keyword&gt;Selection, Genetic&lt;/keyword&gt;&lt;keyword&gt;Sequence Alignment&lt;/keyword&gt;&lt;keyword&gt;Species Specificity&lt;/keyword&gt;&lt;/keywords&gt;&lt;urls&gt;&lt;related-urls&gt;&lt;url&gt;https://www.ncbi.nlm.nih.gov/pubmed/19193230&lt;/url&gt;&lt;/related-urls&gt;&lt;/urls&gt;&lt;isbn&gt;1471-2148&lt;/isbn&gt;&lt;custom2&gt;PMC2644675&lt;/custom2&gt;&lt;titles&gt;&lt;title&gt;The evolutionary differentiation of two histone H2A.Z variants in chordates (H2A.Z-1 and H2A.Z-2) is mediated by a stepwise mutation process that affects three amino acid residues&lt;/title&gt;&lt;secondary-title&gt;BMC Evol Biol&lt;/secondary-title&gt;&lt;/titles&gt;&lt;pages&gt;31&lt;/pages&gt;&lt;contributors&gt;&lt;authors&gt;&lt;author&gt;Eirín-López, J. M.&lt;/author&gt;&lt;author&gt;González-Romero, R.&lt;/author&gt;&lt;author&gt;Dryhurst, D.&lt;/author&gt;&lt;author&gt;Ishibashi, T.&lt;/author&gt;&lt;author&gt;Ausió, J.&lt;/author&gt;&lt;/authors&gt;&lt;/contributors&gt;&lt;edition&gt;2009/02/04&lt;/edition&gt;&lt;language&gt;eng&lt;/language&gt;&lt;added-date format="utc"&gt;1510054693&lt;/added-date&gt;&lt;ref-type name="Journal Article"&gt;17&lt;/ref-type&gt;&lt;rec-number&gt;344&lt;/rec-number&gt;&lt;last-updated-date format="utc"&gt;1510054693&lt;/last-updated-date&gt;&lt;accession-num&gt;19193230&lt;/accession-num&gt;&lt;electronic-resource-num&gt;10.1186/1471-2148-9-31&lt;/electronic-resource-num&gt;&lt;volume&gt;9&lt;/volume&gt;&lt;/record&gt;&lt;/Cite&gt;&lt;/EndNote&gt;</w:instrText>
      </w:r>
      <w:r>
        <w:rPr>
          <w:rFonts w:asciiTheme="majorHAnsi" w:hAnsiTheme="majorHAnsi"/>
        </w:rPr>
        <w:fldChar w:fldCharType="separate"/>
      </w:r>
      <w:r>
        <w:rPr>
          <w:rFonts w:asciiTheme="majorHAnsi" w:hAnsiTheme="majorHAnsi"/>
          <w:noProof/>
        </w:rPr>
        <w:t>(Eirín-López et al., 2009)</w:t>
      </w:r>
      <w:r>
        <w:rPr>
          <w:rFonts w:asciiTheme="majorHAnsi" w:hAnsiTheme="majorHAnsi"/>
        </w:rPr>
        <w:fldChar w:fldCharType="end"/>
      </w:r>
      <w:r>
        <w:rPr>
          <w:rFonts w:asciiTheme="majorHAnsi" w:hAnsiTheme="majorHAnsi"/>
        </w:rPr>
        <w:t xml:space="preserve">. Many papers </w:t>
      </w:r>
      <w:r w:rsidR="00B57AF2">
        <w:rPr>
          <w:rFonts w:asciiTheme="majorHAnsi" w:hAnsiTheme="majorHAnsi"/>
        </w:rPr>
        <w:t>do not</w:t>
      </w:r>
      <w:r>
        <w:rPr>
          <w:rFonts w:asciiTheme="majorHAnsi" w:hAnsiTheme="majorHAnsi"/>
        </w:rPr>
        <w:t xml:space="preserve"> specify which variant </w:t>
      </w:r>
      <w:r w:rsidR="00B57AF2">
        <w:rPr>
          <w:rFonts w:asciiTheme="majorHAnsi" w:hAnsiTheme="majorHAnsi"/>
        </w:rPr>
        <w:t>was analysed</w:t>
      </w:r>
      <w:r>
        <w:rPr>
          <w:rFonts w:asciiTheme="majorHAnsi" w:hAnsiTheme="majorHAnsi"/>
        </w:rPr>
        <w:t xml:space="preserve">, possibly due to the fact that most antibodies </w:t>
      </w:r>
      <w:r w:rsidR="00EF6982">
        <w:rPr>
          <w:rFonts w:asciiTheme="majorHAnsi" w:hAnsiTheme="majorHAnsi"/>
        </w:rPr>
        <w:t>are not</w:t>
      </w:r>
      <w:r>
        <w:rPr>
          <w:rFonts w:asciiTheme="majorHAnsi" w:hAnsiTheme="majorHAnsi"/>
        </w:rPr>
        <w:t xml:space="preserve"> specific for the isoforms, but it has been found that both i</w:t>
      </w:r>
      <w:r w:rsidR="00327AA2">
        <w:rPr>
          <w:rFonts w:asciiTheme="majorHAnsi" w:hAnsiTheme="majorHAnsi"/>
        </w:rPr>
        <w:t>soforms are over-</w:t>
      </w:r>
      <w:r>
        <w:rPr>
          <w:rFonts w:asciiTheme="majorHAnsi" w:hAnsiTheme="majorHAnsi"/>
        </w:rPr>
        <w:t xml:space="preserve">expressed in cancer, with H2A.Z.1 being the most widely researched </w:t>
      </w:r>
      <w:r>
        <w:rPr>
          <w:rFonts w:asciiTheme="majorHAnsi" w:hAnsiTheme="majorHAnsi"/>
        </w:rPr>
        <w:fldChar w:fldCharType="begin"/>
      </w:r>
      <w:r>
        <w:rPr>
          <w:rFonts w:asciiTheme="majorHAnsi" w:hAnsiTheme="majorHAnsi"/>
        </w:rPr>
        <w:instrText xml:space="preserve"> ADDIN EN.CITE &lt;EndNote&gt;&lt;Cite&gt;&lt;Author&gt;Vardabasso&lt;/Author&gt;&lt;Year&gt;2014&lt;/Year&gt;&lt;IDText&gt;Histone variants: emerging players in cancer biology&lt;/IDText&gt;&lt;DisplayText&gt;(Vardabasso et al., 2014)&lt;/DisplayText&gt;&lt;record&gt;&lt;dates&gt;&lt;pub-dates&gt;&lt;date&gt;Feb&lt;/date&gt;&lt;/pub-dates&gt;&lt;year&gt;2014&lt;/year&gt;&lt;/dates&gt;&lt;keywords&gt;&lt;keyword&gt;Autoantigens&lt;/keyword&gt;&lt;keyword&gt;Chromatin&lt;/keyword&gt;&lt;keyword&gt;Chromosomal Proteins, Non-Histone&lt;/keyword&gt;&lt;keyword&gt;Gene Components&lt;/keyword&gt;&lt;keyword&gt;Genetic Variation&lt;/keyword&gt;&lt;keyword&gt;Histone Chaperones&lt;/keyword&gt;&lt;keyword&gt;Histones&lt;/keyword&gt;&lt;keyword&gt;Humans&lt;/keyword&gt;&lt;keyword&gt;Models, Molecular&lt;/keyword&gt;&lt;keyword&gt;Neoplasms&lt;/keyword&gt;&lt;/keywords&gt;&lt;urls&gt;&lt;related-urls&gt;&lt;url&gt;https://www.ncbi.nlm.nih.gov/pubmed/23652611&lt;/url&gt;&lt;/related-urls&gt;&lt;/urls&gt;&lt;isbn&gt;1420-9071&lt;/isbn&gt;&lt;custom2&gt;PMC4025945&lt;/custom2&gt;&lt;titles&gt;&lt;title&gt;Histone variants: emerging players in cancer biology&lt;/title&gt;&lt;secondary-title&gt;Cell Mol Life Sci&lt;/secondary-title&gt;&lt;/titles&gt;&lt;pages&gt;379-404&lt;/pages&gt;&lt;number&gt;3&lt;/number&gt;&lt;contributors&gt;&lt;authors&gt;&lt;author&gt;Vardabasso, C.&lt;/author&gt;&lt;author&gt;Hasson, D.&lt;/author&gt;&lt;author&gt;Ratnakumar, K.&lt;/author&gt;&lt;author&gt;Chung, C. Y.&lt;/author&gt;&lt;author&gt;Duarte, L. F.&lt;/author&gt;&lt;author&gt;Bernstein, E.&lt;/author&gt;&lt;/authors&gt;&lt;/contributors&gt;&lt;edition&gt;2013/05/08&lt;/edition&gt;&lt;language&gt;eng&lt;/language&gt;&lt;added-date format="utc"&gt;1510054798&lt;/added-date&gt;&lt;ref-type name="Journal Article"&gt;17&lt;/ref-type&gt;&lt;rec-number&gt;345&lt;/rec-number&gt;&lt;last-updated-date format="utc"&gt;1510054798&lt;/last-updated-date&gt;&lt;accession-num&gt;23652611&lt;/accession-num&gt;&lt;electronic-resource-num&gt;10.1007/s00018-013-1343-z&lt;/electronic-resource-num&gt;&lt;volume&gt;71&lt;/volume&gt;&lt;/record&gt;&lt;/Cite&gt;&lt;/EndNote&gt;</w:instrText>
      </w:r>
      <w:r>
        <w:rPr>
          <w:rFonts w:asciiTheme="majorHAnsi" w:hAnsiTheme="majorHAnsi"/>
        </w:rPr>
        <w:fldChar w:fldCharType="separate"/>
      </w:r>
      <w:r>
        <w:rPr>
          <w:rFonts w:asciiTheme="majorHAnsi" w:hAnsiTheme="majorHAnsi"/>
          <w:noProof/>
        </w:rPr>
        <w:t>(Vardabasso et al., 2014)</w:t>
      </w:r>
      <w:r>
        <w:rPr>
          <w:rFonts w:asciiTheme="majorHAnsi" w:hAnsiTheme="majorHAnsi"/>
        </w:rPr>
        <w:fldChar w:fldCharType="end"/>
      </w:r>
      <w:r>
        <w:rPr>
          <w:rFonts w:asciiTheme="majorHAnsi" w:hAnsiTheme="majorHAnsi"/>
        </w:rPr>
        <w:t>.</w:t>
      </w:r>
    </w:p>
    <w:p w14:paraId="79E9B59A" w14:textId="77777777" w:rsidR="00B15A35" w:rsidRDefault="00B15A35" w:rsidP="00B15A35">
      <w:pPr>
        <w:spacing w:line="360" w:lineRule="auto"/>
        <w:jc w:val="both"/>
        <w:rPr>
          <w:rFonts w:asciiTheme="majorHAnsi" w:hAnsiTheme="majorHAnsi"/>
        </w:rPr>
      </w:pPr>
    </w:p>
    <w:p w14:paraId="1DBC41C8" w14:textId="5661DD33" w:rsidR="00B15A35" w:rsidRDefault="00B15A35" w:rsidP="00B15A35">
      <w:pPr>
        <w:spacing w:line="360" w:lineRule="auto"/>
        <w:jc w:val="both"/>
        <w:rPr>
          <w:rFonts w:asciiTheme="majorHAnsi" w:hAnsiTheme="majorHAnsi"/>
        </w:rPr>
      </w:pPr>
      <w:r>
        <w:rPr>
          <w:rFonts w:asciiTheme="majorHAnsi" w:hAnsiTheme="majorHAnsi"/>
        </w:rPr>
        <w:t xml:space="preserve">H2A.Z role within hormone dependent cancers, and </w:t>
      </w:r>
      <w:r w:rsidR="00EF6982">
        <w:rPr>
          <w:rFonts w:asciiTheme="majorHAnsi" w:hAnsiTheme="majorHAnsi"/>
        </w:rPr>
        <w:t xml:space="preserve">the impact of H2A.Z </w:t>
      </w:r>
      <w:r w:rsidR="00327AA2">
        <w:rPr>
          <w:rFonts w:asciiTheme="majorHAnsi" w:hAnsiTheme="majorHAnsi"/>
        </w:rPr>
        <w:t>over-</w:t>
      </w:r>
      <w:r>
        <w:rPr>
          <w:rFonts w:asciiTheme="majorHAnsi" w:hAnsiTheme="majorHAnsi"/>
        </w:rPr>
        <w:t xml:space="preserve">expression </w:t>
      </w:r>
      <w:r w:rsidR="00EF6982">
        <w:rPr>
          <w:rFonts w:asciiTheme="majorHAnsi" w:hAnsiTheme="majorHAnsi"/>
        </w:rPr>
        <w:t>on</w:t>
      </w:r>
      <w:r>
        <w:rPr>
          <w:rFonts w:asciiTheme="majorHAnsi" w:hAnsiTheme="majorHAnsi"/>
        </w:rPr>
        <w:t xml:space="preserve"> cellular proliferation</w:t>
      </w:r>
      <w:r w:rsidR="00EF6982">
        <w:rPr>
          <w:rFonts w:asciiTheme="majorHAnsi" w:hAnsiTheme="majorHAnsi"/>
        </w:rPr>
        <w:t>,</w:t>
      </w:r>
      <w:r>
        <w:rPr>
          <w:rFonts w:asciiTheme="majorHAnsi" w:hAnsiTheme="majorHAnsi"/>
        </w:rPr>
        <w:t xml:space="preserve"> is more widely studied. For example</w:t>
      </w:r>
      <w:r w:rsidR="00EF6982">
        <w:rPr>
          <w:rFonts w:asciiTheme="majorHAnsi" w:hAnsiTheme="majorHAnsi"/>
        </w:rPr>
        <w:t>,</w:t>
      </w:r>
      <w:r>
        <w:rPr>
          <w:rFonts w:asciiTheme="majorHAnsi" w:hAnsiTheme="majorHAnsi"/>
        </w:rPr>
        <w:t xml:space="preserve"> in oestrogen dependant breast cancer there is an activation of the oncogene </w:t>
      </w:r>
      <w:r w:rsidRPr="00AE1335">
        <w:rPr>
          <w:rFonts w:asciiTheme="majorHAnsi" w:hAnsiTheme="majorHAnsi"/>
          <w:i/>
        </w:rPr>
        <w:t>c-</w:t>
      </w:r>
      <w:r>
        <w:rPr>
          <w:rFonts w:asciiTheme="majorHAnsi" w:hAnsiTheme="majorHAnsi"/>
          <w:i/>
        </w:rPr>
        <w:t>MYC</w:t>
      </w:r>
      <w:r>
        <w:rPr>
          <w:rFonts w:asciiTheme="majorHAnsi" w:hAnsiTheme="majorHAnsi"/>
        </w:rPr>
        <w:t xml:space="preserve">, which in turn up-regulates the transcription of H2A.Z.1 </w:t>
      </w:r>
      <w:r>
        <w:rPr>
          <w:rFonts w:asciiTheme="majorHAnsi" w:hAnsiTheme="majorHAnsi"/>
        </w:rPr>
        <w:fldChar w:fldCharType="begin"/>
      </w:r>
      <w:r>
        <w:rPr>
          <w:rFonts w:asciiTheme="majorHAnsi" w:hAnsiTheme="majorHAnsi"/>
        </w:rPr>
        <w:instrText xml:space="preserve"> ADDIN EN.CITE &lt;EndNote&gt;&lt;Cite&gt;&lt;Author&gt;Hua&lt;/Author&gt;&lt;Year&gt;2008&lt;/Year&gt;&lt;IDText&gt;Genomic analysis of estrogen cascade reveals histone variant H2A.Z associated with breast cancer progression&lt;/IDText&gt;&lt;DisplayText&gt;(Hua et al., 2008)&lt;/DisplayText&gt;&lt;record&gt;&lt;keywords&gt;&lt;keyword&gt;Breast Neoplasms&lt;/keyword&gt;&lt;keyword&gt;Chromatin&lt;/keyword&gt;&lt;keyword&gt;Disease Progression&lt;/keyword&gt;&lt;keyword&gt;Epigenesis, Genetic&lt;/keyword&gt;&lt;keyword&gt;Estrogen Receptor alpha&lt;/keyword&gt;&lt;keyword&gt;Estrogens&lt;/keyword&gt;&lt;keyword&gt;Genome&lt;/keyword&gt;&lt;keyword&gt;Histones&lt;/keyword&gt;&lt;keyword&gt;Humans&lt;/keyword&gt;&lt;keyword&gt;Lymphatic Metastasis&lt;/keyword&gt;&lt;keyword&gt;Models, Biological&lt;/keyword&gt;&lt;keyword&gt;Proto-Oncogene Proteins c-myc&lt;/keyword&gt;&lt;keyword&gt;RNA Interference&lt;/keyword&gt;&lt;keyword&gt;Tumor Markers, Biological&lt;/keyword&gt;&lt;/keywords&gt;&lt;urls&gt;&lt;related-urls&gt;&lt;url&gt;http://www.ncbi.nlm.nih.gov/pubmed/18414489&lt;/url&gt;&lt;/related-urls&gt;&lt;/urls&gt;&lt;isbn&gt;1744-4292&lt;/isbn&gt;&lt;custom2&gt;PMC2394496&lt;/custom2&gt;&lt;titles&gt;&lt;title&gt;Genomic analysis of estrogen cascade reveals histone variant H2A.Z associated with breast cancer progression&lt;/title&gt;&lt;secondary-title&gt;Mol Syst Biol&lt;/secondary-title&gt;&lt;/titles&gt;&lt;pages&gt;188&lt;/pages&gt;&lt;contributors&gt;&lt;authors&gt;&lt;author&gt;Hua, S.&lt;/author&gt;&lt;author&gt;Kallen, C. B.&lt;/author&gt;&lt;author&gt;Dhar, R.&lt;/author&gt;&lt;author&gt;Baquero, M. T.&lt;/author&gt;&lt;author&gt;Mason, C. E.&lt;/author&gt;&lt;author&gt;Russell, B. A.&lt;/author&gt;&lt;author&gt;Shah, P. K.&lt;/author&gt;&lt;author&gt;Liu, J.&lt;/author&gt;&lt;author&gt;Khramtsov, A.&lt;/author&gt;&lt;author&gt;Tretiakova, M. S.&lt;/author&gt;&lt;author&gt;Krausz, T. N.&lt;/author&gt;&lt;author&gt;Olopade, O. I.&lt;/author&gt;&lt;author&gt;Rimm, D. L.&lt;/author&gt;&lt;author&gt;White, K. P.&lt;/author&gt;&lt;/authors&gt;&lt;/contributors&gt;&lt;language&gt;eng&lt;/language&gt;&lt;added-date format="utc"&gt;1425983407&lt;/added-date&gt;&lt;ref-type name="Journal Article"&gt;17&lt;/ref-type&gt;&lt;dates&gt;&lt;year&gt;2008&lt;/year&gt;&lt;/dates&gt;&lt;rec-number&gt;54&lt;/rec-number&gt;&lt;last-updated-date format="utc"&gt;1447344045&lt;/last-updated-date&gt;&lt;accession-num&gt;18414489&lt;/accession-num&gt;&lt;electronic-resource-num&gt;10.1038/msb.2008.25&lt;/electronic-resource-num&gt;&lt;volume&gt;4&lt;/volume&gt;&lt;/record&gt;&lt;/Cite&gt;&lt;/EndNote&gt;</w:instrText>
      </w:r>
      <w:r>
        <w:rPr>
          <w:rFonts w:asciiTheme="majorHAnsi" w:hAnsiTheme="majorHAnsi"/>
        </w:rPr>
        <w:fldChar w:fldCharType="separate"/>
      </w:r>
      <w:r>
        <w:rPr>
          <w:rFonts w:asciiTheme="majorHAnsi" w:hAnsiTheme="majorHAnsi"/>
          <w:noProof/>
        </w:rPr>
        <w:t>(Hua et al., 2008)</w:t>
      </w:r>
      <w:r>
        <w:rPr>
          <w:rFonts w:asciiTheme="majorHAnsi" w:hAnsiTheme="majorHAnsi"/>
        </w:rPr>
        <w:fldChar w:fldCharType="end"/>
      </w:r>
      <w:r>
        <w:rPr>
          <w:rFonts w:asciiTheme="majorHAnsi" w:hAnsiTheme="majorHAnsi"/>
        </w:rPr>
        <w:t xml:space="preserve">. H2A.Z.1 has also been shown to positively regulate oestrogen signalling, as depletion of the histone variant results in defective oestrogen signalling and a decrease in hormone dependent tumour proliferation </w:t>
      </w:r>
      <w:r>
        <w:rPr>
          <w:rFonts w:asciiTheme="majorHAnsi" w:hAnsiTheme="majorHAnsi"/>
        </w:rPr>
        <w:fldChar w:fldCharType="begin"/>
      </w:r>
      <w:r>
        <w:rPr>
          <w:rFonts w:asciiTheme="majorHAnsi" w:hAnsiTheme="majorHAnsi"/>
        </w:rPr>
        <w:instrText xml:space="preserve"> ADDIN EN.CITE &lt;EndNote&gt;&lt;Cite&gt;&lt;Author&gt;Gévry&lt;/Author&gt;&lt;Year&gt;2009&lt;/Year&gt;&lt;IDText&gt;Histone H2A.Z is essential for estrogen receptor signaling&lt;/IDText&gt;&lt;DisplayText&gt;(Gévry et al., 2009)&lt;/DisplayText&gt;&lt;record&gt;&lt;dates&gt;&lt;pub-dates&gt;&lt;date&gt;Jul&lt;/date&gt;&lt;/pub-dates&gt;&lt;year&gt;2009&lt;/year&gt;&lt;/dates&gt;&lt;keywords&gt;&lt;keyword&gt;Adenosine Triphosphatases&lt;/keyword&gt;&lt;keyword&gt;Cell Line, Tumor&lt;/keyword&gt;&lt;keyword&gt;Cell Proliferation&lt;/keyword&gt;&lt;keyword&gt;Chromatin&lt;/keyword&gt;&lt;keyword&gt;Estrogens&lt;/keyword&gt;&lt;keyword&gt;Gene Expression Regulation&lt;/keyword&gt;&lt;keyword&gt;Hepatocyte Nuclear Factor 3-alpha&lt;/keyword&gt;&lt;keyword&gt;Histones&lt;/keyword&gt;&lt;keyword&gt;Humans&lt;/keyword&gt;&lt;keyword&gt;Ligands&lt;/keyword&gt;&lt;keyword&gt;Nucleosomes&lt;/keyword&gt;&lt;keyword&gt;Promoter Regions, Genetic&lt;/keyword&gt;&lt;keyword&gt;Receptors, Estrogen&lt;/keyword&gt;&lt;keyword&gt;Signal Transduction&lt;/keyword&gt;&lt;keyword&gt;Trefoil Factor-1&lt;/keyword&gt;&lt;keyword&gt;Tumor Suppressor Proteins&lt;/keyword&gt;&lt;/keywords&gt;&lt;urls&gt;&lt;related-urls&gt;&lt;url&gt;https://www.ncbi.nlm.nih.gov/pubmed/19515975&lt;/url&gt;&lt;/related-urls&gt;&lt;/urls&gt;&lt;isbn&gt;1549-5477&lt;/isbn&gt;&lt;custom2&gt;PMC2704467&lt;/custom2&gt;&lt;titles&gt;&lt;title&gt;Histone H2A.Z is essential for estrogen receptor signaling&lt;/title&gt;&lt;secondary-title&gt;Genes Dev&lt;/secondary-title&gt;&lt;/titles&gt;&lt;pages&gt;1522-33&lt;/pages&gt;&lt;number&gt;13&lt;/number&gt;&lt;contributors&gt;&lt;authors&gt;&lt;author&gt;Gévry, N.&lt;/author&gt;&lt;author&gt;Hardy, S.&lt;/author&gt;&lt;author&gt;Jacques, P. E.&lt;/author&gt;&lt;author&gt;Laflamme, L.&lt;/author&gt;&lt;author&gt;Svotelis, A.&lt;/author&gt;&lt;author&gt;Robert, F.&lt;/author&gt;&lt;author&gt;Gaudreau, L.&lt;/author&gt;&lt;/authors&gt;&lt;/contributors&gt;&lt;edition&gt;2009/06/10&lt;/edition&gt;&lt;language&gt;eng&lt;/language&gt;&lt;added-date format="utc"&gt;1510056679&lt;/added-date&gt;&lt;ref-type name="Journal Article"&gt;17&lt;/ref-type&gt;&lt;rec-number&gt;348&lt;/rec-number&gt;&lt;last-updated-date format="utc"&gt;1510056679&lt;/last-updated-date&gt;&lt;accession-num&gt;19515975&lt;/accession-num&gt;&lt;electronic-resource-num&gt;10.1101/gad.1787109&lt;/electronic-resource-num&gt;&lt;volume&gt;23&lt;/volume&gt;&lt;/record&gt;&lt;/Cite&gt;&lt;/EndNote&gt;</w:instrText>
      </w:r>
      <w:r>
        <w:rPr>
          <w:rFonts w:asciiTheme="majorHAnsi" w:hAnsiTheme="majorHAnsi"/>
        </w:rPr>
        <w:fldChar w:fldCharType="separate"/>
      </w:r>
      <w:r>
        <w:rPr>
          <w:rFonts w:asciiTheme="majorHAnsi" w:hAnsiTheme="majorHAnsi"/>
          <w:noProof/>
        </w:rPr>
        <w:t>(Gévry et al., 2009)</w:t>
      </w:r>
      <w:r>
        <w:rPr>
          <w:rFonts w:asciiTheme="majorHAnsi" w:hAnsiTheme="majorHAnsi"/>
        </w:rPr>
        <w:fldChar w:fldCharType="end"/>
      </w:r>
      <w:r>
        <w:rPr>
          <w:rFonts w:asciiTheme="majorHAnsi" w:hAnsiTheme="majorHAnsi"/>
        </w:rPr>
        <w:t xml:space="preserve">. Interestingly, in a cell line model using MCF7 breast cancer cells and under low oestrogen levels, plus </w:t>
      </w:r>
      <w:r w:rsidR="00EF6982">
        <w:rPr>
          <w:rFonts w:asciiTheme="majorHAnsi" w:hAnsiTheme="majorHAnsi"/>
        </w:rPr>
        <w:t xml:space="preserve">the oestrogen receptor antagonist </w:t>
      </w:r>
      <w:r>
        <w:rPr>
          <w:rFonts w:asciiTheme="majorHAnsi" w:hAnsiTheme="majorHAnsi"/>
        </w:rPr>
        <w:t xml:space="preserve">tamoxifen, </w:t>
      </w:r>
      <w:r w:rsidR="00EF6982">
        <w:rPr>
          <w:rFonts w:asciiTheme="majorHAnsi" w:hAnsiTheme="majorHAnsi"/>
        </w:rPr>
        <w:t>(</w:t>
      </w:r>
      <w:r>
        <w:rPr>
          <w:rFonts w:asciiTheme="majorHAnsi" w:hAnsiTheme="majorHAnsi"/>
        </w:rPr>
        <w:t>which prevent</w:t>
      </w:r>
      <w:r w:rsidR="00BB3CAA">
        <w:rPr>
          <w:rFonts w:asciiTheme="majorHAnsi" w:hAnsiTheme="majorHAnsi"/>
        </w:rPr>
        <w:t>s</w:t>
      </w:r>
      <w:r>
        <w:rPr>
          <w:rFonts w:asciiTheme="majorHAnsi" w:hAnsiTheme="majorHAnsi"/>
        </w:rPr>
        <w:t xml:space="preserve"> transcription of oestrogen dependent genes</w:t>
      </w:r>
      <w:r w:rsidR="00EF6982">
        <w:rPr>
          <w:rFonts w:asciiTheme="majorHAnsi" w:hAnsiTheme="majorHAnsi"/>
        </w:rPr>
        <w:t>)</w:t>
      </w:r>
      <w:r w:rsidR="00327AA2">
        <w:rPr>
          <w:rFonts w:asciiTheme="majorHAnsi" w:hAnsiTheme="majorHAnsi"/>
        </w:rPr>
        <w:t>, the over-</w:t>
      </w:r>
      <w:r>
        <w:rPr>
          <w:rFonts w:asciiTheme="majorHAnsi" w:hAnsiTheme="majorHAnsi"/>
        </w:rPr>
        <w:t xml:space="preserve">expression of H2A.Z still promoted cell proliferation, indicating </w:t>
      </w:r>
      <w:r w:rsidR="00EF6982">
        <w:rPr>
          <w:rFonts w:asciiTheme="majorHAnsi" w:hAnsiTheme="majorHAnsi"/>
        </w:rPr>
        <w:t>a</w:t>
      </w:r>
      <w:r>
        <w:rPr>
          <w:rFonts w:asciiTheme="majorHAnsi" w:hAnsiTheme="majorHAnsi"/>
        </w:rPr>
        <w:t xml:space="preserve"> role independent of hormone status </w:t>
      </w:r>
      <w:r>
        <w:rPr>
          <w:rFonts w:asciiTheme="majorHAnsi" w:hAnsiTheme="majorHAnsi"/>
        </w:rPr>
        <w:fldChar w:fldCharType="begin"/>
      </w:r>
      <w:r>
        <w:rPr>
          <w:rFonts w:asciiTheme="majorHAnsi" w:hAnsiTheme="majorHAnsi"/>
        </w:rPr>
        <w:instrText xml:space="preserve"> ADDIN EN.CITE &lt;EndNote&gt;&lt;Cite&gt;&lt;Author&gt;Svotelis&lt;/Author&gt;&lt;Year&gt;2010&lt;/Year&gt;&lt;IDText&gt;H2A.Z overexpression promotes cellular proliferation of breast cancer cells&lt;/IDText&gt;&lt;DisplayText&gt;(Svotelis et al., 2010)&lt;/DisplayText&gt;&lt;record&gt;&lt;dates&gt;&lt;pub-dates&gt;&lt;date&gt;Jan&lt;/date&gt;&lt;/pub-dates&gt;&lt;year&gt;2010&lt;/year&gt;&lt;/dates&gt;&lt;keywords&gt;&lt;keyword&gt;Breast Neoplasms&lt;/keyword&gt;&lt;keyword&gt;Cell Line, Tumor&lt;/keyword&gt;&lt;keyword&gt;Cell Proliferation&lt;/keyword&gt;&lt;keyword&gt;Estrogen Receptor alpha&lt;/keyword&gt;&lt;keyword&gt;Estrogens&lt;/keyword&gt;&lt;keyword&gt;Female&lt;/keyword&gt;&lt;keyword&gt;G1 Phase&lt;/keyword&gt;&lt;keyword&gt;Histones&lt;/keyword&gt;&lt;keyword&gt;Humans&lt;/keyword&gt;&lt;keyword&gt;Promoter Regions, Genetic&lt;/keyword&gt;&lt;keyword&gt;S Phase&lt;/keyword&gt;&lt;/keywords&gt;&lt;urls&gt;&lt;related-urls&gt;&lt;url&gt;https://www.ncbi.nlm.nih.gov/pubmed/20023423&lt;/url&gt;&lt;/related-urls&gt;&lt;/urls&gt;&lt;isbn&gt;1551-4005&lt;/isbn&gt;&lt;titles&gt;&lt;title&gt;H2A.Z overexpression promotes cellular proliferation of breast cancer cells&lt;/title&gt;&lt;secondary-title&gt;Cell Cycle&lt;/secondary-title&gt;&lt;/titles&gt;&lt;pages&gt;364-70&lt;/pages&gt;&lt;number&gt;2&lt;/number&gt;&lt;contributors&gt;&lt;authors&gt;&lt;author&gt;Svotelis, A.&lt;/author&gt;&lt;author&gt;Gévry, N.&lt;/author&gt;&lt;author&gt;Grondin, G.&lt;/author&gt;&lt;author&gt;Gaudreau, L.&lt;/author&gt;&lt;/authors&gt;&lt;/contributors&gt;&lt;edition&gt;2010/01/28&lt;/edition&gt;&lt;language&gt;eng&lt;/language&gt;&lt;added-date format="utc"&gt;1510055277&lt;/added-date&gt;&lt;ref-type name="Journal Article"&gt;17&lt;/ref-type&gt;&lt;rec-number&gt;346&lt;/rec-number&gt;&lt;last-updated-date format="utc"&gt;1510055277&lt;/last-updated-date&gt;&lt;accession-num&gt;20023423&lt;/accession-num&gt;&lt;electronic-resource-num&gt;10.4161/cc.9.2.10465&lt;/electronic-resource-num&gt;&lt;volume&gt;9&lt;/volume&gt;&lt;/record&gt;&lt;/Cite&gt;&lt;/EndNote&gt;</w:instrText>
      </w:r>
      <w:r>
        <w:rPr>
          <w:rFonts w:asciiTheme="majorHAnsi" w:hAnsiTheme="majorHAnsi"/>
        </w:rPr>
        <w:fldChar w:fldCharType="separate"/>
      </w:r>
      <w:r>
        <w:rPr>
          <w:rFonts w:asciiTheme="majorHAnsi" w:hAnsiTheme="majorHAnsi"/>
          <w:noProof/>
        </w:rPr>
        <w:t>(Svotelis et al., 2010)</w:t>
      </w:r>
      <w:r>
        <w:rPr>
          <w:rFonts w:asciiTheme="majorHAnsi" w:hAnsiTheme="majorHAnsi"/>
        </w:rPr>
        <w:fldChar w:fldCharType="end"/>
      </w:r>
      <w:r>
        <w:rPr>
          <w:rFonts w:asciiTheme="majorHAnsi" w:hAnsiTheme="majorHAnsi"/>
        </w:rPr>
        <w:t>. Although in prostate cancer</w:t>
      </w:r>
      <w:r w:rsidR="00EF6982">
        <w:rPr>
          <w:rFonts w:asciiTheme="majorHAnsi" w:hAnsiTheme="majorHAnsi"/>
        </w:rPr>
        <w:t>,</w:t>
      </w:r>
      <w:r>
        <w:rPr>
          <w:rFonts w:asciiTheme="majorHAnsi" w:hAnsiTheme="majorHAnsi"/>
        </w:rPr>
        <w:t xml:space="preserve"> </w:t>
      </w:r>
      <w:r w:rsidRPr="001C090C">
        <w:rPr>
          <w:rFonts w:asciiTheme="majorHAnsi" w:hAnsiTheme="majorHAnsi"/>
          <w:i/>
        </w:rPr>
        <w:t>c-</w:t>
      </w:r>
      <w:r>
        <w:rPr>
          <w:rFonts w:asciiTheme="majorHAnsi" w:hAnsiTheme="majorHAnsi"/>
          <w:i/>
        </w:rPr>
        <w:t>MYC</w:t>
      </w:r>
      <w:r>
        <w:rPr>
          <w:rFonts w:asciiTheme="majorHAnsi" w:hAnsiTheme="majorHAnsi"/>
        </w:rPr>
        <w:t xml:space="preserve"> also binds to the H2A.Z promoter region to increase expression of H2A.Z.1 (but not H2A.Z.2) upon androgen stimulation, it has been shown that levels of H2A.Z decrease at the prostate-specific antigen (PSA) promoter when androgen treatment is present. </w:t>
      </w:r>
      <w:r w:rsidR="00EF6982">
        <w:rPr>
          <w:rFonts w:asciiTheme="majorHAnsi" w:hAnsiTheme="majorHAnsi"/>
        </w:rPr>
        <w:t>This may indicate</w:t>
      </w:r>
      <w:r>
        <w:rPr>
          <w:rFonts w:asciiTheme="majorHAnsi" w:hAnsiTheme="majorHAnsi"/>
        </w:rPr>
        <w:t xml:space="preserve"> that the increased H2A.Z expression primes the gene</w:t>
      </w:r>
      <w:r w:rsidR="00EF6982">
        <w:rPr>
          <w:rFonts w:asciiTheme="majorHAnsi" w:hAnsiTheme="majorHAnsi"/>
        </w:rPr>
        <w:t>,</w:t>
      </w:r>
      <w:r>
        <w:rPr>
          <w:rFonts w:asciiTheme="majorHAnsi" w:hAnsiTheme="majorHAnsi"/>
        </w:rPr>
        <w:t xml:space="preserve"> but upon androgen stimulation is then removed from the nucleosomes </w:t>
      </w:r>
      <w:r>
        <w:rPr>
          <w:rFonts w:asciiTheme="majorHAnsi" w:hAnsiTheme="majorHAnsi"/>
        </w:rPr>
        <w:fldChar w:fldCharType="begin"/>
      </w:r>
      <w:r>
        <w:rPr>
          <w:rFonts w:asciiTheme="majorHAnsi" w:hAnsiTheme="majorHAnsi"/>
        </w:rPr>
        <w:instrText xml:space="preserve"> ADDIN EN.CITE &lt;EndNote&gt;&lt;Cite&gt;&lt;Author&gt;Dryhurst&lt;/Author&gt;&lt;Year&gt;2012&lt;/Year&gt;&lt;IDText&gt;Histone H2A.Z prepares the prostate specific antigen (PSA) gene for androgen receptor-mediated transcription and is upregulated in a model of prostate cancer progression&lt;/IDText&gt;&lt;DisplayText&gt;(Dryhurst et al., 2012)&lt;/DisplayText&gt;&lt;record&gt;&lt;dates&gt;&lt;pub-dates&gt;&lt;date&gt;Feb&lt;/date&gt;&lt;/pub-dates&gt;&lt;year&gt;2012&lt;/year&gt;&lt;/dates&gt;&lt;keywords&gt;&lt;keyword&gt;Animals&lt;/keyword&gt;&lt;keyword&gt;Disease Progression&lt;/keyword&gt;&lt;keyword&gt;Gene Expression Regulation, Neoplastic&lt;/keyword&gt;&lt;keyword&gt;Histones&lt;/keyword&gt;&lt;keyword&gt;Humans&lt;/keyword&gt;&lt;keyword&gt;Male&lt;/keyword&gt;&lt;keyword&gt;Mice&lt;/keyword&gt;&lt;keyword&gt;Mice, Nude&lt;/keyword&gt;&lt;keyword&gt;Neoplasms, Hormone-Dependent&lt;/keyword&gt;&lt;keyword&gt;Prostate-Specific Antigen&lt;/keyword&gt;&lt;keyword&gt;Prostatic Neoplasms&lt;/keyword&gt;&lt;keyword&gt;Receptors, Androgen&lt;/keyword&gt;&lt;keyword&gt;Transcriptional Activation&lt;/keyword&gt;&lt;keyword&gt;Up-Regulation&lt;/keyword&gt;&lt;/keywords&gt;&lt;urls&gt;&lt;related-urls&gt;&lt;url&gt;https://www.ncbi.nlm.nih.gov/pubmed/22055461&lt;/url&gt;&lt;/related-urls&gt;&lt;/urls&gt;&lt;isbn&gt;1872-7980&lt;/isbn&gt;&lt;titles&gt;&lt;title&gt;Histone H2A.Z prepares the prostate specific antigen (PSA) gene for androgen receptor-mediated transcription and is upregulated in a model of prostate cancer progression&lt;/title&gt;&lt;secondary-title&gt;Cancer Lett&lt;/secondary-title&gt;&lt;/titles&gt;&lt;pages&gt;38-47&lt;/pages&gt;&lt;number&gt;1&lt;/number&gt;&lt;contributors&gt;&lt;authors&gt;&lt;author&gt;Dryhurst, D.&lt;/author&gt;&lt;author&gt;McMullen, B.&lt;/author&gt;&lt;author&gt;Fazli, L.&lt;/author&gt;&lt;author&gt;Rennie, P. S.&lt;/author&gt;&lt;author&gt;Ausió, J.&lt;/author&gt;&lt;/authors&gt;&lt;/contributors&gt;&lt;edition&gt;2011/10/12&lt;/edition&gt;&lt;language&gt;eng&lt;/language&gt;&lt;added-date format="utc"&gt;1510055484&lt;/added-date&gt;&lt;ref-type name="Journal Article"&gt;17&lt;/ref-type&gt;&lt;rec-number&gt;347&lt;/rec-number&gt;&lt;last-updated-date format="utc"&gt;1510055484&lt;/last-updated-date&gt;&lt;accession-num&gt;22055461&lt;/accession-num&gt;&lt;electronic-resource-num&gt;10.1016/j.canlet.2011.10.003&lt;/electronic-resource-num&gt;&lt;volume&gt;315&lt;/volume&gt;&lt;/record&gt;&lt;/Cite&gt;&lt;/EndNote&gt;</w:instrText>
      </w:r>
      <w:r>
        <w:rPr>
          <w:rFonts w:asciiTheme="majorHAnsi" w:hAnsiTheme="majorHAnsi"/>
        </w:rPr>
        <w:fldChar w:fldCharType="separate"/>
      </w:r>
      <w:r>
        <w:rPr>
          <w:rFonts w:asciiTheme="majorHAnsi" w:hAnsiTheme="majorHAnsi"/>
          <w:noProof/>
        </w:rPr>
        <w:t>(Dryhurst et al., 2012)</w:t>
      </w:r>
      <w:r>
        <w:rPr>
          <w:rFonts w:asciiTheme="majorHAnsi" w:hAnsiTheme="majorHAnsi"/>
        </w:rPr>
        <w:fldChar w:fldCharType="end"/>
      </w:r>
      <w:r>
        <w:rPr>
          <w:rFonts w:asciiTheme="majorHAnsi" w:hAnsiTheme="majorHAnsi"/>
        </w:rPr>
        <w:t xml:space="preserve">. </w:t>
      </w:r>
    </w:p>
    <w:p w14:paraId="5A345A4A" w14:textId="67469E8D" w:rsidR="00B15A35" w:rsidRDefault="00EF6982" w:rsidP="00B15A35">
      <w:pPr>
        <w:spacing w:line="360" w:lineRule="auto"/>
        <w:jc w:val="both"/>
        <w:rPr>
          <w:rFonts w:asciiTheme="majorHAnsi" w:hAnsiTheme="majorHAnsi"/>
        </w:rPr>
      </w:pPr>
      <w:r>
        <w:rPr>
          <w:rFonts w:asciiTheme="majorHAnsi" w:hAnsiTheme="majorHAnsi"/>
        </w:rPr>
        <w:t xml:space="preserve">Taken together, these data suggests </w:t>
      </w:r>
      <w:r w:rsidR="00B15A35">
        <w:rPr>
          <w:rFonts w:asciiTheme="majorHAnsi" w:hAnsiTheme="majorHAnsi"/>
        </w:rPr>
        <w:t xml:space="preserve">that H2A.Z could be driving tumour progression in a number of complex ways, such as enhancing transcription and proliferation directly or creating genome instability through </w:t>
      </w:r>
      <w:r>
        <w:rPr>
          <w:rFonts w:asciiTheme="majorHAnsi" w:hAnsiTheme="majorHAnsi"/>
        </w:rPr>
        <w:t xml:space="preserve">disruption of </w:t>
      </w:r>
      <w:r w:rsidR="00B15A35">
        <w:rPr>
          <w:rFonts w:asciiTheme="majorHAnsi" w:hAnsiTheme="majorHAnsi"/>
        </w:rPr>
        <w:t>the DDR and/or chromosome segregation. This could all be mediated via a direct increase in H2A.Z levels or by an increase</w:t>
      </w:r>
      <w:r>
        <w:rPr>
          <w:rFonts w:asciiTheme="majorHAnsi" w:hAnsiTheme="majorHAnsi"/>
        </w:rPr>
        <w:t xml:space="preserve"> or alterations</w:t>
      </w:r>
      <w:r w:rsidR="00B15A35">
        <w:rPr>
          <w:rFonts w:asciiTheme="majorHAnsi" w:hAnsiTheme="majorHAnsi"/>
        </w:rPr>
        <w:t xml:space="preserve"> in the chaperones that deposit them into the nucleosomes</w:t>
      </w:r>
      <w:r>
        <w:rPr>
          <w:rFonts w:asciiTheme="majorHAnsi" w:hAnsiTheme="majorHAnsi"/>
        </w:rPr>
        <w:t>, such as</w:t>
      </w:r>
      <w:r w:rsidR="00B15A35">
        <w:rPr>
          <w:rFonts w:asciiTheme="majorHAnsi" w:hAnsiTheme="majorHAnsi"/>
        </w:rPr>
        <w:t xml:space="preserve"> SRCAP. </w:t>
      </w:r>
      <w:r>
        <w:rPr>
          <w:rFonts w:asciiTheme="majorHAnsi" w:hAnsiTheme="majorHAnsi"/>
        </w:rPr>
        <w:t>Our</w:t>
      </w:r>
      <w:r w:rsidR="00B15A35">
        <w:rPr>
          <w:rFonts w:asciiTheme="majorHAnsi" w:hAnsiTheme="majorHAnsi"/>
        </w:rPr>
        <w:t xml:space="preserve"> understanding of many of these mechanisms remains limited and further research is required </w:t>
      </w:r>
      <w:r>
        <w:rPr>
          <w:rFonts w:asciiTheme="majorHAnsi" w:hAnsiTheme="majorHAnsi"/>
        </w:rPr>
        <w:t xml:space="preserve">to determine whether these pathways </w:t>
      </w:r>
      <w:r w:rsidR="00B15A35">
        <w:rPr>
          <w:rFonts w:asciiTheme="majorHAnsi" w:hAnsiTheme="majorHAnsi"/>
        </w:rPr>
        <w:t xml:space="preserve">can be utilised </w:t>
      </w:r>
      <w:r w:rsidR="001C1857">
        <w:rPr>
          <w:rFonts w:asciiTheme="majorHAnsi" w:hAnsiTheme="majorHAnsi"/>
        </w:rPr>
        <w:t>for</w:t>
      </w:r>
      <w:r w:rsidR="00B15A35">
        <w:rPr>
          <w:rFonts w:asciiTheme="majorHAnsi" w:hAnsiTheme="majorHAnsi"/>
        </w:rPr>
        <w:t xml:space="preserve"> cancer therapies. </w:t>
      </w:r>
    </w:p>
    <w:p w14:paraId="2578B169" w14:textId="77777777" w:rsidR="00B15A35" w:rsidRDefault="00B15A35" w:rsidP="00B15A35">
      <w:pPr>
        <w:spacing w:line="360" w:lineRule="auto"/>
        <w:jc w:val="both"/>
      </w:pPr>
    </w:p>
    <w:p w14:paraId="223ACB88" w14:textId="77777777" w:rsidR="00B15A35" w:rsidRDefault="00B15A35" w:rsidP="002F41C6">
      <w:pPr>
        <w:pStyle w:val="EndNoteBibliography"/>
        <w:numPr>
          <w:ilvl w:val="0"/>
          <w:numId w:val="37"/>
        </w:numPr>
        <w:rPr>
          <w:rFonts w:asciiTheme="majorHAnsi" w:hAnsiTheme="majorHAnsi"/>
          <w:b/>
          <w:i/>
        </w:rPr>
      </w:pPr>
      <w:r>
        <w:rPr>
          <w:rFonts w:asciiTheme="majorHAnsi" w:hAnsiTheme="majorHAnsi"/>
          <w:b/>
          <w:i/>
        </w:rPr>
        <w:t>Hypothesis and Aims</w:t>
      </w:r>
    </w:p>
    <w:p w14:paraId="449EF7B3" w14:textId="620D93FB" w:rsidR="00B15A35" w:rsidRPr="000B79E0" w:rsidRDefault="00B15A35" w:rsidP="00B15A35">
      <w:pPr>
        <w:spacing w:line="360" w:lineRule="auto"/>
        <w:jc w:val="both"/>
        <w:rPr>
          <w:rFonts w:asciiTheme="majorHAnsi" w:hAnsiTheme="majorHAnsi"/>
        </w:rPr>
      </w:pPr>
      <w:r w:rsidRPr="000B79E0">
        <w:rPr>
          <w:rFonts w:asciiTheme="majorHAnsi" w:hAnsiTheme="majorHAnsi"/>
        </w:rPr>
        <w:t xml:space="preserve">Previous findings have uncovered copy number aberrations </w:t>
      </w:r>
      <w:r w:rsidRPr="000B79E0">
        <w:rPr>
          <w:rFonts w:asciiTheme="majorHAnsi" w:hAnsiTheme="majorHAnsi"/>
          <w:lang w:val="en-US"/>
        </w:rPr>
        <w:t>in DNA extracted from chromosomal unstable colon tumours</w:t>
      </w:r>
      <w:r w:rsidRPr="000B79E0">
        <w:rPr>
          <w:rFonts w:asciiTheme="majorHAnsi" w:hAnsiTheme="majorHAnsi"/>
        </w:rPr>
        <w:t xml:space="preserve">. Using bioinformatics, these aberrations were ranked based on frequency and magnitude and then further prioritised using a series of database criteria, such as correlated </w:t>
      </w:r>
      <w:r w:rsidR="00EF6982">
        <w:rPr>
          <w:rFonts w:asciiTheme="majorHAnsi" w:hAnsiTheme="majorHAnsi"/>
        </w:rPr>
        <w:t xml:space="preserve">gene </w:t>
      </w:r>
      <w:r w:rsidRPr="000B79E0">
        <w:rPr>
          <w:rFonts w:asciiTheme="majorHAnsi" w:hAnsiTheme="majorHAnsi"/>
        </w:rPr>
        <w:t xml:space="preserve">expression in </w:t>
      </w:r>
      <w:r w:rsidR="001C1857">
        <w:rPr>
          <w:rFonts w:asciiTheme="majorHAnsi" w:hAnsiTheme="majorHAnsi"/>
        </w:rPr>
        <w:t xml:space="preserve">TCGA </w:t>
      </w:r>
      <w:r w:rsidRPr="000B79E0">
        <w:rPr>
          <w:rFonts w:asciiTheme="majorHAnsi" w:hAnsiTheme="majorHAnsi"/>
        </w:rPr>
        <w:t xml:space="preserve">and also the </w:t>
      </w:r>
      <w:r w:rsidR="00EF6982">
        <w:rPr>
          <w:rFonts w:asciiTheme="majorHAnsi" w:hAnsiTheme="majorHAnsi"/>
        </w:rPr>
        <w:t>potential for druggability. These</w:t>
      </w:r>
      <w:r w:rsidRPr="000B79E0">
        <w:rPr>
          <w:rFonts w:asciiTheme="majorHAnsi" w:hAnsiTheme="majorHAnsi"/>
        </w:rPr>
        <w:t xml:space="preserve"> data, </w:t>
      </w:r>
      <w:r w:rsidR="00EF6982">
        <w:rPr>
          <w:rFonts w:asciiTheme="majorHAnsi" w:hAnsiTheme="majorHAnsi"/>
        </w:rPr>
        <w:t>together with</w:t>
      </w:r>
      <w:r w:rsidR="00A40F61">
        <w:rPr>
          <w:rFonts w:asciiTheme="majorHAnsi" w:hAnsiTheme="majorHAnsi"/>
        </w:rPr>
        <w:t xml:space="preserve"> a siRNA knock</w:t>
      </w:r>
      <w:r w:rsidRPr="000B79E0">
        <w:rPr>
          <w:rFonts w:asciiTheme="majorHAnsi" w:hAnsiTheme="majorHAnsi"/>
        </w:rPr>
        <w:t>down screen looking at DNA damage</w:t>
      </w:r>
      <w:r>
        <w:rPr>
          <w:rFonts w:asciiTheme="majorHAnsi" w:hAnsiTheme="majorHAnsi"/>
        </w:rPr>
        <w:t>/genome instability</w:t>
      </w:r>
      <w:r w:rsidRPr="000B79E0">
        <w:rPr>
          <w:rFonts w:asciiTheme="majorHAnsi" w:hAnsiTheme="majorHAnsi"/>
        </w:rPr>
        <w:t>, identified SRCAP as a potential driver of colorectal cancer.</w:t>
      </w:r>
    </w:p>
    <w:p w14:paraId="219158F5" w14:textId="77777777" w:rsidR="00B15A35" w:rsidRPr="000B79E0" w:rsidRDefault="00B15A35" w:rsidP="00B15A35">
      <w:pPr>
        <w:spacing w:line="360" w:lineRule="auto"/>
        <w:jc w:val="both"/>
        <w:rPr>
          <w:rFonts w:asciiTheme="majorHAnsi" w:hAnsiTheme="majorHAnsi"/>
        </w:rPr>
      </w:pPr>
    </w:p>
    <w:p w14:paraId="2693AFF0" w14:textId="2E7C0D02" w:rsidR="00B15A35" w:rsidRPr="000B79E0" w:rsidRDefault="00B15A35" w:rsidP="00B15A35">
      <w:pPr>
        <w:spacing w:line="360" w:lineRule="auto"/>
        <w:jc w:val="both"/>
        <w:rPr>
          <w:rFonts w:asciiTheme="majorHAnsi" w:hAnsiTheme="majorHAnsi"/>
        </w:rPr>
      </w:pPr>
      <w:r w:rsidRPr="000B79E0">
        <w:rPr>
          <w:rFonts w:asciiTheme="majorHAnsi" w:hAnsiTheme="majorHAnsi"/>
        </w:rPr>
        <w:t xml:space="preserve">The aim of the project was to therefore test the hypothesis that </w:t>
      </w:r>
      <w:r w:rsidRPr="001C1857">
        <w:rPr>
          <w:rFonts w:asciiTheme="majorHAnsi" w:hAnsiTheme="majorHAnsi"/>
          <w:i/>
        </w:rPr>
        <w:t>SRCAP</w:t>
      </w:r>
      <w:r w:rsidRPr="000B79E0">
        <w:rPr>
          <w:rFonts w:asciiTheme="majorHAnsi" w:hAnsiTheme="majorHAnsi"/>
        </w:rPr>
        <w:t xml:space="preserve"> is a driver gene of colorectal cancer and favours a cancer phenotype; </w:t>
      </w:r>
      <w:r w:rsidR="00EF6982">
        <w:rPr>
          <w:rFonts w:asciiTheme="majorHAnsi" w:hAnsiTheme="majorHAnsi"/>
        </w:rPr>
        <w:t xml:space="preserve">if so, </w:t>
      </w:r>
      <w:r w:rsidRPr="000B79E0">
        <w:rPr>
          <w:rFonts w:asciiTheme="majorHAnsi" w:hAnsiTheme="majorHAnsi"/>
        </w:rPr>
        <w:t>this gene could provide a novel druggable target.</w:t>
      </w:r>
    </w:p>
    <w:p w14:paraId="7099084D" w14:textId="77777777" w:rsidR="00B15A35" w:rsidRDefault="00B15A35" w:rsidP="00B15A35">
      <w:pPr>
        <w:spacing w:line="360" w:lineRule="auto"/>
        <w:jc w:val="both"/>
        <w:rPr>
          <w:rFonts w:asciiTheme="majorHAnsi" w:hAnsiTheme="majorHAnsi"/>
        </w:rPr>
      </w:pPr>
    </w:p>
    <w:p w14:paraId="0AD15A97" w14:textId="77777777" w:rsidR="00B15A35" w:rsidRPr="000B79E0" w:rsidRDefault="00B15A35" w:rsidP="00B15A35">
      <w:pPr>
        <w:spacing w:line="360" w:lineRule="auto"/>
        <w:jc w:val="both"/>
        <w:rPr>
          <w:rFonts w:asciiTheme="majorHAnsi" w:hAnsiTheme="majorHAnsi"/>
        </w:rPr>
      </w:pPr>
      <w:r w:rsidRPr="000B79E0">
        <w:rPr>
          <w:rFonts w:asciiTheme="majorHAnsi" w:hAnsiTheme="majorHAnsi"/>
        </w:rPr>
        <w:t>The objectives of the project were to:</w:t>
      </w:r>
    </w:p>
    <w:p w14:paraId="1C8D0283" w14:textId="77777777" w:rsidR="00B15A35" w:rsidRPr="000B79E0" w:rsidRDefault="00B15A35" w:rsidP="00B15A35">
      <w:pPr>
        <w:spacing w:line="360" w:lineRule="auto"/>
        <w:jc w:val="both"/>
        <w:rPr>
          <w:rFonts w:asciiTheme="majorHAnsi" w:hAnsiTheme="majorHAnsi"/>
        </w:rPr>
      </w:pPr>
    </w:p>
    <w:p w14:paraId="68A62325" w14:textId="533308BB" w:rsidR="00B15A35" w:rsidRPr="000B79E0" w:rsidRDefault="00327AA2" w:rsidP="002F41C6">
      <w:pPr>
        <w:pStyle w:val="ListParagraph"/>
        <w:numPr>
          <w:ilvl w:val="0"/>
          <w:numId w:val="38"/>
        </w:numPr>
        <w:spacing w:line="360" w:lineRule="auto"/>
        <w:jc w:val="both"/>
        <w:rPr>
          <w:rFonts w:asciiTheme="majorHAnsi" w:hAnsiTheme="majorHAnsi"/>
        </w:rPr>
      </w:pPr>
      <w:r>
        <w:rPr>
          <w:rFonts w:asciiTheme="majorHAnsi" w:hAnsiTheme="majorHAnsi"/>
        </w:rPr>
        <w:t>Create two SRCAP over-</w:t>
      </w:r>
      <w:r w:rsidR="00B15A35" w:rsidRPr="000B79E0">
        <w:rPr>
          <w:rFonts w:asciiTheme="majorHAnsi" w:hAnsiTheme="majorHAnsi"/>
        </w:rPr>
        <w:t xml:space="preserve">expression </w:t>
      </w:r>
      <w:r w:rsidR="00B15A35">
        <w:rPr>
          <w:rFonts w:asciiTheme="majorHAnsi" w:hAnsiTheme="majorHAnsi"/>
        </w:rPr>
        <w:t xml:space="preserve">CRC </w:t>
      </w:r>
      <w:r w:rsidR="00B15A35" w:rsidRPr="000B79E0">
        <w:rPr>
          <w:rFonts w:asciiTheme="majorHAnsi" w:hAnsiTheme="majorHAnsi"/>
        </w:rPr>
        <w:t>cell line models, firstly using cDNA transient vect</w:t>
      </w:r>
      <w:r w:rsidR="00EF6982">
        <w:rPr>
          <w:rFonts w:asciiTheme="majorHAnsi" w:hAnsiTheme="majorHAnsi"/>
        </w:rPr>
        <w:t>or transfection and also utilising</w:t>
      </w:r>
      <w:r w:rsidR="00B15A35" w:rsidRPr="000B79E0">
        <w:rPr>
          <w:rFonts w:asciiTheme="majorHAnsi" w:hAnsiTheme="majorHAnsi"/>
        </w:rPr>
        <w:t xml:space="preserve"> the new CRISPR/</w:t>
      </w:r>
      <w:r w:rsidR="00B15A35">
        <w:rPr>
          <w:rFonts w:asciiTheme="majorHAnsi" w:hAnsiTheme="majorHAnsi"/>
        </w:rPr>
        <w:t>d</w:t>
      </w:r>
      <w:r w:rsidR="00B15A35" w:rsidRPr="000B79E0">
        <w:rPr>
          <w:rFonts w:asciiTheme="majorHAnsi" w:hAnsiTheme="majorHAnsi"/>
        </w:rPr>
        <w:t xml:space="preserve">Cas9 technology to endogenously over-express SRCAP. </w:t>
      </w:r>
      <w:r w:rsidR="00B15A35">
        <w:rPr>
          <w:rFonts w:asciiTheme="majorHAnsi" w:hAnsiTheme="majorHAnsi"/>
        </w:rPr>
        <w:t>T</w:t>
      </w:r>
      <w:r>
        <w:rPr>
          <w:rFonts w:asciiTheme="majorHAnsi" w:hAnsiTheme="majorHAnsi"/>
        </w:rPr>
        <w:t>hen assess how this over-</w:t>
      </w:r>
      <w:r w:rsidR="00B15A35" w:rsidRPr="000B79E0">
        <w:rPr>
          <w:rFonts w:asciiTheme="majorHAnsi" w:hAnsiTheme="majorHAnsi"/>
        </w:rPr>
        <w:t xml:space="preserve">expression alters </w:t>
      </w:r>
      <w:r w:rsidR="00EF6982">
        <w:rPr>
          <w:rFonts w:asciiTheme="majorHAnsi" w:hAnsiTheme="majorHAnsi"/>
        </w:rPr>
        <w:t>cell function</w:t>
      </w:r>
      <w:r w:rsidR="00B15A35" w:rsidRPr="000B79E0">
        <w:rPr>
          <w:rFonts w:asciiTheme="majorHAnsi" w:hAnsiTheme="majorHAnsi"/>
        </w:rPr>
        <w:t xml:space="preserve"> through functional assays looking at DNA damage, proliferation, apoptosis, cellular cycling and chromatin structure.</w:t>
      </w:r>
    </w:p>
    <w:p w14:paraId="489F2E30" w14:textId="3DF2F420" w:rsidR="00B15A35" w:rsidRPr="000B79E0" w:rsidRDefault="00B15A35" w:rsidP="002F41C6">
      <w:pPr>
        <w:pStyle w:val="ListParagraph"/>
        <w:numPr>
          <w:ilvl w:val="0"/>
          <w:numId w:val="38"/>
        </w:numPr>
        <w:spacing w:line="360" w:lineRule="auto"/>
        <w:jc w:val="both"/>
        <w:rPr>
          <w:rFonts w:asciiTheme="majorHAnsi" w:hAnsiTheme="majorHAnsi"/>
        </w:rPr>
      </w:pPr>
      <w:r>
        <w:rPr>
          <w:rFonts w:asciiTheme="majorHAnsi" w:hAnsiTheme="majorHAnsi"/>
        </w:rPr>
        <w:t>Use a k</w:t>
      </w:r>
      <w:r w:rsidRPr="000B79E0">
        <w:rPr>
          <w:rFonts w:asciiTheme="majorHAnsi" w:hAnsiTheme="majorHAnsi"/>
        </w:rPr>
        <w:t xml:space="preserve">nockdown </w:t>
      </w:r>
      <w:r w:rsidRPr="009A0EDB">
        <w:rPr>
          <w:rFonts w:asciiTheme="majorHAnsi" w:hAnsiTheme="majorHAnsi"/>
          <w:i/>
        </w:rPr>
        <w:t>SRCAP</w:t>
      </w:r>
      <w:r w:rsidRPr="000B79E0">
        <w:rPr>
          <w:rFonts w:asciiTheme="majorHAnsi" w:hAnsiTheme="majorHAnsi"/>
        </w:rPr>
        <w:t xml:space="preserve"> </w:t>
      </w:r>
      <w:r>
        <w:rPr>
          <w:rFonts w:asciiTheme="majorHAnsi" w:hAnsiTheme="majorHAnsi"/>
        </w:rPr>
        <w:t>CRC</w:t>
      </w:r>
      <w:r w:rsidRPr="000B79E0">
        <w:rPr>
          <w:rFonts w:asciiTheme="majorHAnsi" w:hAnsiTheme="majorHAnsi"/>
        </w:rPr>
        <w:t xml:space="preserve"> cell line model </w:t>
      </w:r>
      <w:r w:rsidR="001C1857">
        <w:rPr>
          <w:rFonts w:asciiTheme="majorHAnsi" w:hAnsiTheme="majorHAnsi"/>
        </w:rPr>
        <w:t>to</w:t>
      </w:r>
      <w:r w:rsidRPr="000B79E0">
        <w:rPr>
          <w:rFonts w:asciiTheme="majorHAnsi" w:hAnsiTheme="majorHAnsi"/>
        </w:rPr>
        <w:t xml:space="preserve"> again assess how this affects the cancer phenotype using the functional assays stated above, and also use clinical therapeutics to see what effect SRCAP depletion has on cell survival</w:t>
      </w:r>
      <w:r w:rsidR="00EF6982">
        <w:rPr>
          <w:rFonts w:asciiTheme="majorHAnsi" w:hAnsiTheme="majorHAnsi"/>
        </w:rPr>
        <w:t xml:space="preserve"> following treatment with these</w:t>
      </w:r>
      <w:r w:rsidRPr="000B79E0">
        <w:rPr>
          <w:rFonts w:asciiTheme="majorHAnsi" w:hAnsiTheme="majorHAnsi"/>
        </w:rPr>
        <w:t xml:space="preserve">. </w:t>
      </w:r>
    </w:p>
    <w:p w14:paraId="1DBBC8EC" w14:textId="77777777" w:rsidR="00B15A35" w:rsidRPr="000B79E0" w:rsidRDefault="00B15A35" w:rsidP="002F41C6">
      <w:pPr>
        <w:pStyle w:val="ListParagraph"/>
        <w:numPr>
          <w:ilvl w:val="0"/>
          <w:numId w:val="38"/>
        </w:numPr>
        <w:spacing w:line="360" w:lineRule="auto"/>
        <w:jc w:val="both"/>
        <w:rPr>
          <w:rFonts w:asciiTheme="majorHAnsi" w:hAnsiTheme="majorHAnsi"/>
        </w:rPr>
      </w:pPr>
      <w:r>
        <w:rPr>
          <w:rFonts w:asciiTheme="majorHAnsi" w:hAnsiTheme="majorHAnsi"/>
        </w:rPr>
        <w:t>Determine the</w:t>
      </w:r>
      <w:r w:rsidRPr="000B79E0">
        <w:rPr>
          <w:rFonts w:asciiTheme="majorHAnsi" w:hAnsiTheme="majorHAnsi"/>
        </w:rPr>
        <w:t xml:space="preserve"> biological consequences of SRCAP levels in </w:t>
      </w:r>
      <w:r w:rsidRPr="00327F09">
        <w:rPr>
          <w:rFonts w:asciiTheme="majorHAnsi" w:hAnsiTheme="majorHAnsi"/>
          <w:i/>
        </w:rPr>
        <w:t>RAS</w:t>
      </w:r>
      <w:r w:rsidRPr="000B79E0">
        <w:rPr>
          <w:rFonts w:asciiTheme="majorHAnsi" w:hAnsiTheme="majorHAnsi"/>
        </w:rPr>
        <w:t xml:space="preserve"> oncogene activated cells</w:t>
      </w:r>
      <w:r>
        <w:rPr>
          <w:rFonts w:asciiTheme="majorHAnsi" w:hAnsiTheme="majorHAnsi"/>
        </w:rPr>
        <w:t xml:space="preserve">, again utilising functional assays described in point one. </w:t>
      </w:r>
    </w:p>
    <w:p w14:paraId="4817C546" w14:textId="0075FB5C" w:rsidR="00B15A35" w:rsidRPr="000B79E0" w:rsidRDefault="00B15A35" w:rsidP="002F41C6">
      <w:pPr>
        <w:pStyle w:val="ListParagraph"/>
        <w:numPr>
          <w:ilvl w:val="0"/>
          <w:numId w:val="38"/>
        </w:numPr>
        <w:spacing w:line="360" w:lineRule="auto"/>
        <w:jc w:val="both"/>
        <w:rPr>
          <w:rFonts w:asciiTheme="majorHAnsi" w:hAnsiTheme="majorHAnsi"/>
        </w:rPr>
      </w:pPr>
      <w:r w:rsidRPr="000B79E0">
        <w:rPr>
          <w:rFonts w:asciiTheme="majorHAnsi" w:hAnsiTheme="majorHAnsi"/>
        </w:rPr>
        <w:t xml:space="preserve">Assess the effect of differing </w:t>
      </w:r>
      <w:r w:rsidRPr="009A0EDB">
        <w:rPr>
          <w:rFonts w:asciiTheme="majorHAnsi" w:hAnsiTheme="majorHAnsi"/>
          <w:i/>
        </w:rPr>
        <w:t>SRCAP</w:t>
      </w:r>
      <w:r w:rsidRPr="000B79E0">
        <w:rPr>
          <w:rFonts w:asciiTheme="majorHAnsi" w:hAnsiTheme="majorHAnsi"/>
        </w:rPr>
        <w:t xml:space="preserve"> expression </w:t>
      </w:r>
      <w:r w:rsidR="00EF6982">
        <w:rPr>
          <w:rFonts w:asciiTheme="majorHAnsi" w:hAnsiTheme="majorHAnsi"/>
        </w:rPr>
        <w:t xml:space="preserve">on gene expression </w:t>
      </w:r>
      <w:r w:rsidRPr="000B79E0">
        <w:rPr>
          <w:rFonts w:asciiTheme="majorHAnsi" w:hAnsiTheme="majorHAnsi"/>
        </w:rPr>
        <w:t xml:space="preserve">using RNA samples from </w:t>
      </w:r>
      <w:r w:rsidRPr="009A0EDB">
        <w:rPr>
          <w:rFonts w:asciiTheme="majorHAnsi" w:hAnsiTheme="majorHAnsi"/>
          <w:i/>
        </w:rPr>
        <w:t>SRCAP</w:t>
      </w:r>
      <w:r w:rsidR="00327AA2">
        <w:rPr>
          <w:rFonts w:asciiTheme="majorHAnsi" w:hAnsiTheme="majorHAnsi"/>
        </w:rPr>
        <w:t xml:space="preserve"> over-</w:t>
      </w:r>
      <w:r w:rsidRPr="000B79E0">
        <w:rPr>
          <w:rFonts w:asciiTheme="majorHAnsi" w:hAnsiTheme="majorHAnsi"/>
        </w:rPr>
        <w:t xml:space="preserve">expressing and </w:t>
      </w:r>
      <w:r w:rsidRPr="009A0EDB">
        <w:rPr>
          <w:rFonts w:asciiTheme="majorHAnsi" w:hAnsiTheme="majorHAnsi"/>
          <w:i/>
        </w:rPr>
        <w:t>SRCAP</w:t>
      </w:r>
      <w:r w:rsidR="00A40F61">
        <w:rPr>
          <w:rFonts w:asciiTheme="majorHAnsi" w:hAnsiTheme="majorHAnsi"/>
        </w:rPr>
        <w:t xml:space="preserve"> knock</w:t>
      </w:r>
      <w:r w:rsidRPr="000B79E0">
        <w:rPr>
          <w:rFonts w:asciiTheme="majorHAnsi" w:hAnsiTheme="majorHAnsi"/>
        </w:rPr>
        <w:t xml:space="preserve">down cell models in a microarray </w:t>
      </w:r>
      <w:r w:rsidR="00EF6982">
        <w:rPr>
          <w:rFonts w:asciiTheme="majorHAnsi" w:hAnsiTheme="majorHAnsi"/>
        </w:rPr>
        <w:t xml:space="preserve">analysis </w:t>
      </w:r>
      <w:r w:rsidRPr="000B79E0">
        <w:rPr>
          <w:rFonts w:asciiTheme="majorHAnsi" w:hAnsiTheme="majorHAnsi"/>
        </w:rPr>
        <w:t xml:space="preserve">in order to measure genome-wide transcript levels. </w:t>
      </w:r>
    </w:p>
    <w:p w14:paraId="52F7E977" w14:textId="77777777" w:rsidR="00B15A35" w:rsidRPr="000B79E0" w:rsidRDefault="00B15A35" w:rsidP="00B15A35">
      <w:pPr>
        <w:spacing w:line="360" w:lineRule="auto"/>
        <w:jc w:val="both"/>
        <w:rPr>
          <w:rFonts w:asciiTheme="majorHAnsi" w:hAnsiTheme="majorHAnsi"/>
        </w:rPr>
      </w:pPr>
    </w:p>
    <w:p w14:paraId="0BC46EAC" w14:textId="25968E6D" w:rsidR="00B15A35" w:rsidRPr="000B79E0" w:rsidRDefault="00B15A35" w:rsidP="00B15A35">
      <w:pPr>
        <w:spacing w:line="360" w:lineRule="auto"/>
        <w:jc w:val="both"/>
        <w:rPr>
          <w:rFonts w:asciiTheme="majorHAnsi" w:hAnsiTheme="majorHAnsi"/>
        </w:rPr>
      </w:pPr>
      <w:r w:rsidRPr="000B79E0">
        <w:rPr>
          <w:rFonts w:asciiTheme="majorHAnsi" w:hAnsiTheme="majorHAnsi"/>
        </w:rPr>
        <w:t xml:space="preserve">Throughout the thesis two main cell lines will be used, these are SW480 and HCT116 human CRC cell lines. SW480 cells display chromosomal instability </w:t>
      </w:r>
      <w:r w:rsidR="00EF6982">
        <w:rPr>
          <w:rFonts w:asciiTheme="majorHAnsi" w:hAnsiTheme="majorHAnsi"/>
        </w:rPr>
        <w:t xml:space="preserve">and are therefore comparable </w:t>
      </w:r>
      <w:r w:rsidRPr="000B79E0">
        <w:rPr>
          <w:rFonts w:asciiTheme="majorHAnsi" w:hAnsiTheme="majorHAnsi"/>
        </w:rPr>
        <w:t xml:space="preserve">to </w:t>
      </w:r>
      <w:r>
        <w:rPr>
          <w:rFonts w:asciiTheme="majorHAnsi" w:hAnsiTheme="majorHAnsi"/>
        </w:rPr>
        <w:t>t</w:t>
      </w:r>
      <w:r w:rsidR="00EF6982">
        <w:rPr>
          <w:rFonts w:asciiTheme="majorHAnsi" w:hAnsiTheme="majorHAnsi"/>
        </w:rPr>
        <w:t>he patient</w:t>
      </w:r>
      <w:r w:rsidRPr="000B79E0">
        <w:rPr>
          <w:rFonts w:asciiTheme="majorHAnsi" w:hAnsiTheme="majorHAnsi"/>
        </w:rPr>
        <w:t xml:space="preserve"> </w:t>
      </w:r>
      <w:r w:rsidR="00EF6982">
        <w:rPr>
          <w:rFonts w:asciiTheme="majorHAnsi" w:hAnsiTheme="majorHAnsi"/>
        </w:rPr>
        <w:t>cohort</w:t>
      </w:r>
      <w:r>
        <w:rPr>
          <w:rFonts w:asciiTheme="majorHAnsi" w:hAnsiTheme="majorHAnsi"/>
        </w:rPr>
        <w:t xml:space="preserve"> used in the original CGH</w:t>
      </w:r>
      <w:r w:rsidRPr="000B79E0">
        <w:rPr>
          <w:rFonts w:asciiTheme="majorHAnsi" w:hAnsiTheme="majorHAnsi"/>
        </w:rPr>
        <w:t xml:space="preserve"> screen. In comparison, HCT116 cells are microsatellite unstable</w:t>
      </w:r>
      <w:r>
        <w:rPr>
          <w:rFonts w:asciiTheme="majorHAnsi" w:hAnsiTheme="majorHAnsi"/>
        </w:rPr>
        <w:t xml:space="preserve"> and were used in the siRNA screen</w:t>
      </w:r>
      <w:r w:rsidRPr="000B79E0">
        <w:rPr>
          <w:rFonts w:asciiTheme="majorHAnsi" w:hAnsiTheme="majorHAnsi"/>
        </w:rPr>
        <w:t xml:space="preserve">. Hence the work carried out is </w:t>
      </w:r>
      <w:r w:rsidR="00EF6982">
        <w:rPr>
          <w:rFonts w:asciiTheme="majorHAnsi" w:hAnsiTheme="majorHAnsi"/>
        </w:rPr>
        <w:t xml:space="preserve">based on </w:t>
      </w:r>
      <w:r w:rsidRPr="000B79E0">
        <w:rPr>
          <w:rFonts w:asciiTheme="majorHAnsi" w:hAnsiTheme="majorHAnsi"/>
        </w:rPr>
        <w:t>the two major molecular subtype</w:t>
      </w:r>
      <w:r w:rsidR="001C1857">
        <w:rPr>
          <w:rFonts w:asciiTheme="majorHAnsi" w:hAnsiTheme="majorHAnsi"/>
        </w:rPr>
        <w:t>s</w:t>
      </w:r>
      <w:r w:rsidRPr="000B79E0">
        <w:rPr>
          <w:rFonts w:asciiTheme="majorHAnsi" w:hAnsiTheme="majorHAnsi"/>
        </w:rPr>
        <w:t xml:space="preserve"> of CRC, so that comparisons </w:t>
      </w:r>
      <w:r w:rsidR="00EF6982">
        <w:rPr>
          <w:rFonts w:asciiTheme="majorHAnsi" w:hAnsiTheme="majorHAnsi"/>
        </w:rPr>
        <w:t xml:space="preserve">between them </w:t>
      </w:r>
      <w:r>
        <w:rPr>
          <w:rFonts w:asciiTheme="majorHAnsi" w:hAnsiTheme="majorHAnsi"/>
        </w:rPr>
        <w:t>could</w:t>
      </w:r>
      <w:r w:rsidRPr="000B79E0">
        <w:rPr>
          <w:rFonts w:asciiTheme="majorHAnsi" w:hAnsiTheme="majorHAnsi"/>
        </w:rPr>
        <w:t xml:space="preserve"> be drawn and any differences in response highlighted. </w:t>
      </w:r>
    </w:p>
    <w:p w14:paraId="732064CC" w14:textId="3CC7D2FB" w:rsidR="00B15A35" w:rsidRDefault="00B15A35" w:rsidP="00B15A35"/>
    <w:p w14:paraId="6150D0BD" w14:textId="77777777" w:rsidR="00F37C85" w:rsidRPr="00B15A35" w:rsidRDefault="00F37C85" w:rsidP="00B15A35">
      <w:pPr>
        <w:sectPr w:rsidR="00F37C85" w:rsidRPr="00B15A35" w:rsidSect="00091260">
          <w:headerReference w:type="default" r:id="rId23"/>
          <w:pgSz w:w="11900" w:h="16840"/>
          <w:pgMar w:top="1440" w:right="1134" w:bottom="1276" w:left="2268" w:header="709" w:footer="709" w:gutter="0"/>
          <w:cols w:space="708"/>
          <w:docGrid w:linePitch="360"/>
        </w:sectPr>
      </w:pPr>
    </w:p>
    <w:p w14:paraId="2DA4F251" w14:textId="14E9BD87" w:rsidR="008E7B3A" w:rsidRPr="008E7B3A" w:rsidRDefault="008E7B3A" w:rsidP="008E7B3A">
      <w:pPr>
        <w:pBdr>
          <w:bottom w:val="single" w:sz="8" w:space="4" w:color="4F81BD"/>
        </w:pBdr>
        <w:spacing w:after="300"/>
        <w:contextualSpacing/>
        <w:rPr>
          <w:rFonts w:ascii="Calibri" w:eastAsia="ＭＳ Ｐゴシック" w:hAnsi="Calibri" w:cs="Times New Roman"/>
          <w:color w:val="000000"/>
          <w:spacing w:val="5"/>
          <w:kern w:val="28"/>
          <w:sz w:val="44"/>
          <w:szCs w:val="44"/>
        </w:rPr>
      </w:pPr>
      <w:r w:rsidRPr="008E7B3A">
        <w:rPr>
          <w:rFonts w:ascii="Calibri" w:eastAsia="ＭＳ Ｐゴシック" w:hAnsi="Calibri" w:cs="Times New Roman"/>
          <w:color w:val="000000"/>
          <w:spacing w:val="5"/>
          <w:kern w:val="28"/>
          <w:sz w:val="44"/>
          <w:szCs w:val="44"/>
        </w:rPr>
        <w:t>Chapter 2: Materials and Methods</w:t>
      </w:r>
    </w:p>
    <w:p w14:paraId="2BF0D5CF" w14:textId="77777777" w:rsidR="008E7B3A" w:rsidRPr="008E7B3A" w:rsidRDefault="008E7B3A" w:rsidP="008E7B3A">
      <w:pPr>
        <w:rPr>
          <w:rFonts w:ascii="Calibri" w:eastAsia="ＭＳ Ｐゴシック" w:hAnsi="Calibri" w:cs="Times New Roman"/>
          <w:sz w:val="28"/>
        </w:rPr>
      </w:pPr>
      <w:r w:rsidRPr="008E7B3A">
        <w:rPr>
          <w:rFonts w:ascii="Calibri" w:eastAsia="ＭＳ Ｐゴシック" w:hAnsi="Calibri" w:cs="Times New Roman"/>
          <w:sz w:val="28"/>
        </w:rPr>
        <w:t>2.1 Materials</w:t>
      </w:r>
    </w:p>
    <w:p w14:paraId="51472B82" w14:textId="77777777" w:rsidR="008E7B3A" w:rsidRPr="008E7B3A" w:rsidRDefault="008E7B3A" w:rsidP="002F41C6">
      <w:pPr>
        <w:numPr>
          <w:ilvl w:val="0"/>
          <w:numId w:val="11"/>
        </w:numPr>
        <w:contextualSpacing/>
        <w:rPr>
          <w:rFonts w:ascii="Calibri" w:eastAsia="ＭＳ Ｐゴシック" w:hAnsi="Calibri" w:cs="Times New Roman"/>
        </w:rPr>
      </w:pPr>
      <w:r w:rsidRPr="008E7B3A">
        <w:rPr>
          <w:rFonts w:ascii="Calibri" w:eastAsia="ＭＳ Ｐゴシック" w:hAnsi="Calibri" w:cs="Times New Roman"/>
        </w:rPr>
        <w:t>Standard Equipment List</w:t>
      </w:r>
    </w:p>
    <w:p w14:paraId="325CF4BE" w14:textId="77777777" w:rsidR="008E7B3A" w:rsidRPr="008E7B3A" w:rsidRDefault="008E7B3A" w:rsidP="002F41C6">
      <w:pPr>
        <w:numPr>
          <w:ilvl w:val="0"/>
          <w:numId w:val="11"/>
        </w:numPr>
        <w:contextualSpacing/>
        <w:rPr>
          <w:rFonts w:ascii="Calibri" w:eastAsia="ＭＳ Ｐゴシック" w:hAnsi="Calibri" w:cs="Times New Roman"/>
        </w:rPr>
      </w:pPr>
      <w:r w:rsidRPr="008E7B3A">
        <w:rPr>
          <w:rFonts w:ascii="Calibri" w:eastAsia="ＭＳ Ｐゴシック" w:hAnsi="Calibri" w:cs="Times New Roman"/>
        </w:rPr>
        <w:t>Consumables List</w:t>
      </w:r>
    </w:p>
    <w:p w14:paraId="3325E0AF" w14:textId="77777777" w:rsidR="008E7B3A" w:rsidRPr="008E7B3A" w:rsidRDefault="008E7B3A" w:rsidP="002F41C6">
      <w:pPr>
        <w:numPr>
          <w:ilvl w:val="0"/>
          <w:numId w:val="11"/>
        </w:numPr>
        <w:contextualSpacing/>
        <w:rPr>
          <w:rFonts w:ascii="Calibri" w:eastAsia="ＭＳ Ｐゴシック" w:hAnsi="Calibri" w:cs="Times New Roman"/>
        </w:rPr>
      </w:pPr>
      <w:r w:rsidRPr="008E7B3A">
        <w:rPr>
          <w:rFonts w:ascii="Calibri" w:eastAsia="ＭＳ Ｐゴシック" w:hAnsi="Calibri" w:cs="Times New Roman"/>
        </w:rPr>
        <w:t>Reagent List</w:t>
      </w:r>
    </w:p>
    <w:p w14:paraId="4F29743D" w14:textId="77777777" w:rsidR="008E7B3A" w:rsidRPr="008E7B3A" w:rsidRDefault="008E7B3A" w:rsidP="002F41C6">
      <w:pPr>
        <w:numPr>
          <w:ilvl w:val="0"/>
          <w:numId w:val="11"/>
        </w:numPr>
        <w:contextualSpacing/>
        <w:rPr>
          <w:rFonts w:ascii="Calibri" w:eastAsia="ＭＳ Ｐゴシック" w:hAnsi="Calibri" w:cs="Times New Roman"/>
        </w:rPr>
      </w:pPr>
      <w:r w:rsidRPr="008E7B3A">
        <w:rPr>
          <w:rFonts w:ascii="Calibri" w:eastAsia="ＭＳ Ｐゴシック" w:hAnsi="Calibri" w:cs="Times New Roman"/>
        </w:rPr>
        <w:t>Preparation of Solutions</w:t>
      </w:r>
    </w:p>
    <w:p w14:paraId="045D19C3" w14:textId="77777777" w:rsidR="008E7B3A" w:rsidRPr="008E7B3A" w:rsidRDefault="008E7B3A" w:rsidP="002F41C6">
      <w:pPr>
        <w:numPr>
          <w:ilvl w:val="0"/>
          <w:numId w:val="11"/>
        </w:numPr>
        <w:contextualSpacing/>
        <w:rPr>
          <w:rFonts w:ascii="Calibri" w:eastAsia="ＭＳ Ｐゴシック" w:hAnsi="Calibri" w:cs="Times New Roman"/>
        </w:rPr>
      </w:pPr>
      <w:r w:rsidRPr="008E7B3A">
        <w:rPr>
          <w:rFonts w:ascii="Calibri" w:eastAsia="ＭＳ Ｐゴシック" w:hAnsi="Calibri" w:cs="Times New Roman"/>
        </w:rPr>
        <w:t xml:space="preserve">Antibodies </w:t>
      </w:r>
    </w:p>
    <w:p w14:paraId="02B1F9E7" w14:textId="77777777" w:rsidR="008E7B3A" w:rsidRPr="008E7B3A" w:rsidRDefault="008E7B3A" w:rsidP="002F41C6">
      <w:pPr>
        <w:numPr>
          <w:ilvl w:val="0"/>
          <w:numId w:val="11"/>
        </w:numPr>
        <w:ind w:right="-625"/>
        <w:contextualSpacing/>
        <w:rPr>
          <w:rFonts w:ascii="Calibri" w:eastAsia="ＭＳ Ｐゴシック" w:hAnsi="Calibri" w:cs="Times New Roman"/>
        </w:rPr>
      </w:pPr>
      <w:r w:rsidRPr="008E7B3A">
        <w:rPr>
          <w:rFonts w:ascii="Calibri" w:eastAsia="ＭＳ Ｐゴシック" w:hAnsi="Calibri" w:cs="Times New Roman"/>
        </w:rPr>
        <w:t>Cell Lines</w:t>
      </w:r>
    </w:p>
    <w:p w14:paraId="00CCBEE8" w14:textId="77777777" w:rsidR="008E7B3A" w:rsidRPr="008E7B3A" w:rsidRDefault="008E7B3A" w:rsidP="008E7B3A">
      <w:pPr>
        <w:rPr>
          <w:rFonts w:ascii="Calibri" w:eastAsia="ＭＳ Ｐゴシック" w:hAnsi="Calibri" w:cs="Times New Roman"/>
          <w:sz w:val="28"/>
        </w:rPr>
      </w:pPr>
      <w:r w:rsidRPr="008E7B3A">
        <w:rPr>
          <w:rFonts w:ascii="Calibri" w:eastAsia="ＭＳ Ｐゴシック" w:hAnsi="Calibri" w:cs="Times New Roman"/>
          <w:sz w:val="28"/>
        </w:rPr>
        <w:t>2.2 Methods</w:t>
      </w:r>
    </w:p>
    <w:p w14:paraId="49C46F4C" w14:textId="77777777" w:rsidR="008E7B3A" w:rsidRPr="008E7B3A" w:rsidRDefault="008E7B3A" w:rsidP="002F41C6">
      <w:pPr>
        <w:numPr>
          <w:ilvl w:val="0"/>
          <w:numId w:val="12"/>
        </w:numPr>
        <w:contextualSpacing/>
        <w:rPr>
          <w:rFonts w:ascii="Calibri" w:eastAsia="ＭＳ Ｐゴシック" w:hAnsi="Calibri" w:cs="Times New Roman"/>
        </w:rPr>
      </w:pPr>
      <w:r w:rsidRPr="008E7B3A">
        <w:rPr>
          <w:rFonts w:ascii="Calibri" w:eastAsia="ＭＳ Ｐゴシック" w:hAnsi="Calibri" w:cs="Times New Roman"/>
        </w:rPr>
        <w:t>Bacterial Culture and Cloning</w:t>
      </w:r>
    </w:p>
    <w:p w14:paraId="0FEE9D1C" w14:textId="77777777" w:rsidR="008E7B3A" w:rsidRPr="008E7B3A" w:rsidRDefault="008E7B3A" w:rsidP="002F41C6">
      <w:pPr>
        <w:numPr>
          <w:ilvl w:val="0"/>
          <w:numId w:val="13"/>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SRCAP cloning and LR reaction</w:t>
      </w:r>
    </w:p>
    <w:p w14:paraId="500DEE1F" w14:textId="77777777" w:rsidR="008E7B3A" w:rsidRPr="008E7B3A" w:rsidRDefault="008E7B3A" w:rsidP="002F41C6">
      <w:pPr>
        <w:numPr>
          <w:ilvl w:val="0"/>
          <w:numId w:val="13"/>
        </w:numPr>
        <w:ind w:right="-766"/>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Transformation of SRCAP cDNA into DH5α E. Coli</w:t>
      </w:r>
    </w:p>
    <w:p w14:paraId="417508E2" w14:textId="77777777" w:rsidR="008E7B3A" w:rsidRPr="008E7B3A" w:rsidRDefault="008E7B3A" w:rsidP="002F41C6">
      <w:pPr>
        <w:numPr>
          <w:ilvl w:val="0"/>
          <w:numId w:val="13"/>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Transformation of SRCAP cDNA into XL10 Gold ultra-competent cells</w:t>
      </w:r>
    </w:p>
    <w:p w14:paraId="41E295FA" w14:textId="77777777" w:rsidR="008E7B3A" w:rsidRPr="008E7B3A" w:rsidRDefault="008E7B3A" w:rsidP="002F41C6">
      <w:pPr>
        <w:numPr>
          <w:ilvl w:val="0"/>
          <w:numId w:val="13"/>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DNA quantification</w:t>
      </w:r>
    </w:p>
    <w:p w14:paraId="2CA0636D" w14:textId="1D6789DD" w:rsidR="008E7B3A" w:rsidRPr="008E7B3A" w:rsidRDefault="008E7B3A" w:rsidP="002F41C6">
      <w:pPr>
        <w:numPr>
          <w:ilvl w:val="0"/>
          <w:numId w:val="13"/>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DNA Sequencing</w:t>
      </w:r>
      <w:r w:rsidR="00B71AD9">
        <w:rPr>
          <w:rFonts w:ascii="Calibri" w:eastAsia="ＭＳ Ｐゴシック" w:hAnsi="Calibri" w:cs="Times New Roman"/>
          <w:i/>
          <w:sz w:val="20"/>
          <w:szCs w:val="20"/>
        </w:rPr>
        <w:t xml:space="preserve"> of SRCAP constructs</w:t>
      </w:r>
    </w:p>
    <w:p w14:paraId="20130AA4" w14:textId="77777777" w:rsidR="008E7B3A" w:rsidRPr="008E7B3A" w:rsidRDefault="008E7B3A" w:rsidP="002F41C6">
      <w:pPr>
        <w:numPr>
          <w:ilvl w:val="0"/>
          <w:numId w:val="13"/>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Mutagenesis of cDNA</w:t>
      </w:r>
    </w:p>
    <w:p w14:paraId="158BF858" w14:textId="77777777" w:rsidR="008E7B3A" w:rsidRPr="008E7B3A" w:rsidRDefault="008E7B3A" w:rsidP="002F41C6">
      <w:pPr>
        <w:numPr>
          <w:ilvl w:val="0"/>
          <w:numId w:val="13"/>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Ras construct transformation</w:t>
      </w:r>
    </w:p>
    <w:p w14:paraId="35C2F560" w14:textId="77777777" w:rsidR="008E7B3A" w:rsidRPr="008E7B3A" w:rsidRDefault="008E7B3A" w:rsidP="002F41C6">
      <w:pPr>
        <w:numPr>
          <w:ilvl w:val="0"/>
          <w:numId w:val="13"/>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SRCAP cloning into pDEST-FRT-N-YFP (Flp. compatible)</w:t>
      </w:r>
    </w:p>
    <w:p w14:paraId="134C4090" w14:textId="77777777" w:rsidR="008E7B3A" w:rsidRPr="008E7B3A" w:rsidRDefault="008E7B3A" w:rsidP="002F41C6">
      <w:pPr>
        <w:numPr>
          <w:ilvl w:val="0"/>
          <w:numId w:val="12"/>
        </w:numPr>
        <w:contextualSpacing/>
        <w:rPr>
          <w:rFonts w:ascii="Calibri" w:eastAsia="ＭＳ Ｐゴシック" w:hAnsi="Calibri" w:cs="Times New Roman"/>
        </w:rPr>
      </w:pPr>
      <w:r w:rsidRPr="008E7B3A">
        <w:rPr>
          <w:rFonts w:ascii="Calibri" w:eastAsia="ＭＳ Ｐゴシック" w:hAnsi="Calibri" w:cs="Times New Roman"/>
        </w:rPr>
        <w:t>Mammalian Tissue Culture</w:t>
      </w:r>
    </w:p>
    <w:p w14:paraId="6F55A23C"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Tissue culture</w:t>
      </w:r>
    </w:p>
    <w:p w14:paraId="433DD467"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Cell line authentication</w:t>
      </w:r>
    </w:p>
    <w:p w14:paraId="360A4FF5"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proofErr w:type="gramStart"/>
      <w:r w:rsidRPr="008E7B3A">
        <w:rPr>
          <w:rFonts w:ascii="Calibri" w:eastAsia="ＭＳ Ｐゴシック" w:hAnsi="Calibri" w:cs="Times New Roman"/>
          <w:i/>
          <w:sz w:val="20"/>
          <w:szCs w:val="20"/>
        </w:rPr>
        <w:t>cDNA</w:t>
      </w:r>
      <w:proofErr w:type="gramEnd"/>
      <w:r w:rsidRPr="008E7B3A">
        <w:rPr>
          <w:rFonts w:ascii="Calibri" w:eastAsia="ＭＳ Ｐゴシック" w:hAnsi="Calibri" w:cs="Times New Roman"/>
          <w:i/>
          <w:sz w:val="20"/>
          <w:szCs w:val="20"/>
        </w:rPr>
        <w:t xml:space="preserve"> SRCAP transfection</w:t>
      </w:r>
    </w:p>
    <w:p w14:paraId="44AA29FE"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Transfection Optimisation</w:t>
      </w:r>
    </w:p>
    <w:p w14:paraId="4F19D3C2"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Stable Ras transfection</w:t>
      </w:r>
    </w:p>
    <w:p w14:paraId="2CDD9531"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proofErr w:type="gramStart"/>
      <w:r w:rsidRPr="008E7B3A">
        <w:rPr>
          <w:rFonts w:ascii="Calibri" w:eastAsia="ＭＳ Ｐゴシック" w:hAnsi="Calibri" w:cs="Times New Roman"/>
          <w:i/>
          <w:sz w:val="20"/>
          <w:szCs w:val="20"/>
        </w:rPr>
        <w:t>pDEST</w:t>
      </w:r>
      <w:proofErr w:type="gramEnd"/>
      <w:r w:rsidRPr="008E7B3A">
        <w:rPr>
          <w:rFonts w:ascii="Calibri" w:eastAsia="ＭＳ Ｐゴシック" w:hAnsi="Calibri" w:cs="Times New Roman"/>
          <w:i/>
          <w:sz w:val="20"/>
          <w:szCs w:val="20"/>
        </w:rPr>
        <w:t xml:space="preserve">-FRT-N-YFP </w:t>
      </w:r>
      <w:proofErr w:type="spellStart"/>
      <w:r w:rsidRPr="008E7B3A">
        <w:rPr>
          <w:rFonts w:ascii="Calibri" w:eastAsia="ＭＳ Ｐゴシック" w:hAnsi="Calibri" w:cs="Times New Roman"/>
          <w:i/>
          <w:sz w:val="20"/>
          <w:szCs w:val="20"/>
        </w:rPr>
        <w:t>tet</w:t>
      </w:r>
      <w:proofErr w:type="spellEnd"/>
      <w:r w:rsidRPr="008E7B3A">
        <w:rPr>
          <w:rFonts w:ascii="Calibri" w:eastAsia="ＭＳ Ｐゴシック" w:hAnsi="Calibri" w:cs="Times New Roman"/>
          <w:i/>
          <w:sz w:val="20"/>
          <w:szCs w:val="20"/>
        </w:rPr>
        <w:t xml:space="preserve"> inducible stable transfection</w:t>
      </w:r>
    </w:p>
    <w:p w14:paraId="4BB138DD"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Transient CRISPR/Cas9 SRCAP transfection</w:t>
      </w:r>
    </w:p>
    <w:p w14:paraId="68DF5BBC"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CRISPR/Cas9 SRCAP Lentiviral antibiotic concentration determination</w:t>
      </w:r>
    </w:p>
    <w:p w14:paraId="5BCF3940"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CRISPR/Cas9 SRCAP Lentiviral stable transfection</w:t>
      </w:r>
    </w:p>
    <w:p w14:paraId="37D4330D" w14:textId="77777777" w:rsidR="008E7B3A" w:rsidRPr="008E7B3A" w:rsidRDefault="008E7B3A" w:rsidP="002F41C6">
      <w:pPr>
        <w:numPr>
          <w:ilvl w:val="0"/>
          <w:numId w:val="14"/>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 xml:space="preserve"> </w:t>
      </w:r>
      <w:proofErr w:type="gramStart"/>
      <w:r w:rsidRPr="008E7B3A">
        <w:rPr>
          <w:rFonts w:ascii="Calibri" w:eastAsia="ＭＳ Ｐゴシック" w:hAnsi="Calibri" w:cs="Times New Roman"/>
          <w:i/>
          <w:sz w:val="20"/>
          <w:szCs w:val="20"/>
        </w:rPr>
        <w:t>siRNA</w:t>
      </w:r>
      <w:proofErr w:type="gramEnd"/>
      <w:r w:rsidRPr="008E7B3A">
        <w:rPr>
          <w:rFonts w:ascii="Calibri" w:eastAsia="ＭＳ Ｐゴシック" w:hAnsi="Calibri" w:cs="Times New Roman"/>
          <w:i/>
          <w:sz w:val="20"/>
          <w:szCs w:val="20"/>
        </w:rPr>
        <w:t xml:space="preserve"> knockdown of SRCAP</w:t>
      </w:r>
    </w:p>
    <w:p w14:paraId="62B75BA7" w14:textId="77777777" w:rsidR="008E7B3A" w:rsidRPr="008E7B3A" w:rsidRDefault="008E7B3A" w:rsidP="002F41C6">
      <w:pPr>
        <w:numPr>
          <w:ilvl w:val="0"/>
          <w:numId w:val="12"/>
        </w:numPr>
        <w:contextualSpacing/>
        <w:rPr>
          <w:rFonts w:ascii="Calibri" w:eastAsia="ＭＳ Ｐゴシック" w:hAnsi="Calibri" w:cs="Times New Roman"/>
        </w:rPr>
      </w:pPr>
      <w:r w:rsidRPr="008E7B3A">
        <w:rPr>
          <w:rFonts w:ascii="Calibri" w:eastAsia="ＭＳ Ｐゴシック" w:hAnsi="Calibri" w:cs="Times New Roman"/>
        </w:rPr>
        <w:t>RNA Studies</w:t>
      </w:r>
    </w:p>
    <w:p w14:paraId="2F43FF05" w14:textId="77777777" w:rsidR="008E7B3A" w:rsidRPr="008E7B3A" w:rsidRDefault="008E7B3A" w:rsidP="002F41C6">
      <w:pPr>
        <w:numPr>
          <w:ilvl w:val="0"/>
          <w:numId w:val="15"/>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RNA extraction</w:t>
      </w:r>
    </w:p>
    <w:p w14:paraId="5E9B2520" w14:textId="77777777" w:rsidR="008E7B3A" w:rsidRPr="008E7B3A" w:rsidRDefault="008E7B3A" w:rsidP="002F41C6">
      <w:pPr>
        <w:numPr>
          <w:ilvl w:val="0"/>
          <w:numId w:val="15"/>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RT-PCR</w:t>
      </w:r>
    </w:p>
    <w:p w14:paraId="00EC3351" w14:textId="77777777" w:rsidR="008E7B3A" w:rsidRPr="008E7B3A" w:rsidRDefault="008E7B3A" w:rsidP="002F41C6">
      <w:pPr>
        <w:numPr>
          <w:ilvl w:val="0"/>
          <w:numId w:val="15"/>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Taqman Assay for relative expression of mRNA</w:t>
      </w:r>
    </w:p>
    <w:p w14:paraId="0079531E" w14:textId="77777777" w:rsidR="008E7B3A" w:rsidRPr="008E7B3A" w:rsidRDefault="008E7B3A" w:rsidP="002F41C6">
      <w:pPr>
        <w:numPr>
          <w:ilvl w:val="0"/>
          <w:numId w:val="15"/>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 xml:space="preserve">RNA Microarray: Sample collection and fluorescent activated cell sorting </w:t>
      </w:r>
    </w:p>
    <w:p w14:paraId="49764B37" w14:textId="77777777" w:rsidR="008E7B3A" w:rsidRPr="008E7B3A" w:rsidRDefault="008E7B3A" w:rsidP="002F41C6">
      <w:pPr>
        <w:numPr>
          <w:ilvl w:val="0"/>
          <w:numId w:val="15"/>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RNA quality assessment</w:t>
      </w:r>
    </w:p>
    <w:p w14:paraId="5A304D7D" w14:textId="77777777" w:rsidR="008E7B3A" w:rsidRPr="008E7B3A" w:rsidRDefault="008E7B3A" w:rsidP="002F41C6">
      <w:pPr>
        <w:numPr>
          <w:ilvl w:val="0"/>
          <w:numId w:val="15"/>
        </w:numPr>
        <w:contextualSpacing/>
        <w:rPr>
          <w:rFonts w:ascii="Calibri" w:eastAsia="ＭＳ Ｐゴシック" w:hAnsi="Calibri" w:cs="Times New Roman"/>
          <w:sz w:val="20"/>
          <w:szCs w:val="20"/>
        </w:rPr>
      </w:pPr>
      <w:r w:rsidRPr="008E7B3A">
        <w:rPr>
          <w:rFonts w:ascii="Calibri" w:eastAsia="ＭＳ Ｐゴシック" w:hAnsi="Calibri" w:cs="Times New Roman"/>
          <w:i/>
          <w:sz w:val="20"/>
          <w:szCs w:val="20"/>
        </w:rPr>
        <w:t>Affymetrix Genechip RNA microarray</w:t>
      </w:r>
    </w:p>
    <w:p w14:paraId="0A19911A" w14:textId="77777777" w:rsidR="008E7B3A" w:rsidRPr="008E7B3A" w:rsidRDefault="008E7B3A" w:rsidP="002F41C6">
      <w:pPr>
        <w:numPr>
          <w:ilvl w:val="0"/>
          <w:numId w:val="12"/>
        </w:numPr>
        <w:contextualSpacing/>
        <w:rPr>
          <w:rFonts w:ascii="Calibri" w:eastAsia="ＭＳ Ｐゴシック" w:hAnsi="Calibri" w:cs="Times New Roman"/>
        </w:rPr>
      </w:pPr>
      <w:r w:rsidRPr="008E7B3A">
        <w:rPr>
          <w:rFonts w:ascii="Calibri" w:eastAsia="ＭＳ Ｐゴシック" w:hAnsi="Calibri" w:cs="Times New Roman"/>
        </w:rPr>
        <w:t>Protein Studies</w:t>
      </w:r>
    </w:p>
    <w:p w14:paraId="11E03A03" w14:textId="77777777" w:rsidR="008E7B3A" w:rsidRPr="008E7B3A" w:rsidRDefault="008E7B3A" w:rsidP="002F41C6">
      <w:pPr>
        <w:numPr>
          <w:ilvl w:val="0"/>
          <w:numId w:val="16"/>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Protein extraction and quantification</w:t>
      </w:r>
    </w:p>
    <w:p w14:paraId="621E34F8" w14:textId="77777777" w:rsidR="008E7B3A" w:rsidRPr="008E7B3A" w:rsidRDefault="008E7B3A" w:rsidP="002F41C6">
      <w:pPr>
        <w:numPr>
          <w:ilvl w:val="0"/>
          <w:numId w:val="16"/>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SDS-PAGE and Western blotting</w:t>
      </w:r>
    </w:p>
    <w:p w14:paraId="3BE2EA8E" w14:textId="77777777" w:rsidR="008E7B3A" w:rsidRPr="008E7B3A" w:rsidRDefault="008E7B3A" w:rsidP="002F41C6">
      <w:pPr>
        <w:numPr>
          <w:ilvl w:val="0"/>
          <w:numId w:val="12"/>
        </w:numPr>
        <w:contextualSpacing/>
        <w:rPr>
          <w:rFonts w:ascii="Calibri" w:eastAsia="ＭＳ Ｐゴシック" w:hAnsi="Calibri" w:cs="Times New Roman"/>
        </w:rPr>
      </w:pPr>
      <w:r w:rsidRPr="008E7B3A">
        <w:rPr>
          <w:rFonts w:ascii="Calibri" w:eastAsia="ＭＳ Ｐゴシック" w:hAnsi="Calibri" w:cs="Times New Roman"/>
        </w:rPr>
        <w:t>Functional Assays</w:t>
      </w:r>
    </w:p>
    <w:p w14:paraId="0B4D28F9"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Immunofluorescence studies for DNA damage</w:t>
      </w:r>
    </w:p>
    <w:p w14:paraId="2A2994B3"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Immunofluorescence studies for DNA transfection</w:t>
      </w:r>
    </w:p>
    <w:p w14:paraId="183A725E"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Alkaline comet assay for DNA damage</w:t>
      </w:r>
    </w:p>
    <w:p w14:paraId="154243BD"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Cell proliferation overtime</w:t>
      </w:r>
    </w:p>
    <w:p w14:paraId="2A2D56FE"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Micrococcal Nuclease Assay</w:t>
      </w:r>
    </w:p>
    <w:p w14:paraId="286F23FE"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Cell cycle analysis by propidium iodide staining</w:t>
      </w:r>
    </w:p>
    <w:p w14:paraId="4AC49952"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Apoptosis analysis by dual propidium iodide and Annexin V staining</w:t>
      </w:r>
    </w:p>
    <w:p w14:paraId="733AB4A7"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Phosphorylated H3 flow cytometry for mitotic cells</w:t>
      </w:r>
    </w:p>
    <w:p w14:paraId="2E317104"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Click-</w:t>
      </w:r>
      <w:proofErr w:type="spellStart"/>
      <w:r w:rsidRPr="008E7B3A">
        <w:rPr>
          <w:rFonts w:ascii="Calibri" w:eastAsia="ＭＳ Ｐゴシック" w:hAnsi="Calibri" w:cs="Times New Roman"/>
          <w:i/>
          <w:sz w:val="20"/>
          <w:szCs w:val="20"/>
        </w:rPr>
        <w:t>iT</w:t>
      </w:r>
      <w:proofErr w:type="spellEnd"/>
      <w:r w:rsidRPr="008E7B3A">
        <w:rPr>
          <w:rFonts w:ascii="Calibri" w:eastAsia="ＭＳ Ｐゴシック" w:hAnsi="Calibri" w:cs="Times New Roman"/>
          <w:i/>
          <w:sz w:val="20"/>
          <w:szCs w:val="20"/>
        </w:rPr>
        <w:t xml:space="preserve"> EdU assay</w:t>
      </w:r>
    </w:p>
    <w:p w14:paraId="39C97428" w14:textId="73611A2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 xml:space="preserve">MTT Cytotoxicity </w:t>
      </w:r>
      <w:r w:rsidR="00D82E70">
        <w:rPr>
          <w:rFonts w:ascii="Calibri" w:eastAsia="ＭＳ Ｐゴシック" w:hAnsi="Calibri" w:cs="Times New Roman"/>
          <w:i/>
          <w:sz w:val="20"/>
          <w:szCs w:val="20"/>
        </w:rPr>
        <w:t>assays</w:t>
      </w:r>
    </w:p>
    <w:p w14:paraId="0079E3DF" w14:textId="77777777" w:rsidR="008E7B3A" w:rsidRPr="008E7B3A" w:rsidRDefault="008E7B3A" w:rsidP="002F41C6">
      <w:pPr>
        <w:numPr>
          <w:ilvl w:val="0"/>
          <w:numId w:val="17"/>
        </w:numPr>
        <w:contextualSpacing/>
        <w:rPr>
          <w:rFonts w:ascii="Calibri" w:eastAsia="ＭＳ Ｐゴシック" w:hAnsi="Calibri" w:cs="Times New Roman"/>
          <w:i/>
          <w:sz w:val="20"/>
          <w:szCs w:val="20"/>
        </w:rPr>
      </w:pPr>
      <w:r w:rsidRPr="008E7B3A">
        <w:rPr>
          <w:rFonts w:ascii="Calibri" w:eastAsia="ＭＳ Ｐゴシック" w:hAnsi="Calibri" w:cs="Times New Roman"/>
          <w:i/>
          <w:sz w:val="20"/>
          <w:szCs w:val="20"/>
        </w:rPr>
        <w:t>Clonogenic Survival</w:t>
      </w:r>
    </w:p>
    <w:p w14:paraId="5F27A479" w14:textId="77777777" w:rsidR="008E7B3A" w:rsidRPr="008E7B3A" w:rsidRDefault="008E7B3A" w:rsidP="002F41C6">
      <w:pPr>
        <w:numPr>
          <w:ilvl w:val="0"/>
          <w:numId w:val="12"/>
        </w:numPr>
        <w:contextualSpacing/>
        <w:rPr>
          <w:rFonts w:ascii="Calibri" w:eastAsia="ＭＳ Ｐゴシック" w:hAnsi="Calibri" w:cs="Times New Roman"/>
        </w:rPr>
      </w:pPr>
      <w:r w:rsidRPr="008E7B3A">
        <w:rPr>
          <w:rFonts w:ascii="Calibri" w:eastAsia="ＭＳ Ｐゴシック" w:hAnsi="Calibri" w:cs="Times New Roman"/>
        </w:rPr>
        <w:t>Statistics</w:t>
      </w:r>
    </w:p>
    <w:p w14:paraId="0EDD9439" w14:textId="77777777" w:rsidR="008E7B3A" w:rsidRPr="008E7B3A" w:rsidRDefault="008E7B3A" w:rsidP="008E7B3A">
      <w:pPr>
        <w:spacing w:line="360" w:lineRule="auto"/>
        <w:jc w:val="both"/>
        <w:rPr>
          <w:rFonts w:ascii="Calibri" w:eastAsia="ＭＳ Ｐゴシック" w:hAnsi="Calibri" w:cs="Times New Roman"/>
          <w:u w:val="single"/>
        </w:rPr>
      </w:pPr>
      <w:r w:rsidRPr="008E7B3A">
        <w:rPr>
          <w:rFonts w:ascii="Calibri" w:eastAsia="ＭＳ Ｐゴシック" w:hAnsi="Calibri" w:cs="Times New Roman"/>
          <w:u w:val="single"/>
        </w:rPr>
        <w:t>List of Figures</w:t>
      </w:r>
    </w:p>
    <w:p w14:paraId="658BFA9D" w14:textId="77777777" w:rsidR="008E7B3A" w:rsidRPr="008E7B3A" w:rsidRDefault="008E7B3A" w:rsidP="008E7B3A">
      <w:pPr>
        <w:spacing w:line="360" w:lineRule="auto"/>
        <w:jc w:val="both"/>
        <w:rPr>
          <w:rFonts w:ascii="Calibri" w:eastAsia="ＭＳ Ｐゴシック" w:hAnsi="Calibri" w:cs="Times New Roman"/>
          <w:b/>
          <w:u w:val="single"/>
        </w:rPr>
      </w:pPr>
      <w:r w:rsidRPr="008E7B3A">
        <w:rPr>
          <w:rFonts w:ascii="Calibri" w:eastAsia="ＭＳ Ｐゴシック" w:hAnsi="Calibri" w:cs="Times New Roman"/>
          <w:i/>
        </w:rPr>
        <w:t>2.1 The highlighted area that was deleted by the two primers at the start of the SRCAP gene</w:t>
      </w:r>
      <w:r w:rsidRPr="008E7B3A">
        <w:rPr>
          <w:rFonts w:ascii="Calibri" w:eastAsia="ＭＳ Ｐゴシック" w:hAnsi="Calibri" w:cs="Times New Roman"/>
          <w:b/>
          <w:u w:val="single"/>
        </w:rPr>
        <w:t xml:space="preserve"> </w:t>
      </w:r>
    </w:p>
    <w:p w14:paraId="461A43CF" w14:textId="77777777" w:rsidR="008E7B3A" w:rsidRPr="008E7B3A" w:rsidRDefault="008E7B3A" w:rsidP="008E7B3A">
      <w:pPr>
        <w:spacing w:line="360" w:lineRule="auto"/>
        <w:jc w:val="both"/>
        <w:rPr>
          <w:rFonts w:ascii="Calibri" w:eastAsia="ＭＳ Ｐゴシック" w:hAnsi="Calibri" w:cs="Times New Roman"/>
          <w:i/>
        </w:rPr>
      </w:pPr>
      <w:r w:rsidRPr="008E7B3A">
        <w:rPr>
          <w:rFonts w:ascii="Calibri" w:eastAsia="ＭＳ Ｐゴシック" w:hAnsi="Calibri" w:cs="Times New Roman"/>
          <w:i/>
        </w:rPr>
        <w:t xml:space="preserve">2.2 Affymetrix Genechip Cartridge diagram, showing where the hybridisation mix should be added </w:t>
      </w:r>
    </w:p>
    <w:p w14:paraId="78A82FD1" w14:textId="77777777" w:rsidR="008E7B3A" w:rsidRPr="008E7B3A" w:rsidRDefault="008E7B3A" w:rsidP="008E7B3A">
      <w:pPr>
        <w:spacing w:line="360" w:lineRule="auto"/>
        <w:jc w:val="both"/>
        <w:rPr>
          <w:rFonts w:ascii="Calibri" w:eastAsia="ＭＳ Ｐゴシック" w:hAnsi="Calibri" w:cs="Times New Roman"/>
          <w:b/>
          <w:i/>
        </w:rPr>
      </w:pPr>
      <w:r w:rsidRPr="008E7B3A">
        <w:rPr>
          <w:rFonts w:ascii="Calibri" w:eastAsia="ＭＳ Ｐゴシック" w:hAnsi="Calibri" w:cs="Times New Roman"/>
          <w:i/>
        </w:rPr>
        <w:t>2.3 BSA standard curve allowing for calculation of protein concentration</w:t>
      </w:r>
      <w:r w:rsidRPr="008E7B3A">
        <w:rPr>
          <w:rFonts w:ascii="Calibri" w:eastAsia="ＭＳ Ｐゴシック" w:hAnsi="Calibri" w:cs="Times New Roman"/>
          <w:b/>
          <w:i/>
        </w:rPr>
        <w:t xml:space="preserve"> </w:t>
      </w:r>
    </w:p>
    <w:p w14:paraId="673F5A09" w14:textId="77777777" w:rsidR="008E7B3A" w:rsidRPr="008E7B3A" w:rsidRDefault="008E7B3A" w:rsidP="008E7B3A">
      <w:pPr>
        <w:spacing w:line="360" w:lineRule="auto"/>
        <w:jc w:val="both"/>
        <w:rPr>
          <w:rFonts w:ascii="Calibri" w:eastAsia="ＭＳ Ｐゴシック" w:hAnsi="Calibri" w:cs="Times New Roman"/>
          <w:b/>
          <w:i/>
        </w:rPr>
      </w:pPr>
    </w:p>
    <w:p w14:paraId="046E07E1" w14:textId="77777777" w:rsidR="008E7B3A" w:rsidRPr="008E7B3A" w:rsidRDefault="008E7B3A" w:rsidP="008E7B3A">
      <w:pPr>
        <w:spacing w:line="360" w:lineRule="auto"/>
        <w:jc w:val="both"/>
        <w:rPr>
          <w:rFonts w:ascii="Calibri" w:eastAsia="ＭＳ Ｐゴシック" w:hAnsi="Calibri" w:cs="Times New Roman"/>
          <w:u w:val="single"/>
        </w:rPr>
      </w:pPr>
      <w:r w:rsidRPr="008E7B3A">
        <w:rPr>
          <w:rFonts w:ascii="Calibri" w:eastAsia="ＭＳ Ｐゴシック" w:hAnsi="Calibri" w:cs="Times New Roman"/>
          <w:u w:val="single"/>
        </w:rPr>
        <w:t>List of Tables</w:t>
      </w:r>
    </w:p>
    <w:p w14:paraId="0C30F8D7" w14:textId="77777777" w:rsidR="008E7B3A" w:rsidRPr="008E7B3A" w:rsidRDefault="008E7B3A" w:rsidP="008E7B3A">
      <w:pPr>
        <w:spacing w:line="360" w:lineRule="auto"/>
        <w:jc w:val="both"/>
        <w:rPr>
          <w:rFonts w:ascii="Calibri" w:eastAsia="ＭＳ Ｐゴシック" w:hAnsi="Calibri" w:cs="Times New Roman"/>
          <w:i/>
        </w:rPr>
      </w:pPr>
      <w:r w:rsidRPr="008E7B3A">
        <w:rPr>
          <w:rFonts w:ascii="Calibri" w:eastAsia="ＭＳ Ｐゴシック" w:hAnsi="Calibri" w:cs="Times New Roman"/>
          <w:i/>
        </w:rPr>
        <w:t>2.1</w:t>
      </w:r>
      <w:r w:rsidRPr="008E7B3A">
        <w:rPr>
          <w:rFonts w:ascii="Calibri" w:eastAsia="ＭＳ Ｐゴシック" w:hAnsi="Calibri" w:cs="Times New Roman"/>
        </w:rPr>
        <w:t xml:space="preserve"> </w:t>
      </w:r>
      <w:r w:rsidRPr="008E7B3A">
        <w:rPr>
          <w:rFonts w:ascii="Calibri" w:eastAsia="ＭＳ Ｐゴシック" w:hAnsi="Calibri" w:cs="Times New Roman"/>
          <w:i/>
        </w:rPr>
        <w:t>Site directed mutagenesis PCR programme</w:t>
      </w:r>
    </w:p>
    <w:p w14:paraId="67B5F33B" w14:textId="768FD007" w:rsidR="008E7B3A" w:rsidRPr="008E7B3A" w:rsidRDefault="007739E8" w:rsidP="008E7B3A">
      <w:pPr>
        <w:spacing w:line="360" w:lineRule="auto"/>
        <w:jc w:val="both"/>
        <w:rPr>
          <w:rFonts w:ascii="Calibri" w:eastAsia="ＭＳ Ｐゴシック" w:hAnsi="Calibri" w:cs="Times New Roman"/>
          <w:i/>
        </w:rPr>
      </w:pPr>
      <w:r>
        <w:rPr>
          <w:rFonts w:ascii="Calibri" w:eastAsia="ＭＳ Ｐゴシック" w:hAnsi="Calibri" w:cs="Times New Roman"/>
          <w:i/>
        </w:rPr>
        <w:t>2.2</w:t>
      </w:r>
      <w:r w:rsidR="008E7B3A" w:rsidRPr="008E7B3A">
        <w:rPr>
          <w:rFonts w:ascii="Calibri" w:eastAsia="ＭＳ Ｐゴシック" w:hAnsi="Calibri" w:cs="Times New Roman"/>
          <w:i/>
        </w:rPr>
        <w:t xml:space="preserve"> Amounts of each component used from the Taqman RT-PCR kit</w:t>
      </w:r>
    </w:p>
    <w:p w14:paraId="4A40F9C5" w14:textId="77DF64A2" w:rsidR="008E7B3A" w:rsidRPr="008E7B3A" w:rsidRDefault="007739E8" w:rsidP="008E7B3A">
      <w:pPr>
        <w:spacing w:line="360" w:lineRule="auto"/>
        <w:jc w:val="both"/>
        <w:rPr>
          <w:rFonts w:ascii="Calibri" w:eastAsia="ＭＳ Ｐゴシック" w:hAnsi="Calibri" w:cs="Times New Roman"/>
          <w:i/>
        </w:rPr>
      </w:pPr>
      <w:r>
        <w:rPr>
          <w:rFonts w:ascii="Calibri" w:eastAsia="ＭＳ Ｐゴシック" w:hAnsi="Calibri" w:cs="Times New Roman"/>
          <w:i/>
        </w:rPr>
        <w:t>2.3</w:t>
      </w:r>
      <w:r w:rsidR="008E7B3A" w:rsidRPr="008E7B3A">
        <w:rPr>
          <w:rFonts w:ascii="Calibri" w:eastAsia="ＭＳ Ｐゴシック" w:hAnsi="Calibri" w:cs="Times New Roman"/>
          <w:i/>
        </w:rPr>
        <w:t xml:space="preserve"> RT-PCR Programme to make cDNA</w:t>
      </w:r>
    </w:p>
    <w:p w14:paraId="39BAE484" w14:textId="23EAC176" w:rsidR="008E7B3A" w:rsidRPr="008E7B3A" w:rsidRDefault="007739E8" w:rsidP="008E7B3A">
      <w:pPr>
        <w:spacing w:line="360" w:lineRule="auto"/>
        <w:jc w:val="both"/>
        <w:rPr>
          <w:rFonts w:ascii="Calibri" w:eastAsia="ＭＳ Ｐゴシック" w:hAnsi="Calibri" w:cs="Times New Roman"/>
          <w:i/>
        </w:rPr>
      </w:pPr>
      <w:r>
        <w:rPr>
          <w:rFonts w:ascii="Calibri" w:eastAsia="ＭＳ Ｐゴシック" w:hAnsi="Calibri" w:cs="Times New Roman"/>
          <w:i/>
        </w:rPr>
        <w:t>2.4</w:t>
      </w:r>
      <w:r w:rsidR="008E7B3A" w:rsidRPr="008E7B3A">
        <w:rPr>
          <w:rFonts w:ascii="Calibri" w:eastAsia="ＭＳ Ｐゴシック" w:hAnsi="Calibri" w:cs="Times New Roman"/>
          <w:i/>
        </w:rPr>
        <w:t xml:space="preserve"> Lysis Buffer for extraction of protein</w:t>
      </w:r>
    </w:p>
    <w:p w14:paraId="041054C1" w14:textId="77777777" w:rsidR="00CF5335" w:rsidRDefault="007739E8" w:rsidP="008E7B3A">
      <w:pPr>
        <w:spacing w:line="360" w:lineRule="auto"/>
        <w:jc w:val="both"/>
        <w:rPr>
          <w:rFonts w:ascii="Calibri" w:eastAsia="ＭＳ Ｐゴシック" w:hAnsi="Calibri" w:cs="Times New Roman"/>
          <w:i/>
        </w:rPr>
      </w:pPr>
      <w:r>
        <w:rPr>
          <w:rFonts w:ascii="Calibri" w:eastAsia="ＭＳ Ｐゴシック" w:hAnsi="Calibri" w:cs="Times New Roman"/>
          <w:i/>
        </w:rPr>
        <w:t>2.5</w:t>
      </w:r>
      <w:r w:rsidR="008E7B3A" w:rsidRPr="008E7B3A">
        <w:rPr>
          <w:rFonts w:ascii="Calibri" w:eastAsia="ＭＳ Ｐゴシック" w:hAnsi="Calibri" w:cs="Times New Roman"/>
          <w:i/>
        </w:rPr>
        <w:t xml:space="preserve"> SDS-PAGE Buffers</w:t>
      </w:r>
    </w:p>
    <w:p w14:paraId="51DD6FA6" w14:textId="2A6CF337" w:rsidR="008E7B3A" w:rsidRPr="008E7B3A" w:rsidRDefault="00CF5335" w:rsidP="008E7B3A">
      <w:pPr>
        <w:spacing w:line="360" w:lineRule="auto"/>
        <w:jc w:val="both"/>
        <w:rPr>
          <w:rFonts w:ascii="Calibri" w:eastAsia="ＭＳ Ｐゴシック" w:hAnsi="Calibri" w:cs="Times New Roman"/>
          <w:bCs/>
          <w:i/>
          <w:sz w:val="32"/>
          <w:szCs w:val="32"/>
        </w:rPr>
      </w:pPr>
      <w:r>
        <w:rPr>
          <w:rFonts w:ascii="Calibri" w:eastAsia="ＭＳ Ｐゴシック" w:hAnsi="Calibri" w:cs="Times New Roman"/>
          <w:i/>
        </w:rPr>
        <w:t>2.6</w:t>
      </w:r>
      <w:r w:rsidRPr="00CF5335">
        <w:rPr>
          <w:rFonts w:ascii="Calibri" w:eastAsia="ＭＳ Ｐゴシック" w:hAnsi="Calibri" w:cs="Times New Roman"/>
          <w:i/>
        </w:rPr>
        <w:t xml:space="preserve"> Reagents used in the Click-</w:t>
      </w:r>
      <w:proofErr w:type="spellStart"/>
      <w:r w:rsidRPr="00CF5335">
        <w:rPr>
          <w:rFonts w:ascii="Calibri" w:eastAsia="ＭＳ Ｐゴシック" w:hAnsi="Calibri" w:cs="Times New Roman"/>
          <w:i/>
        </w:rPr>
        <w:t>iT</w:t>
      </w:r>
      <w:proofErr w:type="spellEnd"/>
      <w:r w:rsidRPr="00CF5335">
        <w:rPr>
          <w:rFonts w:ascii="Calibri" w:eastAsia="ＭＳ Ｐゴシック" w:hAnsi="Calibri" w:cs="Times New Roman"/>
          <w:i/>
        </w:rPr>
        <w:t xml:space="preserve"> cocktail, must be added in the order listed, kept in the dark and used within 15mins </w:t>
      </w:r>
      <w:r w:rsidR="008E7B3A" w:rsidRPr="008E7B3A">
        <w:rPr>
          <w:rFonts w:ascii="Calibri" w:eastAsia="ＭＳ Ｐゴシック" w:hAnsi="Calibri" w:cs="Times New Roman"/>
          <w:i/>
        </w:rPr>
        <w:br w:type="page"/>
      </w:r>
    </w:p>
    <w:p w14:paraId="37110906" w14:textId="77777777" w:rsidR="008E7B3A" w:rsidRPr="008E7B3A" w:rsidRDefault="008E7B3A" w:rsidP="008E7B3A">
      <w:pPr>
        <w:keepNext/>
        <w:keepLines/>
        <w:spacing w:before="480"/>
        <w:jc w:val="both"/>
        <w:outlineLvl w:val="0"/>
        <w:rPr>
          <w:rFonts w:ascii="Calibri" w:eastAsia="ＭＳ Ｐゴシック" w:hAnsi="Calibri" w:cs="Times New Roman"/>
          <w:bCs/>
          <w:sz w:val="32"/>
          <w:szCs w:val="32"/>
          <w:u w:val="single"/>
        </w:rPr>
      </w:pPr>
      <w:r w:rsidRPr="008E7B3A">
        <w:rPr>
          <w:rFonts w:ascii="Calibri" w:eastAsia="ＭＳ Ｐゴシック" w:hAnsi="Calibri" w:cs="Times New Roman"/>
          <w:bCs/>
          <w:sz w:val="32"/>
          <w:szCs w:val="32"/>
          <w:u w:val="single"/>
        </w:rPr>
        <w:t>2.1 Materials</w:t>
      </w:r>
    </w:p>
    <w:p w14:paraId="2393FD3A" w14:textId="77777777" w:rsidR="008E7B3A" w:rsidRPr="008E7B3A" w:rsidRDefault="008E7B3A" w:rsidP="002F41C6">
      <w:pPr>
        <w:keepNext/>
        <w:keepLines/>
        <w:numPr>
          <w:ilvl w:val="0"/>
          <w:numId w:val="18"/>
        </w:numPr>
        <w:spacing w:before="480"/>
        <w:jc w:val="both"/>
        <w:outlineLvl w:val="0"/>
        <w:rPr>
          <w:rFonts w:ascii="Calibri" w:eastAsia="ＭＳ Ｐゴシック" w:hAnsi="Calibri" w:cs="Times New Roman"/>
          <w:bCs/>
          <w:sz w:val="28"/>
          <w:szCs w:val="32"/>
        </w:rPr>
      </w:pPr>
      <w:r w:rsidRPr="008E7B3A">
        <w:rPr>
          <w:rFonts w:ascii="Calibri" w:eastAsia="ＭＳ Ｐゴシック" w:hAnsi="Calibri" w:cs="Times New Roman"/>
          <w:bCs/>
          <w:sz w:val="28"/>
          <w:szCs w:val="32"/>
        </w:rPr>
        <w:t xml:space="preserve">Standard Equipment List </w:t>
      </w:r>
    </w:p>
    <w:p w14:paraId="7F666FEF" w14:textId="77777777" w:rsidR="008E7B3A" w:rsidRPr="008E7B3A" w:rsidRDefault="008E7B3A" w:rsidP="008E7B3A">
      <w:pPr>
        <w:jc w:val="both"/>
        <w:rPr>
          <w:rFonts w:ascii="Calibri" w:eastAsia="ＭＳ Ｐゴシック" w:hAnsi="Calibri" w:cs="Times New Roman"/>
        </w:rPr>
      </w:pPr>
    </w:p>
    <w:tbl>
      <w:tblPr>
        <w:tblStyle w:val="TableGrid"/>
        <w:tblW w:w="5760" w:type="dxa"/>
        <w:jc w:val="center"/>
        <w:tblBorders>
          <w:insideH w:val="none" w:sz="0" w:space="0" w:color="auto"/>
          <w:insideV w:val="none" w:sz="0" w:space="0" w:color="auto"/>
        </w:tblBorders>
        <w:tblLook w:val="04A0" w:firstRow="1" w:lastRow="0" w:firstColumn="1" w:lastColumn="0" w:noHBand="0" w:noVBand="1"/>
      </w:tblPr>
      <w:tblGrid>
        <w:gridCol w:w="3920"/>
        <w:gridCol w:w="1840"/>
      </w:tblGrid>
      <w:tr w:rsidR="008E7B3A" w:rsidRPr="008E7B3A" w14:paraId="23FCCC47" w14:textId="77777777" w:rsidTr="008E7B3A">
        <w:trPr>
          <w:trHeight w:val="300"/>
          <w:jc w:val="center"/>
        </w:trPr>
        <w:tc>
          <w:tcPr>
            <w:tcW w:w="3920" w:type="dxa"/>
            <w:shd w:val="clear" w:color="auto" w:fill="000000"/>
            <w:noWrap/>
            <w:hideMark/>
          </w:tcPr>
          <w:p w14:paraId="17E12A2C"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Equipment</w:t>
            </w:r>
          </w:p>
        </w:tc>
        <w:tc>
          <w:tcPr>
            <w:tcW w:w="1840" w:type="dxa"/>
            <w:shd w:val="clear" w:color="auto" w:fill="000000"/>
            <w:noWrap/>
            <w:hideMark/>
          </w:tcPr>
          <w:p w14:paraId="341BA7B0"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Supplier</w:t>
            </w:r>
          </w:p>
        </w:tc>
      </w:tr>
      <w:tr w:rsidR="008E7B3A" w:rsidRPr="008E7B3A" w14:paraId="4A63B92F" w14:textId="77777777" w:rsidTr="008E7B3A">
        <w:trPr>
          <w:trHeight w:val="300"/>
          <w:jc w:val="center"/>
        </w:trPr>
        <w:tc>
          <w:tcPr>
            <w:tcW w:w="3920" w:type="dxa"/>
            <w:shd w:val="clear" w:color="auto" w:fill="D9D9D9"/>
            <w:noWrap/>
            <w:hideMark/>
          </w:tcPr>
          <w:p w14:paraId="3435824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2100 Bioanalyser</w:t>
            </w:r>
          </w:p>
        </w:tc>
        <w:tc>
          <w:tcPr>
            <w:tcW w:w="1840" w:type="dxa"/>
            <w:noWrap/>
            <w:hideMark/>
          </w:tcPr>
          <w:p w14:paraId="03D2D5E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Agilent</w:t>
            </w:r>
          </w:p>
        </w:tc>
      </w:tr>
      <w:tr w:rsidR="008E7B3A" w:rsidRPr="008E7B3A" w14:paraId="61489D3F" w14:textId="77777777" w:rsidTr="008E7B3A">
        <w:trPr>
          <w:trHeight w:val="300"/>
          <w:jc w:val="center"/>
        </w:trPr>
        <w:tc>
          <w:tcPr>
            <w:tcW w:w="3920" w:type="dxa"/>
            <w:shd w:val="clear" w:color="auto" w:fill="D9D9D9"/>
            <w:noWrap/>
            <w:hideMark/>
          </w:tcPr>
          <w:p w14:paraId="6EC40C8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2200 Tapestation Bioanalyser</w:t>
            </w:r>
          </w:p>
        </w:tc>
        <w:tc>
          <w:tcPr>
            <w:tcW w:w="1840" w:type="dxa"/>
            <w:noWrap/>
            <w:hideMark/>
          </w:tcPr>
          <w:p w14:paraId="72206ED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Agilent</w:t>
            </w:r>
          </w:p>
        </w:tc>
      </w:tr>
      <w:tr w:rsidR="008E7B3A" w:rsidRPr="008E7B3A" w14:paraId="450DBC7A" w14:textId="77777777" w:rsidTr="008E7B3A">
        <w:trPr>
          <w:trHeight w:val="300"/>
          <w:jc w:val="center"/>
        </w:trPr>
        <w:tc>
          <w:tcPr>
            <w:tcW w:w="3920" w:type="dxa"/>
            <w:shd w:val="clear" w:color="auto" w:fill="D9D9D9"/>
            <w:noWrap/>
            <w:hideMark/>
          </w:tcPr>
          <w:p w14:paraId="39C558D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Balance SG-60</w:t>
            </w:r>
          </w:p>
        </w:tc>
        <w:tc>
          <w:tcPr>
            <w:tcW w:w="1840" w:type="dxa"/>
            <w:noWrap/>
            <w:hideMark/>
          </w:tcPr>
          <w:p w14:paraId="62ED4F7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 Scientific</w:t>
            </w:r>
          </w:p>
        </w:tc>
      </w:tr>
      <w:tr w:rsidR="008E7B3A" w:rsidRPr="008E7B3A" w14:paraId="201CD5D7" w14:textId="77777777" w:rsidTr="008E7B3A">
        <w:trPr>
          <w:trHeight w:val="300"/>
          <w:jc w:val="center"/>
        </w:trPr>
        <w:tc>
          <w:tcPr>
            <w:tcW w:w="3920" w:type="dxa"/>
            <w:shd w:val="clear" w:color="auto" w:fill="D9D9D9"/>
            <w:noWrap/>
            <w:hideMark/>
          </w:tcPr>
          <w:p w14:paraId="3B047C0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Centrifuge 5415R</w:t>
            </w:r>
          </w:p>
        </w:tc>
        <w:tc>
          <w:tcPr>
            <w:tcW w:w="1840" w:type="dxa"/>
            <w:noWrap/>
            <w:hideMark/>
          </w:tcPr>
          <w:p w14:paraId="3616B4A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Eppendorf</w:t>
            </w:r>
          </w:p>
        </w:tc>
      </w:tr>
      <w:tr w:rsidR="008E7B3A" w:rsidRPr="008E7B3A" w14:paraId="5C2066A7" w14:textId="77777777" w:rsidTr="008E7B3A">
        <w:trPr>
          <w:trHeight w:val="300"/>
          <w:jc w:val="center"/>
        </w:trPr>
        <w:tc>
          <w:tcPr>
            <w:tcW w:w="3920" w:type="dxa"/>
            <w:shd w:val="clear" w:color="auto" w:fill="D9D9D9"/>
            <w:noWrap/>
            <w:hideMark/>
          </w:tcPr>
          <w:p w14:paraId="0D445FE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Class II microbiology safety cabinet</w:t>
            </w:r>
          </w:p>
        </w:tc>
        <w:tc>
          <w:tcPr>
            <w:tcW w:w="1840" w:type="dxa"/>
            <w:noWrap/>
            <w:hideMark/>
          </w:tcPr>
          <w:p w14:paraId="1320607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Walker</w:t>
            </w:r>
          </w:p>
        </w:tc>
      </w:tr>
      <w:tr w:rsidR="008E7B3A" w:rsidRPr="008E7B3A" w14:paraId="2729B4CF" w14:textId="77777777" w:rsidTr="008E7B3A">
        <w:trPr>
          <w:trHeight w:val="300"/>
          <w:jc w:val="center"/>
        </w:trPr>
        <w:tc>
          <w:tcPr>
            <w:tcW w:w="3920" w:type="dxa"/>
            <w:shd w:val="clear" w:color="auto" w:fill="D9D9D9"/>
            <w:noWrap/>
            <w:hideMark/>
          </w:tcPr>
          <w:p w14:paraId="620EF6D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CO2 incubator</w:t>
            </w:r>
          </w:p>
        </w:tc>
        <w:tc>
          <w:tcPr>
            <w:tcW w:w="1840" w:type="dxa"/>
            <w:noWrap/>
            <w:hideMark/>
          </w:tcPr>
          <w:p w14:paraId="731FD48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Sanyo</w:t>
            </w:r>
          </w:p>
        </w:tc>
      </w:tr>
      <w:tr w:rsidR="008E7B3A" w:rsidRPr="008E7B3A" w14:paraId="1F093DF9" w14:textId="77777777" w:rsidTr="008E7B3A">
        <w:trPr>
          <w:trHeight w:val="300"/>
          <w:jc w:val="center"/>
        </w:trPr>
        <w:tc>
          <w:tcPr>
            <w:tcW w:w="3920" w:type="dxa"/>
            <w:shd w:val="clear" w:color="auto" w:fill="D9D9D9"/>
            <w:noWrap/>
            <w:hideMark/>
          </w:tcPr>
          <w:p w14:paraId="060A3AA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Cyro Freezing Container</w:t>
            </w:r>
          </w:p>
        </w:tc>
        <w:tc>
          <w:tcPr>
            <w:tcW w:w="1840" w:type="dxa"/>
            <w:noWrap/>
            <w:hideMark/>
          </w:tcPr>
          <w:p w14:paraId="5178B6C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Nalgene</w:t>
            </w:r>
          </w:p>
        </w:tc>
      </w:tr>
      <w:tr w:rsidR="008E7B3A" w:rsidRPr="008E7B3A" w14:paraId="6C2617BD" w14:textId="77777777" w:rsidTr="008E7B3A">
        <w:trPr>
          <w:trHeight w:val="300"/>
          <w:jc w:val="center"/>
        </w:trPr>
        <w:tc>
          <w:tcPr>
            <w:tcW w:w="3920" w:type="dxa"/>
            <w:shd w:val="clear" w:color="auto" w:fill="D9D9D9"/>
            <w:noWrap/>
            <w:hideMark/>
          </w:tcPr>
          <w:p w14:paraId="409B441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Electrophoresis Tank</w:t>
            </w:r>
          </w:p>
        </w:tc>
        <w:tc>
          <w:tcPr>
            <w:tcW w:w="1840" w:type="dxa"/>
            <w:noWrap/>
            <w:hideMark/>
          </w:tcPr>
          <w:p w14:paraId="1F8FD68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Bio-Rad</w:t>
            </w:r>
          </w:p>
        </w:tc>
      </w:tr>
      <w:tr w:rsidR="008E7B3A" w:rsidRPr="008E7B3A" w14:paraId="3EE7B43A" w14:textId="77777777" w:rsidTr="008E7B3A">
        <w:trPr>
          <w:trHeight w:val="300"/>
          <w:jc w:val="center"/>
        </w:trPr>
        <w:tc>
          <w:tcPr>
            <w:tcW w:w="3920" w:type="dxa"/>
            <w:shd w:val="clear" w:color="auto" w:fill="D9D9D9"/>
            <w:noWrap/>
            <w:hideMark/>
          </w:tcPr>
          <w:p w14:paraId="0C69A2E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FACS Aria</w:t>
            </w:r>
          </w:p>
        </w:tc>
        <w:tc>
          <w:tcPr>
            <w:tcW w:w="1840" w:type="dxa"/>
            <w:noWrap/>
            <w:hideMark/>
          </w:tcPr>
          <w:p w14:paraId="4B9C1BE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BD Biosciences</w:t>
            </w:r>
          </w:p>
        </w:tc>
      </w:tr>
      <w:tr w:rsidR="008E7B3A" w:rsidRPr="008E7B3A" w14:paraId="7C64E5A1" w14:textId="77777777" w:rsidTr="008E7B3A">
        <w:trPr>
          <w:trHeight w:val="300"/>
          <w:jc w:val="center"/>
        </w:trPr>
        <w:tc>
          <w:tcPr>
            <w:tcW w:w="3920" w:type="dxa"/>
            <w:shd w:val="clear" w:color="auto" w:fill="D9D9D9"/>
            <w:noWrap/>
            <w:hideMark/>
          </w:tcPr>
          <w:p w14:paraId="59F9F53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FACS Calibur</w:t>
            </w:r>
          </w:p>
        </w:tc>
        <w:tc>
          <w:tcPr>
            <w:tcW w:w="1840" w:type="dxa"/>
            <w:noWrap/>
            <w:hideMark/>
          </w:tcPr>
          <w:p w14:paraId="6540A77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BD Biosciences</w:t>
            </w:r>
          </w:p>
        </w:tc>
      </w:tr>
      <w:tr w:rsidR="008E7B3A" w:rsidRPr="008E7B3A" w14:paraId="021D32DB" w14:textId="77777777" w:rsidTr="008E7B3A">
        <w:trPr>
          <w:trHeight w:val="300"/>
          <w:jc w:val="center"/>
        </w:trPr>
        <w:tc>
          <w:tcPr>
            <w:tcW w:w="3920" w:type="dxa"/>
            <w:shd w:val="clear" w:color="auto" w:fill="D9D9D9"/>
            <w:noWrap/>
            <w:hideMark/>
          </w:tcPr>
          <w:p w14:paraId="45CA3F2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Fluorescent Microscope Eclipse TE200</w:t>
            </w:r>
          </w:p>
        </w:tc>
        <w:tc>
          <w:tcPr>
            <w:tcW w:w="1840" w:type="dxa"/>
            <w:noWrap/>
            <w:hideMark/>
          </w:tcPr>
          <w:p w14:paraId="7AE6C4E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Nikon</w:t>
            </w:r>
          </w:p>
        </w:tc>
      </w:tr>
      <w:tr w:rsidR="008E7B3A" w:rsidRPr="008E7B3A" w14:paraId="06D7EEC4" w14:textId="77777777" w:rsidTr="008E7B3A">
        <w:trPr>
          <w:trHeight w:val="300"/>
          <w:jc w:val="center"/>
        </w:trPr>
        <w:tc>
          <w:tcPr>
            <w:tcW w:w="3920" w:type="dxa"/>
            <w:shd w:val="clear" w:color="auto" w:fill="D9D9D9"/>
            <w:noWrap/>
            <w:hideMark/>
          </w:tcPr>
          <w:p w14:paraId="3534BA2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Gel imager- U</w:t>
            </w:r>
            <w:proofErr w:type="gramStart"/>
            <w:r w:rsidRPr="008E7B3A">
              <w:rPr>
                <w:rFonts w:ascii="Calibri" w:eastAsia="Times New Roman" w:hAnsi="Calibri" w:cs="Times New Roman"/>
                <w:color w:val="000000"/>
              </w:rPr>
              <w:t>:GENIUS</w:t>
            </w:r>
            <w:proofErr w:type="gramEnd"/>
          </w:p>
        </w:tc>
        <w:tc>
          <w:tcPr>
            <w:tcW w:w="1840" w:type="dxa"/>
            <w:noWrap/>
            <w:hideMark/>
          </w:tcPr>
          <w:p w14:paraId="42D52AC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Syngene</w:t>
            </w:r>
          </w:p>
        </w:tc>
      </w:tr>
      <w:tr w:rsidR="008E7B3A" w:rsidRPr="008E7B3A" w14:paraId="606D78BD" w14:textId="77777777" w:rsidTr="008E7B3A">
        <w:trPr>
          <w:trHeight w:val="300"/>
          <w:jc w:val="center"/>
        </w:trPr>
        <w:tc>
          <w:tcPr>
            <w:tcW w:w="3920" w:type="dxa"/>
            <w:shd w:val="clear" w:color="auto" w:fill="D9D9D9"/>
            <w:noWrap/>
            <w:hideMark/>
          </w:tcPr>
          <w:p w14:paraId="24EF8516" w14:textId="77777777" w:rsidR="008E7B3A" w:rsidRPr="008E7B3A" w:rsidRDefault="008E7B3A" w:rsidP="008E7B3A">
            <w:pPr>
              <w:jc w:val="both"/>
              <w:rPr>
                <w:rFonts w:ascii="Calibri" w:eastAsia="Times New Roman" w:hAnsi="Calibri" w:cs="Times New Roman"/>
                <w:color w:val="000000"/>
              </w:rPr>
            </w:pPr>
            <w:r w:rsidRPr="008E7B3A">
              <w:rPr>
                <w:rFonts w:ascii="Calibri" w:eastAsia="Times New Roman" w:hAnsi="Calibri" w:cs="Times New Roman"/>
                <w:color w:val="000000"/>
              </w:rPr>
              <w:t xml:space="preserve">Genechip Fluidics Station 450 </w:t>
            </w:r>
          </w:p>
        </w:tc>
        <w:tc>
          <w:tcPr>
            <w:tcW w:w="1840" w:type="dxa"/>
            <w:noWrap/>
            <w:hideMark/>
          </w:tcPr>
          <w:p w14:paraId="13D15318" w14:textId="77777777" w:rsidR="008E7B3A" w:rsidRPr="008E7B3A" w:rsidRDefault="008E7B3A" w:rsidP="008E7B3A">
            <w:pPr>
              <w:jc w:val="both"/>
              <w:rPr>
                <w:rFonts w:ascii="Calibri" w:eastAsia="Times New Roman" w:hAnsi="Calibri" w:cs="Times New Roman"/>
                <w:color w:val="000000"/>
              </w:rPr>
            </w:pPr>
            <w:r w:rsidRPr="008E7B3A">
              <w:rPr>
                <w:rFonts w:ascii="Calibri" w:eastAsia="Times New Roman" w:hAnsi="Calibri" w:cs="Times New Roman"/>
                <w:color w:val="000000"/>
              </w:rPr>
              <w:t>Thermo Fisher</w:t>
            </w:r>
          </w:p>
        </w:tc>
      </w:tr>
      <w:tr w:rsidR="008E7B3A" w:rsidRPr="008E7B3A" w14:paraId="7894BA94" w14:textId="77777777" w:rsidTr="008E7B3A">
        <w:trPr>
          <w:trHeight w:val="300"/>
          <w:jc w:val="center"/>
        </w:trPr>
        <w:tc>
          <w:tcPr>
            <w:tcW w:w="3920" w:type="dxa"/>
            <w:shd w:val="clear" w:color="auto" w:fill="D9D9D9"/>
            <w:noWrap/>
            <w:hideMark/>
          </w:tcPr>
          <w:p w14:paraId="62BDCD44" w14:textId="77777777" w:rsidR="008E7B3A" w:rsidRPr="008E7B3A" w:rsidRDefault="008E7B3A" w:rsidP="008E7B3A">
            <w:pPr>
              <w:jc w:val="both"/>
              <w:rPr>
                <w:rFonts w:ascii="Calibri" w:eastAsia="Times New Roman" w:hAnsi="Calibri" w:cs="Times New Roman"/>
                <w:color w:val="000000"/>
              </w:rPr>
            </w:pPr>
            <w:r w:rsidRPr="008E7B3A">
              <w:rPr>
                <w:rFonts w:ascii="Calibri" w:eastAsia="Times New Roman" w:hAnsi="Calibri" w:cs="Times New Roman"/>
                <w:color w:val="000000"/>
              </w:rPr>
              <w:t>Genechip Hybridisation Oven 640</w:t>
            </w:r>
          </w:p>
        </w:tc>
        <w:tc>
          <w:tcPr>
            <w:tcW w:w="1840" w:type="dxa"/>
            <w:noWrap/>
            <w:hideMark/>
          </w:tcPr>
          <w:p w14:paraId="2678850B" w14:textId="77777777" w:rsidR="008E7B3A" w:rsidRPr="008E7B3A" w:rsidRDefault="008E7B3A" w:rsidP="008E7B3A">
            <w:pPr>
              <w:jc w:val="both"/>
              <w:rPr>
                <w:rFonts w:ascii="Calibri" w:eastAsia="Times New Roman" w:hAnsi="Calibri" w:cs="Times New Roman"/>
                <w:color w:val="000000"/>
              </w:rPr>
            </w:pPr>
            <w:r w:rsidRPr="008E7B3A">
              <w:rPr>
                <w:rFonts w:ascii="Calibri" w:eastAsia="Times New Roman" w:hAnsi="Calibri" w:cs="Times New Roman"/>
                <w:color w:val="000000"/>
              </w:rPr>
              <w:t>Thermo Fisher</w:t>
            </w:r>
          </w:p>
        </w:tc>
      </w:tr>
      <w:tr w:rsidR="008E7B3A" w:rsidRPr="008E7B3A" w14:paraId="49185381" w14:textId="77777777" w:rsidTr="008E7B3A">
        <w:trPr>
          <w:trHeight w:val="300"/>
          <w:jc w:val="center"/>
        </w:trPr>
        <w:tc>
          <w:tcPr>
            <w:tcW w:w="3920" w:type="dxa"/>
            <w:shd w:val="clear" w:color="auto" w:fill="D9D9D9"/>
            <w:noWrap/>
            <w:hideMark/>
          </w:tcPr>
          <w:p w14:paraId="7CC6B9D2" w14:textId="77777777" w:rsidR="008E7B3A" w:rsidRPr="008E7B3A" w:rsidRDefault="008E7B3A" w:rsidP="008E7B3A">
            <w:pPr>
              <w:jc w:val="both"/>
              <w:rPr>
                <w:rFonts w:ascii="Calibri" w:eastAsia="Times New Roman" w:hAnsi="Calibri" w:cs="Times New Roman"/>
                <w:color w:val="000000"/>
              </w:rPr>
            </w:pPr>
            <w:proofErr w:type="spellStart"/>
            <w:r w:rsidRPr="008E7B3A">
              <w:rPr>
                <w:rFonts w:ascii="Calibri" w:eastAsia="Times New Roman" w:hAnsi="Calibri" w:cs="Times New Roman"/>
                <w:color w:val="000000"/>
              </w:rPr>
              <w:t>GeneChip</w:t>
            </w:r>
            <w:proofErr w:type="spellEnd"/>
            <w:r w:rsidRPr="008E7B3A">
              <w:rPr>
                <w:rFonts w:ascii="Calibri" w:eastAsia="Times New Roman" w:hAnsi="Calibri" w:cs="Times New Roman"/>
                <w:color w:val="000000"/>
              </w:rPr>
              <w:t xml:space="preserve"> Scanner 3000 7G </w:t>
            </w:r>
          </w:p>
        </w:tc>
        <w:tc>
          <w:tcPr>
            <w:tcW w:w="1840" w:type="dxa"/>
            <w:noWrap/>
            <w:hideMark/>
          </w:tcPr>
          <w:p w14:paraId="6ED3A971" w14:textId="77777777" w:rsidR="008E7B3A" w:rsidRPr="008E7B3A" w:rsidRDefault="008E7B3A" w:rsidP="008E7B3A">
            <w:pPr>
              <w:jc w:val="both"/>
              <w:rPr>
                <w:rFonts w:ascii="Calibri" w:eastAsia="Times New Roman" w:hAnsi="Calibri" w:cs="Times New Roman"/>
                <w:color w:val="000000"/>
              </w:rPr>
            </w:pPr>
            <w:r w:rsidRPr="008E7B3A">
              <w:rPr>
                <w:rFonts w:ascii="Calibri" w:eastAsia="Times New Roman" w:hAnsi="Calibri" w:cs="Times New Roman"/>
                <w:color w:val="000000"/>
              </w:rPr>
              <w:t>Thermo Fisher</w:t>
            </w:r>
          </w:p>
        </w:tc>
      </w:tr>
      <w:tr w:rsidR="008E7B3A" w:rsidRPr="008E7B3A" w14:paraId="1057F0BC" w14:textId="77777777" w:rsidTr="008E7B3A">
        <w:trPr>
          <w:trHeight w:val="300"/>
          <w:jc w:val="center"/>
        </w:trPr>
        <w:tc>
          <w:tcPr>
            <w:tcW w:w="3920" w:type="dxa"/>
            <w:shd w:val="clear" w:color="auto" w:fill="D9D9D9"/>
            <w:noWrap/>
            <w:hideMark/>
          </w:tcPr>
          <w:p w14:paraId="454854A7"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Gyrorocker</w:t>
            </w:r>
            <w:proofErr w:type="spellEnd"/>
            <w:r w:rsidRPr="008E7B3A">
              <w:rPr>
                <w:rFonts w:ascii="Calibri" w:eastAsia="Times New Roman" w:hAnsi="Calibri" w:cs="Times New Roman"/>
                <w:color w:val="000000"/>
              </w:rPr>
              <w:t xml:space="preserve"> SSL3 </w:t>
            </w:r>
          </w:p>
        </w:tc>
        <w:tc>
          <w:tcPr>
            <w:tcW w:w="1840" w:type="dxa"/>
            <w:noWrap/>
            <w:hideMark/>
          </w:tcPr>
          <w:p w14:paraId="02E46DE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Stuart</w:t>
            </w:r>
          </w:p>
        </w:tc>
      </w:tr>
      <w:tr w:rsidR="008E7B3A" w:rsidRPr="008E7B3A" w14:paraId="22764C41" w14:textId="77777777" w:rsidTr="008E7B3A">
        <w:trPr>
          <w:trHeight w:val="300"/>
          <w:jc w:val="center"/>
        </w:trPr>
        <w:tc>
          <w:tcPr>
            <w:tcW w:w="3920" w:type="dxa"/>
            <w:shd w:val="clear" w:color="auto" w:fill="D9D9D9"/>
            <w:noWrap/>
            <w:hideMark/>
          </w:tcPr>
          <w:p w14:paraId="18BB254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Haemocytometer</w:t>
            </w:r>
          </w:p>
        </w:tc>
        <w:tc>
          <w:tcPr>
            <w:tcW w:w="1840" w:type="dxa"/>
            <w:noWrap/>
            <w:hideMark/>
          </w:tcPr>
          <w:p w14:paraId="5E92027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Neubauer</w:t>
            </w:r>
          </w:p>
        </w:tc>
      </w:tr>
      <w:tr w:rsidR="008E7B3A" w:rsidRPr="008E7B3A" w14:paraId="3E3A3FBD" w14:textId="77777777" w:rsidTr="008E7B3A">
        <w:trPr>
          <w:trHeight w:val="300"/>
          <w:jc w:val="center"/>
        </w:trPr>
        <w:tc>
          <w:tcPr>
            <w:tcW w:w="3920" w:type="dxa"/>
            <w:shd w:val="clear" w:color="auto" w:fill="D9D9D9"/>
            <w:noWrap/>
            <w:hideMark/>
          </w:tcPr>
          <w:p w14:paraId="2F58211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Heating block DB-2D</w:t>
            </w:r>
          </w:p>
        </w:tc>
        <w:tc>
          <w:tcPr>
            <w:tcW w:w="1840" w:type="dxa"/>
            <w:noWrap/>
            <w:hideMark/>
          </w:tcPr>
          <w:p w14:paraId="62FA7A7F"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Techne</w:t>
            </w:r>
            <w:proofErr w:type="spellEnd"/>
          </w:p>
        </w:tc>
      </w:tr>
      <w:tr w:rsidR="008E7B3A" w:rsidRPr="008E7B3A" w14:paraId="1AC6BF52" w14:textId="77777777" w:rsidTr="008E7B3A">
        <w:trPr>
          <w:trHeight w:val="300"/>
          <w:jc w:val="center"/>
        </w:trPr>
        <w:tc>
          <w:tcPr>
            <w:tcW w:w="3920" w:type="dxa"/>
            <w:shd w:val="clear" w:color="auto" w:fill="D9D9D9"/>
            <w:noWrap/>
            <w:hideMark/>
          </w:tcPr>
          <w:p w14:paraId="5BAC1B30"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Heraeus</w:t>
            </w:r>
            <w:proofErr w:type="spellEnd"/>
            <w:r w:rsidRPr="008E7B3A">
              <w:rPr>
                <w:rFonts w:ascii="Calibri" w:eastAsia="Times New Roman" w:hAnsi="Calibri" w:cs="Times New Roman"/>
                <w:color w:val="000000"/>
              </w:rPr>
              <w:t xml:space="preserve"> Microfuge 16</w:t>
            </w:r>
          </w:p>
        </w:tc>
        <w:tc>
          <w:tcPr>
            <w:tcW w:w="1840" w:type="dxa"/>
            <w:noWrap/>
            <w:hideMark/>
          </w:tcPr>
          <w:p w14:paraId="749BDEF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Thermo Scientific</w:t>
            </w:r>
          </w:p>
        </w:tc>
      </w:tr>
      <w:tr w:rsidR="008E7B3A" w:rsidRPr="008E7B3A" w14:paraId="2C9F7DCD" w14:textId="77777777" w:rsidTr="008E7B3A">
        <w:trPr>
          <w:trHeight w:val="300"/>
          <w:jc w:val="center"/>
        </w:trPr>
        <w:tc>
          <w:tcPr>
            <w:tcW w:w="3920" w:type="dxa"/>
            <w:shd w:val="clear" w:color="auto" w:fill="D9D9D9"/>
            <w:noWrap/>
            <w:hideMark/>
          </w:tcPr>
          <w:p w14:paraId="55A668C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HT7900 RT-PCR machine</w:t>
            </w:r>
          </w:p>
        </w:tc>
        <w:tc>
          <w:tcPr>
            <w:tcW w:w="1840" w:type="dxa"/>
            <w:noWrap/>
            <w:hideMark/>
          </w:tcPr>
          <w:p w14:paraId="6C0F93A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Thermo Fisher</w:t>
            </w:r>
          </w:p>
        </w:tc>
      </w:tr>
      <w:tr w:rsidR="008E7B3A" w:rsidRPr="008E7B3A" w14:paraId="351D3955" w14:textId="77777777" w:rsidTr="008E7B3A">
        <w:trPr>
          <w:trHeight w:val="300"/>
          <w:jc w:val="center"/>
        </w:trPr>
        <w:tc>
          <w:tcPr>
            <w:tcW w:w="3920" w:type="dxa"/>
            <w:shd w:val="clear" w:color="auto" w:fill="D9D9D9"/>
            <w:noWrap/>
            <w:hideMark/>
          </w:tcPr>
          <w:p w14:paraId="7DA9F41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Ice Machine AF80</w:t>
            </w:r>
          </w:p>
        </w:tc>
        <w:tc>
          <w:tcPr>
            <w:tcW w:w="1840" w:type="dxa"/>
            <w:noWrap/>
            <w:hideMark/>
          </w:tcPr>
          <w:p w14:paraId="7C070A2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Scotsman</w:t>
            </w:r>
          </w:p>
        </w:tc>
      </w:tr>
      <w:tr w:rsidR="008E7B3A" w:rsidRPr="008E7B3A" w14:paraId="772E5158" w14:textId="77777777" w:rsidTr="008E7B3A">
        <w:trPr>
          <w:trHeight w:val="300"/>
          <w:jc w:val="center"/>
        </w:trPr>
        <w:tc>
          <w:tcPr>
            <w:tcW w:w="3920" w:type="dxa"/>
            <w:shd w:val="clear" w:color="auto" w:fill="D9D9D9"/>
            <w:noWrap/>
            <w:hideMark/>
          </w:tcPr>
          <w:p w14:paraId="3D2D508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JB Aqua 18 plus water bath</w:t>
            </w:r>
          </w:p>
        </w:tc>
        <w:tc>
          <w:tcPr>
            <w:tcW w:w="1840" w:type="dxa"/>
            <w:noWrap/>
            <w:hideMark/>
          </w:tcPr>
          <w:p w14:paraId="0E769B3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Grant</w:t>
            </w:r>
          </w:p>
        </w:tc>
      </w:tr>
      <w:tr w:rsidR="008E7B3A" w:rsidRPr="008E7B3A" w14:paraId="0C86E85D" w14:textId="77777777" w:rsidTr="008E7B3A">
        <w:trPr>
          <w:trHeight w:val="300"/>
          <w:jc w:val="center"/>
        </w:trPr>
        <w:tc>
          <w:tcPr>
            <w:tcW w:w="3920" w:type="dxa"/>
            <w:shd w:val="clear" w:color="auto" w:fill="D9D9D9"/>
            <w:noWrap/>
            <w:hideMark/>
          </w:tcPr>
          <w:p w14:paraId="46F3832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Light Microscope</w:t>
            </w:r>
          </w:p>
        </w:tc>
        <w:tc>
          <w:tcPr>
            <w:tcW w:w="1840" w:type="dxa"/>
            <w:noWrap/>
            <w:hideMark/>
          </w:tcPr>
          <w:p w14:paraId="06FBFF89"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Optika</w:t>
            </w:r>
            <w:proofErr w:type="spellEnd"/>
          </w:p>
        </w:tc>
      </w:tr>
      <w:tr w:rsidR="008E7B3A" w:rsidRPr="008E7B3A" w14:paraId="519C1634" w14:textId="77777777" w:rsidTr="008E7B3A">
        <w:trPr>
          <w:trHeight w:val="300"/>
          <w:jc w:val="center"/>
        </w:trPr>
        <w:tc>
          <w:tcPr>
            <w:tcW w:w="3920" w:type="dxa"/>
            <w:shd w:val="clear" w:color="auto" w:fill="D9D9D9"/>
            <w:noWrap/>
            <w:hideMark/>
          </w:tcPr>
          <w:p w14:paraId="2E8CF71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Magnetic Stirrer SM1</w:t>
            </w:r>
          </w:p>
        </w:tc>
        <w:tc>
          <w:tcPr>
            <w:tcW w:w="1840" w:type="dxa"/>
            <w:noWrap/>
            <w:hideMark/>
          </w:tcPr>
          <w:p w14:paraId="70F0669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Stuart Scientific</w:t>
            </w:r>
          </w:p>
        </w:tc>
      </w:tr>
      <w:tr w:rsidR="008E7B3A" w:rsidRPr="008E7B3A" w14:paraId="7A84AB49" w14:textId="77777777" w:rsidTr="008E7B3A">
        <w:trPr>
          <w:trHeight w:val="300"/>
          <w:jc w:val="center"/>
        </w:trPr>
        <w:tc>
          <w:tcPr>
            <w:tcW w:w="3920" w:type="dxa"/>
            <w:shd w:val="clear" w:color="auto" w:fill="D9D9D9"/>
            <w:noWrap/>
            <w:hideMark/>
          </w:tcPr>
          <w:p w14:paraId="6C0CAC0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Microwave</w:t>
            </w:r>
          </w:p>
        </w:tc>
        <w:tc>
          <w:tcPr>
            <w:tcW w:w="1840" w:type="dxa"/>
            <w:noWrap/>
            <w:hideMark/>
          </w:tcPr>
          <w:p w14:paraId="3D302192"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Proline</w:t>
            </w:r>
            <w:proofErr w:type="spellEnd"/>
          </w:p>
        </w:tc>
      </w:tr>
      <w:tr w:rsidR="008E7B3A" w:rsidRPr="008E7B3A" w14:paraId="5AD0B8AC" w14:textId="77777777" w:rsidTr="008E7B3A">
        <w:trPr>
          <w:trHeight w:val="300"/>
          <w:jc w:val="center"/>
        </w:trPr>
        <w:tc>
          <w:tcPr>
            <w:tcW w:w="3920" w:type="dxa"/>
            <w:shd w:val="clear" w:color="auto" w:fill="D9D9D9"/>
            <w:noWrap/>
            <w:hideMark/>
          </w:tcPr>
          <w:p w14:paraId="4EAC1A2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Multiskan FC plate reader</w:t>
            </w:r>
          </w:p>
        </w:tc>
        <w:tc>
          <w:tcPr>
            <w:tcW w:w="1840" w:type="dxa"/>
            <w:noWrap/>
            <w:hideMark/>
          </w:tcPr>
          <w:p w14:paraId="3B738C0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Thermo Scientific</w:t>
            </w:r>
          </w:p>
        </w:tc>
      </w:tr>
      <w:tr w:rsidR="008E7B3A" w:rsidRPr="008E7B3A" w14:paraId="13B86203" w14:textId="77777777" w:rsidTr="008E7B3A">
        <w:trPr>
          <w:trHeight w:val="300"/>
          <w:jc w:val="center"/>
        </w:trPr>
        <w:tc>
          <w:tcPr>
            <w:tcW w:w="3920" w:type="dxa"/>
            <w:shd w:val="clear" w:color="auto" w:fill="D9D9D9"/>
            <w:noWrap/>
            <w:hideMark/>
          </w:tcPr>
          <w:p w14:paraId="1449722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Nanodrop Spectrophotometer ND-100</w:t>
            </w:r>
          </w:p>
        </w:tc>
        <w:tc>
          <w:tcPr>
            <w:tcW w:w="1840" w:type="dxa"/>
            <w:noWrap/>
            <w:hideMark/>
          </w:tcPr>
          <w:p w14:paraId="60AE246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 Scientific</w:t>
            </w:r>
          </w:p>
        </w:tc>
      </w:tr>
      <w:tr w:rsidR="008E7B3A" w:rsidRPr="008E7B3A" w14:paraId="4465DF84" w14:textId="77777777" w:rsidTr="008E7B3A">
        <w:trPr>
          <w:trHeight w:val="300"/>
          <w:jc w:val="center"/>
        </w:trPr>
        <w:tc>
          <w:tcPr>
            <w:tcW w:w="3920" w:type="dxa"/>
            <w:shd w:val="clear" w:color="auto" w:fill="D9D9D9"/>
            <w:noWrap/>
            <w:hideMark/>
          </w:tcPr>
          <w:p w14:paraId="2394BC99" w14:textId="77777777" w:rsidR="008E7B3A" w:rsidRPr="008E7B3A" w:rsidRDefault="008E7B3A" w:rsidP="008E7B3A">
            <w:pPr>
              <w:rPr>
                <w:rFonts w:ascii="Calibri" w:eastAsia="Times New Roman" w:hAnsi="Calibri" w:cs="Times New Roman"/>
                <w:color w:val="000000"/>
              </w:rPr>
            </w:pPr>
            <w:proofErr w:type="gramStart"/>
            <w:r w:rsidRPr="008E7B3A">
              <w:rPr>
                <w:rFonts w:ascii="Calibri" w:eastAsia="Times New Roman" w:hAnsi="Calibri" w:cs="Times New Roman"/>
                <w:color w:val="000000"/>
              </w:rPr>
              <w:t>pH</w:t>
            </w:r>
            <w:proofErr w:type="gramEnd"/>
            <w:r w:rsidRPr="008E7B3A">
              <w:rPr>
                <w:rFonts w:ascii="Calibri" w:eastAsia="Times New Roman" w:hAnsi="Calibri" w:cs="Times New Roman"/>
                <w:color w:val="000000"/>
              </w:rPr>
              <w:t xml:space="preserve"> 3510 meter</w:t>
            </w:r>
          </w:p>
        </w:tc>
        <w:tc>
          <w:tcPr>
            <w:tcW w:w="1840" w:type="dxa"/>
            <w:noWrap/>
            <w:hideMark/>
          </w:tcPr>
          <w:p w14:paraId="1C13F334"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Jenway</w:t>
            </w:r>
            <w:proofErr w:type="spellEnd"/>
          </w:p>
        </w:tc>
      </w:tr>
      <w:tr w:rsidR="008E7B3A" w:rsidRPr="008E7B3A" w14:paraId="41DEDD34" w14:textId="77777777" w:rsidTr="008E7B3A">
        <w:trPr>
          <w:trHeight w:val="300"/>
          <w:jc w:val="center"/>
        </w:trPr>
        <w:tc>
          <w:tcPr>
            <w:tcW w:w="3920" w:type="dxa"/>
            <w:shd w:val="clear" w:color="auto" w:fill="D9D9D9"/>
            <w:noWrap/>
            <w:hideMark/>
          </w:tcPr>
          <w:p w14:paraId="133CABB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Pipette Buoys</w:t>
            </w:r>
          </w:p>
        </w:tc>
        <w:tc>
          <w:tcPr>
            <w:tcW w:w="1840" w:type="dxa"/>
            <w:noWrap/>
            <w:hideMark/>
          </w:tcPr>
          <w:p w14:paraId="19934586"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FisherBrand</w:t>
            </w:r>
            <w:proofErr w:type="spellEnd"/>
          </w:p>
        </w:tc>
      </w:tr>
      <w:tr w:rsidR="008E7B3A" w:rsidRPr="008E7B3A" w14:paraId="473FA455" w14:textId="77777777" w:rsidTr="008E7B3A">
        <w:trPr>
          <w:trHeight w:val="300"/>
          <w:jc w:val="center"/>
        </w:trPr>
        <w:tc>
          <w:tcPr>
            <w:tcW w:w="3920" w:type="dxa"/>
            <w:shd w:val="clear" w:color="auto" w:fill="D9D9D9"/>
            <w:noWrap/>
            <w:hideMark/>
          </w:tcPr>
          <w:p w14:paraId="1DD8DE3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Power Pack</w:t>
            </w:r>
          </w:p>
        </w:tc>
        <w:tc>
          <w:tcPr>
            <w:tcW w:w="1840" w:type="dxa"/>
            <w:noWrap/>
            <w:hideMark/>
          </w:tcPr>
          <w:p w14:paraId="23D1EB6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Bio-Rad</w:t>
            </w:r>
          </w:p>
        </w:tc>
      </w:tr>
      <w:tr w:rsidR="008E7B3A" w:rsidRPr="008E7B3A" w14:paraId="532F457E" w14:textId="77777777" w:rsidTr="008E7B3A">
        <w:trPr>
          <w:trHeight w:val="300"/>
          <w:jc w:val="center"/>
        </w:trPr>
        <w:tc>
          <w:tcPr>
            <w:tcW w:w="3920" w:type="dxa"/>
            <w:shd w:val="clear" w:color="auto" w:fill="D9D9D9"/>
            <w:noWrap/>
            <w:hideMark/>
          </w:tcPr>
          <w:p w14:paraId="6F901E4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Precast western blotting tanks</w:t>
            </w:r>
          </w:p>
        </w:tc>
        <w:tc>
          <w:tcPr>
            <w:tcW w:w="1840" w:type="dxa"/>
            <w:noWrap/>
            <w:hideMark/>
          </w:tcPr>
          <w:p w14:paraId="06E67BF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Invitrogen</w:t>
            </w:r>
          </w:p>
        </w:tc>
      </w:tr>
      <w:tr w:rsidR="008E7B3A" w:rsidRPr="008E7B3A" w14:paraId="53F33EE1" w14:textId="77777777" w:rsidTr="008E7B3A">
        <w:trPr>
          <w:trHeight w:val="300"/>
          <w:jc w:val="center"/>
        </w:trPr>
        <w:tc>
          <w:tcPr>
            <w:tcW w:w="3920" w:type="dxa"/>
            <w:shd w:val="clear" w:color="auto" w:fill="D9D9D9"/>
            <w:noWrap/>
            <w:hideMark/>
          </w:tcPr>
          <w:p w14:paraId="5789CF8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S1000 Thermal Cycler</w:t>
            </w:r>
          </w:p>
        </w:tc>
        <w:tc>
          <w:tcPr>
            <w:tcW w:w="1840" w:type="dxa"/>
            <w:noWrap/>
            <w:hideMark/>
          </w:tcPr>
          <w:p w14:paraId="5CEB8FA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Bio-Rad</w:t>
            </w:r>
          </w:p>
        </w:tc>
      </w:tr>
      <w:tr w:rsidR="008E7B3A" w:rsidRPr="008E7B3A" w14:paraId="117BDFB5" w14:textId="77777777" w:rsidTr="008E7B3A">
        <w:trPr>
          <w:trHeight w:val="300"/>
          <w:jc w:val="center"/>
        </w:trPr>
        <w:tc>
          <w:tcPr>
            <w:tcW w:w="3920" w:type="dxa"/>
            <w:shd w:val="clear" w:color="auto" w:fill="D9D9D9"/>
            <w:noWrap/>
            <w:hideMark/>
          </w:tcPr>
          <w:p w14:paraId="35C01A9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SRX 101A Film Processor</w:t>
            </w:r>
          </w:p>
        </w:tc>
        <w:tc>
          <w:tcPr>
            <w:tcW w:w="1840" w:type="dxa"/>
            <w:noWrap/>
            <w:hideMark/>
          </w:tcPr>
          <w:p w14:paraId="25C8554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Konica</w:t>
            </w:r>
          </w:p>
        </w:tc>
      </w:tr>
      <w:tr w:rsidR="008E7B3A" w:rsidRPr="008E7B3A" w14:paraId="1C14ED48" w14:textId="77777777" w:rsidTr="008E7B3A">
        <w:trPr>
          <w:trHeight w:val="300"/>
          <w:jc w:val="center"/>
        </w:trPr>
        <w:tc>
          <w:tcPr>
            <w:tcW w:w="3920" w:type="dxa"/>
            <w:shd w:val="clear" w:color="auto" w:fill="D9D9D9"/>
            <w:noWrap/>
            <w:hideMark/>
          </w:tcPr>
          <w:p w14:paraId="5841D99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Vortex</w:t>
            </w:r>
          </w:p>
        </w:tc>
        <w:tc>
          <w:tcPr>
            <w:tcW w:w="1840" w:type="dxa"/>
            <w:noWrap/>
            <w:hideMark/>
          </w:tcPr>
          <w:p w14:paraId="7145C14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 Scientific</w:t>
            </w:r>
          </w:p>
        </w:tc>
      </w:tr>
      <w:tr w:rsidR="008E7B3A" w:rsidRPr="008E7B3A" w14:paraId="19433433" w14:textId="77777777" w:rsidTr="008E7B3A">
        <w:trPr>
          <w:trHeight w:val="300"/>
          <w:jc w:val="center"/>
        </w:trPr>
        <w:tc>
          <w:tcPr>
            <w:tcW w:w="3920" w:type="dxa"/>
            <w:shd w:val="clear" w:color="auto" w:fill="D9D9D9"/>
            <w:noWrap/>
            <w:hideMark/>
          </w:tcPr>
          <w:p w14:paraId="69DF9C0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xml:space="preserve">Water Filter Triple Red </w:t>
            </w:r>
            <w:proofErr w:type="spellStart"/>
            <w:r w:rsidRPr="008E7B3A">
              <w:rPr>
                <w:rFonts w:ascii="Calibri" w:eastAsia="Times New Roman" w:hAnsi="Calibri" w:cs="Times New Roman"/>
                <w:color w:val="000000"/>
              </w:rPr>
              <w:t>Nanopure</w:t>
            </w:r>
            <w:proofErr w:type="spellEnd"/>
          </w:p>
        </w:tc>
        <w:tc>
          <w:tcPr>
            <w:tcW w:w="1840" w:type="dxa"/>
            <w:noWrap/>
            <w:hideMark/>
          </w:tcPr>
          <w:p w14:paraId="42718D3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Thermo Scientific</w:t>
            </w:r>
          </w:p>
        </w:tc>
      </w:tr>
      <w:tr w:rsidR="008E7B3A" w:rsidRPr="008E7B3A" w14:paraId="74D8323E" w14:textId="77777777" w:rsidTr="008E7B3A">
        <w:trPr>
          <w:trHeight w:val="300"/>
          <w:jc w:val="center"/>
        </w:trPr>
        <w:tc>
          <w:tcPr>
            <w:tcW w:w="3920" w:type="dxa"/>
            <w:shd w:val="clear" w:color="auto" w:fill="D9D9D9"/>
            <w:noWrap/>
            <w:hideMark/>
          </w:tcPr>
          <w:p w14:paraId="42364B5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Western blotting tanks</w:t>
            </w:r>
          </w:p>
        </w:tc>
        <w:tc>
          <w:tcPr>
            <w:tcW w:w="1840" w:type="dxa"/>
            <w:noWrap/>
            <w:hideMark/>
          </w:tcPr>
          <w:p w14:paraId="37F60986"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Biorad</w:t>
            </w:r>
            <w:proofErr w:type="spellEnd"/>
          </w:p>
        </w:tc>
      </w:tr>
    </w:tbl>
    <w:p w14:paraId="250C6930" w14:textId="77777777" w:rsidR="008E7B3A" w:rsidRPr="008E7B3A" w:rsidRDefault="008E7B3A" w:rsidP="002F41C6">
      <w:pPr>
        <w:numPr>
          <w:ilvl w:val="0"/>
          <w:numId w:val="18"/>
        </w:numPr>
        <w:spacing w:line="276" w:lineRule="auto"/>
        <w:contextualSpacing/>
        <w:jc w:val="both"/>
        <w:rPr>
          <w:rFonts w:ascii="Calibri" w:eastAsia="ＭＳ Ｐゴシック" w:hAnsi="Calibri" w:cs="Times New Roman"/>
          <w:sz w:val="28"/>
          <w:szCs w:val="28"/>
        </w:rPr>
      </w:pPr>
      <w:r w:rsidRPr="008E7B3A">
        <w:rPr>
          <w:rFonts w:ascii="Calibri" w:eastAsia="ＭＳ Ｐゴシック" w:hAnsi="Calibri" w:cs="Times New Roman"/>
          <w:sz w:val="28"/>
          <w:szCs w:val="28"/>
        </w:rPr>
        <w:t>Consumables List</w:t>
      </w:r>
    </w:p>
    <w:p w14:paraId="682C293B" w14:textId="77777777" w:rsidR="008E7B3A" w:rsidRPr="008E7B3A" w:rsidRDefault="008E7B3A" w:rsidP="008E7B3A">
      <w:pPr>
        <w:spacing w:line="276" w:lineRule="auto"/>
        <w:jc w:val="both"/>
        <w:rPr>
          <w:rFonts w:ascii="Calibri" w:eastAsia="ＭＳ Ｐゴシック" w:hAnsi="Calibri" w:cs="Times New Roman"/>
          <w:b/>
        </w:rPr>
      </w:pPr>
    </w:p>
    <w:tbl>
      <w:tblPr>
        <w:tblW w:w="5704" w:type="dxa"/>
        <w:tblInd w:w="144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056"/>
        <w:gridCol w:w="2648"/>
      </w:tblGrid>
      <w:tr w:rsidR="008E7B3A" w:rsidRPr="008E7B3A" w14:paraId="4D4131ED" w14:textId="77777777" w:rsidTr="008E7B3A">
        <w:trPr>
          <w:trHeight w:val="301"/>
        </w:trPr>
        <w:tc>
          <w:tcPr>
            <w:tcW w:w="3056" w:type="dxa"/>
            <w:shd w:val="clear" w:color="auto" w:fill="000000"/>
            <w:noWrap/>
            <w:vAlign w:val="bottom"/>
            <w:hideMark/>
          </w:tcPr>
          <w:p w14:paraId="0136B1A0"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Consumables</w:t>
            </w:r>
          </w:p>
        </w:tc>
        <w:tc>
          <w:tcPr>
            <w:tcW w:w="2648" w:type="dxa"/>
            <w:shd w:val="clear" w:color="auto" w:fill="000000"/>
            <w:noWrap/>
            <w:vAlign w:val="bottom"/>
            <w:hideMark/>
          </w:tcPr>
          <w:p w14:paraId="2A48FDE6"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Supplier</w:t>
            </w:r>
          </w:p>
        </w:tc>
      </w:tr>
      <w:tr w:rsidR="008E7B3A" w:rsidRPr="008E7B3A" w14:paraId="55DBCED0" w14:textId="77777777" w:rsidTr="008E7B3A">
        <w:trPr>
          <w:trHeight w:val="301"/>
        </w:trPr>
        <w:tc>
          <w:tcPr>
            <w:tcW w:w="3056" w:type="dxa"/>
            <w:shd w:val="clear" w:color="auto" w:fill="D9D9D9"/>
            <w:noWrap/>
            <w:vAlign w:val="bottom"/>
            <w:hideMark/>
          </w:tcPr>
          <w:p w14:paraId="5925407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15ml Centrifuge tubes</w:t>
            </w:r>
          </w:p>
        </w:tc>
        <w:tc>
          <w:tcPr>
            <w:tcW w:w="2648" w:type="dxa"/>
            <w:shd w:val="clear" w:color="auto" w:fill="auto"/>
            <w:noWrap/>
            <w:vAlign w:val="bottom"/>
            <w:hideMark/>
          </w:tcPr>
          <w:p w14:paraId="052775B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SLS</w:t>
            </w:r>
          </w:p>
        </w:tc>
      </w:tr>
      <w:tr w:rsidR="008E7B3A" w:rsidRPr="008E7B3A" w14:paraId="2195848E" w14:textId="77777777" w:rsidTr="008E7B3A">
        <w:trPr>
          <w:trHeight w:val="301"/>
        </w:trPr>
        <w:tc>
          <w:tcPr>
            <w:tcW w:w="3056" w:type="dxa"/>
            <w:shd w:val="clear" w:color="auto" w:fill="D9D9D9"/>
            <w:noWrap/>
            <w:vAlign w:val="bottom"/>
            <w:hideMark/>
          </w:tcPr>
          <w:p w14:paraId="6C99D98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384 well plate seals</w:t>
            </w:r>
          </w:p>
        </w:tc>
        <w:tc>
          <w:tcPr>
            <w:tcW w:w="2648" w:type="dxa"/>
            <w:shd w:val="clear" w:color="auto" w:fill="auto"/>
            <w:noWrap/>
            <w:vAlign w:val="bottom"/>
            <w:hideMark/>
          </w:tcPr>
          <w:p w14:paraId="653AF35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Star lab</w:t>
            </w:r>
          </w:p>
        </w:tc>
      </w:tr>
      <w:tr w:rsidR="008E7B3A" w:rsidRPr="008E7B3A" w14:paraId="1D3D7EE8" w14:textId="77777777" w:rsidTr="008E7B3A">
        <w:trPr>
          <w:trHeight w:val="301"/>
        </w:trPr>
        <w:tc>
          <w:tcPr>
            <w:tcW w:w="3056" w:type="dxa"/>
            <w:shd w:val="clear" w:color="auto" w:fill="D9D9D9"/>
            <w:noWrap/>
            <w:vAlign w:val="bottom"/>
            <w:hideMark/>
          </w:tcPr>
          <w:p w14:paraId="000B076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384 well plates</w:t>
            </w:r>
          </w:p>
        </w:tc>
        <w:tc>
          <w:tcPr>
            <w:tcW w:w="2648" w:type="dxa"/>
            <w:shd w:val="clear" w:color="auto" w:fill="auto"/>
            <w:noWrap/>
            <w:vAlign w:val="bottom"/>
            <w:hideMark/>
          </w:tcPr>
          <w:p w14:paraId="4228407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Star lab</w:t>
            </w:r>
          </w:p>
        </w:tc>
      </w:tr>
      <w:tr w:rsidR="008E7B3A" w:rsidRPr="008E7B3A" w14:paraId="4BCD3F83" w14:textId="77777777" w:rsidTr="008E7B3A">
        <w:trPr>
          <w:trHeight w:val="301"/>
        </w:trPr>
        <w:tc>
          <w:tcPr>
            <w:tcW w:w="3056" w:type="dxa"/>
            <w:shd w:val="clear" w:color="auto" w:fill="D9D9D9"/>
            <w:noWrap/>
            <w:vAlign w:val="bottom"/>
            <w:hideMark/>
          </w:tcPr>
          <w:p w14:paraId="5B3A467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50ml Centrifuge tubes</w:t>
            </w:r>
          </w:p>
        </w:tc>
        <w:tc>
          <w:tcPr>
            <w:tcW w:w="2648" w:type="dxa"/>
            <w:shd w:val="clear" w:color="auto" w:fill="auto"/>
            <w:noWrap/>
            <w:vAlign w:val="bottom"/>
            <w:hideMark/>
          </w:tcPr>
          <w:p w14:paraId="65AD7E2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21D3EAC1" w14:textId="77777777" w:rsidTr="008E7B3A">
        <w:trPr>
          <w:trHeight w:val="301"/>
        </w:trPr>
        <w:tc>
          <w:tcPr>
            <w:tcW w:w="3056" w:type="dxa"/>
            <w:shd w:val="clear" w:color="auto" w:fill="D9D9D9"/>
            <w:noWrap/>
            <w:vAlign w:val="bottom"/>
            <w:hideMark/>
          </w:tcPr>
          <w:p w14:paraId="1C0A57E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Bacterial agar dishes</w:t>
            </w:r>
          </w:p>
        </w:tc>
        <w:tc>
          <w:tcPr>
            <w:tcW w:w="2648" w:type="dxa"/>
            <w:shd w:val="clear" w:color="auto" w:fill="auto"/>
            <w:noWrap/>
            <w:vAlign w:val="bottom"/>
            <w:hideMark/>
          </w:tcPr>
          <w:p w14:paraId="53DB5EE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72516BFA" w14:textId="77777777" w:rsidTr="008E7B3A">
        <w:trPr>
          <w:trHeight w:val="301"/>
        </w:trPr>
        <w:tc>
          <w:tcPr>
            <w:tcW w:w="3056" w:type="dxa"/>
            <w:shd w:val="clear" w:color="auto" w:fill="D9D9D9"/>
            <w:noWrap/>
            <w:vAlign w:val="bottom"/>
            <w:hideMark/>
          </w:tcPr>
          <w:p w14:paraId="59E1C21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Cell culture 6 well plates</w:t>
            </w:r>
          </w:p>
        </w:tc>
        <w:tc>
          <w:tcPr>
            <w:tcW w:w="2648" w:type="dxa"/>
            <w:shd w:val="clear" w:color="auto" w:fill="auto"/>
            <w:noWrap/>
            <w:vAlign w:val="bottom"/>
            <w:hideMark/>
          </w:tcPr>
          <w:p w14:paraId="44E0776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Star lab</w:t>
            </w:r>
          </w:p>
        </w:tc>
      </w:tr>
      <w:tr w:rsidR="008E7B3A" w:rsidRPr="008E7B3A" w14:paraId="2EEE9EF0" w14:textId="77777777" w:rsidTr="008E7B3A">
        <w:trPr>
          <w:trHeight w:val="301"/>
        </w:trPr>
        <w:tc>
          <w:tcPr>
            <w:tcW w:w="3056" w:type="dxa"/>
            <w:shd w:val="clear" w:color="auto" w:fill="D9D9D9"/>
            <w:noWrap/>
            <w:vAlign w:val="bottom"/>
            <w:hideMark/>
          </w:tcPr>
          <w:p w14:paraId="38A8538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Cell culture 96 well plates</w:t>
            </w:r>
          </w:p>
        </w:tc>
        <w:tc>
          <w:tcPr>
            <w:tcW w:w="2648" w:type="dxa"/>
            <w:shd w:val="clear" w:color="auto" w:fill="auto"/>
            <w:noWrap/>
            <w:vAlign w:val="bottom"/>
            <w:hideMark/>
          </w:tcPr>
          <w:p w14:paraId="2C9A1A4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Corning Incorporated</w:t>
            </w:r>
          </w:p>
        </w:tc>
      </w:tr>
      <w:tr w:rsidR="008E7B3A" w:rsidRPr="008E7B3A" w14:paraId="26870F63" w14:textId="77777777" w:rsidTr="008E7B3A">
        <w:trPr>
          <w:trHeight w:val="301"/>
        </w:trPr>
        <w:tc>
          <w:tcPr>
            <w:tcW w:w="3056" w:type="dxa"/>
            <w:shd w:val="clear" w:color="auto" w:fill="D9D9D9"/>
            <w:noWrap/>
            <w:vAlign w:val="bottom"/>
            <w:hideMark/>
          </w:tcPr>
          <w:p w14:paraId="135416C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Cell culture dishes (10cm)</w:t>
            </w:r>
          </w:p>
        </w:tc>
        <w:tc>
          <w:tcPr>
            <w:tcW w:w="2648" w:type="dxa"/>
            <w:shd w:val="clear" w:color="auto" w:fill="auto"/>
            <w:noWrap/>
            <w:vAlign w:val="bottom"/>
            <w:hideMark/>
          </w:tcPr>
          <w:p w14:paraId="1BFBD0D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Greiner</w:t>
            </w:r>
          </w:p>
        </w:tc>
      </w:tr>
      <w:tr w:rsidR="008E7B3A" w:rsidRPr="008E7B3A" w14:paraId="2CB9A8B8" w14:textId="77777777" w:rsidTr="008E7B3A">
        <w:trPr>
          <w:trHeight w:val="301"/>
        </w:trPr>
        <w:tc>
          <w:tcPr>
            <w:tcW w:w="3056" w:type="dxa"/>
            <w:shd w:val="clear" w:color="auto" w:fill="D9D9D9"/>
            <w:noWrap/>
            <w:vAlign w:val="bottom"/>
            <w:hideMark/>
          </w:tcPr>
          <w:p w14:paraId="26660F8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Cell culture flasks</w:t>
            </w:r>
          </w:p>
        </w:tc>
        <w:tc>
          <w:tcPr>
            <w:tcW w:w="2648" w:type="dxa"/>
            <w:shd w:val="clear" w:color="auto" w:fill="auto"/>
            <w:noWrap/>
            <w:vAlign w:val="bottom"/>
            <w:hideMark/>
          </w:tcPr>
          <w:p w14:paraId="346F4BB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32D44AC3" w14:textId="77777777" w:rsidTr="008E7B3A">
        <w:trPr>
          <w:trHeight w:val="301"/>
        </w:trPr>
        <w:tc>
          <w:tcPr>
            <w:tcW w:w="3056" w:type="dxa"/>
            <w:shd w:val="clear" w:color="auto" w:fill="D9D9D9"/>
            <w:noWrap/>
            <w:vAlign w:val="bottom"/>
            <w:hideMark/>
          </w:tcPr>
          <w:p w14:paraId="698A558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Cell scrapers</w:t>
            </w:r>
          </w:p>
        </w:tc>
        <w:tc>
          <w:tcPr>
            <w:tcW w:w="2648" w:type="dxa"/>
            <w:shd w:val="clear" w:color="auto" w:fill="auto"/>
            <w:noWrap/>
            <w:vAlign w:val="bottom"/>
            <w:hideMark/>
          </w:tcPr>
          <w:p w14:paraId="7AFF650B"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Sarstedt</w:t>
            </w:r>
            <w:proofErr w:type="spellEnd"/>
          </w:p>
        </w:tc>
      </w:tr>
      <w:tr w:rsidR="008E7B3A" w:rsidRPr="008E7B3A" w14:paraId="46462FD4" w14:textId="77777777" w:rsidTr="008E7B3A">
        <w:trPr>
          <w:trHeight w:val="301"/>
        </w:trPr>
        <w:tc>
          <w:tcPr>
            <w:tcW w:w="3056" w:type="dxa"/>
            <w:shd w:val="clear" w:color="auto" w:fill="D9D9D9"/>
            <w:noWrap/>
            <w:vAlign w:val="bottom"/>
            <w:hideMark/>
          </w:tcPr>
          <w:p w14:paraId="1544E6B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Clonogenic 6 well plates</w:t>
            </w:r>
          </w:p>
        </w:tc>
        <w:tc>
          <w:tcPr>
            <w:tcW w:w="2648" w:type="dxa"/>
            <w:shd w:val="clear" w:color="auto" w:fill="auto"/>
            <w:noWrap/>
            <w:vAlign w:val="bottom"/>
            <w:hideMark/>
          </w:tcPr>
          <w:p w14:paraId="0F54E0F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Thermo Scientific</w:t>
            </w:r>
          </w:p>
        </w:tc>
      </w:tr>
      <w:tr w:rsidR="008E7B3A" w:rsidRPr="008E7B3A" w14:paraId="13D9A57F" w14:textId="77777777" w:rsidTr="008E7B3A">
        <w:trPr>
          <w:trHeight w:val="301"/>
        </w:trPr>
        <w:tc>
          <w:tcPr>
            <w:tcW w:w="3056" w:type="dxa"/>
            <w:shd w:val="clear" w:color="auto" w:fill="D9D9D9"/>
            <w:noWrap/>
            <w:vAlign w:val="bottom"/>
            <w:hideMark/>
          </w:tcPr>
          <w:p w14:paraId="0DA5AD4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Cover slips</w:t>
            </w:r>
          </w:p>
        </w:tc>
        <w:tc>
          <w:tcPr>
            <w:tcW w:w="2648" w:type="dxa"/>
            <w:shd w:val="clear" w:color="auto" w:fill="auto"/>
            <w:noWrap/>
            <w:vAlign w:val="bottom"/>
            <w:hideMark/>
          </w:tcPr>
          <w:p w14:paraId="27F5981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6BDA7F75" w14:textId="77777777" w:rsidTr="008E7B3A">
        <w:trPr>
          <w:trHeight w:val="301"/>
        </w:trPr>
        <w:tc>
          <w:tcPr>
            <w:tcW w:w="3056" w:type="dxa"/>
            <w:shd w:val="clear" w:color="auto" w:fill="D9D9D9"/>
            <w:noWrap/>
            <w:vAlign w:val="bottom"/>
            <w:hideMark/>
          </w:tcPr>
          <w:p w14:paraId="1FAEB083"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Cryovials</w:t>
            </w:r>
            <w:proofErr w:type="spellEnd"/>
          </w:p>
        </w:tc>
        <w:tc>
          <w:tcPr>
            <w:tcW w:w="2648" w:type="dxa"/>
            <w:shd w:val="clear" w:color="auto" w:fill="auto"/>
            <w:noWrap/>
            <w:vAlign w:val="bottom"/>
            <w:hideMark/>
          </w:tcPr>
          <w:p w14:paraId="0BB64DFC"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Sarstedt</w:t>
            </w:r>
            <w:proofErr w:type="spellEnd"/>
          </w:p>
        </w:tc>
      </w:tr>
      <w:tr w:rsidR="008E7B3A" w:rsidRPr="008E7B3A" w14:paraId="5D50A57C" w14:textId="77777777" w:rsidTr="008E7B3A">
        <w:trPr>
          <w:trHeight w:val="301"/>
        </w:trPr>
        <w:tc>
          <w:tcPr>
            <w:tcW w:w="3056" w:type="dxa"/>
            <w:shd w:val="clear" w:color="auto" w:fill="D9D9D9"/>
            <w:noWrap/>
            <w:vAlign w:val="bottom"/>
            <w:hideMark/>
          </w:tcPr>
          <w:p w14:paraId="38588D3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Eppendorfs</w:t>
            </w:r>
          </w:p>
        </w:tc>
        <w:tc>
          <w:tcPr>
            <w:tcW w:w="2648" w:type="dxa"/>
            <w:shd w:val="clear" w:color="auto" w:fill="auto"/>
            <w:noWrap/>
            <w:vAlign w:val="bottom"/>
            <w:hideMark/>
          </w:tcPr>
          <w:p w14:paraId="382E251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Greiner</w:t>
            </w:r>
          </w:p>
        </w:tc>
      </w:tr>
      <w:tr w:rsidR="008E7B3A" w:rsidRPr="008E7B3A" w14:paraId="34FD78A7" w14:textId="77777777" w:rsidTr="008E7B3A">
        <w:trPr>
          <w:trHeight w:val="301"/>
        </w:trPr>
        <w:tc>
          <w:tcPr>
            <w:tcW w:w="3056" w:type="dxa"/>
            <w:shd w:val="clear" w:color="auto" w:fill="D9D9D9"/>
            <w:noWrap/>
            <w:vAlign w:val="bottom"/>
            <w:hideMark/>
          </w:tcPr>
          <w:p w14:paraId="79E97B9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Filter Tips</w:t>
            </w:r>
          </w:p>
        </w:tc>
        <w:tc>
          <w:tcPr>
            <w:tcW w:w="2648" w:type="dxa"/>
            <w:shd w:val="clear" w:color="auto" w:fill="auto"/>
            <w:noWrap/>
            <w:vAlign w:val="bottom"/>
            <w:hideMark/>
          </w:tcPr>
          <w:p w14:paraId="0D37E94A"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Sarstedt</w:t>
            </w:r>
            <w:proofErr w:type="spellEnd"/>
          </w:p>
        </w:tc>
      </w:tr>
      <w:tr w:rsidR="008E7B3A" w:rsidRPr="008E7B3A" w14:paraId="0FEB219E" w14:textId="77777777" w:rsidTr="008E7B3A">
        <w:trPr>
          <w:trHeight w:val="301"/>
        </w:trPr>
        <w:tc>
          <w:tcPr>
            <w:tcW w:w="3056" w:type="dxa"/>
            <w:shd w:val="clear" w:color="auto" w:fill="D9D9D9"/>
            <w:noWrap/>
            <w:vAlign w:val="bottom"/>
            <w:hideMark/>
          </w:tcPr>
          <w:p w14:paraId="7B0A5E0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Gloves</w:t>
            </w:r>
          </w:p>
        </w:tc>
        <w:tc>
          <w:tcPr>
            <w:tcW w:w="2648" w:type="dxa"/>
            <w:shd w:val="clear" w:color="auto" w:fill="auto"/>
            <w:noWrap/>
            <w:vAlign w:val="bottom"/>
            <w:hideMark/>
          </w:tcPr>
          <w:p w14:paraId="57C7328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Star lab</w:t>
            </w:r>
          </w:p>
        </w:tc>
      </w:tr>
      <w:tr w:rsidR="008E7B3A" w:rsidRPr="008E7B3A" w14:paraId="0F330B97" w14:textId="77777777" w:rsidTr="008E7B3A">
        <w:trPr>
          <w:trHeight w:val="301"/>
        </w:trPr>
        <w:tc>
          <w:tcPr>
            <w:tcW w:w="3056" w:type="dxa"/>
            <w:shd w:val="clear" w:color="auto" w:fill="D9D9D9"/>
            <w:noWrap/>
            <w:vAlign w:val="bottom"/>
            <w:hideMark/>
          </w:tcPr>
          <w:p w14:paraId="4A756E6F"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Microbacterial</w:t>
            </w:r>
            <w:proofErr w:type="spellEnd"/>
            <w:r w:rsidRPr="008E7B3A">
              <w:rPr>
                <w:rFonts w:ascii="Calibri" w:eastAsia="Times New Roman" w:hAnsi="Calibri" w:cs="Times New Roman"/>
                <w:color w:val="000000"/>
              </w:rPr>
              <w:t xml:space="preserve"> loops</w:t>
            </w:r>
          </w:p>
        </w:tc>
        <w:tc>
          <w:tcPr>
            <w:tcW w:w="2648" w:type="dxa"/>
            <w:shd w:val="clear" w:color="auto" w:fill="auto"/>
            <w:noWrap/>
            <w:vAlign w:val="bottom"/>
            <w:hideMark/>
          </w:tcPr>
          <w:p w14:paraId="161A6F78"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Microspec</w:t>
            </w:r>
            <w:proofErr w:type="spellEnd"/>
          </w:p>
        </w:tc>
      </w:tr>
      <w:tr w:rsidR="008E7B3A" w:rsidRPr="008E7B3A" w14:paraId="2B7C1FB4" w14:textId="77777777" w:rsidTr="008E7B3A">
        <w:trPr>
          <w:trHeight w:val="301"/>
        </w:trPr>
        <w:tc>
          <w:tcPr>
            <w:tcW w:w="3056" w:type="dxa"/>
            <w:shd w:val="clear" w:color="auto" w:fill="D9D9D9"/>
            <w:noWrap/>
            <w:vAlign w:val="bottom"/>
            <w:hideMark/>
          </w:tcPr>
          <w:p w14:paraId="34504DC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Microscope slides</w:t>
            </w:r>
          </w:p>
        </w:tc>
        <w:tc>
          <w:tcPr>
            <w:tcW w:w="2648" w:type="dxa"/>
            <w:shd w:val="clear" w:color="auto" w:fill="auto"/>
            <w:noWrap/>
            <w:vAlign w:val="bottom"/>
            <w:hideMark/>
          </w:tcPr>
          <w:p w14:paraId="07C4FF2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Thermo Scientific</w:t>
            </w:r>
          </w:p>
        </w:tc>
      </w:tr>
      <w:tr w:rsidR="008E7B3A" w:rsidRPr="008E7B3A" w14:paraId="14222F9F" w14:textId="77777777" w:rsidTr="008E7B3A">
        <w:trPr>
          <w:trHeight w:val="301"/>
        </w:trPr>
        <w:tc>
          <w:tcPr>
            <w:tcW w:w="3056" w:type="dxa"/>
            <w:shd w:val="clear" w:color="auto" w:fill="D9D9D9"/>
            <w:noWrap/>
            <w:vAlign w:val="bottom"/>
            <w:hideMark/>
          </w:tcPr>
          <w:p w14:paraId="53D9154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PCR tubes</w:t>
            </w:r>
          </w:p>
        </w:tc>
        <w:tc>
          <w:tcPr>
            <w:tcW w:w="2648" w:type="dxa"/>
            <w:shd w:val="clear" w:color="auto" w:fill="auto"/>
            <w:noWrap/>
            <w:vAlign w:val="bottom"/>
            <w:hideMark/>
          </w:tcPr>
          <w:p w14:paraId="4A1148C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Star Lab</w:t>
            </w:r>
          </w:p>
        </w:tc>
      </w:tr>
      <w:tr w:rsidR="008E7B3A" w:rsidRPr="008E7B3A" w14:paraId="539177FE" w14:textId="77777777" w:rsidTr="008E7B3A">
        <w:trPr>
          <w:trHeight w:val="301"/>
        </w:trPr>
        <w:tc>
          <w:tcPr>
            <w:tcW w:w="3056" w:type="dxa"/>
            <w:shd w:val="clear" w:color="auto" w:fill="D9D9D9"/>
            <w:noWrap/>
            <w:vAlign w:val="bottom"/>
            <w:hideMark/>
          </w:tcPr>
          <w:p w14:paraId="7E89B01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Reagent Reservoirs</w:t>
            </w:r>
          </w:p>
        </w:tc>
        <w:tc>
          <w:tcPr>
            <w:tcW w:w="2648" w:type="dxa"/>
            <w:shd w:val="clear" w:color="auto" w:fill="auto"/>
            <w:noWrap/>
            <w:vAlign w:val="bottom"/>
            <w:hideMark/>
          </w:tcPr>
          <w:p w14:paraId="0336421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Corning Incorporated</w:t>
            </w:r>
          </w:p>
        </w:tc>
      </w:tr>
      <w:tr w:rsidR="008E7B3A" w:rsidRPr="008E7B3A" w14:paraId="0129F4DD" w14:textId="77777777" w:rsidTr="008E7B3A">
        <w:trPr>
          <w:trHeight w:val="301"/>
        </w:trPr>
        <w:tc>
          <w:tcPr>
            <w:tcW w:w="3056" w:type="dxa"/>
            <w:shd w:val="clear" w:color="auto" w:fill="D9D9D9"/>
            <w:noWrap/>
            <w:vAlign w:val="bottom"/>
            <w:hideMark/>
          </w:tcPr>
          <w:p w14:paraId="0EB521BF"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Stripettes</w:t>
            </w:r>
            <w:proofErr w:type="spellEnd"/>
          </w:p>
        </w:tc>
        <w:tc>
          <w:tcPr>
            <w:tcW w:w="2648" w:type="dxa"/>
            <w:shd w:val="clear" w:color="auto" w:fill="auto"/>
            <w:noWrap/>
            <w:vAlign w:val="bottom"/>
            <w:hideMark/>
          </w:tcPr>
          <w:p w14:paraId="55DC580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51EF2BCF" w14:textId="77777777" w:rsidTr="008E7B3A">
        <w:trPr>
          <w:trHeight w:val="301"/>
        </w:trPr>
        <w:tc>
          <w:tcPr>
            <w:tcW w:w="3056" w:type="dxa"/>
            <w:shd w:val="clear" w:color="auto" w:fill="D9D9D9"/>
            <w:noWrap/>
            <w:vAlign w:val="bottom"/>
            <w:hideMark/>
          </w:tcPr>
          <w:p w14:paraId="41A3807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Syringe Filters</w:t>
            </w:r>
          </w:p>
        </w:tc>
        <w:tc>
          <w:tcPr>
            <w:tcW w:w="2648" w:type="dxa"/>
            <w:shd w:val="clear" w:color="auto" w:fill="auto"/>
            <w:noWrap/>
            <w:vAlign w:val="bottom"/>
            <w:hideMark/>
          </w:tcPr>
          <w:p w14:paraId="3884990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23707D2E" w14:textId="77777777" w:rsidTr="008E7B3A">
        <w:trPr>
          <w:trHeight w:val="301"/>
        </w:trPr>
        <w:tc>
          <w:tcPr>
            <w:tcW w:w="3056" w:type="dxa"/>
            <w:shd w:val="clear" w:color="auto" w:fill="D9D9D9"/>
            <w:noWrap/>
            <w:vAlign w:val="bottom"/>
            <w:hideMark/>
          </w:tcPr>
          <w:p w14:paraId="5F70799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Syringes (10ml)</w:t>
            </w:r>
          </w:p>
        </w:tc>
        <w:tc>
          <w:tcPr>
            <w:tcW w:w="2648" w:type="dxa"/>
            <w:shd w:val="clear" w:color="auto" w:fill="auto"/>
            <w:noWrap/>
            <w:vAlign w:val="bottom"/>
            <w:hideMark/>
          </w:tcPr>
          <w:p w14:paraId="78F67EE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36D76491" w14:textId="77777777" w:rsidTr="008E7B3A">
        <w:trPr>
          <w:trHeight w:val="301"/>
        </w:trPr>
        <w:tc>
          <w:tcPr>
            <w:tcW w:w="3056" w:type="dxa"/>
            <w:shd w:val="clear" w:color="auto" w:fill="D9D9D9"/>
            <w:noWrap/>
            <w:vAlign w:val="bottom"/>
            <w:hideMark/>
          </w:tcPr>
          <w:p w14:paraId="2D7F05F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Weigh boats</w:t>
            </w:r>
          </w:p>
        </w:tc>
        <w:tc>
          <w:tcPr>
            <w:tcW w:w="2648" w:type="dxa"/>
            <w:shd w:val="clear" w:color="auto" w:fill="auto"/>
            <w:noWrap/>
            <w:vAlign w:val="bottom"/>
            <w:hideMark/>
          </w:tcPr>
          <w:p w14:paraId="7D1557D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bl>
    <w:p w14:paraId="0039CE98" w14:textId="77777777" w:rsidR="008E7B3A" w:rsidRPr="008E7B3A" w:rsidRDefault="008E7B3A" w:rsidP="008E7B3A">
      <w:pPr>
        <w:keepNext/>
        <w:keepLines/>
        <w:spacing w:before="480"/>
        <w:outlineLvl w:val="0"/>
        <w:rPr>
          <w:rFonts w:ascii="Calibri" w:eastAsia="ＭＳ Ｐゴシック" w:hAnsi="Calibri" w:cs="Times New Roman"/>
          <w:bCs/>
          <w:sz w:val="28"/>
          <w:szCs w:val="32"/>
        </w:rPr>
      </w:pPr>
    </w:p>
    <w:p w14:paraId="44B74E5F" w14:textId="77777777" w:rsidR="008E7B3A" w:rsidRPr="008E7B3A" w:rsidRDefault="008E7B3A" w:rsidP="008E7B3A">
      <w:pPr>
        <w:rPr>
          <w:rFonts w:ascii="Calibri" w:eastAsia="ＭＳ Ｐゴシック" w:hAnsi="Calibri" w:cs="Times New Roman"/>
          <w:bCs/>
          <w:sz w:val="28"/>
          <w:szCs w:val="32"/>
        </w:rPr>
      </w:pPr>
      <w:r w:rsidRPr="008E7B3A">
        <w:rPr>
          <w:rFonts w:ascii="Calibri" w:eastAsia="ＭＳ Ｐゴシック" w:hAnsi="Calibri" w:cs="Times New Roman"/>
          <w:b/>
          <w:sz w:val="28"/>
        </w:rPr>
        <w:br w:type="page"/>
      </w:r>
    </w:p>
    <w:p w14:paraId="47467259" w14:textId="77777777" w:rsidR="008E7B3A" w:rsidRPr="008E7B3A" w:rsidRDefault="008E7B3A" w:rsidP="002F41C6">
      <w:pPr>
        <w:keepNext/>
        <w:keepLines/>
        <w:numPr>
          <w:ilvl w:val="0"/>
          <w:numId w:val="18"/>
        </w:numPr>
        <w:spacing w:before="480"/>
        <w:outlineLvl w:val="0"/>
        <w:rPr>
          <w:rFonts w:ascii="Calibri" w:eastAsia="ＭＳ Ｐゴシック" w:hAnsi="Calibri" w:cs="Times New Roman"/>
          <w:bCs/>
          <w:sz w:val="28"/>
          <w:szCs w:val="32"/>
        </w:rPr>
      </w:pPr>
      <w:r w:rsidRPr="008E7B3A">
        <w:rPr>
          <w:rFonts w:ascii="Calibri" w:eastAsia="ＭＳ Ｐゴシック" w:hAnsi="Calibri" w:cs="Times New Roman"/>
          <w:bCs/>
          <w:sz w:val="28"/>
          <w:szCs w:val="32"/>
        </w:rPr>
        <w:t>Reagents List</w:t>
      </w:r>
    </w:p>
    <w:p w14:paraId="749D8E68" w14:textId="77777777" w:rsidR="008E7B3A" w:rsidRPr="008E7B3A" w:rsidRDefault="008E7B3A" w:rsidP="008E7B3A">
      <w:pPr>
        <w:rPr>
          <w:rFonts w:ascii="Calibri" w:eastAsia="ＭＳ Ｐゴシック" w:hAnsi="Calibri" w:cs="Times New Roman"/>
        </w:rPr>
      </w:pPr>
    </w:p>
    <w:p w14:paraId="020A24AA" w14:textId="77777777" w:rsidR="008E7B3A" w:rsidRPr="008E7B3A" w:rsidRDefault="008E7B3A" w:rsidP="008E7B3A">
      <w:pPr>
        <w:spacing w:line="276" w:lineRule="auto"/>
        <w:rPr>
          <w:rFonts w:ascii="Calibri" w:eastAsia="ＭＳ Ｐゴシック" w:hAnsi="Calibri" w:cs="Times New Roman"/>
          <w:b/>
        </w:rPr>
      </w:pPr>
    </w:p>
    <w:tbl>
      <w:tblPr>
        <w:tblW w:w="5860" w:type="dxa"/>
        <w:tblInd w:w="144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60"/>
        <w:gridCol w:w="1300"/>
      </w:tblGrid>
      <w:tr w:rsidR="008E7B3A" w:rsidRPr="008E7B3A" w14:paraId="22F95EA3" w14:textId="77777777" w:rsidTr="008E7B3A">
        <w:trPr>
          <w:trHeight w:val="300"/>
        </w:trPr>
        <w:tc>
          <w:tcPr>
            <w:tcW w:w="4560" w:type="dxa"/>
            <w:shd w:val="clear" w:color="auto" w:fill="000000"/>
            <w:noWrap/>
            <w:vAlign w:val="bottom"/>
            <w:hideMark/>
          </w:tcPr>
          <w:p w14:paraId="5A2D4E7F"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Item</w:t>
            </w:r>
          </w:p>
        </w:tc>
        <w:tc>
          <w:tcPr>
            <w:tcW w:w="1300" w:type="dxa"/>
            <w:shd w:val="clear" w:color="auto" w:fill="000000"/>
            <w:noWrap/>
            <w:vAlign w:val="bottom"/>
            <w:hideMark/>
          </w:tcPr>
          <w:p w14:paraId="17293595"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Supplier</w:t>
            </w:r>
          </w:p>
        </w:tc>
      </w:tr>
      <w:tr w:rsidR="008E7B3A" w:rsidRPr="008E7B3A" w14:paraId="2B29DA3E" w14:textId="77777777" w:rsidTr="008E7B3A">
        <w:trPr>
          <w:trHeight w:val="300"/>
        </w:trPr>
        <w:tc>
          <w:tcPr>
            <w:tcW w:w="4560" w:type="dxa"/>
            <w:shd w:val="clear" w:color="auto" w:fill="D9D9D9"/>
            <w:noWrap/>
            <w:vAlign w:val="bottom"/>
            <w:hideMark/>
          </w:tcPr>
          <w:p w14:paraId="53B04DF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xml:space="preserve">30% acrylamide mix </w:t>
            </w:r>
          </w:p>
        </w:tc>
        <w:tc>
          <w:tcPr>
            <w:tcW w:w="1300" w:type="dxa"/>
            <w:shd w:val="clear" w:color="auto" w:fill="auto"/>
            <w:noWrap/>
            <w:vAlign w:val="bottom"/>
            <w:hideMark/>
          </w:tcPr>
          <w:p w14:paraId="2DAB996E"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Geneflow</w:t>
            </w:r>
            <w:proofErr w:type="spellEnd"/>
          </w:p>
        </w:tc>
      </w:tr>
      <w:tr w:rsidR="008E7B3A" w:rsidRPr="008E7B3A" w14:paraId="3784BCCB" w14:textId="77777777" w:rsidTr="008E7B3A">
        <w:trPr>
          <w:trHeight w:val="300"/>
        </w:trPr>
        <w:tc>
          <w:tcPr>
            <w:tcW w:w="4560" w:type="dxa"/>
            <w:shd w:val="clear" w:color="auto" w:fill="D9D9D9"/>
            <w:noWrap/>
            <w:vAlign w:val="bottom"/>
            <w:hideMark/>
          </w:tcPr>
          <w:p w14:paraId="7FA648B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4x LDS sample buffer</w:t>
            </w:r>
          </w:p>
        </w:tc>
        <w:tc>
          <w:tcPr>
            <w:tcW w:w="1300" w:type="dxa"/>
            <w:shd w:val="clear" w:color="auto" w:fill="auto"/>
            <w:noWrap/>
            <w:vAlign w:val="bottom"/>
            <w:hideMark/>
          </w:tcPr>
          <w:p w14:paraId="2940D6FF"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Novex</w:t>
            </w:r>
            <w:proofErr w:type="spellEnd"/>
          </w:p>
        </w:tc>
      </w:tr>
      <w:tr w:rsidR="008E7B3A" w:rsidRPr="008E7B3A" w14:paraId="0948A435" w14:textId="77777777" w:rsidTr="008E7B3A">
        <w:trPr>
          <w:trHeight w:val="300"/>
        </w:trPr>
        <w:tc>
          <w:tcPr>
            <w:tcW w:w="4560" w:type="dxa"/>
            <w:shd w:val="clear" w:color="auto" w:fill="D9D9D9"/>
            <w:noWrap/>
            <w:vAlign w:val="bottom"/>
            <w:hideMark/>
          </w:tcPr>
          <w:p w14:paraId="7A4B8E8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xml:space="preserve">5-Fluorouracil </w:t>
            </w:r>
          </w:p>
        </w:tc>
        <w:tc>
          <w:tcPr>
            <w:tcW w:w="1300" w:type="dxa"/>
            <w:shd w:val="clear" w:color="auto" w:fill="auto"/>
            <w:noWrap/>
            <w:vAlign w:val="bottom"/>
            <w:hideMark/>
          </w:tcPr>
          <w:p w14:paraId="3FA71E7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091B7DEA" w14:textId="77777777" w:rsidTr="008E7B3A">
        <w:trPr>
          <w:trHeight w:val="300"/>
        </w:trPr>
        <w:tc>
          <w:tcPr>
            <w:tcW w:w="4560" w:type="dxa"/>
            <w:shd w:val="clear" w:color="auto" w:fill="D9D9D9"/>
            <w:noWrap/>
            <w:vAlign w:val="bottom"/>
            <w:hideMark/>
          </w:tcPr>
          <w:p w14:paraId="42D04B1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Acetic Acid</w:t>
            </w:r>
          </w:p>
        </w:tc>
        <w:tc>
          <w:tcPr>
            <w:tcW w:w="1300" w:type="dxa"/>
            <w:shd w:val="clear" w:color="auto" w:fill="auto"/>
            <w:noWrap/>
            <w:vAlign w:val="bottom"/>
            <w:hideMark/>
          </w:tcPr>
          <w:p w14:paraId="4BDD6FE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75C1D633" w14:textId="77777777" w:rsidTr="008E7B3A">
        <w:trPr>
          <w:trHeight w:val="300"/>
        </w:trPr>
        <w:tc>
          <w:tcPr>
            <w:tcW w:w="4560" w:type="dxa"/>
            <w:shd w:val="clear" w:color="auto" w:fill="D9D9D9"/>
            <w:noWrap/>
            <w:vAlign w:val="bottom"/>
            <w:hideMark/>
          </w:tcPr>
          <w:p w14:paraId="7EBA30E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Ammonium Persulphate (APS)</w:t>
            </w:r>
          </w:p>
        </w:tc>
        <w:tc>
          <w:tcPr>
            <w:tcW w:w="1300" w:type="dxa"/>
            <w:shd w:val="clear" w:color="auto" w:fill="auto"/>
            <w:noWrap/>
            <w:vAlign w:val="bottom"/>
            <w:hideMark/>
          </w:tcPr>
          <w:p w14:paraId="47F3F9C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51CCE63D" w14:textId="77777777" w:rsidTr="008E7B3A">
        <w:trPr>
          <w:trHeight w:val="300"/>
        </w:trPr>
        <w:tc>
          <w:tcPr>
            <w:tcW w:w="4560" w:type="dxa"/>
            <w:shd w:val="clear" w:color="auto" w:fill="D9D9D9"/>
            <w:noWrap/>
            <w:vAlign w:val="bottom"/>
            <w:hideMark/>
          </w:tcPr>
          <w:p w14:paraId="2843685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Ampicillin</w:t>
            </w:r>
          </w:p>
        </w:tc>
        <w:tc>
          <w:tcPr>
            <w:tcW w:w="1300" w:type="dxa"/>
            <w:shd w:val="clear" w:color="auto" w:fill="auto"/>
            <w:noWrap/>
            <w:vAlign w:val="bottom"/>
            <w:hideMark/>
          </w:tcPr>
          <w:p w14:paraId="3D07080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7990F8D8" w14:textId="77777777" w:rsidTr="008E7B3A">
        <w:trPr>
          <w:trHeight w:val="300"/>
        </w:trPr>
        <w:tc>
          <w:tcPr>
            <w:tcW w:w="4560" w:type="dxa"/>
            <w:shd w:val="clear" w:color="auto" w:fill="D9D9D9"/>
            <w:noWrap/>
            <w:vAlign w:val="bottom"/>
            <w:hideMark/>
          </w:tcPr>
          <w:p w14:paraId="3CA9943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Benzonase</w:t>
            </w:r>
          </w:p>
        </w:tc>
        <w:tc>
          <w:tcPr>
            <w:tcW w:w="1300" w:type="dxa"/>
            <w:shd w:val="clear" w:color="auto" w:fill="auto"/>
            <w:noWrap/>
            <w:vAlign w:val="bottom"/>
            <w:hideMark/>
          </w:tcPr>
          <w:p w14:paraId="50A8DF72"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Novagen</w:t>
            </w:r>
            <w:proofErr w:type="spellEnd"/>
          </w:p>
        </w:tc>
      </w:tr>
      <w:tr w:rsidR="008E7B3A" w:rsidRPr="008E7B3A" w14:paraId="4D191074" w14:textId="77777777" w:rsidTr="008E7B3A">
        <w:trPr>
          <w:trHeight w:val="300"/>
        </w:trPr>
        <w:tc>
          <w:tcPr>
            <w:tcW w:w="4560" w:type="dxa"/>
            <w:shd w:val="clear" w:color="auto" w:fill="D9D9D9"/>
            <w:noWrap/>
            <w:vAlign w:val="bottom"/>
            <w:hideMark/>
          </w:tcPr>
          <w:p w14:paraId="49A76DE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Blasticidin</w:t>
            </w:r>
          </w:p>
        </w:tc>
        <w:tc>
          <w:tcPr>
            <w:tcW w:w="1300" w:type="dxa"/>
            <w:shd w:val="clear" w:color="auto" w:fill="auto"/>
            <w:noWrap/>
            <w:vAlign w:val="bottom"/>
            <w:hideMark/>
          </w:tcPr>
          <w:p w14:paraId="3730257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53F83CEC" w14:textId="77777777" w:rsidTr="008E7B3A">
        <w:trPr>
          <w:trHeight w:val="300"/>
        </w:trPr>
        <w:tc>
          <w:tcPr>
            <w:tcW w:w="4560" w:type="dxa"/>
            <w:shd w:val="clear" w:color="auto" w:fill="D9D9D9"/>
            <w:noWrap/>
            <w:vAlign w:val="bottom"/>
            <w:hideMark/>
          </w:tcPr>
          <w:p w14:paraId="5599190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Bovine Serum Albumin (BSA)</w:t>
            </w:r>
          </w:p>
        </w:tc>
        <w:tc>
          <w:tcPr>
            <w:tcW w:w="1300" w:type="dxa"/>
            <w:shd w:val="clear" w:color="auto" w:fill="auto"/>
            <w:noWrap/>
            <w:vAlign w:val="bottom"/>
            <w:hideMark/>
          </w:tcPr>
          <w:p w14:paraId="6D61975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043A4424" w14:textId="77777777" w:rsidTr="008E7B3A">
        <w:trPr>
          <w:trHeight w:val="300"/>
        </w:trPr>
        <w:tc>
          <w:tcPr>
            <w:tcW w:w="4560" w:type="dxa"/>
            <w:shd w:val="clear" w:color="auto" w:fill="D9D9D9"/>
            <w:noWrap/>
            <w:vAlign w:val="bottom"/>
            <w:hideMark/>
          </w:tcPr>
          <w:p w14:paraId="754612D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Bromophenol Blue</w:t>
            </w:r>
          </w:p>
        </w:tc>
        <w:tc>
          <w:tcPr>
            <w:tcW w:w="1300" w:type="dxa"/>
            <w:shd w:val="clear" w:color="auto" w:fill="auto"/>
            <w:noWrap/>
            <w:vAlign w:val="bottom"/>
            <w:hideMark/>
          </w:tcPr>
          <w:p w14:paraId="1C4E55B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52CD296A" w14:textId="77777777" w:rsidTr="008E7B3A">
        <w:trPr>
          <w:trHeight w:val="300"/>
        </w:trPr>
        <w:tc>
          <w:tcPr>
            <w:tcW w:w="4560" w:type="dxa"/>
            <w:shd w:val="clear" w:color="auto" w:fill="D9D9D9"/>
            <w:noWrap/>
            <w:vAlign w:val="bottom"/>
            <w:hideMark/>
          </w:tcPr>
          <w:p w14:paraId="4A54CE9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Calcium Chloride (CaCl</w:t>
            </w:r>
            <w:r w:rsidRPr="008E7B3A">
              <w:rPr>
                <w:rFonts w:ascii="Calibri" w:eastAsia="Times New Roman" w:hAnsi="Calibri" w:cs="Times New Roman"/>
                <w:color w:val="000000"/>
                <w:vertAlign w:val="subscript"/>
              </w:rPr>
              <w:t>2</w:t>
            </w:r>
            <w:r w:rsidRPr="008E7B3A">
              <w:rPr>
                <w:rFonts w:ascii="Calibri" w:eastAsia="Times New Roman" w:hAnsi="Calibri" w:cs="Times New Roman"/>
                <w:color w:val="000000"/>
              </w:rPr>
              <w:t>)</w:t>
            </w:r>
          </w:p>
        </w:tc>
        <w:tc>
          <w:tcPr>
            <w:tcW w:w="1300" w:type="dxa"/>
            <w:shd w:val="clear" w:color="auto" w:fill="auto"/>
            <w:noWrap/>
            <w:vAlign w:val="bottom"/>
            <w:hideMark/>
          </w:tcPr>
          <w:p w14:paraId="3285D1C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2D62AAF1" w14:textId="77777777" w:rsidTr="008E7B3A">
        <w:trPr>
          <w:trHeight w:val="300"/>
        </w:trPr>
        <w:tc>
          <w:tcPr>
            <w:tcW w:w="4560" w:type="dxa"/>
            <w:shd w:val="clear" w:color="auto" w:fill="D9D9D9"/>
            <w:noWrap/>
            <w:vAlign w:val="bottom"/>
            <w:hideMark/>
          </w:tcPr>
          <w:p w14:paraId="23BA9FD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Camptothecin</w:t>
            </w:r>
          </w:p>
        </w:tc>
        <w:tc>
          <w:tcPr>
            <w:tcW w:w="1300" w:type="dxa"/>
            <w:shd w:val="clear" w:color="auto" w:fill="auto"/>
            <w:noWrap/>
            <w:vAlign w:val="bottom"/>
            <w:hideMark/>
          </w:tcPr>
          <w:p w14:paraId="4993279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1B217646" w14:textId="77777777" w:rsidTr="008E7B3A">
        <w:trPr>
          <w:trHeight w:val="300"/>
        </w:trPr>
        <w:tc>
          <w:tcPr>
            <w:tcW w:w="4560" w:type="dxa"/>
            <w:shd w:val="clear" w:color="auto" w:fill="D9D9D9"/>
            <w:noWrap/>
            <w:vAlign w:val="bottom"/>
            <w:hideMark/>
          </w:tcPr>
          <w:p w14:paraId="3D44A64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xml:space="preserve">Cisplatin </w:t>
            </w:r>
          </w:p>
        </w:tc>
        <w:tc>
          <w:tcPr>
            <w:tcW w:w="1300" w:type="dxa"/>
            <w:shd w:val="clear" w:color="auto" w:fill="auto"/>
            <w:noWrap/>
            <w:vAlign w:val="bottom"/>
            <w:hideMark/>
          </w:tcPr>
          <w:p w14:paraId="0DAC03F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563C6170" w14:textId="77777777" w:rsidTr="008E7B3A">
        <w:trPr>
          <w:trHeight w:val="300"/>
        </w:trPr>
        <w:tc>
          <w:tcPr>
            <w:tcW w:w="4560" w:type="dxa"/>
            <w:shd w:val="clear" w:color="auto" w:fill="D9D9D9"/>
            <w:noWrap/>
            <w:vAlign w:val="bottom"/>
            <w:hideMark/>
          </w:tcPr>
          <w:p w14:paraId="6DC316D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Dimethyl sulfoxide (DMSO)</w:t>
            </w:r>
          </w:p>
        </w:tc>
        <w:tc>
          <w:tcPr>
            <w:tcW w:w="1300" w:type="dxa"/>
            <w:shd w:val="clear" w:color="auto" w:fill="auto"/>
            <w:noWrap/>
            <w:vAlign w:val="bottom"/>
            <w:hideMark/>
          </w:tcPr>
          <w:p w14:paraId="70505E3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2C313FC3" w14:textId="77777777" w:rsidTr="008E7B3A">
        <w:trPr>
          <w:trHeight w:val="300"/>
        </w:trPr>
        <w:tc>
          <w:tcPr>
            <w:tcW w:w="4560" w:type="dxa"/>
            <w:shd w:val="clear" w:color="auto" w:fill="D9D9D9"/>
            <w:noWrap/>
            <w:vAlign w:val="bottom"/>
            <w:hideMark/>
          </w:tcPr>
          <w:p w14:paraId="6572FBB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DNA loading dye (5x)</w:t>
            </w:r>
          </w:p>
        </w:tc>
        <w:tc>
          <w:tcPr>
            <w:tcW w:w="1300" w:type="dxa"/>
            <w:shd w:val="clear" w:color="auto" w:fill="auto"/>
            <w:noWrap/>
            <w:vAlign w:val="bottom"/>
            <w:hideMark/>
          </w:tcPr>
          <w:p w14:paraId="072EDF18"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Bioline</w:t>
            </w:r>
            <w:proofErr w:type="spellEnd"/>
          </w:p>
        </w:tc>
      </w:tr>
      <w:tr w:rsidR="008E7B3A" w:rsidRPr="008E7B3A" w14:paraId="2FD04DE2" w14:textId="77777777" w:rsidTr="008E7B3A">
        <w:trPr>
          <w:trHeight w:val="300"/>
        </w:trPr>
        <w:tc>
          <w:tcPr>
            <w:tcW w:w="4560" w:type="dxa"/>
            <w:shd w:val="clear" w:color="auto" w:fill="D9D9D9"/>
            <w:noWrap/>
            <w:vAlign w:val="bottom"/>
            <w:hideMark/>
          </w:tcPr>
          <w:p w14:paraId="7867DD7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DTT</w:t>
            </w:r>
          </w:p>
        </w:tc>
        <w:tc>
          <w:tcPr>
            <w:tcW w:w="1300" w:type="dxa"/>
            <w:shd w:val="clear" w:color="auto" w:fill="auto"/>
            <w:noWrap/>
            <w:vAlign w:val="bottom"/>
            <w:hideMark/>
          </w:tcPr>
          <w:p w14:paraId="43A86FA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02901484" w14:textId="77777777" w:rsidTr="008E7B3A">
        <w:trPr>
          <w:trHeight w:val="300"/>
        </w:trPr>
        <w:tc>
          <w:tcPr>
            <w:tcW w:w="4560" w:type="dxa"/>
            <w:shd w:val="clear" w:color="auto" w:fill="D9D9D9"/>
            <w:noWrap/>
            <w:vAlign w:val="bottom"/>
            <w:hideMark/>
          </w:tcPr>
          <w:p w14:paraId="6548A66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Dulbecco’s Modified Eagle’s Medium (DMEM)</w:t>
            </w:r>
          </w:p>
        </w:tc>
        <w:tc>
          <w:tcPr>
            <w:tcW w:w="1300" w:type="dxa"/>
            <w:shd w:val="clear" w:color="auto" w:fill="auto"/>
            <w:noWrap/>
            <w:vAlign w:val="bottom"/>
            <w:hideMark/>
          </w:tcPr>
          <w:p w14:paraId="2F239175"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Lonza</w:t>
            </w:r>
            <w:proofErr w:type="spellEnd"/>
          </w:p>
        </w:tc>
      </w:tr>
      <w:tr w:rsidR="008E7B3A" w:rsidRPr="008E7B3A" w14:paraId="1813FD64" w14:textId="77777777" w:rsidTr="008E7B3A">
        <w:trPr>
          <w:trHeight w:val="300"/>
        </w:trPr>
        <w:tc>
          <w:tcPr>
            <w:tcW w:w="4560" w:type="dxa"/>
            <w:shd w:val="clear" w:color="auto" w:fill="D9D9D9"/>
            <w:noWrap/>
            <w:vAlign w:val="bottom"/>
            <w:hideMark/>
          </w:tcPr>
          <w:p w14:paraId="6C6FCBB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EDTA</w:t>
            </w:r>
          </w:p>
        </w:tc>
        <w:tc>
          <w:tcPr>
            <w:tcW w:w="1300" w:type="dxa"/>
            <w:shd w:val="clear" w:color="auto" w:fill="auto"/>
            <w:noWrap/>
            <w:vAlign w:val="bottom"/>
            <w:hideMark/>
          </w:tcPr>
          <w:p w14:paraId="17E71B6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357C50F3" w14:textId="77777777" w:rsidTr="008E7B3A">
        <w:trPr>
          <w:trHeight w:val="300"/>
        </w:trPr>
        <w:tc>
          <w:tcPr>
            <w:tcW w:w="4560" w:type="dxa"/>
            <w:shd w:val="clear" w:color="auto" w:fill="D9D9D9"/>
            <w:noWrap/>
            <w:vAlign w:val="bottom"/>
            <w:hideMark/>
          </w:tcPr>
          <w:p w14:paraId="51ECA22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Ethanol</w:t>
            </w:r>
          </w:p>
        </w:tc>
        <w:tc>
          <w:tcPr>
            <w:tcW w:w="1300" w:type="dxa"/>
            <w:shd w:val="clear" w:color="auto" w:fill="auto"/>
            <w:noWrap/>
            <w:vAlign w:val="bottom"/>
            <w:hideMark/>
          </w:tcPr>
          <w:p w14:paraId="7E16385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561C32F3" w14:textId="77777777" w:rsidTr="008E7B3A">
        <w:trPr>
          <w:trHeight w:val="300"/>
        </w:trPr>
        <w:tc>
          <w:tcPr>
            <w:tcW w:w="4560" w:type="dxa"/>
            <w:shd w:val="clear" w:color="auto" w:fill="D9D9D9"/>
            <w:noWrap/>
            <w:vAlign w:val="bottom"/>
            <w:hideMark/>
          </w:tcPr>
          <w:p w14:paraId="7D3A511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Ethidium Bromide</w:t>
            </w:r>
          </w:p>
        </w:tc>
        <w:tc>
          <w:tcPr>
            <w:tcW w:w="1300" w:type="dxa"/>
            <w:shd w:val="clear" w:color="auto" w:fill="auto"/>
            <w:noWrap/>
            <w:vAlign w:val="bottom"/>
            <w:hideMark/>
          </w:tcPr>
          <w:p w14:paraId="4146D9B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232408EE" w14:textId="77777777" w:rsidTr="008E7B3A">
        <w:trPr>
          <w:trHeight w:val="300"/>
        </w:trPr>
        <w:tc>
          <w:tcPr>
            <w:tcW w:w="4560" w:type="dxa"/>
            <w:shd w:val="clear" w:color="auto" w:fill="D9D9D9"/>
            <w:noWrap/>
            <w:vAlign w:val="bottom"/>
            <w:hideMark/>
          </w:tcPr>
          <w:p w14:paraId="12DB87D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Foetal Calf Serum (FCS)</w:t>
            </w:r>
          </w:p>
        </w:tc>
        <w:tc>
          <w:tcPr>
            <w:tcW w:w="1300" w:type="dxa"/>
            <w:shd w:val="clear" w:color="auto" w:fill="auto"/>
            <w:noWrap/>
            <w:vAlign w:val="bottom"/>
            <w:hideMark/>
          </w:tcPr>
          <w:p w14:paraId="0AF63A37"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Biosera</w:t>
            </w:r>
            <w:proofErr w:type="spellEnd"/>
          </w:p>
        </w:tc>
      </w:tr>
      <w:tr w:rsidR="008E7B3A" w:rsidRPr="008E7B3A" w14:paraId="6EC693AF" w14:textId="77777777" w:rsidTr="008E7B3A">
        <w:trPr>
          <w:trHeight w:val="300"/>
        </w:trPr>
        <w:tc>
          <w:tcPr>
            <w:tcW w:w="4560" w:type="dxa"/>
            <w:shd w:val="clear" w:color="auto" w:fill="D9D9D9"/>
            <w:noWrap/>
            <w:vAlign w:val="bottom"/>
            <w:hideMark/>
          </w:tcPr>
          <w:p w14:paraId="387747B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Glycerol</w:t>
            </w:r>
          </w:p>
        </w:tc>
        <w:tc>
          <w:tcPr>
            <w:tcW w:w="1300" w:type="dxa"/>
            <w:shd w:val="clear" w:color="auto" w:fill="auto"/>
            <w:noWrap/>
            <w:vAlign w:val="bottom"/>
            <w:hideMark/>
          </w:tcPr>
          <w:p w14:paraId="5307D6C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7DDA39F1" w14:textId="77777777" w:rsidTr="008E7B3A">
        <w:trPr>
          <w:trHeight w:val="300"/>
        </w:trPr>
        <w:tc>
          <w:tcPr>
            <w:tcW w:w="4560" w:type="dxa"/>
            <w:shd w:val="clear" w:color="auto" w:fill="D9D9D9"/>
            <w:noWrap/>
            <w:vAlign w:val="bottom"/>
            <w:hideMark/>
          </w:tcPr>
          <w:p w14:paraId="531C9E2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Glycine</w:t>
            </w:r>
          </w:p>
        </w:tc>
        <w:tc>
          <w:tcPr>
            <w:tcW w:w="1300" w:type="dxa"/>
            <w:shd w:val="clear" w:color="auto" w:fill="auto"/>
            <w:noWrap/>
            <w:vAlign w:val="bottom"/>
            <w:hideMark/>
          </w:tcPr>
          <w:p w14:paraId="0BEC287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3D38AB61" w14:textId="77777777" w:rsidTr="008E7B3A">
        <w:trPr>
          <w:trHeight w:val="300"/>
        </w:trPr>
        <w:tc>
          <w:tcPr>
            <w:tcW w:w="4560" w:type="dxa"/>
            <w:shd w:val="clear" w:color="auto" w:fill="D9D9D9"/>
            <w:noWrap/>
            <w:vAlign w:val="bottom"/>
            <w:hideMark/>
          </w:tcPr>
          <w:p w14:paraId="37EDE06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Hydrochloric Acid (HCL)</w:t>
            </w:r>
          </w:p>
        </w:tc>
        <w:tc>
          <w:tcPr>
            <w:tcW w:w="1300" w:type="dxa"/>
            <w:shd w:val="clear" w:color="auto" w:fill="auto"/>
            <w:noWrap/>
            <w:vAlign w:val="bottom"/>
            <w:hideMark/>
          </w:tcPr>
          <w:p w14:paraId="3BC6305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0AD03606" w14:textId="77777777" w:rsidTr="008E7B3A">
        <w:trPr>
          <w:trHeight w:val="300"/>
        </w:trPr>
        <w:tc>
          <w:tcPr>
            <w:tcW w:w="4560" w:type="dxa"/>
            <w:shd w:val="clear" w:color="auto" w:fill="D9D9D9"/>
            <w:noWrap/>
            <w:vAlign w:val="bottom"/>
            <w:hideMark/>
          </w:tcPr>
          <w:p w14:paraId="4213902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Hygromycin</w:t>
            </w:r>
          </w:p>
        </w:tc>
        <w:tc>
          <w:tcPr>
            <w:tcW w:w="1300" w:type="dxa"/>
            <w:shd w:val="clear" w:color="auto" w:fill="auto"/>
            <w:noWrap/>
            <w:vAlign w:val="bottom"/>
            <w:hideMark/>
          </w:tcPr>
          <w:p w14:paraId="038E72A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05A33403" w14:textId="77777777" w:rsidTr="008E7B3A">
        <w:trPr>
          <w:trHeight w:val="300"/>
        </w:trPr>
        <w:tc>
          <w:tcPr>
            <w:tcW w:w="4560" w:type="dxa"/>
            <w:shd w:val="clear" w:color="auto" w:fill="D9D9D9"/>
            <w:noWrap/>
            <w:vAlign w:val="bottom"/>
            <w:hideMark/>
          </w:tcPr>
          <w:p w14:paraId="70B54C1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Hyperladder I &amp; V</w:t>
            </w:r>
          </w:p>
        </w:tc>
        <w:tc>
          <w:tcPr>
            <w:tcW w:w="1300" w:type="dxa"/>
            <w:shd w:val="clear" w:color="auto" w:fill="auto"/>
            <w:noWrap/>
            <w:vAlign w:val="bottom"/>
            <w:hideMark/>
          </w:tcPr>
          <w:p w14:paraId="7635B665"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Bioline</w:t>
            </w:r>
            <w:proofErr w:type="spellEnd"/>
          </w:p>
        </w:tc>
      </w:tr>
      <w:tr w:rsidR="008E7B3A" w:rsidRPr="008E7B3A" w14:paraId="6CCFEF16" w14:textId="77777777" w:rsidTr="008E7B3A">
        <w:trPr>
          <w:trHeight w:val="300"/>
        </w:trPr>
        <w:tc>
          <w:tcPr>
            <w:tcW w:w="4560" w:type="dxa"/>
            <w:shd w:val="clear" w:color="auto" w:fill="D9D9D9"/>
            <w:noWrap/>
            <w:vAlign w:val="bottom"/>
            <w:hideMark/>
          </w:tcPr>
          <w:p w14:paraId="610EF92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Industrial Methylated spirit</w:t>
            </w:r>
          </w:p>
        </w:tc>
        <w:tc>
          <w:tcPr>
            <w:tcW w:w="1300" w:type="dxa"/>
            <w:shd w:val="clear" w:color="auto" w:fill="auto"/>
            <w:noWrap/>
            <w:vAlign w:val="bottom"/>
            <w:hideMark/>
          </w:tcPr>
          <w:p w14:paraId="167A4C5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Adams</w:t>
            </w:r>
          </w:p>
        </w:tc>
      </w:tr>
      <w:tr w:rsidR="008E7B3A" w:rsidRPr="008E7B3A" w14:paraId="26EC96F4" w14:textId="77777777" w:rsidTr="008E7B3A">
        <w:trPr>
          <w:trHeight w:val="300"/>
        </w:trPr>
        <w:tc>
          <w:tcPr>
            <w:tcW w:w="4560" w:type="dxa"/>
            <w:shd w:val="clear" w:color="auto" w:fill="D9D9D9"/>
            <w:noWrap/>
            <w:vAlign w:val="bottom"/>
            <w:hideMark/>
          </w:tcPr>
          <w:p w14:paraId="0014096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LB Agar</w:t>
            </w:r>
          </w:p>
        </w:tc>
        <w:tc>
          <w:tcPr>
            <w:tcW w:w="1300" w:type="dxa"/>
            <w:shd w:val="clear" w:color="auto" w:fill="auto"/>
            <w:noWrap/>
            <w:vAlign w:val="bottom"/>
            <w:hideMark/>
          </w:tcPr>
          <w:p w14:paraId="1BB9187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36B2C89F" w14:textId="77777777" w:rsidTr="008E7B3A">
        <w:trPr>
          <w:trHeight w:val="300"/>
        </w:trPr>
        <w:tc>
          <w:tcPr>
            <w:tcW w:w="4560" w:type="dxa"/>
            <w:shd w:val="clear" w:color="auto" w:fill="D9D9D9"/>
            <w:noWrap/>
            <w:vAlign w:val="bottom"/>
            <w:hideMark/>
          </w:tcPr>
          <w:p w14:paraId="5D67CA3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LB Broth</w:t>
            </w:r>
          </w:p>
        </w:tc>
        <w:tc>
          <w:tcPr>
            <w:tcW w:w="1300" w:type="dxa"/>
            <w:shd w:val="clear" w:color="auto" w:fill="auto"/>
            <w:noWrap/>
            <w:vAlign w:val="bottom"/>
            <w:hideMark/>
          </w:tcPr>
          <w:p w14:paraId="71C53C9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10C75691" w14:textId="77777777" w:rsidTr="008E7B3A">
        <w:trPr>
          <w:trHeight w:val="300"/>
        </w:trPr>
        <w:tc>
          <w:tcPr>
            <w:tcW w:w="4560" w:type="dxa"/>
            <w:shd w:val="clear" w:color="auto" w:fill="D9D9D9"/>
            <w:noWrap/>
            <w:vAlign w:val="bottom"/>
            <w:hideMark/>
          </w:tcPr>
          <w:p w14:paraId="03C74C2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Lipofectamine 2000</w:t>
            </w:r>
          </w:p>
        </w:tc>
        <w:tc>
          <w:tcPr>
            <w:tcW w:w="1300" w:type="dxa"/>
            <w:shd w:val="clear" w:color="auto" w:fill="auto"/>
            <w:noWrap/>
            <w:vAlign w:val="bottom"/>
            <w:hideMark/>
          </w:tcPr>
          <w:p w14:paraId="0FC196E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Invitrogen</w:t>
            </w:r>
          </w:p>
        </w:tc>
      </w:tr>
      <w:tr w:rsidR="008E7B3A" w:rsidRPr="008E7B3A" w14:paraId="661A5E5D" w14:textId="77777777" w:rsidTr="008E7B3A">
        <w:trPr>
          <w:trHeight w:val="300"/>
        </w:trPr>
        <w:tc>
          <w:tcPr>
            <w:tcW w:w="4560" w:type="dxa"/>
            <w:shd w:val="clear" w:color="auto" w:fill="D9D9D9"/>
            <w:noWrap/>
            <w:vAlign w:val="bottom"/>
            <w:hideMark/>
          </w:tcPr>
          <w:p w14:paraId="4A50BE0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Magnesium Chloride (MgCl</w:t>
            </w:r>
            <w:r w:rsidRPr="008E7B3A">
              <w:rPr>
                <w:rFonts w:ascii="Calibri" w:eastAsia="Times New Roman" w:hAnsi="Calibri" w:cs="Times New Roman"/>
                <w:color w:val="000000"/>
                <w:vertAlign w:val="subscript"/>
              </w:rPr>
              <w:t>2</w:t>
            </w:r>
            <w:r w:rsidRPr="008E7B3A">
              <w:rPr>
                <w:rFonts w:ascii="Calibri" w:eastAsia="Times New Roman" w:hAnsi="Calibri" w:cs="Times New Roman"/>
                <w:color w:val="000000"/>
              </w:rPr>
              <w:t>)</w:t>
            </w:r>
          </w:p>
        </w:tc>
        <w:tc>
          <w:tcPr>
            <w:tcW w:w="1300" w:type="dxa"/>
            <w:shd w:val="clear" w:color="auto" w:fill="auto"/>
            <w:noWrap/>
            <w:vAlign w:val="bottom"/>
            <w:hideMark/>
          </w:tcPr>
          <w:p w14:paraId="169826E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69726FBF" w14:textId="77777777" w:rsidTr="008E7B3A">
        <w:trPr>
          <w:trHeight w:val="300"/>
        </w:trPr>
        <w:tc>
          <w:tcPr>
            <w:tcW w:w="4560" w:type="dxa"/>
            <w:shd w:val="clear" w:color="auto" w:fill="D9D9D9"/>
            <w:noWrap/>
            <w:vAlign w:val="bottom"/>
            <w:hideMark/>
          </w:tcPr>
          <w:p w14:paraId="1CA2F0D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Methanol</w:t>
            </w:r>
          </w:p>
        </w:tc>
        <w:tc>
          <w:tcPr>
            <w:tcW w:w="1300" w:type="dxa"/>
            <w:shd w:val="clear" w:color="auto" w:fill="auto"/>
            <w:noWrap/>
            <w:vAlign w:val="bottom"/>
            <w:hideMark/>
          </w:tcPr>
          <w:p w14:paraId="31FD9CB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0D517AA3" w14:textId="77777777" w:rsidTr="008E7B3A">
        <w:trPr>
          <w:trHeight w:val="300"/>
        </w:trPr>
        <w:tc>
          <w:tcPr>
            <w:tcW w:w="4560" w:type="dxa"/>
            <w:shd w:val="clear" w:color="auto" w:fill="D9D9D9"/>
            <w:noWrap/>
            <w:vAlign w:val="bottom"/>
            <w:hideMark/>
          </w:tcPr>
          <w:p w14:paraId="6635ECF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Methylene Blue</w:t>
            </w:r>
          </w:p>
        </w:tc>
        <w:tc>
          <w:tcPr>
            <w:tcW w:w="1300" w:type="dxa"/>
            <w:shd w:val="clear" w:color="auto" w:fill="auto"/>
            <w:noWrap/>
            <w:vAlign w:val="bottom"/>
            <w:hideMark/>
          </w:tcPr>
          <w:p w14:paraId="3DD0C63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1F20D4D1" w14:textId="77777777" w:rsidTr="008E7B3A">
        <w:trPr>
          <w:trHeight w:val="300"/>
        </w:trPr>
        <w:tc>
          <w:tcPr>
            <w:tcW w:w="4560" w:type="dxa"/>
            <w:shd w:val="clear" w:color="auto" w:fill="D9D9D9"/>
            <w:noWrap/>
            <w:vAlign w:val="bottom"/>
            <w:hideMark/>
          </w:tcPr>
          <w:p w14:paraId="09DA715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Milk powder</w:t>
            </w:r>
          </w:p>
        </w:tc>
        <w:tc>
          <w:tcPr>
            <w:tcW w:w="1300" w:type="dxa"/>
            <w:shd w:val="clear" w:color="auto" w:fill="auto"/>
            <w:noWrap/>
            <w:vAlign w:val="bottom"/>
            <w:hideMark/>
          </w:tcPr>
          <w:p w14:paraId="1C3B044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Marvel</w:t>
            </w:r>
          </w:p>
        </w:tc>
      </w:tr>
      <w:tr w:rsidR="008E7B3A" w:rsidRPr="008E7B3A" w14:paraId="36EF6A8E" w14:textId="77777777" w:rsidTr="008E7B3A">
        <w:trPr>
          <w:trHeight w:val="300"/>
        </w:trPr>
        <w:tc>
          <w:tcPr>
            <w:tcW w:w="4560" w:type="dxa"/>
            <w:shd w:val="clear" w:color="auto" w:fill="D9D9D9"/>
            <w:noWrap/>
            <w:vAlign w:val="bottom"/>
            <w:hideMark/>
          </w:tcPr>
          <w:p w14:paraId="49911D6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Paraformaldehyde (PFA)</w:t>
            </w:r>
          </w:p>
        </w:tc>
        <w:tc>
          <w:tcPr>
            <w:tcW w:w="1300" w:type="dxa"/>
            <w:shd w:val="clear" w:color="auto" w:fill="auto"/>
            <w:noWrap/>
            <w:vAlign w:val="bottom"/>
            <w:hideMark/>
          </w:tcPr>
          <w:p w14:paraId="5F22038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Santa Cruz</w:t>
            </w:r>
          </w:p>
        </w:tc>
      </w:tr>
      <w:tr w:rsidR="008E7B3A" w:rsidRPr="008E7B3A" w14:paraId="09331562" w14:textId="77777777" w:rsidTr="008E7B3A">
        <w:trPr>
          <w:trHeight w:val="300"/>
        </w:trPr>
        <w:tc>
          <w:tcPr>
            <w:tcW w:w="4560" w:type="dxa"/>
            <w:shd w:val="clear" w:color="auto" w:fill="D9D9D9"/>
            <w:noWrap/>
            <w:vAlign w:val="bottom"/>
            <w:hideMark/>
          </w:tcPr>
          <w:p w14:paraId="19D788C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Phosphatase Inhibitors</w:t>
            </w:r>
          </w:p>
        </w:tc>
        <w:tc>
          <w:tcPr>
            <w:tcW w:w="1300" w:type="dxa"/>
            <w:shd w:val="clear" w:color="auto" w:fill="auto"/>
            <w:noWrap/>
            <w:vAlign w:val="bottom"/>
            <w:hideMark/>
          </w:tcPr>
          <w:p w14:paraId="7CA60C4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2729AC1D" w14:textId="77777777" w:rsidTr="008E7B3A">
        <w:trPr>
          <w:trHeight w:val="300"/>
        </w:trPr>
        <w:tc>
          <w:tcPr>
            <w:tcW w:w="4560" w:type="dxa"/>
            <w:shd w:val="clear" w:color="auto" w:fill="D9D9D9"/>
            <w:noWrap/>
            <w:vAlign w:val="bottom"/>
            <w:hideMark/>
          </w:tcPr>
          <w:p w14:paraId="07C80C9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Polybrene</w:t>
            </w:r>
          </w:p>
        </w:tc>
        <w:tc>
          <w:tcPr>
            <w:tcW w:w="1300" w:type="dxa"/>
            <w:shd w:val="clear" w:color="auto" w:fill="auto"/>
            <w:noWrap/>
            <w:vAlign w:val="bottom"/>
            <w:hideMark/>
          </w:tcPr>
          <w:p w14:paraId="2098F63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0BA836DC" w14:textId="77777777" w:rsidTr="008E7B3A">
        <w:trPr>
          <w:trHeight w:val="300"/>
        </w:trPr>
        <w:tc>
          <w:tcPr>
            <w:tcW w:w="4560" w:type="dxa"/>
            <w:shd w:val="clear" w:color="auto" w:fill="D9D9D9"/>
            <w:noWrap/>
            <w:vAlign w:val="bottom"/>
            <w:hideMark/>
          </w:tcPr>
          <w:p w14:paraId="04BCA71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Potassium Chloride (KCL)</w:t>
            </w:r>
          </w:p>
        </w:tc>
        <w:tc>
          <w:tcPr>
            <w:tcW w:w="1300" w:type="dxa"/>
            <w:shd w:val="clear" w:color="auto" w:fill="auto"/>
            <w:noWrap/>
            <w:vAlign w:val="bottom"/>
            <w:hideMark/>
          </w:tcPr>
          <w:p w14:paraId="5463971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469889F4" w14:textId="77777777" w:rsidTr="008E7B3A">
        <w:trPr>
          <w:trHeight w:val="300"/>
        </w:trPr>
        <w:tc>
          <w:tcPr>
            <w:tcW w:w="4560" w:type="dxa"/>
            <w:shd w:val="clear" w:color="auto" w:fill="D9D9D9"/>
            <w:noWrap/>
            <w:vAlign w:val="bottom"/>
            <w:hideMark/>
          </w:tcPr>
          <w:p w14:paraId="4F4D3FC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Propidium Iodide</w:t>
            </w:r>
          </w:p>
        </w:tc>
        <w:tc>
          <w:tcPr>
            <w:tcW w:w="1300" w:type="dxa"/>
            <w:shd w:val="clear" w:color="auto" w:fill="auto"/>
            <w:noWrap/>
            <w:vAlign w:val="bottom"/>
            <w:hideMark/>
          </w:tcPr>
          <w:p w14:paraId="6195B04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20025C6A" w14:textId="77777777" w:rsidTr="008E7B3A">
        <w:trPr>
          <w:trHeight w:val="300"/>
        </w:trPr>
        <w:tc>
          <w:tcPr>
            <w:tcW w:w="4560" w:type="dxa"/>
            <w:shd w:val="clear" w:color="auto" w:fill="D9D9D9"/>
            <w:noWrap/>
            <w:vAlign w:val="bottom"/>
            <w:hideMark/>
          </w:tcPr>
          <w:p w14:paraId="64F140A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Protease Inhibitors</w:t>
            </w:r>
          </w:p>
        </w:tc>
        <w:tc>
          <w:tcPr>
            <w:tcW w:w="1300" w:type="dxa"/>
            <w:shd w:val="clear" w:color="auto" w:fill="auto"/>
            <w:noWrap/>
            <w:vAlign w:val="bottom"/>
            <w:hideMark/>
          </w:tcPr>
          <w:p w14:paraId="164995B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33971774" w14:textId="77777777" w:rsidTr="008E7B3A">
        <w:trPr>
          <w:trHeight w:val="300"/>
        </w:trPr>
        <w:tc>
          <w:tcPr>
            <w:tcW w:w="4560" w:type="dxa"/>
            <w:shd w:val="clear" w:color="auto" w:fill="D9D9D9"/>
            <w:noWrap/>
            <w:vAlign w:val="bottom"/>
            <w:hideMark/>
          </w:tcPr>
          <w:p w14:paraId="159FFF7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Protein Assay Dye Reagent</w:t>
            </w:r>
          </w:p>
        </w:tc>
        <w:tc>
          <w:tcPr>
            <w:tcW w:w="1300" w:type="dxa"/>
            <w:shd w:val="clear" w:color="auto" w:fill="auto"/>
            <w:noWrap/>
            <w:vAlign w:val="bottom"/>
            <w:hideMark/>
          </w:tcPr>
          <w:p w14:paraId="3617369E"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Biorad</w:t>
            </w:r>
            <w:proofErr w:type="spellEnd"/>
          </w:p>
        </w:tc>
      </w:tr>
      <w:tr w:rsidR="008E7B3A" w:rsidRPr="008E7B3A" w14:paraId="1BA5F87C" w14:textId="77777777" w:rsidTr="008E7B3A">
        <w:trPr>
          <w:trHeight w:val="300"/>
        </w:trPr>
        <w:tc>
          <w:tcPr>
            <w:tcW w:w="4560" w:type="dxa"/>
            <w:shd w:val="clear" w:color="auto" w:fill="D9D9D9"/>
            <w:noWrap/>
            <w:vAlign w:val="bottom"/>
            <w:hideMark/>
          </w:tcPr>
          <w:p w14:paraId="466B7EA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Puromycin</w:t>
            </w:r>
          </w:p>
        </w:tc>
        <w:tc>
          <w:tcPr>
            <w:tcW w:w="1300" w:type="dxa"/>
            <w:shd w:val="clear" w:color="auto" w:fill="auto"/>
            <w:noWrap/>
            <w:vAlign w:val="bottom"/>
            <w:hideMark/>
          </w:tcPr>
          <w:p w14:paraId="24E5B6E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019E1EC9" w14:textId="77777777" w:rsidTr="008E7B3A">
        <w:trPr>
          <w:trHeight w:val="300"/>
        </w:trPr>
        <w:tc>
          <w:tcPr>
            <w:tcW w:w="4560" w:type="dxa"/>
            <w:shd w:val="clear" w:color="auto" w:fill="D9D9D9"/>
            <w:noWrap/>
            <w:vAlign w:val="bottom"/>
            <w:hideMark/>
          </w:tcPr>
          <w:p w14:paraId="493A749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RNAiMax</w:t>
            </w:r>
          </w:p>
        </w:tc>
        <w:tc>
          <w:tcPr>
            <w:tcW w:w="1300" w:type="dxa"/>
            <w:shd w:val="clear" w:color="auto" w:fill="auto"/>
            <w:noWrap/>
            <w:vAlign w:val="bottom"/>
            <w:hideMark/>
          </w:tcPr>
          <w:p w14:paraId="629823B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Invitrogen</w:t>
            </w:r>
          </w:p>
        </w:tc>
      </w:tr>
      <w:tr w:rsidR="008E7B3A" w:rsidRPr="008E7B3A" w14:paraId="736BCF7C" w14:textId="77777777" w:rsidTr="008E7B3A">
        <w:trPr>
          <w:trHeight w:val="300"/>
        </w:trPr>
        <w:tc>
          <w:tcPr>
            <w:tcW w:w="4560" w:type="dxa"/>
            <w:shd w:val="clear" w:color="auto" w:fill="D9D9D9"/>
            <w:noWrap/>
            <w:vAlign w:val="bottom"/>
            <w:hideMark/>
          </w:tcPr>
          <w:p w14:paraId="2A0FC48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RNase A</w:t>
            </w:r>
          </w:p>
        </w:tc>
        <w:tc>
          <w:tcPr>
            <w:tcW w:w="1300" w:type="dxa"/>
            <w:shd w:val="clear" w:color="auto" w:fill="auto"/>
            <w:noWrap/>
            <w:vAlign w:val="bottom"/>
            <w:hideMark/>
          </w:tcPr>
          <w:p w14:paraId="39F47CF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0A27FCB3" w14:textId="77777777" w:rsidTr="008E7B3A">
        <w:trPr>
          <w:trHeight w:val="300"/>
        </w:trPr>
        <w:tc>
          <w:tcPr>
            <w:tcW w:w="4560" w:type="dxa"/>
            <w:shd w:val="clear" w:color="auto" w:fill="D9D9D9"/>
            <w:noWrap/>
            <w:vAlign w:val="bottom"/>
            <w:hideMark/>
          </w:tcPr>
          <w:p w14:paraId="0A03BAD7"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SeaKem</w:t>
            </w:r>
            <w:proofErr w:type="spellEnd"/>
            <w:r w:rsidRPr="008E7B3A">
              <w:rPr>
                <w:rFonts w:ascii="Calibri" w:eastAsia="Times New Roman" w:hAnsi="Calibri" w:cs="Times New Roman"/>
                <w:color w:val="000000"/>
              </w:rPr>
              <w:t xml:space="preserve"> LE Agarose</w:t>
            </w:r>
          </w:p>
        </w:tc>
        <w:tc>
          <w:tcPr>
            <w:tcW w:w="1300" w:type="dxa"/>
            <w:shd w:val="clear" w:color="auto" w:fill="auto"/>
            <w:noWrap/>
            <w:vAlign w:val="bottom"/>
            <w:hideMark/>
          </w:tcPr>
          <w:p w14:paraId="4C23881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25EA9001" w14:textId="77777777" w:rsidTr="008E7B3A">
        <w:trPr>
          <w:trHeight w:val="300"/>
        </w:trPr>
        <w:tc>
          <w:tcPr>
            <w:tcW w:w="4560" w:type="dxa"/>
            <w:shd w:val="clear" w:color="auto" w:fill="D9D9D9"/>
            <w:noWrap/>
            <w:vAlign w:val="bottom"/>
            <w:hideMark/>
          </w:tcPr>
          <w:p w14:paraId="3B16108E"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SeeBlue</w:t>
            </w:r>
            <w:proofErr w:type="spellEnd"/>
            <w:r w:rsidRPr="008E7B3A">
              <w:rPr>
                <w:rFonts w:ascii="Calibri" w:eastAsia="Times New Roman" w:hAnsi="Calibri" w:cs="Times New Roman"/>
                <w:color w:val="000000"/>
              </w:rPr>
              <w:t xml:space="preserve"> Plus 2 ladder</w:t>
            </w:r>
          </w:p>
        </w:tc>
        <w:tc>
          <w:tcPr>
            <w:tcW w:w="1300" w:type="dxa"/>
            <w:shd w:val="clear" w:color="auto" w:fill="auto"/>
            <w:noWrap/>
            <w:vAlign w:val="bottom"/>
            <w:hideMark/>
          </w:tcPr>
          <w:p w14:paraId="5885F3E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Invitrogen</w:t>
            </w:r>
          </w:p>
        </w:tc>
      </w:tr>
      <w:tr w:rsidR="008E7B3A" w:rsidRPr="008E7B3A" w14:paraId="40AD06DD" w14:textId="77777777" w:rsidTr="008E7B3A">
        <w:trPr>
          <w:trHeight w:val="300"/>
        </w:trPr>
        <w:tc>
          <w:tcPr>
            <w:tcW w:w="4560" w:type="dxa"/>
            <w:shd w:val="clear" w:color="auto" w:fill="D9D9D9"/>
            <w:noWrap/>
            <w:vAlign w:val="bottom"/>
            <w:hideMark/>
          </w:tcPr>
          <w:p w14:paraId="32A33AD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SOC medium</w:t>
            </w:r>
          </w:p>
        </w:tc>
        <w:tc>
          <w:tcPr>
            <w:tcW w:w="1300" w:type="dxa"/>
            <w:shd w:val="clear" w:color="auto" w:fill="auto"/>
            <w:noWrap/>
            <w:vAlign w:val="bottom"/>
            <w:hideMark/>
          </w:tcPr>
          <w:p w14:paraId="3B15716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Invitrogen</w:t>
            </w:r>
          </w:p>
        </w:tc>
      </w:tr>
      <w:tr w:rsidR="008E7B3A" w:rsidRPr="008E7B3A" w14:paraId="4AF2E8CF" w14:textId="77777777" w:rsidTr="008E7B3A">
        <w:trPr>
          <w:trHeight w:val="300"/>
        </w:trPr>
        <w:tc>
          <w:tcPr>
            <w:tcW w:w="4560" w:type="dxa"/>
            <w:shd w:val="clear" w:color="auto" w:fill="D9D9D9"/>
            <w:noWrap/>
            <w:vAlign w:val="bottom"/>
            <w:hideMark/>
          </w:tcPr>
          <w:p w14:paraId="48ED22D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Sodium Chloride (NaCl)</w:t>
            </w:r>
          </w:p>
        </w:tc>
        <w:tc>
          <w:tcPr>
            <w:tcW w:w="1300" w:type="dxa"/>
            <w:shd w:val="clear" w:color="auto" w:fill="auto"/>
            <w:noWrap/>
            <w:vAlign w:val="bottom"/>
            <w:hideMark/>
          </w:tcPr>
          <w:p w14:paraId="4C5DF0F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211440C0" w14:textId="77777777" w:rsidTr="008E7B3A">
        <w:trPr>
          <w:trHeight w:val="300"/>
        </w:trPr>
        <w:tc>
          <w:tcPr>
            <w:tcW w:w="4560" w:type="dxa"/>
            <w:shd w:val="clear" w:color="auto" w:fill="D9D9D9"/>
            <w:noWrap/>
            <w:vAlign w:val="bottom"/>
            <w:hideMark/>
          </w:tcPr>
          <w:p w14:paraId="63DA314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Sodium Dodecyl Sulphate (SDS)</w:t>
            </w:r>
          </w:p>
        </w:tc>
        <w:tc>
          <w:tcPr>
            <w:tcW w:w="1300" w:type="dxa"/>
            <w:shd w:val="clear" w:color="auto" w:fill="auto"/>
            <w:noWrap/>
            <w:vAlign w:val="bottom"/>
            <w:hideMark/>
          </w:tcPr>
          <w:p w14:paraId="44A24A9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54833F72" w14:textId="77777777" w:rsidTr="008E7B3A">
        <w:trPr>
          <w:trHeight w:val="300"/>
        </w:trPr>
        <w:tc>
          <w:tcPr>
            <w:tcW w:w="4560" w:type="dxa"/>
            <w:shd w:val="clear" w:color="auto" w:fill="D9D9D9"/>
            <w:noWrap/>
            <w:vAlign w:val="bottom"/>
            <w:hideMark/>
          </w:tcPr>
          <w:p w14:paraId="2104BA9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Sodium hydroxide (</w:t>
            </w:r>
            <w:proofErr w:type="spellStart"/>
            <w:r w:rsidRPr="008E7B3A">
              <w:rPr>
                <w:rFonts w:ascii="Calibri" w:eastAsia="Times New Roman" w:hAnsi="Calibri" w:cs="Times New Roman"/>
                <w:color w:val="000000"/>
              </w:rPr>
              <w:t>NaOH</w:t>
            </w:r>
            <w:proofErr w:type="spellEnd"/>
            <w:r w:rsidRPr="008E7B3A">
              <w:rPr>
                <w:rFonts w:ascii="Calibri" w:eastAsia="Times New Roman" w:hAnsi="Calibri" w:cs="Times New Roman"/>
                <w:color w:val="000000"/>
              </w:rPr>
              <w:t>)</w:t>
            </w:r>
          </w:p>
        </w:tc>
        <w:tc>
          <w:tcPr>
            <w:tcW w:w="1300" w:type="dxa"/>
            <w:shd w:val="clear" w:color="auto" w:fill="auto"/>
            <w:noWrap/>
            <w:vAlign w:val="bottom"/>
            <w:hideMark/>
          </w:tcPr>
          <w:p w14:paraId="4D76756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1D5EBC05" w14:textId="77777777" w:rsidTr="008E7B3A">
        <w:trPr>
          <w:trHeight w:val="300"/>
        </w:trPr>
        <w:tc>
          <w:tcPr>
            <w:tcW w:w="4560" w:type="dxa"/>
            <w:shd w:val="clear" w:color="auto" w:fill="D9D9D9"/>
            <w:noWrap/>
            <w:vAlign w:val="bottom"/>
            <w:hideMark/>
          </w:tcPr>
          <w:p w14:paraId="4A25CD6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Spectinomycin</w:t>
            </w:r>
          </w:p>
        </w:tc>
        <w:tc>
          <w:tcPr>
            <w:tcW w:w="1300" w:type="dxa"/>
            <w:shd w:val="clear" w:color="auto" w:fill="auto"/>
            <w:noWrap/>
            <w:vAlign w:val="bottom"/>
            <w:hideMark/>
          </w:tcPr>
          <w:p w14:paraId="274501B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4FFE5A43" w14:textId="77777777" w:rsidTr="008E7B3A">
        <w:trPr>
          <w:trHeight w:val="300"/>
        </w:trPr>
        <w:tc>
          <w:tcPr>
            <w:tcW w:w="4560" w:type="dxa"/>
            <w:shd w:val="clear" w:color="auto" w:fill="D9D9D9"/>
            <w:noWrap/>
            <w:vAlign w:val="bottom"/>
            <w:hideMark/>
          </w:tcPr>
          <w:p w14:paraId="565FC1B0"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SYBR gold DNA gel stain</w:t>
            </w:r>
          </w:p>
        </w:tc>
        <w:tc>
          <w:tcPr>
            <w:tcW w:w="1300" w:type="dxa"/>
            <w:shd w:val="clear" w:color="auto" w:fill="auto"/>
            <w:noWrap/>
            <w:vAlign w:val="bottom"/>
            <w:hideMark/>
          </w:tcPr>
          <w:p w14:paraId="32966DC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413D7E85" w14:textId="77777777" w:rsidTr="008E7B3A">
        <w:trPr>
          <w:trHeight w:val="300"/>
        </w:trPr>
        <w:tc>
          <w:tcPr>
            <w:tcW w:w="4560" w:type="dxa"/>
            <w:shd w:val="clear" w:color="auto" w:fill="D9D9D9"/>
            <w:noWrap/>
            <w:vAlign w:val="bottom"/>
            <w:hideMark/>
          </w:tcPr>
          <w:p w14:paraId="6BD9968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TEMED</w:t>
            </w:r>
          </w:p>
        </w:tc>
        <w:tc>
          <w:tcPr>
            <w:tcW w:w="1300" w:type="dxa"/>
            <w:shd w:val="clear" w:color="auto" w:fill="auto"/>
            <w:noWrap/>
            <w:vAlign w:val="bottom"/>
            <w:hideMark/>
          </w:tcPr>
          <w:p w14:paraId="157193BD"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Prolabo</w:t>
            </w:r>
            <w:proofErr w:type="spellEnd"/>
          </w:p>
        </w:tc>
      </w:tr>
      <w:tr w:rsidR="008E7B3A" w:rsidRPr="008E7B3A" w14:paraId="2EA56467" w14:textId="77777777" w:rsidTr="008E7B3A">
        <w:trPr>
          <w:trHeight w:val="300"/>
        </w:trPr>
        <w:tc>
          <w:tcPr>
            <w:tcW w:w="4560" w:type="dxa"/>
            <w:shd w:val="clear" w:color="auto" w:fill="D9D9D9"/>
            <w:noWrap/>
            <w:vAlign w:val="bottom"/>
            <w:hideMark/>
          </w:tcPr>
          <w:p w14:paraId="6F2B8B6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Tetracycline</w:t>
            </w:r>
          </w:p>
        </w:tc>
        <w:tc>
          <w:tcPr>
            <w:tcW w:w="1300" w:type="dxa"/>
            <w:shd w:val="clear" w:color="auto" w:fill="auto"/>
            <w:noWrap/>
            <w:vAlign w:val="bottom"/>
            <w:hideMark/>
          </w:tcPr>
          <w:p w14:paraId="748F0AF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070EFE98" w14:textId="77777777" w:rsidTr="008E7B3A">
        <w:trPr>
          <w:trHeight w:val="300"/>
        </w:trPr>
        <w:tc>
          <w:tcPr>
            <w:tcW w:w="4560" w:type="dxa"/>
            <w:shd w:val="clear" w:color="auto" w:fill="D9D9D9"/>
            <w:noWrap/>
            <w:vAlign w:val="bottom"/>
            <w:hideMark/>
          </w:tcPr>
          <w:p w14:paraId="1A098AD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Thiazolyl blue tetrazolium bromide (MTT)</w:t>
            </w:r>
          </w:p>
        </w:tc>
        <w:tc>
          <w:tcPr>
            <w:tcW w:w="1300" w:type="dxa"/>
            <w:shd w:val="clear" w:color="auto" w:fill="auto"/>
            <w:noWrap/>
            <w:vAlign w:val="bottom"/>
            <w:hideMark/>
          </w:tcPr>
          <w:p w14:paraId="7B1F9E7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089D2204" w14:textId="77777777" w:rsidTr="008E7B3A">
        <w:trPr>
          <w:trHeight w:val="300"/>
        </w:trPr>
        <w:tc>
          <w:tcPr>
            <w:tcW w:w="4560" w:type="dxa"/>
            <w:shd w:val="clear" w:color="auto" w:fill="D9D9D9"/>
            <w:noWrap/>
            <w:vAlign w:val="bottom"/>
            <w:hideMark/>
          </w:tcPr>
          <w:p w14:paraId="6549CC1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Tris base</w:t>
            </w:r>
          </w:p>
        </w:tc>
        <w:tc>
          <w:tcPr>
            <w:tcW w:w="1300" w:type="dxa"/>
            <w:shd w:val="clear" w:color="auto" w:fill="auto"/>
            <w:noWrap/>
            <w:vAlign w:val="bottom"/>
            <w:hideMark/>
          </w:tcPr>
          <w:p w14:paraId="5B272AA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r w:rsidR="008E7B3A" w:rsidRPr="008E7B3A" w14:paraId="73D9CB92" w14:textId="77777777" w:rsidTr="008E7B3A">
        <w:trPr>
          <w:trHeight w:val="300"/>
        </w:trPr>
        <w:tc>
          <w:tcPr>
            <w:tcW w:w="4560" w:type="dxa"/>
            <w:shd w:val="clear" w:color="auto" w:fill="D9D9D9"/>
            <w:noWrap/>
            <w:vAlign w:val="bottom"/>
            <w:hideMark/>
          </w:tcPr>
          <w:p w14:paraId="0F2EADE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Triton X-100</w:t>
            </w:r>
          </w:p>
        </w:tc>
        <w:tc>
          <w:tcPr>
            <w:tcW w:w="1300" w:type="dxa"/>
            <w:shd w:val="clear" w:color="auto" w:fill="auto"/>
            <w:noWrap/>
            <w:vAlign w:val="bottom"/>
            <w:hideMark/>
          </w:tcPr>
          <w:p w14:paraId="0CD21E1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5F107582" w14:textId="77777777" w:rsidTr="008E7B3A">
        <w:trPr>
          <w:trHeight w:val="300"/>
        </w:trPr>
        <w:tc>
          <w:tcPr>
            <w:tcW w:w="4560" w:type="dxa"/>
            <w:shd w:val="clear" w:color="auto" w:fill="D9D9D9"/>
            <w:noWrap/>
            <w:vAlign w:val="bottom"/>
            <w:hideMark/>
          </w:tcPr>
          <w:p w14:paraId="0563911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Tryphan Blue</w:t>
            </w:r>
          </w:p>
        </w:tc>
        <w:tc>
          <w:tcPr>
            <w:tcW w:w="1300" w:type="dxa"/>
            <w:shd w:val="clear" w:color="auto" w:fill="auto"/>
            <w:noWrap/>
            <w:vAlign w:val="bottom"/>
            <w:hideMark/>
          </w:tcPr>
          <w:p w14:paraId="57C2966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1258E2AD" w14:textId="77777777" w:rsidTr="008E7B3A">
        <w:trPr>
          <w:trHeight w:val="300"/>
        </w:trPr>
        <w:tc>
          <w:tcPr>
            <w:tcW w:w="4560" w:type="dxa"/>
            <w:shd w:val="clear" w:color="auto" w:fill="D9D9D9"/>
            <w:noWrap/>
            <w:vAlign w:val="bottom"/>
            <w:hideMark/>
          </w:tcPr>
          <w:p w14:paraId="1578EDBF"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Trypsin</w:t>
            </w:r>
          </w:p>
        </w:tc>
        <w:tc>
          <w:tcPr>
            <w:tcW w:w="1300" w:type="dxa"/>
            <w:shd w:val="clear" w:color="auto" w:fill="auto"/>
            <w:noWrap/>
            <w:vAlign w:val="bottom"/>
            <w:hideMark/>
          </w:tcPr>
          <w:p w14:paraId="5B4572FB" w14:textId="77777777" w:rsidR="008E7B3A" w:rsidRPr="008E7B3A" w:rsidRDefault="008E7B3A" w:rsidP="008E7B3A">
            <w:pPr>
              <w:rPr>
                <w:rFonts w:ascii="Calibri" w:eastAsia="Times New Roman" w:hAnsi="Calibri" w:cs="Times New Roman"/>
                <w:color w:val="000000"/>
              </w:rPr>
            </w:pPr>
            <w:proofErr w:type="spellStart"/>
            <w:r w:rsidRPr="008E7B3A">
              <w:rPr>
                <w:rFonts w:ascii="Calibri" w:eastAsia="Times New Roman" w:hAnsi="Calibri" w:cs="Times New Roman"/>
                <w:color w:val="000000"/>
              </w:rPr>
              <w:t>Lonza</w:t>
            </w:r>
            <w:proofErr w:type="spellEnd"/>
          </w:p>
        </w:tc>
      </w:tr>
      <w:tr w:rsidR="008E7B3A" w:rsidRPr="008E7B3A" w14:paraId="2A373541" w14:textId="77777777" w:rsidTr="008E7B3A">
        <w:trPr>
          <w:trHeight w:val="300"/>
        </w:trPr>
        <w:tc>
          <w:tcPr>
            <w:tcW w:w="4560" w:type="dxa"/>
            <w:shd w:val="clear" w:color="auto" w:fill="D9D9D9"/>
            <w:noWrap/>
            <w:vAlign w:val="bottom"/>
            <w:hideMark/>
          </w:tcPr>
          <w:p w14:paraId="76FCB201"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Tween 20</w:t>
            </w:r>
          </w:p>
        </w:tc>
        <w:tc>
          <w:tcPr>
            <w:tcW w:w="1300" w:type="dxa"/>
            <w:shd w:val="clear" w:color="auto" w:fill="auto"/>
            <w:noWrap/>
            <w:vAlign w:val="bottom"/>
            <w:hideMark/>
          </w:tcPr>
          <w:p w14:paraId="5745C22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Sigma</w:t>
            </w:r>
          </w:p>
        </w:tc>
      </w:tr>
      <w:tr w:rsidR="008E7B3A" w:rsidRPr="008E7B3A" w14:paraId="7488B56E" w14:textId="77777777" w:rsidTr="008E7B3A">
        <w:trPr>
          <w:trHeight w:val="300"/>
        </w:trPr>
        <w:tc>
          <w:tcPr>
            <w:tcW w:w="4560" w:type="dxa"/>
            <w:shd w:val="clear" w:color="auto" w:fill="D9D9D9"/>
            <w:noWrap/>
            <w:vAlign w:val="bottom"/>
            <w:hideMark/>
          </w:tcPr>
          <w:p w14:paraId="2302D09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Zeocin</w:t>
            </w:r>
          </w:p>
        </w:tc>
        <w:tc>
          <w:tcPr>
            <w:tcW w:w="1300" w:type="dxa"/>
            <w:shd w:val="clear" w:color="auto" w:fill="auto"/>
            <w:noWrap/>
            <w:vAlign w:val="bottom"/>
            <w:hideMark/>
          </w:tcPr>
          <w:p w14:paraId="3E08D96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Melford</w:t>
            </w:r>
          </w:p>
        </w:tc>
      </w:tr>
      <w:tr w:rsidR="008E7B3A" w:rsidRPr="008E7B3A" w14:paraId="3EDCF717" w14:textId="77777777" w:rsidTr="008E7B3A">
        <w:trPr>
          <w:trHeight w:val="300"/>
        </w:trPr>
        <w:tc>
          <w:tcPr>
            <w:tcW w:w="4560" w:type="dxa"/>
            <w:shd w:val="clear" w:color="auto" w:fill="D9D9D9"/>
            <w:noWrap/>
            <w:vAlign w:val="bottom"/>
            <w:hideMark/>
          </w:tcPr>
          <w:p w14:paraId="3BA5309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β-mercaptoethanol</w:t>
            </w:r>
          </w:p>
        </w:tc>
        <w:tc>
          <w:tcPr>
            <w:tcW w:w="1300" w:type="dxa"/>
            <w:shd w:val="clear" w:color="auto" w:fill="auto"/>
            <w:noWrap/>
            <w:vAlign w:val="bottom"/>
            <w:hideMark/>
          </w:tcPr>
          <w:p w14:paraId="4B455BB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Fisher</w:t>
            </w:r>
          </w:p>
        </w:tc>
      </w:tr>
    </w:tbl>
    <w:p w14:paraId="3E00053F" w14:textId="77777777" w:rsidR="008E7B3A" w:rsidRPr="008E7B3A" w:rsidRDefault="008E7B3A" w:rsidP="002F41C6">
      <w:pPr>
        <w:keepNext/>
        <w:keepLines/>
        <w:numPr>
          <w:ilvl w:val="0"/>
          <w:numId w:val="18"/>
        </w:numPr>
        <w:spacing w:before="480"/>
        <w:jc w:val="both"/>
        <w:outlineLvl w:val="0"/>
        <w:rPr>
          <w:rFonts w:ascii="Calibri" w:eastAsia="ＭＳ Ｐゴシック" w:hAnsi="Calibri" w:cs="Times New Roman"/>
          <w:bCs/>
          <w:sz w:val="28"/>
          <w:szCs w:val="32"/>
        </w:rPr>
      </w:pPr>
      <w:r w:rsidRPr="008E7B3A">
        <w:rPr>
          <w:rFonts w:ascii="Calibri" w:eastAsia="ＭＳ Ｐゴシック" w:hAnsi="Calibri" w:cs="Times New Roman"/>
          <w:bCs/>
          <w:sz w:val="28"/>
          <w:szCs w:val="32"/>
        </w:rPr>
        <w:t xml:space="preserve">Preparation of Solutions </w:t>
      </w:r>
    </w:p>
    <w:p w14:paraId="21D61E33" w14:textId="77777777" w:rsidR="008E7B3A" w:rsidRPr="008E7B3A" w:rsidRDefault="008E7B3A" w:rsidP="00E6223C">
      <w:pPr>
        <w:keepNext/>
        <w:keepLines/>
        <w:numPr>
          <w:ilvl w:val="0"/>
          <w:numId w:val="10"/>
        </w:numPr>
        <w:spacing w:before="480" w:line="360" w:lineRule="auto"/>
        <w:jc w:val="both"/>
        <w:outlineLvl w:val="0"/>
        <w:rPr>
          <w:rFonts w:ascii="Calibri" w:eastAsia="ＭＳ Ｐゴシック" w:hAnsi="Calibri" w:cs="Times New Roman"/>
          <w:bCs/>
          <w:szCs w:val="32"/>
        </w:rPr>
      </w:pPr>
      <w:r w:rsidRPr="008E7B3A">
        <w:rPr>
          <w:rFonts w:ascii="Calibri" w:eastAsia="ＭＳ Ｐゴシック" w:hAnsi="Calibri" w:cs="Times New Roman"/>
          <w:bCs/>
          <w:szCs w:val="32"/>
        </w:rPr>
        <w:t>All solutions were stored at room temperature unless stated otherwise.</w:t>
      </w:r>
    </w:p>
    <w:p w14:paraId="2E515BFA" w14:textId="77777777" w:rsidR="008E7B3A" w:rsidRPr="008E7B3A" w:rsidRDefault="008E7B3A" w:rsidP="00E6223C">
      <w:pPr>
        <w:numPr>
          <w:ilvl w:val="0"/>
          <w:numId w:val="10"/>
        </w:numPr>
        <w:spacing w:line="360" w:lineRule="auto"/>
        <w:contextualSpacing/>
        <w:jc w:val="both"/>
        <w:rPr>
          <w:rFonts w:ascii="Calibri" w:eastAsia="ＭＳ Ｐゴシック" w:hAnsi="Calibri" w:cs="Times New Roman"/>
        </w:rPr>
      </w:pPr>
      <w:r w:rsidRPr="008E7B3A">
        <w:rPr>
          <w:rFonts w:ascii="Calibri" w:eastAsia="ＭＳ Ｐゴシック" w:hAnsi="Calibri" w:cs="Times New Roman"/>
        </w:rPr>
        <w:t>Sterilisation of solutions was carried out in the Academic Unit of Molecular Oncology central stores, using a MP24 Rodwell autoclave (Scientific Laboratory Supplies) at 15 p.s.i at 120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for 15mins.</w:t>
      </w:r>
    </w:p>
    <w:p w14:paraId="02424A4F" w14:textId="77777777" w:rsidR="008E7B3A" w:rsidRDefault="008E7B3A" w:rsidP="00E6223C">
      <w:pPr>
        <w:numPr>
          <w:ilvl w:val="0"/>
          <w:numId w:val="10"/>
        </w:numPr>
        <w:spacing w:line="360" w:lineRule="auto"/>
        <w:contextualSpacing/>
        <w:jc w:val="both"/>
        <w:rPr>
          <w:rFonts w:ascii="Calibri" w:eastAsia="ＭＳ Ｐゴシック" w:hAnsi="Calibri" w:cs="Times New Roman"/>
        </w:rPr>
      </w:pPr>
      <w:r w:rsidRPr="008E7B3A">
        <w:rPr>
          <w:rFonts w:ascii="Calibri" w:eastAsia="ＭＳ Ｐゴシック" w:hAnsi="Calibri" w:cs="Times New Roman"/>
        </w:rPr>
        <w:t xml:space="preserve">Ultra pure deionised water was obtained from a Triple Red </w:t>
      </w:r>
      <w:proofErr w:type="spellStart"/>
      <w:r w:rsidRPr="008E7B3A">
        <w:rPr>
          <w:rFonts w:ascii="Calibri" w:eastAsia="ＭＳ Ｐゴシック" w:hAnsi="Calibri" w:cs="Times New Roman"/>
        </w:rPr>
        <w:t>Nanopure</w:t>
      </w:r>
      <w:proofErr w:type="spellEnd"/>
      <w:r w:rsidRPr="008E7B3A">
        <w:rPr>
          <w:rFonts w:ascii="Calibri" w:eastAsia="ＭＳ Ｐゴシック" w:hAnsi="Calibri" w:cs="Times New Roman"/>
        </w:rPr>
        <w:t xml:space="preserve"> water filter machine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present within the laboratory.</w:t>
      </w:r>
    </w:p>
    <w:p w14:paraId="3E7CB2BD" w14:textId="4497451D" w:rsidR="00B71AD9" w:rsidRPr="00B71AD9" w:rsidRDefault="00B71AD9" w:rsidP="00B71AD9">
      <w:pPr>
        <w:numPr>
          <w:ilvl w:val="0"/>
          <w:numId w:val="10"/>
        </w:numPr>
        <w:spacing w:line="360" w:lineRule="auto"/>
        <w:contextualSpacing/>
        <w:rPr>
          <w:rFonts w:ascii="Calibri" w:eastAsia="ＭＳ Ｐゴシック" w:hAnsi="Calibri" w:cs="Times New Roman"/>
        </w:rPr>
      </w:pPr>
      <w:r w:rsidRPr="008E7B3A">
        <w:rPr>
          <w:rFonts w:ascii="Calibri" w:eastAsia="ＭＳ Ｐゴシック" w:hAnsi="Calibri" w:cs="Times New Roman"/>
        </w:rPr>
        <w:t xml:space="preserve">Any reagents used for tissue culture methods were filter sterilised in tissue culture hoods using sterile syringe filters. </w:t>
      </w:r>
    </w:p>
    <w:p w14:paraId="44296CED" w14:textId="77777777" w:rsidR="008E7B3A" w:rsidRPr="008E7B3A" w:rsidRDefault="008E7B3A" w:rsidP="008E7B3A">
      <w:pPr>
        <w:spacing w:line="360" w:lineRule="auto"/>
        <w:jc w:val="both"/>
        <w:rPr>
          <w:rFonts w:ascii="Calibri" w:eastAsia="ＭＳ Ｐゴシック" w:hAnsi="Calibri" w:cs="Times New Roman"/>
        </w:rPr>
      </w:pPr>
    </w:p>
    <w:p w14:paraId="04448ABC"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Tris 1.5M (pH 8.8):</w:t>
      </w:r>
      <w:r w:rsidRPr="008E7B3A">
        <w:rPr>
          <w:rFonts w:ascii="Calibri" w:eastAsia="ＭＳ Ｐゴシック" w:hAnsi="Calibri" w:cs="Times New Roman"/>
        </w:rPr>
        <w:t xml:space="preserve"> 181.7g Tris Base dissolved in 600ml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pH acquired with addition of concentrated HCL and the solution made to 1000ml with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548AEF1D" w14:textId="77777777" w:rsidR="008E7B3A" w:rsidRPr="008E7B3A" w:rsidRDefault="008E7B3A" w:rsidP="008E7B3A">
      <w:pPr>
        <w:spacing w:line="360" w:lineRule="auto"/>
        <w:jc w:val="both"/>
        <w:rPr>
          <w:rFonts w:ascii="Calibri" w:eastAsia="ＭＳ Ｐゴシック" w:hAnsi="Calibri" w:cs="Times New Roman"/>
        </w:rPr>
      </w:pPr>
    </w:p>
    <w:p w14:paraId="71041ACD"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Tris 1M (pH 6.8):</w:t>
      </w:r>
      <w:r w:rsidRPr="008E7B3A">
        <w:rPr>
          <w:rFonts w:ascii="Calibri" w:eastAsia="ＭＳ Ｐゴシック" w:hAnsi="Calibri" w:cs="Times New Roman"/>
        </w:rPr>
        <w:t xml:space="preserve"> 131.4g Tris Base dissolved in 600ml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pH acquired with addition of concentrated HCL and the solution made to 1000ml with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 xml:space="preserve">O. </w:t>
      </w:r>
    </w:p>
    <w:p w14:paraId="4585208F" w14:textId="77777777" w:rsidR="008E7B3A" w:rsidRPr="008E7B3A" w:rsidRDefault="008E7B3A" w:rsidP="008E7B3A">
      <w:pPr>
        <w:spacing w:line="360" w:lineRule="auto"/>
        <w:jc w:val="both"/>
        <w:rPr>
          <w:rFonts w:ascii="Calibri" w:eastAsia="ＭＳ Ｐゴシック" w:hAnsi="Calibri" w:cs="Times New Roman"/>
          <w:b/>
        </w:rPr>
      </w:pPr>
    </w:p>
    <w:p w14:paraId="1F3EF1FB" w14:textId="1FDD34F9"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 xml:space="preserve">10X </w:t>
      </w:r>
      <w:r w:rsidR="00B71AD9">
        <w:rPr>
          <w:rFonts w:ascii="Calibri" w:eastAsia="ＭＳ Ｐゴシック" w:hAnsi="Calibri" w:cs="Times New Roman"/>
          <w:b/>
        </w:rPr>
        <w:t xml:space="preserve">SDS PAGE </w:t>
      </w:r>
      <w:r w:rsidRPr="008E7B3A">
        <w:rPr>
          <w:rFonts w:ascii="Calibri" w:eastAsia="ＭＳ Ｐゴシック" w:hAnsi="Calibri" w:cs="Times New Roman"/>
          <w:b/>
        </w:rPr>
        <w:t>Running Buffer:</w:t>
      </w:r>
      <w:r w:rsidRPr="008E7B3A">
        <w:rPr>
          <w:rFonts w:ascii="Calibri" w:eastAsia="ＭＳ Ｐゴシック" w:hAnsi="Calibri" w:cs="Times New Roman"/>
        </w:rPr>
        <w:t xml:space="preserve"> 30.3g Tris Base, 144g Glycine and 10g SDS dissolved in 1000ml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4CD5F077" w14:textId="77777777" w:rsidR="008E7B3A" w:rsidRPr="008E7B3A" w:rsidRDefault="008E7B3A" w:rsidP="008E7B3A">
      <w:pPr>
        <w:spacing w:line="360" w:lineRule="auto"/>
        <w:jc w:val="both"/>
        <w:rPr>
          <w:rFonts w:ascii="Calibri" w:eastAsia="ＭＳ Ｐゴシック" w:hAnsi="Calibri" w:cs="Times New Roman"/>
        </w:rPr>
      </w:pPr>
    </w:p>
    <w:p w14:paraId="4676ED9B" w14:textId="0445FF8B"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 xml:space="preserve">10X </w:t>
      </w:r>
      <w:r w:rsidR="00B71AD9">
        <w:rPr>
          <w:rFonts w:ascii="Calibri" w:eastAsia="ＭＳ Ｐゴシック" w:hAnsi="Calibri" w:cs="Times New Roman"/>
          <w:b/>
        </w:rPr>
        <w:t xml:space="preserve">SDS PAGE </w:t>
      </w:r>
      <w:r w:rsidRPr="008E7B3A">
        <w:rPr>
          <w:rFonts w:ascii="Calibri" w:eastAsia="ＭＳ Ｐゴシック" w:hAnsi="Calibri" w:cs="Times New Roman"/>
          <w:b/>
        </w:rPr>
        <w:t>Transfer Buffer:</w:t>
      </w:r>
      <w:r w:rsidRPr="008E7B3A">
        <w:rPr>
          <w:rFonts w:ascii="Calibri" w:eastAsia="ＭＳ Ｐゴシック" w:hAnsi="Calibri" w:cs="Times New Roman"/>
        </w:rPr>
        <w:t xml:space="preserve"> 30.3g Tris Base, 144g Glycine dissolved in 1000ml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5B862E1F" w14:textId="77777777" w:rsidR="008E7B3A" w:rsidRPr="008E7B3A" w:rsidRDefault="008E7B3A" w:rsidP="008E7B3A">
      <w:pPr>
        <w:spacing w:line="360" w:lineRule="auto"/>
        <w:jc w:val="both"/>
        <w:rPr>
          <w:rFonts w:ascii="Calibri" w:eastAsia="ＭＳ Ｐゴシック" w:hAnsi="Calibri" w:cs="Times New Roman"/>
        </w:rPr>
      </w:pPr>
    </w:p>
    <w:p w14:paraId="45A43ACC"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10% APS:</w:t>
      </w:r>
      <w:r w:rsidRPr="008E7B3A">
        <w:rPr>
          <w:rFonts w:ascii="Calibri" w:eastAsia="ＭＳ Ｐゴシック" w:hAnsi="Calibri" w:cs="Times New Roman"/>
        </w:rPr>
        <w:t xml:space="preserve"> </w:t>
      </w:r>
      <w:proofErr w:type="gramStart"/>
      <w:r w:rsidRPr="008E7B3A">
        <w:rPr>
          <w:rFonts w:ascii="Calibri" w:eastAsia="ＭＳ Ｐゴシック" w:hAnsi="Calibri" w:cs="Times New Roman"/>
        </w:rPr>
        <w:t>1g ammonium</w:t>
      </w:r>
      <w:proofErr w:type="gramEnd"/>
      <w:r w:rsidRPr="008E7B3A">
        <w:rPr>
          <w:rFonts w:ascii="Calibri" w:eastAsia="ＭＳ Ｐゴシック" w:hAnsi="Calibri" w:cs="Times New Roman"/>
        </w:rPr>
        <w:t xml:space="preserve"> persulphate dissolved in 10ml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48706E4A" w14:textId="77777777" w:rsidR="008E7B3A" w:rsidRPr="008E7B3A" w:rsidRDefault="008E7B3A" w:rsidP="008E7B3A">
      <w:pPr>
        <w:spacing w:line="360" w:lineRule="auto"/>
        <w:jc w:val="both"/>
        <w:rPr>
          <w:rFonts w:ascii="Calibri" w:eastAsia="ＭＳ Ｐゴシック" w:hAnsi="Calibri" w:cs="Times New Roman"/>
        </w:rPr>
      </w:pPr>
    </w:p>
    <w:p w14:paraId="1C43DFFB"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5M NaCl</w:t>
      </w:r>
      <w:r w:rsidRPr="008E7B3A">
        <w:rPr>
          <w:rFonts w:ascii="Calibri" w:eastAsia="ＭＳ Ｐゴシック" w:hAnsi="Calibri" w:cs="Times New Roman"/>
        </w:rPr>
        <w:t>: 146g of sodium chloride dissolved in 500ml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72F46484" w14:textId="77777777" w:rsidR="008E7B3A" w:rsidRPr="008E7B3A" w:rsidRDefault="008E7B3A" w:rsidP="008E7B3A">
      <w:pPr>
        <w:spacing w:line="360" w:lineRule="auto"/>
        <w:jc w:val="both"/>
        <w:rPr>
          <w:rFonts w:ascii="Calibri" w:eastAsia="ＭＳ Ｐゴシック" w:hAnsi="Calibri" w:cs="Times New Roman"/>
        </w:rPr>
      </w:pPr>
    </w:p>
    <w:p w14:paraId="24C10EF8"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50X TAE</w:t>
      </w:r>
      <w:r w:rsidRPr="008E7B3A">
        <w:rPr>
          <w:rFonts w:ascii="Calibri" w:eastAsia="ＭＳ Ｐゴシック" w:hAnsi="Calibri" w:cs="Times New Roman"/>
        </w:rPr>
        <w:t>: 242g Tris Base, 57.1ml Acetic acid and 100ml 500mM EDTA dissolved in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to make up to 1000ml.</w:t>
      </w:r>
    </w:p>
    <w:p w14:paraId="1D68130B" w14:textId="77777777" w:rsidR="008E7B3A" w:rsidRPr="008E7B3A" w:rsidRDefault="008E7B3A" w:rsidP="008E7B3A">
      <w:pPr>
        <w:spacing w:line="360" w:lineRule="auto"/>
        <w:jc w:val="both"/>
        <w:rPr>
          <w:rFonts w:ascii="Calibri" w:eastAsia="ＭＳ Ｐゴシック" w:hAnsi="Calibri" w:cs="Times New Roman"/>
        </w:rPr>
      </w:pPr>
    </w:p>
    <w:p w14:paraId="3CAF4365"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500mM EDTA:</w:t>
      </w:r>
      <w:r w:rsidRPr="008E7B3A">
        <w:rPr>
          <w:rFonts w:ascii="Calibri" w:eastAsia="ＭＳ Ｐゴシック" w:hAnsi="Calibri" w:cs="Times New Roman"/>
        </w:rPr>
        <w:t xml:space="preserve"> 186.1g Ethylenediaminetetraacetic </w:t>
      </w:r>
      <w:proofErr w:type="gramStart"/>
      <w:r w:rsidRPr="008E7B3A">
        <w:rPr>
          <w:rFonts w:ascii="Calibri" w:eastAsia="ＭＳ Ｐゴシック" w:hAnsi="Calibri" w:cs="Times New Roman"/>
        </w:rPr>
        <w:t>acid</w:t>
      </w:r>
      <w:proofErr w:type="gramEnd"/>
      <w:r w:rsidRPr="008E7B3A">
        <w:rPr>
          <w:rFonts w:ascii="Calibri" w:eastAsia="ＭＳ Ｐゴシック" w:hAnsi="Calibri" w:cs="Times New Roman"/>
        </w:rPr>
        <w:t xml:space="preserve"> dissolved in 1000ml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2AB94E96" w14:textId="77777777" w:rsidR="008E7B3A" w:rsidRPr="008E7B3A" w:rsidRDefault="008E7B3A" w:rsidP="008E7B3A">
      <w:pPr>
        <w:spacing w:line="360" w:lineRule="auto"/>
        <w:jc w:val="both"/>
        <w:rPr>
          <w:rFonts w:ascii="Calibri" w:eastAsia="ＭＳ Ｐゴシック" w:hAnsi="Calibri" w:cs="Times New Roman"/>
        </w:rPr>
      </w:pPr>
    </w:p>
    <w:p w14:paraId="2208A29E"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1X PBS:</w:t>
      </w:r>
      <w:r w:rsidRPr="008E7B3A">
        <w:rPr>
          <w:rFonts w:ascii="Calibri" w:eastAsia="ＭＳ Ｐゴシック" w:hAnsi="Calibri" w:cs="Times New Roman"/>
        </w:rPr>
        <w:t xml:space="preserve"> 1 tablet (oxoid BR0014) to 100ml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autoclaved 120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for 15mins (obtained from central stores in the Academic Unit of Molecular Oncology).</w:t>
      </w:r>
    </w:p>
    <w:p w14:paraId="40533DDF" w14:textId="77777777" w:rsidR="008E7B3A" w:rsidRPr="008E7B3A" w:rsidRDefault="008E7B3A" w:rsidP="008E7B3A">
      <w:pPr>
        <w:spacing w:line="360" w:lineRule="auto"/>
        <w:jc w:val="both"/>
        <w:rPr>
          <w:rFonts w:ascii="Calibri" w:eastAsia="ＭＳ Ｐゴシック" w:hAnsi="Calibri" w:cs="Times New Roman"/>
        </w:rPr>
      </w:pPr>
    </w:p>
    <w:p w14:paraId="54796FDF"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 xml:space="preserve">PBS-T: </w:t>
      </w:r>
      <w:r w:rsidRPr="008E7B3A">
        <w:rPr>
          <w:rFonts w:ascii="Calibri" w:eastAsia="ＭＳ Ｐゴシック" w:hAnsi="Calibri" w:cs="Times New Roman"/>
        </w:rPr>
        <w:t>500ml 1X PBS with 500</w:t>
      </w:r>
      <w:r w:rsidRPr="008E7B3A">
        <w:rPr>
          <w:rFonts w:ascii="Cambria" w:eastAsia="ＭＳ Ｐゴシック" w:hAnsi="Cambria" w:cs="Times New Roman"/>
        </w:rPr>
        <w:t>μ</w:t>
      </w:r>
      <w:r w:rsidRPr="008E7B3A">
        <w:rPr>
          <w:rFonts w:ascii="Calibri" w:eastAsia="ＭＳ Ｐゴシック" w:hAnsi="Calibri" w:cs="Times New Roman"/>
        </w:rPr>
        <w:t xml:space="preserve">l Tween 20. </w:t>
      </w:r>
    </w:p>
    <w:p w14:paraId="51C5B260" w14:textId="77777777" w:rsidR="008E7B3A" w:rsidRPr="008E7B3A" w:rsidRDefault="008E7B3A" w:rsidP="008E7B3A">
      <w:pPr>
        <w:spacing w:line="360" w:lineRule="auto"/>
        <w:jc w:val="both"/>
        <w:rPr>
          <w:rFonts w:ascii="Calibri" w:eastAsia="ＭＳ Ｐゴシック" w:hAnsi="Calibri" w:cs="Times New Roman"/>
        </w:rPr>
      </w:pPr>
    </w:p>
    <w:p w14:paraId="2858EA16"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10% SDS:</w:t>
      </w:r>
      <w:r w:rsidRPr="008E7B3A">
        <w:rPr>
          <w:rFonts w:ascii="Calibri" w:eastAsia="ＭＳ Ｐゴシック" w:hAnsi="Calibri" w:cs="Times New Roman"/>
        </w:rPr>
        <w:t xml:space="preserve"> 50g of Sodium Dodecyl Sulphate dissolved in 500ml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76192654" w14:textId="77777777" w:rsidR="008E7B3A" w:rsidRPr="008E7B3A" w:rsidRDefault="008E7B3A" w:rsidP="008E7B3A">
      <w:pPr>
        <w:spacing w:line="360" w:lineRule="auto"/>
        <w:jc w:val="both"/>
        <w:rPr>
          <w:rFonts w:ascii="Calibri" w:eastAsia="ＭＳ Ｐゴシック" w:hAnsi="Calibri" w:cs="Times New Roman"/>
        </w:rPr>
      </w:pPr>
    </w:p>
    <w:p w14:paraId="3DE06AA3"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LB Broth:</w:t>
      </w:r>
      <w:r w:rsidRPr="008E7B3A">
        <w:rPr>
          <w:rFonts w:ascii="Calibri" w:eastAsia="ＭＳ Ｐゴシック" w:hAnsi="Calibri" w:cs="Times New Roman"/>
        </w:rPr>
        <w:t xml:space="preserve"> 10g of premade LB broth dissolved in 400ml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and autoclaved before use.</w:t>
      </w:r>
    </w:p>
    <w:p w14:paraId="6567CE72" w14:textId="77777777" w:rsidR="008E7B3A" w:rsidRPr="008E7B3A" w:rsidRDefault="008E7B3A" w:rsidP="008E7B3A">
      <w:pPr>
        <w:spacing w:line="360" w:lineRule="auto"/>
        <w:jc w:val="both"/>
        <w:rPr>
          <w:rFonts w:ascii="Calibri" w:eastAsia="ＭＳ Ｐゴシック" w:hAnsi="Calibri" w:cs="Times New Roman"/>
        </w:rPr>
      </w:pPr>
    </w:p>
    <w:p w14:paraId="5A67E672"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LB Agar:</w:t>
      </w:r>
      <w:r w:rsidRPr="008E7B3A">
        <w:rPr>
          <w:rFonts w:ascii="Calibri" w:eastAsia="ＭＳ Ｐゴシック" w:hAnsi="Calibri" w:cs="Times New Roman"/>
        </w:rPr>
        <w:t xml:space="preserve"> 14.8g of premade LB Agar dissolved in 400ml of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and autoclaved before use.</w:t>
      </w:r>
    </w:p>
    <w:p w14:paraId="5F0086FE" w14:textId="77777777" w:rsidR="008E7B3A" w:rsidRPr="008E7B3A" w:rsidRDefault="008E7B3A" w:rsidP="008E7B3A">
      <w:pPr>
        <w:spacing w:line="360" w:lineRule="auto"/>
        <w:jc w:val="both"/>
        <w:rPr>
          <w:rFonts w:ascii="Calibri" w:eastAsia="ＭＳ Ｐゴシック" w:hAnsi="Calibri" w:cs="Times New Roman"/>
        </w:rPr>
      </w:pPr>
    </w:p>
    <w:p w14:paraId="3247A779"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10X DNA loading buffer:</w:t>
      </w:r>
      <w:r w:rsidRPr="008E7B3A">
        <w:rPr>
          <w:rFonts w:ascii="Calibri" w:eastAsia="ＭＳ Ｐゴシック" w:hAnsi="Calibri" w:cs="Times New Roman"/>
        </w:rPr>
        <w:t xml:space="preserve"> 3.9ml Glycerol, 500</w:t>
      </w:r>
      <w:r w:rsidRPr="008E7B3A">
        <w:rPr>
          <w:rFonts w:ascii="Cambria" w:eastAsia="ＭＳ Ｐゴシック" w:hAnsi="Cambria" w:cs="Times New Roman"/>
        </w:rPr>
        <w:t>μ</w:t>
      </w:r>
      <w:r w:rsidRPr="008E7B3A">
        <w:rPr>
          <w:rFonts w:ascii="Calibri" w:eastAsia="ＭＳ Ｐゴシック" w:hAnsi="Calibri" w:cs="Times New Roman"/>
        </w:rPr>
        <w:t xml:space="preserve">l 0.5M EDTA, 0.025g </w:t>
      </w:r>
      <w:proofErr w:type="spellStart"/>
      <w:r w:rsidRPr="008E7B3A">
        <w:rPr>
          <w:rFonts w:ascii="Calibri" w:eastAsia="ＭＳ Ｐゴシック" w:hAnsi="Calibri" w:cs="Times New Roman"/>
        </w:rPr>
        <w:t>bromophenol</w:t>
      </w:r>
      <w:proofErr w:type="spellEnd"/>
      <w:r w:rsidRPr="008E7B3A">
        <w:rPr>
          <w:rFonts w:ascii="Calibri" w:eastAsia="ＭＳ Ｐゴシック" w:hAnsi="Calibri" w:cs="Times New Roman"/>
        </w:rPr>
        <w:t xml:space="preserve"> blue, 0.025g xylene </w:t>
      </w:r>
      <w:proofErr w:type="spellStart"/>
      <w:r w:rsidRPr="008E7B3A">
        <w:rPr>
          <w:rFonts w:ascii="Calibri" w:eastAsia="ＭＳ Ｐゴシック" w:hAnsi="Calibri" w:cs="Times New Roman"/>
        </w:rPr>
        <w:t>cyanol</w:t>
      </w:r>
      <w:proofErr w:type="spellEnd"/>
      <w:r w:rsidRPr="008E7B3A">
        <w:rPr>
          <w:rFonts w:ascii="Calibri" w:eastAsia="ＭＳ Ｐゴシック" w:hAnsi="Calibri" w:cs="Times New Roman"/>
        </w:rPr>
        <w:t xml:space="preserve"> dissolved to make up 10ml in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01F0A7B3" w14:textId="77777777" w:rsidR="008E7B3A" w:rsidRPr="008E7B3A" w:rsidRDefault="008E7B3A" w:rsidP="008E7B3A">
      <w:pPr>
        <w:spacing w:line="360" w:lineRule="auto"/>
        <w:jc w:val="both"/>
        <w:rPr>
          <w:rFonts w:ascii="Calibri" w:eastAsia="ＭＳ Ｐゴシック" w:hAnsi="Calibri" w:cs="Times New Roman"/>
        </w:rPr>
      </w:pPr>
    </w:p>
    <w:p w14:paraId="085E303C"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Methylene Blue:</w:t>
      </w:r>
      <w:r w:rsidRPr="008E7B3A">
        <w:rPr>
          <w:rFonts w:ascii="Calibri" w:eastAsia="ＭＳ Ｐゴシック" w:hAnsi="Calibri" w:cs="Times New Roman"/>
        </w:rPr>
        <w:t xml:space="preserve"> 0.4% methylene blue in 70% Methanol.</w:t>
      </w:r>
    </w:p>
    <w:p w14:paraId="206D15BD" w14:textId="77777777" w:rsidR="008E7B3A" w:rsidRPr="008E7B3A" w:rsidRDefault="008E7B3A" w:rsidP="008E7B3A">
      <w:pPr>
        <w:spacing w:line="360" w:lineRule="auto"/>
        <w:jc w:val="both"/>
        <w:rPr>
          <w:rFonts w:ascii="Calibri" w:eastAsia="ＭＳ Ｐゴシック" w:hAnsi="Calibri" w:cs="Times New Roman"/>
        </w:rPr>
      </w:pPr>
    </w:p>
    <w:p w14:paraId="13E7B704"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Alkaline Unwinding Solution:</w:t>
      </w:r>
      <w:r w:rsidRPr="008E7B3A">
        <w:rPr>
          <w:rFonts w:ascii="Calibri" w:eastAsia="ＭＳ Ｐゴシック" w:hAnsi="Calibri" w:cs="Times New Roman"/>
        </w:rPr>
        <w:t xml:space="preserve"> 4g </w:t>
      </w:r>
      <w:proofErr w:type="spellStart"/>
      <w:r w:rsidRPr="008E7B3A">
        <w:rPr>
          <w:rFonts w:ascii="Calibri" w:eastAsia="ＭＳ Ｐゴシック" w:hAnsi="Calibri" w:cs="Times New Roman"/>
        </w:rPr>
        <w:t>NaOH</w:t>
      </w:r>
      <w:proofErr w:type="spellEnd"/>
      <w:r w:rsidRPr="008E7B3A">
        <w:rPr>
          <w:rFonts w:ascii="Calibri" w:eastAsia="ＭＳ Ｐゴシック" w:hAnsi="Calibri" w:cs="Times New Roman"/>
        </w:rPr>
        <w:t xml:space="preserve"> pellets and 2.5ml 200mM EDTA (supplied in comet kit) was dissolved in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to make 500ml.</w:t>
      </w:r>
    </w:p>
    <w:p w14:paraId="3B64C3FF" w14:textId="77777777" w:rsidR="008E7B3A" w:rsidRPr="008E7B3A" w:rsidRDefault="008E7B3A" w:rsidP="008E7B3A">
      <w:pPr>
        <w:spacing w:line="360" w:lineRule="auto"/>
        <w:jc w:val="both"/>
        <w:rPr>
          <w:rFonts w:ascii="Calibri" w:eastAsia="ＭＳ Ｐゴシック" w:hAnsi="Calibri" w:cs="Times New Roman"/>
        </w:rPr>
      </w:pPr>
    </w:p>
    <w:p w14:paraId="23BFDDED"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Electrophoresis Comet Buffer:</w:t>
      </w:r>
      <w:r w:rsidRPr="008E7B3A">
        <w:rPr>
          <w:rFonts w:ascii="Calibri" w:eastAsia="ＭＳ Ｐゴシック" w:hAnsi="Calibri" w:cs="Times New Roman"/>
        </w:rPr>
        <w:t xml:space="preserve"> 8g </w:t>
      </w:r>
      <w:proofErr w:type="spellStart"/>
      <w:r w:rsidRPr="008E7B3A">
        <w:rPr>
          <w:rFonts w:ascii="Calibri" w:eastAsia="ＭＳ Ｐゴシック" w:hAnsi="Calibri" w:cs="Times New Roman"/>
        </w:rPr>
        <w:t>NaOH</w:t>
      </w:r>
      <w:proofErr w:type="spellEnd"/>
      <w:r w:rsidRPr="008E7B3A">
        <w:rPr>
          <w:rFonts w:ascii="Calibri" w:eastAsia="ＭＳ Ｐゴシック" w:hAnsi="Calibri" w:cs="Times New Roman"/>
        </w:rPr>
        <w:t xml:space="preserve"> pellets and 2ml 500mM EDTA was dissolved in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to make 1000ml (stored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p w14:paraId="12B18572" w14:textId="77777777" w:rsidR="008E7B3A" w:rsidRPr="008E7B3A" w:rsidRDefault="008E7B3A" w:rsidP="008E7B3A">
      <w:pPr>
        <w:spacing w:line="360" w:lineRule="auto"/>
        <w:jc w:val="both"/>
        <w:rPr>
          <w:rFonts w:ascii="Calibri" w:eastAsia="ＭＳ Ｐゴシック" w:hAnsi="Calibri" w:cs="Times New Roman"/>
        </w:rPr>
      </w:pPr>
    </w:p>
    <w:p w14:paraId="3F5930AB" w14:textId="77777777"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Precept:</w:t>
      </w:r>
      <w:r w:rsidRPr="008E7B3A">
        <w:rPr>
          <w:rFonts w:ascii="Calibri" w:eastAsia="ＭＳ Ｐゴシック" w:hAnsi="Calibri" w:cs="Times New Roman"/>
        </w:rPr>
        <w:t xml:space="preserve"> 4 2.5g tablets (Johnson &amp; Johnson) dissolved in 5000ml tap water.</w:t>
      </w:r>
    </w:p>
    <w:p w14:paraId="5BACEA2F" w14:textId="77777777" w:rsidR="008E7B3A" w:rsidRPr="008E7B3A" w:rsidRDefault="008E7B3A" w:rsidP="008E7B3A">
      <w:pPr>
        <w:spacing w:line="276" w:lineRule="auto"/>
        <w:jc w:val="both"/>
        <w:rPr>
          <w:rFonts w:ascii="Calibri" w:eastAsia="ＭＳ Ｐゴシック" w:hAnsi="Calibri" w:cs="Times New Roman"/>
          <w:sz w:val="28"/>
        </w:rPr>
      </w:pPr>
    </w:p>
    <w:p w14:paraId="13A0F3A7" w14:textId="77777777" w:rsidR="008E7B3A" w:rsidRPr="008E7B3A" w:rsidRDefault="008E7B3A" w:rsidP="002F41C6">
      <w:pPr>
        <w:numPr>
          <w:ilvl w:val="0"/>
          <w:numId w:val="18"/>
        </w:numPr>
        <w:spacing w:line="276" w:lineRule="auto"/>
        <w:contextualSpacing/>
        <w:jc w:val="both"/>
        <w:rPr>
          <w:rFonts w:ascii="Calibri" w:eastAsia="ＭＳ Ｐゴシック" w:hAnsi="Calibri" w:cs="Times New Roman"/>
          <w:sz w:val="28"/>
        </w:rPr>
      </w:pPr>
      <w:r w:rsidRPr="008E7B3A">
        <w:rPr>
          <w:rFonts w:ascii="Calibri" w:eastAsia="ＭＳ Ｐゴシック" w:hAnsi="Calibri" w:cs="Times New Roman"/>
          <w:sz w:val="28"/>
        </w:rPr>
        <w:t>Antibodies</w:t>
      </w:r>
    </w:p>
    <w:p w14:paraId="20B01AB2" w14:textId="77777777" w:rsidR="008E7B3A" w:rsidRPr="008E7B3A" w:rsidRDefault="008E7B3A" w:rsidP="008E7B3A">
      <w:pPr>
        <w:spacing w:line="276" w:lineRule="auto"/>
        <w:jc w:val="both"/>
        <w:rPr>
          <w:rFonts w:ascii="Calibri" w:eastAsia="ＭＳ Ｐゴシック" w:hAnsi="Calibri" w:cs="Times New Roman"/>
          <w:sz w:val="28"/>
        </w:rPr>
      </w:pPr>
    </w:p>
    <w:tbl>
      <w:tblPr>
        <w:tblW w:w="8931"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7"/>
        <w:gridCol w:w="992"/>
        <w:gridCol w:w="1134"/>
        <w:gridCol w:w="1276"/>
        <w:gridCol w:w="1417"/>
        <w:gridCol w:w="851"/>
        <w:gridCol w:w="1134"/>
      </w:tblGrid>
      <w:tr w:rsidR="00A5506E" w:rsidRPr="008E7B3A" w14:paraId="541C075E" w14:textId="77777777" w:rsidTr="00252FEC">
        <w:trPr>
          <w:trHeight w:val="300"/>
        </w:trPr>
        <w:tc>
          <w:tcPr>
            <w:tcW w:w="2127" w:type="dxa"/>
            <w:shd w:val="clear" w:color="auto" w:fill="000000"/>
            <w:noWrap/>
            <w:vAlign w:val="bottom"/>
            <w:hideMark/>
          </w:tcPr>
          <w:p w14:paraId="1EFCEE04" w14:textId="77777777" w:rsidR="00A5506E" w:rsidRPr="00A5506E" w:rsidRDefault="00A5506E" w:rsidP="008E7B3A">
            <w:pPr>
              <w:ind w:left="-675"/>
              <w:jc w:val="center"/>
              <w:rPr>
                <w:rFonts w:ascii="Calibri" w:eastAsia="Times New Roman" w:hAnsi="Calibri" w:cs="Times New Roman"/>
                <w:b/>
                <w:bCs/>
                <w:color w:val="FFFFFF"/>
                <w:sz w:val="18"/>
              </w:rPr>
            </w:pPr>
            <w:r w:rsidRPr="00A5506E">
              <w:rPr>
                <w:rFonts w:ascii="Calibri" w:eastAsia="Times New Roman" w:hAnsi="Calibri" w:cs="Times New Roman"/>
                <w:b/>
                <w:bCs/>
                <w:color w:val="FFFFFF"/>
                <w:sz w:val="18"/>
              </w:rPr>
              <w:t>Primary Antibodies</w:t>
            </w:r>
          </w:p>
        </w:tc>
        <w:tc>
          <w:tcPr>
            <w:tcW w:w="992" w:type="dxa"/>
            <w:shd w:val="clear" w:color="auto" w:fill="000000"/>
            <w:noWrap/>
            <w:vAlign w:val="bottom"/>
            <w:hideMark/>
          </w:tcPr>
          <w:p w14:paraId="6843D0A3" w14:textId="77777777" w:rsidR="00A5506E" w:rsidRPr="00CF0167" w:rsidRDefault="00A5506E" w:rsidP="008E7B3A">
            <w:pPr>
              <w:rPr>
                <w:rFonts w:ascii="Calibri" w:eastAsia="Times New Roman" w:hAnsi="Calibri" w:cs="Times New Roman"/>
                <w:b/>
                <w:bCs/>
                <w:color w:val="FFFFFF"/>
                <w:sz w:val="18"/>
              </w:rPr>
            </w:pPr>
            <w:r w:rsidRPr="00CF0167">
              <w:rPr>
                <w:rFonts w:ascii="Calibri" w:eastAsia="Times New Roman" w:hAnsi="Calibri" w:cs="Times New Roman"/>
                <w:b/>
                <w:bCs/>
                <w:color w:val="FFFFFF"/>
                <w:sz w:val="18"/>
              </w:rPr>
              <w:t>Raised in</w:t>
            </w:r>
          </w:p>
        </w:tc>
        <w:tc>
          <w:tcPr>
            <w:tcW w:w="1134" w:type="dxa"/>
            <w:shd w:val="clear" w:color="auto" w:fill="000000"/>
          </w:tcPr>
          <w:p w14:paraId="0576145D" w14:textId="18804789" w:rsidR="00A5506E" w:rsidRPr="00CF0167" w:rsidRDefault="00252FEC" w:rsidP="008E7B3A">
            <w:pPr>
              <w:rPr>
                <w:rFonts w:ascii="Calibri" w:eastAsia="Times New Roman" w:hAnsi="Calibri" w:cs="Times New Roman"/>
                <w:b/>
                <w:bCs/>
                <w:color w:val="FFFFFF"/>
                <w:sz w:val="18"/>
              </w:rPr>
            </w:pPr>
            <w:r w:rsidRPr="00CF0167">
              <w:rPr>
                <w:rFonts w:ascii="Calibri" w:eastAsia="Times New Roman" w:hAnsi="Calibri" w:cs="Times New Roman"/>
                <w:b/>
                <w:bCs/>
                <w:color w:val="FFFFFF"/>
                <w:sz w:val="18"/>
              </w:rPr>
              <w:t>Clonality</w:t>
            </w:r>
          </w:p>
        </w:tc>
        <w:tc>
          <w:tcPr>
            <w:tcW w:w="1276" w:type="dxa"/>
            <w:shd w:val="clear" w:color="auto" w:fill="000000"/>
            <w:noWrap/>
            <w:vAlign w:val="bottom"/>
            <w:hideMark/>
          </w:tcPr>
          <w:p w14:paraId="0CA7FE78" w14:textId="2DED58D8" w:rsidR="00A5506E" w:rsidRPr="00A5506E" w:rsidRDefault="00A5506E" w:rsidP="008E7B3A">
            <w:pPr>
              <w:rPr>
                <w:rFonts w:ascii="Calibri" w:eastAsia="Times New Roman" w:hAnsi="Calibri" w:cs="Times New Roman"/>
                <w:b/>
                <w:bCs/>
                <w:color w:val="FFFFFF"/>
                <w:sz w:val="18"/>
              </w:rPr>
            </w:pPr>
            <w:r w:rsidRPr="00A5506E">
              <w:rPr>
                <w:rFonts w:ascii="Calibri" w:eastAsia="Times New Roman" w:hAnsi="Calibri" w:cs="Times New Roman"/>
                <w:b/>
                <w:bCs/>
                <w:color w:val="FFFFFF"/>
                <w:sz w:val="18"/>
              </w:rPr>
              <w:t>Manufacturer</w:t>
            </w:r>
          </w:p>
        </w:tc>
        <w:tc>
          <w:tcPr>
            <w:tcW w:w="1417" w:type="dxa"/>
            <w:shd w:val="clear" w:color="auto" w:fill="000000"/>
            <w:noWrap/>
            <w:vAlign w:val="bottom"/>
            <w:hideMark/>
          </w:tcPr>
          <w:p w14:paraId="23DA01BC" w14:textId="77777777" w:rsidR="00A5506E" w:rsidRPr="00A5506E" w:rsidRDefault="00A5506E" w:rsidP="008E7B3A">
            <w:pPr>
              <w:rPr>
                <w:rFonts w:ascii="Calibri" w:eastAsia="Times New Roman" w:hAnsi="Calibri" w:cs="Times New Roman"/>
                <w:b/>
                <w:bCs/>
                <w:color w:val="FFFFFF"/>
                <w:sz w:val="18"/>
              </w:rPr>
            </w:pPr>
            <w:r w:rsidRPr="00A5506E">
              <w:rPr>
                <w:rFonts w:ascii="Calibri" w:eastAsia="Times New Roman" w:hAnsi="Calibri" w:cs="Times New Roman"/>
                <w:b/>
                <w:bCs/>
                <w:color w:val="FFFFFF"/>
                <w:sz w:val="18"/>
              </w:rPr>
              <w:t>Concentration</w:t>
            </w:r>
          </w:p>
        </w:tc>
        <w:tc>
          <w:tcPr>
            <w:tcW w:w="851" w:type="dxa"/>
            <w:shd w:val="clear" w:color="auto" w:fill="000000"/>
            <w:noWrap/>
            <w:vAlign w:val="bottom"/>
            <w:hideMark/>
          </w:tcPr>
          <w:p w14:paraId="7D814F5A" w14:textId="77777777" w:rsidR="00A5506E" w:rsidRPr="00A5506E" w:rsidRDefault="00A5506E" w:rsidP="008E7B3A">
            <w:pPr>
              <w:rPr>
                <w:rFonts w:ascii="Calibri" w:eastAsia="Times New Roman" w:hAnsi="Calibri" w:cs="Times New Roman"/>
                <w:b/>
                <w:bCs/>
                <w:color w:val="FFFFFF"/>
                <w:sz w:val="18"/>
              </w:rPr>
            </w:pPr>
            <w:r w:rsidRPr="00A5506E">
              <w:rPr>
                <w:rFonts w:ascii="Calibri" w:eastAsia="Times New Roman" w:hAnsi="Calibri" w:cs="Times New Roman"/>
                <w:b/>
                <w:bCs/>
                <w:color w:val="FFFFFF"/>
                <w:sz w:val="18"/>
              </w:rPr>
              <w:t>Use</w:t>
            </w:r>
          </w:p>
        </w:tc>
        <w:tc>
          <w:tcPr>
            <w:tcW w:w="1134" w:type="dxa"/>
            <w:shd w:val="clear" w:color="auto" w:fill="000000"/>
            <w:noWrap/>
            <w:vAlign w:val="bottom"/>
            <w:hideMark/>
          </w:tcPr>
          <w:p w14:paraId="64CE2987" w14:textId="77777777" w:rsidR="00A5506E" w:rsidRPr="00A5506E" w:rsidRDefault="00A5506E" w:rsidP="008E7B3A">
            <w:pPr>
              <w:rPr>
                <w:rFonts w:ascii="Calibri" w:eastAsia="Times New Roman" w:hAnsi="Calibri" w:cs="Times New Roman"/>
                <w:b/>
                <w:bCs/>
                <w:color w:val="FFFFFF"/>
                <w:sz w:val="18"/>
              </w:rPr>
            </w:pPr>
            <w:r w:rsidRPr="00A5506E">
              <w:rPr>
                <w:rFonts w:ascii="Calibri" w:eastAsia="Times New Roman" w:hAnsi="Calibri" w:cs="Times New Roman"/>
                <w:b/>
                <w:bCs/>
                <w:color w:val="FFFFFF"/>
                <w:sz w:val="18"/>
              </w:rPr>
              <w:t>Protein size</w:t>
            </w:r>
          </w:p>
        </w:tc>
      </w:tr>
      <w:tr w:rsidR="00A5506E" w:rsidRPr="00E82D3B" w14:paraId="4C5E011A" w14:textId="77777777" w:rsidTr="00CF0167">
        <w:trPr>
          <w:trHeight w:val="300"/>
        </w:trPr>
        <w:tc>
          <w:tcPr>
            <w:tcW w:w="2127" w:type="dxa"/>
            <w:shd w:val="clear" w:color="auto" w:fill="D9D9D9"/>
            <w:noWrap/>
            <w:vAlign w:val="bottom"/>
          </w:tcPr>
          <w:p w14:paraId="52538D7E"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 β- Tubulin</w:t>
            </w:r>
          </w:p>
        </w:tc>
        <w:tc>
          <w:tcPr>
            <w:tcW w:w="992" w:type="dxa"/>
            <w:shd w:val="clear" w:color="auto" w:fill="auto"/>
            <w:noWrap/>
            <w:vAlign w:val="bottom"/>
          </w:tcPr>
          <w:p w14:paraId="6A680DA3"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Mouse</w:t>
            </w:r>
          </w:p>
        </w:tc>
        <w:tc>
          <w:tcPr>
            <w:tcW w:w="1134" w:type="dxa"/>
            <w:vAlign w:val="bottom"/>
          </w:tcPr>
          <w:p w14:paraId="4AA384AF" w14:textId="2E72AC06" w:rsidR="00A5506E" w:rsidRPr="00E82D3B" w:rsidRDefault="00252FEC"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Polyclonal</w:t>
            </w:r>
          </w:p>
        </w:tc>
        <w:tc>
          <w:tcPr>
            <w:tcW w:w="1276" w:type="dxa"/>
            <w:shd w:val="clear" w:color="auto" w:fill="auto"/>
            <w:noWrap/>
            <w:vAlign w:val="bottom"/>
          </w:tcPr>
          <w:p w14:paraId="34E01183" w14:textId="1DF7E89D"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Abcam</w:t>
            </w:r>
          </w:p>
        </w:tc>
        <w:tc>
          <w:tcPr>
            <w:tcW w:w="1417" w:type="dxa"/>
            <w:shd w:val="clear" w:color="auto" w:fill="auto"/>
            <w:noWrap/>
            <w:vAlign w:val="bottom"/>
          </w:tcPr>
          <w:p w14:paraId="130CACA1"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1:1000</w:t>
            </w:r>
          </w:p>
        </w:tc>
        <w:tc>
          <w:tcPr>
            <w:tcW w:w="851" w:type="dxa"/>
            <w:shd w:val="clear" w:color="auto" w:fill="auto"/>
            <w:noWrap/>
            <w:vAlign w:val="bottom"/>
          </w:tcPr>
          <w:p w14:paraId="68474E63"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w:t>
            </w:r>
          </w:p>
        </w:tc>
        <w:tc>
          <w:tcPr>
            <w:tcW w:w="1134" w:type="dxa"/>
            <w:shd w:val="clear" w:color="auto" w:fill="auto"/>
            <w:noWrap/>
            <w:vAlign w:val="bottom"/>
          </w:tcPr>
          <w:p w14:paraId="12972B1F"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51kDa</w:t>
            </w:r>
          </w:p>
        </w:tc>
      </w:tr>
      <w:tr w:rsidR="00A5506E" w:rsidRPr="00E82D3B" w14:paraId="6740424C" w14:textId="77777777" w:rsidTr="00CF0167">
        <w:trPr>
          <w:trHeight w:val="300"/>
        </w:trPr>
        <w:tc>
          <w:tcPr>
            <w:tcW w:w="2127" w:type="dxa"/>
            <w:shd w:val="clear" w:color="auto" w:fill="D9D9D9"/>
            <w:noWrap/>
            <w:vAlign w:val="bottom"/>
            <w:hideMark/>
          </w:tcPr>
          <w:p w14:paraId="4D5D2F2A"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-53BP1 (ab36823)</w:t>
            </w:r>
          </w:p>
        </w:tc>
        <w:tc>
          <w:tcPr>
            <w:tcW w:w="992" w:type="dxa"/>
            <w:shd w:val="clear" w:color="auto" w:fill="auto"/>
            <w:noWrap/>
            <w:vAlign w:val="bottom"/>
            <w:hideMark/>
          </w:tcPr>
          <w:p w14:paraId="0AE74D9B"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Rabbit</w:t>
            </w:r>
          </w:p>
        </w:tc>
        <w:tc>
          <w:tcPr>
            <w:tcW w:w="1134" w:type="dxa"/>
            <w:vAlign w:val="bottom"/>
          </w:tcPr>
          <w:p w14:paraId="1447BB90" w14:textId="6C44BBB2" w:rsidR="00A5506E" w:rsidRPr="00E82D3B" w:rsidRDefault="00252FEC"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Polyclonal</w:t>
            </w:r>
          </w:p>
        </w:tc>
        <w:tc>
          <w:tcPr>
            <w:tcW w:w="1276" w:type="dxa"/>
            <w:shd w:val="clear" w:color="auto" w:fill="auto"/>
            <w:noWrap/>
            <w:vAlign w:val="bottom"/>
            <w:hideMark/>
          </w:tcPr>
          <w:p w14:paraId="6698E3A3" w14:textId="7E260982"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Abcam</w:t>
            </w:r>
          </w:p>
        </w:tc>
        <w:tc>
          <w:tcPr>
            <w:tcW w:w="1417" w:type="dxa"/>
            <w:shd w:val="clear" w:color="auto" w:fill="auto"/>
            <w:noWrap/>
            <w:vAlign w:val="bottom"/>
            <w:hideMark/>
          </w:tcPr>
          <w:p w14:paraId="1261C420"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1:1000</w:t>
            </w:r>
          </w:p>
        </w:tc>
        <w:tc>
          <w:tcPr>
            <w:tcW w:w="851" w:type="dxa"/>
            <w:shd w:val="clear" w:color="auto" w:fill="auto"/>
            <w:noWrap/>
            <w:vAlign w:val="bottom"/>
            <w:hideMark/>
          </w:tcPr>
          <w:p w14:paraId="4BADC648"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IF</w:t>
            </w:r>
          </w:p>
        </w:tc>
        <w:tc>
          <w:tcPr>
            <w:tcW w:w="1134" w:type="dxa"/>
            <w:shd w:val="clear" w:color="auto" w:fill="auto"/>
            <w:noWrap/>
            <w:vAlign w:val="bottom"/>
            <w:hideMark/>
          </w:tcPr>
          <w:p w14:paraId="649C9D02"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220 kDa</w:t>
            </w:r>
          </w:p>
        </w:tc>
      </w:tr>
      <w:tr w:rsidR="00A5506E" w:rsidRPr="00E82D3B" w14:paraId="6FB0B226" w14:textId="77777777" w:rsidTr="00CF0167">
        <w:trPr>
          <w:trHeight w:val="300"/>
        </w:trPr>
        <w:tc>
          <w:tcPr>
            <w:tcW w:w="2127" w:type="dxa"/>
            <w:shd w:val="clear" w:color="auto" w:fill="D9D9D9"/>
            <w:noWrap/>
            <w:vAlign w:val="bottom"/>
            <w:hideMark/>
          </w:tcPr>
          <w:p w14:paraId="273C3F05"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-Flag M2 (F3165)</w:t>
            </w:r>
          </w:p>
        </w:tc>
        <w:tc>
          <w:tcPr>
            <w:tcW w:w="992" w:type="dxa"/>
            <w:shd w:val="clear" w:color="auto" w:fill="auto"/>
            <w:noWrap/>
            <w:vAlign w:val="bottom"/>
            <w:hideMark/>
          </w:tcPr>
          <w:p w14:paraId="4D4A5B63"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Mouse</w:t>
            </w:r>
          </w:p>
        </w:tc>
        <w:tc>
          <w:tcPr>
            <w:tcW w:w="1134" w:type="dxa"/>
            <w:vAlign w:val="bottom"/>
          </w:tcPr>
          <w:p w14:paraId="7372B616" w14:textId="5115B926" w:rsidR="00A5506E" w:rsidRPr="00E82D3B" w:rsidRDefault="00252FEC"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Monoclonal</w:t>
            </w:r>
          </w:p>
        </w:tc>
        <w:tc>
          <w:tcPr>
            <w:tcW w:w="1276" w:type="dxa"/>
            <w:shd w:val="clear" w:color="auto" w:fill="auto"/>
            <w:noWrap/>
            <w:vAlign w:val="bottom"/>
            <w:hideMark/>
          </w:tcPr>
          <w:p w14:paraId="38A0C420" w14:textId="1EF33631"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Sigma</w:t>
            </w:r>
          </w:p>
        </w:tc>
        <w:tc>
          <w:tcPr>
            <w:tcW w:w="1417" w:type="dxa"/>
            <w:shd w:val="clear" w:color="auto" w:fill="auto"/>
            <w:noWrap/>
            <w:vAlign w:val="bottom"/>
            <w:hideMark/>
          </w:tcPr>
          <w:p w14:paraId="0A90CD5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1:2000</w:t>
            </w:r>
          </w:p>
        </w:tc>
        <w:tc>
          <w:tcPr>
            <w:tcW w:w="851" w:type="dxa"/>
            <w:shd w:val="clear" w:color="auto" w:fill="auto"/>
            <w:noWrap/>
            <w:vAlign w:val="bottom"/>
            <w:hideMark/>
          </w:tcPr>
          <w:p w14:paraId="7021D0DA"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w:t>
            </w:r>
          </w:p>
        </w:tc>
        <w:tc>
          <w:tcPr>
            <w:tcW w:w="1134" w:type="dxa"/>
            <w:shd w:val="clear" w:color="auto" w:fill="auto"/>
            <w:noWrap/>
            <w:vAlign w:val="bottom"/>
            <w:hideMark/>
          </w:tcPr>
          <w:p w14:paraId="5C562405"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&lt;1 kDa</w:t>
            </w:r>
          </w:p>
        </w:tc>
      </w:tr>
      <w:tr w:rsidR="00A5506E" w:rsidRPr="00E82D3B" w14:paraId="6D7E5162" w14:textId="77777777" w:rsidTr="00CF0167">
        <w:trPr>
          <w:trHeight w:val="300"/>
        </w:trPr>
        <w:tc>
          <w:tcPr>
            <w:tcW w:w="2127" w:type="dxa"/>
            <w:shd w:val="clear" w:color="auto" w:fill="D9D9D9"/>
            <w:noWrap/>
            <w:vAlign w:val="bottom"/>
            <w:hideMark/>
          </w:tcPr>
          <w:p w14:paraId="68AF4FF1"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-Flag M2 HRP conjugated monoclonal (A8592)</w:t>
            </w:r>
          </w:p>
        </w:tc>
        <w:tc>
          <w:tcPr>
            <w:tcW w:w="992" w:type="dxa"/>
            <w:shd w:val="clear" w:color="auto" w:fill="auto"/>
            <w:noWrap/>
            <w:vAlign w:val="bottom"/>
            <w:hideMark/>
          </w:tcPr>
          <w:p w14:paraId="289ABF5F"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Mouse</w:t>
            </w:r>
          </w:p>
        </w:tc>
        <w:tc>
          <w:tcPr>
            <w:tcW w:w="1134" w:type="dxa"/>
            <w:vAlign w:val="bottom"/>
          </w:tcPr>
          <w:p w14:paraId="79D69BFF" w14:textId="694A06EB" w:rsidR="00A5506E" w:rsidRPr="00E82D3B" w:rsidRDefault="00252FEC"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Monoclonal</w:t>
            </w:r>
          </w:p>
        </w:tc>
        <w:tc>
          <w:tcPr>
            <w:tcW w:w="1276" w:type="dxa"/>
            <w:shd w:val="clear" w:color="auto" w:fill="auto"/>
            <w:noWrap/>
            <w:vAlign w:val="bottom"/>
            <w:hideMark/>
          </w:tcPr>
          <w:p w14:paraId="53AC6BCA" w14:textId="12C0645A"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Sigma</w:t>
            </w:r>
          </w:p>
        </w:tc>
        <w:tc>
          <w:tcPr>
            <w:tcW w:w="1417" w:type="dxa"/>
            <w:shd w:val="clear" w:color="auto" w:fill="auto"/>
            <w:noWrap/>
            <w:vAlign w:val="bottom"/>
            <w:hideMark/>
          </w:tcPr>
          <w:p w14:paraId="18AFFAC7"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1:2000</w:t>
            </w:r>
          </w:p>
        </w:tc>
        <w:tc>
          <w:tcPr>
            <w:tcW w:w="851" w:type="dxa"/>
            <w:shd w:val="clear" w:color="auto" w:fill="auto"/>
            <w:noWrap/>
            <w:vAlign w:val="bottom"/>
            <w:hideMark/>
          </w:tcPr>
          <w:p w14:paraId="3234685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w:t>
            </w:r>
          </w:p>
        </w:tc>
        <w:tc>
          <w:tcPr>
            <w:tcW w:w="1134" w:type="dxa"/>
            <w:shd w:val="clear" w:color="auto" w:fill="auto"/>
            <w:noWrap/>
            <w:vAlign w:val="bottom"/>
            <w:hideMark/>
          </w:tcPr>
          <w:p w14:paraId="1F9335A9"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&lt;1 kDa</w:t>
            </w:r>
          </w:p>
        </w:tc>
      </w:tr>
      <w:tr w:rsidR="00A5506E" w:rsidRPr="00E82D3B" w14:paraId="676D59BA" w14:textId="77777777" w:rsidTr="00CF0167">
        <w:trPr>
          <w:trHeight w:val="300"/>
        </w:trPr>
        <w:tc>
          <w:tcPr>
            <w:tcW w:w="2127" w:type="dxa"/>
            <w:shd w:val="clear" w:color="auto" w:fill="D9D9D9"/>
            <w:noWrap/>
            <w:vAlign w:val="bottom"/>
            <w:hideMark/>
          </w:tcPr>
          <w:p w14:paraId="22051743"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-GFP  (ab290)</w:t>
            </w:r>
          </w:p>
        </w:tc>
        <w:tc>
          <w:tcPr>
            <w:tcW w:w="992" w:type="dxa"/>
            <w:shd w:val="clear" w:color="auto" w:fill="auto"/>
            <w:noWrap/>
            <w:vAlign w:val="bottom"/>
            <w:hideMark/>
          </w:tcPr>
          <w:p w14:paraId="385A2627"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Rabbit</w:t>
            </w:r>
          </w:p>
        </w:tc>
        <w:tc>
          <w:tcPr>
            <w:tcW w:w="1134" w:type="dxa"/>
            <w:vAlign w:val="bottom"/>
          </w:tcPr>
          <w:p w14:paraId="532258A7" w14:textId="23E185B1" w:rsidR="00A5506E" w:rsidRPr="00E82D3B" w:rsidRDefault="00252FEC"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Polyclonal</w:t>
            </w:r>
          </w:p>
        </w:tc>
        <w:tc>
          <w:tcPr>
            <w:tcW w:w="1276" w:type="dxa"/>
            <w:shd w:val="clear" w:color="auto" w:fill="auto"/>
            <w:noWrap/>
            <w:vAlign w:val="bottom"/>
            <w:hideMark/>
          </w:tcPr>
          <w:p w14:paraId="75768493" w14:textId="392B7488"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Abcam</w:t>
            </w:r>
          </w:p>
        </w:tc>
        <w:tc>
          <w:tcPr>
            <w:tcW w:w="1417" w:type="dxa"/>
            <w:shd w:val="clear" w:color="auto" w:fill="auto"/>
            <w:noWrap/>
            <w:vAlign w:val="bottom"/>
            <w:hideMark/>
          </w:tcPr>
          <w:p w14:paraId="5EC8F682"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1:2000</w:t>
            </w:r>
          </w:p>
        </w:tc>
        <w:tc>
          <w:tcPr>
            <w:tcW w:w="851" w:type="dxa"/>
            <w:shd w:val="clear" w:color="auto" w:fill="auto"/>
            <w:noWrap/>
            <w:vAlign w:val="bottom"/>
            <w:hideMark/>
          </w:tcPr>
          <w:p w14:paraId="5EA5C3D9"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 IF</w:t>
            </w:r>
          </w:p>
        </w:tc>
        <w:tc>
          <w:tcPr>
            <w:tcW w:w="1134" w:type="dxa"/>
            <w:shd w:val="clear" w:color="auto" w:fill="auto"/>
            <w:noWrap/>
            <w:vAlign w:val="bottom"/>
            <w:hideMark/>
          </w:tcPr>
          <w:p w14:paraId="185747E2"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27 kDa</w:t>
            </w:r>
          </w:p>
        </w:tc>
      </w:tr>
      <w:tr w:rsidR="00A5506E" w:rsidRPr="00E82D3B" w14:paraId="6F26C677" w14:textId="77777777" w:rsidTr="00CF0167">
        <w:trPr>
          <w:trHeight w:val="300"/>
        </w:trPr>
        <w:tc>
          <w:tcPr>
            <w:tcW w:w="2127" w:type="dxa"/>
            <w:shd w:val="clear" w:color="auto" w:fill="D9D9D9"/>
            <w:noWrap/>
            <w:vAlign w:val="bottom"/>
            <w:hideMark/>
          </w:tcPr>
          <w:p w14:paraId="6918305A"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-Ras (3339S)</w:t>
            </w:r>
          </w:p>
        </w:tc>
        <w:tc>
          <w:tcPr>
            <w:tcW w:w="992" w:type="dxa"/>
            <w:shd w:val="clear" w:color="auto" w:fill="auto"/>
            <w:noWrap/>
            <w:vAlign w:val="bottom"/>
            <w:hideMark/>
          </w:tcPr>
          <w:p w14:paraId="6003C93B"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Rabbit</w:t>
            </w:r>
          </w:p>
        </w:tc>
        <w:tc>
          <w:tcPr>
            <w:tcW w:w="1134" w:type="dxa"/>
            <w:vAlign w:val="bottom"/>
          </w:tcPr>
          <w:p w14:paraId="5EEF71F5" w14:textId="7CE73B6E" w:rsidR="00A5506E" w:rsidRPr="00E82D3B" w:rsidRDefault="00F76C09"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Polyclonal</w:t>
            </w:r>
          </w:p>
        </w:tc>
        <w:tc>
          <w:tcPr>
            <w:tcW w:w="1276" w:type="dxa"/>
            <w:shd w:val="clear" w:color="auto" w:fill="auto"/>
            <w:noWrap/>
            <w:vAlign w:val="bottom"/>
            <w:hideMark/>
          </w:tcPr>
          <w:p w14:paraId="0C4BC2CA" w14:textId="67AFD0F0"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Cell signalling</w:t>
            </w:r>
          </w:p>
        </w:tc>
        <w:tc>
          <w:tcPr>
            <w:tcW w:w="1417" w:type="dxa"/>
            <w:shd w:val="clear" w:color="auto" w:fill="auto"/>
            <w:noWrap/>
            <w:vAlign w:val="bottom"/>
            <w:hideMark/>
          </w:tcPr>
          <w:p w14:paraId="517C7781"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1:500</w:t>
            </w:r>
          </w:p>
        </w:tc>
        <w:tc>
          <w:tcPr>
            <w:tcW w:w="851" w:type="dxa"/>
            <w:shd w:val="clear" w:color="auto" w:fill="auto"/>
            <w:noWrap/>
            <w:vAlign w:val="bottom"/>
            <w:hideMark/>
          </w:tcPr>
          <w:p w14:paraId="2F016B9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w:t>
            </w:r>
          </w:p>
        </w:tc>
        <w:tc>
          <w:tcPr>
            <w:tcW w:w="1134" w:type="dxa"/>
            <w:shd w:val="clear" w:color="auto" w:fill="auto"/>
            <w:noWrap/>
            <w:vAlign w:val="bottom"/>
            <w:hideMark/>
          </w:tcPr>
          <w:p w14:paraId="6488CCD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21 kDa</w:t>
            </w:r>
          </w:p>
        </w:tc>
      </w:tr>
      <w:tr w:rsidR="00A5506E" w:rsidRPr="00E82D3B" w14:paraId="272B0C5C" w14:textId="77777777" w:rsidTr="00CF0167">
        <w:trPr>
          <w:trHeight w:val="300"/>
        </w:trPr>
        <w:tc>
          <w:tcPr>
            <w:tcW w:w="2127" w:type="dxa"/>
            <w:shd w:val="clear" w:color="auto" w:fill="D9D9D9"/>
            <w:noWrap/>
            <w:vAlign w:val="bottom"/>
            <w:hideMark/>
          </w:tcPr>
          <w:p w14:paraId="3D98C12F"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-SRCAP  (ab99408)</w:t>
            </w:r>
          </w:p>
        </w:tc>
        <w:tc>
          <w:tcPr>
            <w:tcW w:w="992" w:type="dxa"/>
            <w:shd w:val="clear" w:color="auto" w:fill="auto"/>
            <w:noWrap/>
            <w:vAlign w:val="bottom"/>
            <w:hideMark/>
          </w:tcPr>
          <w:p w14:paraId="28380EF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Goat</w:t>
            </w:r>
          </w:p>
        </w:tc>
        <w:tc>
          <w:tcPr>
            <w:tcW w:w="1134" w:type="dxa"/>
            <w:vAlign w:val="bottom"/>
          </w:tcPr>
          <w:p w14:paraId="7BCC61A8" w14:textId="1DD28BAE" w:rsidR="00A5506E" w:rsidRPr="00E82D3B" w:rsidRDefault="00252FEC"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Polyclonal</w:t>
            </w:r>
          </w:p>
        </w:tc>
        <w:tc>
          <w:tcPr>
            <w:tcW w:w="1276" w:type="dxa"/>
            <w:shd w:val="clear" w:color="auto" w:fill="auto"/>
            <w:noWrap/>
            <w:vAlign w:val="bottom"/>
            <w:hideMark/>
          </w:tcPr>
          <w:p w14:paraId="09A2692E" w14:textId="22F3BDFD"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Abcam</w:t>
            </w:r>
          </w:p>
        </w:tc>
        <w:tc>
          <w:tcPr>
            <w:tcW w:w="1417" w:type="dxa"/>
            <w:shd w:val="clear" w:color="auto" w:fill="auto"/>
            <w:noWrap/>
            <w:vAlign w:val="bottom"/>
            <w:hideMark/>
          </w:tcPr>
          <w:p w14:paraId="36A9C89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1:250-1:1000</w:t>
            </w:r>
          </w:p>
        </w:tc>
        <w:tc>
          <w:tcPr>
            <w:tcW w:w="851" w:type="dxa"/>
            <w:shd w:val="clear" w:color="auto" w:fill="auto"/>
            <w:noWrap/>
            <w:vAlign w:val="bottom"/>
            <w:hideMark/>
          </w:tcPr>
          <w:p w14:paraId="2A80987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w:t>
            </w:r>
          </w:p>
        </w:tc>
        <w:tc>
          <w:tcPr>
            <w:tcW w:w="1134" w:type="dxa"/>
            <w:shd w:val="clear" w:color="auto" w:fill="auto"/>
            <w:noWrap/>
            <w:vAlign w:val="bottom"/>
            <w:hideMark/>
          </w:tcPr>
          <w:p w14:paraId="226566F2"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340 kDa</w:t>
            </w:r>
          </w:p>
        </w:tc>
      </w:tr>
      <w:tr w:rsidR="00A5506E" w:rsidRPr="00E82D3B" w14:paraId="51D34C75" w14:textId="77777777" w:rsidTr="00CF0167">
        <w:trPr>
          <w:trHeight w:val="300"/>
        </w:trPr>
        <w:tc>
          <w:tcPr>
            <w:tcW w:w="2127" w:type="dxa"/>
            <w:shd w:val="clear" w:color="auto" w:fill="D9D9D9"/>
            <w:noWrap/>
            <w:vAlign w:val="bottom"/>
            <w:hideMark/>
          </w:tcPr>
          <w:p w14:paraId="3985F2F9"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-β-Actin (ab8226)</w:t>
            </w:r>
          </w:p>
        </w:tc>
        <w:tc>
          <w:tcPr>
            <w:tcW w:w="992" w:type="dxa"/>
            <w:shd w:val="clear" w:color="auto" w:fill="auto"/>
            <w:noWrap/>
            <w:vAlign w:val="bottom"/>
            <w:hideMark/>
          </w:tcPr>
          <w:p w14:paraId="62C71438"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Mouse</w:t>
            </w:r>
          </w:p>
        </w:tc>
        <w:tc>
          <w:tcPr>
            <w:tcW w:w="1134" w:type="dxa"/>
            <w:vAlign w:val="bottom"/>
          </w:tcPr>
          <w:p w14:paraId="182A77F5" w14:textId="495E64CF" w:rsidR="00A5506E" w:rsidRPr="00E82D3B" w:rsidRDefault="00252FEC"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Monoclonal</w:t>
            </w:r>
          </w:p>
        </w:tc>
        <w:tc>
          <w:tcPr>
            <w:tcW w:w="1276" w:type="dxa"/>
            <w:shd w:val="clear" w:color="auto" w:fill="auto"/>
            <w:noWrap/>
            <w:vAlign w:val="bottom"/>
            <w:hideMark/>
          </w:tcPr>
          <w:p w14:paraId="0A5F996A" w14:textId="6ACB668F"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Abcam</w:t>
            </w:r>
          </w:p>
        </w:tc>
        <w:tc>
          <w:tcPr>
            <w:tcW w:w="1417" w:type="dxa"/>
            <w:shd w:val="clear" w:color="auto" w:fill="auto"/>
            <w:noWrap/>
            <w:vAlign w:val="bottom"/>
            <w:hideMark/>
          </w:tcPr>
          <w:p w14:paraId="108D2EA9"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1:2000</w:t>
            </w:r>
          </w:p>
        </w:tc>
        <w:tc>
          <w:tcPr>
            <w:tcW w:w="851" w:type="dxa"/>
            <w:shd w:val="clear" w:color="auto" w:fill="auto"/>
            <w:noWrap/>
            <w:vAlign w:val="bottom"/>
            <w:hideMark/>
          </w:tcPr>
          <w:p w14:paraId="1343B0E3"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w:t>
            </w:r>
          </w:p>
        </w:tc>
        <w:tc>
          <w:tcPr>
            <w:tcW w:w="1134" w:type="dxa"/>
            <w:shd w:val="clear" w:color="auto" w:fill="auto"/>
            <w:noWrap/>
            <w:vAlign w:val="bottom"/>
            <w:hideMark/>
          </w:tcPr>
          <w:p w14:paraId="26E59D61"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37 kDa</w:t>
            </w:r>
          </w:p>
        </w:tc>
      </w:tr>
      <w:tr w:rsidR="00A5506E" w:rsidRPr="00E82D3B" w14:paraId="50CB297F" w14:textId="77777777" w:rsidTr="00CF0167">
        <w:trPr>
          <w:trHeight w:val="300"/>
        </w:trPr>
        <w:tc>
          <w:tcPr>
            <w:tcW w:w="2127" w:type="dxa"/>
            <w:shd w:val="clear" w:color="auto" w:fill="D9D9D9"/>
            <w:noWrap/>
            <w:vAlign w:val="bottom"/>
            <w:hideMark/>
          </w:tcPr>
          <w:p w14:paraId="32290384" w14:textId="77777777" w:rsidR="00A5506E" w:rsidRPr="00E82D3B" w:rsidRDefault="00A5506E" w:rsidP="00CF0167">
            <w:pPr>
              <w:rPr>
                <w:rFonts w:ascii="Calibri" w:eastAsia="Times New Roman" w:hAnsi="Calibri" w:cs="Times New Roman"/>
                <w:color w:val="000000"/>
                <w:sz w:val="18"/>
              </w:rPr>
            </w:pPr>
            <w:proofErr w:type="gramStart"/>
            <w:r w:rsidRPr="00E82D3B">
              <w:rPr>
                <w:rFonts w:ascii="Calibri" w:eastAsia="Times New Roman" w:hAnsi="Calibri" w:cs="Times New Roman"/>
                <w:color w:val="000000"/>
                <w:sz w:val="18"/>
              </w:rPr>
              <w:t>anti</w:t>
            </w:r>
            <w:proofErr w:type="gramEnd"/>
            <w:r w:rsidRPr="00E82D3B">
              <w:rPr>
                <w:rFonts w:ascii="Calibri" w:eastAsia="Times New Roman" w:hAnsi="Calibri" w:cs="Times New Roman"/>
                <w:color w:val="000000"/>
                <w:sz w:val="18"/>
              </w:rPr>
              <w:t>-γH2AX (ser139) (05-636)</w:t>
            </w:r>
          </w:p>
        </w:tc>
        <w:tc>
          <w:tcPr>
            <w:tcW w:w="992" w:type="dxa"/>
            <w:shd w:val="clear" w:color="auto" w:fill="auto"/>
            <w:noWrap/>
            <w:vAlign w:val="bottom"/>
            <w:hideMark/>
          </w:tcPr>
          <w:p w14:paraId="6A789EB7"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Mouse</w:t>
            </w:r>
          </w:p>
        </w:tc>
        <w:tc>
          <w:tcPr>
            <w:tcW w:w="1134" w:type="dxa"/>
            <w:vAlign w:val="bottom"/>
          </w:tcPr>
          <w:p w14:paraId="718D887C" w14:textId="17AF13FF" w:rsidR="00A5506E" w:rsidRPr="00E82D3B" w:rsidRDefault="00F76C09"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Monoclonal</w:t>
            </w:r>
          </w:p>
        </w:tc>
        <w:tc>
          <w:tcPr>
            <w:tcW w:w="1276" w:type="dxa"/>
            <w:shd w:val="clear" w:color="auto" w:fill="auto"/>
            <w:noWrap/>
            <w:vAlign w:val="bottom"/>
            <w:hideMark/>
          </w:tcPr>
          <w:p w14:paraId="306DC26D" w14:textId="3048BD29"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Millipore</w:t>
            </w:r>
          </w:p>
        </w:tc>
        <w:tc>
          <w:tcPr>
            <w:tcW w:w="1417" w:type="dxa"/>
            <w:shd w:val="clear" w:color="auto" w:fill="auto"/>
            <w:noWrap/>
            <w:vAlign w:val="bottom"/>
            <w:hideMark/>
          </w:tcPr>
          <w:p w14:paraId="7DC8914E"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11000</w:t>
            </w:r>
          </w:p>
        </w:tc>
        <w:tc>
          <w:tcPr>
            <w:tcW w:w="851" w:type="dxa"/>
            <w:shd w:val="clear" w:color="auto" w:fill="auto"/>
            <w:noWrap/>
            <w:vAlign w:val="bottom"/>
            <w:hideMark/>
          </w:tcPr>
          <w:p w14:paraId="127B6901"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IF</w:t>
            </w:r>
          </w:p>
        </w:tc>
        <w:tc>
          <w:tcPr>
            <w:tcW w:w="1134" w:type="dxa"/>
            <w:shd w:val="clear" w:color="auto" w:fill="auto"/>
            <w:noWrap/>
            <w:vAlign w:val="bottom"/>
            <w:hideMark/>
          </w:tcPr>
          <w:p w14:paraId="23781505"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17 kDa</w:t>
            </w:r>
          </w:p>
        </w:tc>
      </w:tr>
      <w:tr w:rsidR="00A5506E" w:rsidRPr="00E82D3B" w14:paraId="253CF994" w14:textId="77777777" w:rsidTr="00CF0167">
        <w:trPr>
          <w:trHeight w:val="300"/>
        </w:trPr>
        <w:tc>
          <w:tcPr>
            <w:tcW w:w="2127" w:type="dxa"/>
            <w:shd w:val="clear" w:color="auto" w:fill="D9D9D9"/>
            <w:noWrap/>
            <w:vAlign w:val="bottom"/>
            <w:hideMark/>
          </w:tcPr>
          <w:p w14:paraId="1D03CE52"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Histone H3 Phospho antibody (ab14955)</w:t>
            </w:r>
          </w:p>
        </w:tc>
        <w:tc>
          <w:tcPr>
            <w:tcW w:w="992" w:type="dxa"/>
            <w:shd w:val="clear" w:color="auto" w:fill="auto"/>
            <w:noWrap/>
            <w:vAlign w:val="bottom"/>
            <w:hideMark/>
          </w:tcPr>
          <w:p w14:paraId="360EE9D2"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Mouse</w:t>
            </w:r>
          </w:p>
        </w:tc>
        <w:tc>
          <w:tcPr>
            <w:tcW w:w="1134" w:type="dxa"/>
            <w:vAlign w:val="bottom"/>
          </w:tcPr>
          <w:p w14:paraId="43748F27" w14:textId="454E2BEC" w:rsidR="00A5506E" w:rsidRPr="00E82D3B" w:rsidRDefault="00252FEC"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Polyclonal</w:t>
            </w:r>
          </w:p>
        </w:tc>
        <w:tc>
          <w:tcPr>
            <w:tcW w:w="1276" w:type="dxa"/>
            <w:shd w:val="clear" w:color="auto" w:fill="auto"/>
            <w:noWrap/>
            <w:vAlign w:val="bottom"/>
            <w:hideMark/>
          </w:tcPr>
          <w:p w14:paraId="752CE272" w14:textId="5DB9FEE5"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Abcam</w:t>
            </w:r>
          </w:p>
        </w:tc>
        <w:tc>
          <w:tcPr>
            <w:tcW w:w="1417" w:type="dxa"/>
            <w:shd w:val="clear" w:color="auto" w:fill="auto"/>
            <w:noWrap/>
            <w:vAlign w:val="bottom"/>
            <w:hideMark/>
          </w:tcPr>
          <w:p w14:paraId="55F8225A"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1:1000</w:t>
            </w:r>
          </w:p>
        </w:tc>
        <w:tc>
          <w:tcPr>
            <w:tcW w:w="851" w:type="dxa"/>
            <w:shd w:val="clear" w:color="auto" w:fill="auto"/>
            <w:noWrap/>
            <w:vAlign w:val="bottom"/>
            <w:hideMark/>
          </w:tcPr>
          <w:p w14:paraId="2B4AC91D"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FACS</w:t>
            </w:r>
          </w:p>
        </w:tc>
        <w:tc>
          <w:tcPr>
            <w:tcW w:w="1134" w:type="dxa"/>
            <w:shd w:val="clear" w:color="auto" w:fill="auto"/>
            <w:noWrap/>
            <w:vAlign w:val="bottom"/>
            <w:hideMark/>
          </w:tcPr>
          <w:p w14:paraId="6F121F05"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15 kDa</w:t>
            </w:r>
          </w:p>
        </w:tc>
      </w:tr>
      <w:tr w:rsidR="00A5506E" w:rsidRPr="00E82D3B" w14:paraId="14BD9BAA" w14:textId="77777777" w:rsidTr="00CF0167">
        <w:trPr>
          <w:trHeight w:val="300"/>
        </w:trPr>
        <w:tc>
          <w:tcPr>
            <w:tcW w:w="2127" w:type="dxa"/>
            <w:shd w:val="clear" w:color="auto" w:fill="D9D9D9"/>
            <w:noWrap/>
            <w:vAlign w:val="bottom"/>
            <w:hideMark/>
          </w:tcPr>
          <w:p w14:paraId="2F3F78DC"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Myc-tag (2276)</w:t>
            </w:r>
          </w:p>
        </w:tc>
        <w:tc>
          <w:tcPr>
            <w:tcW w:w="992" w:type="dxa"/>
            <w:shd w:val="clear" w:color="auto" w:fill="auto"/>
            <w:noWrap/>
            <w:vAlign w:val="bottom"/>
            <w:hideMark/>
          </w:tcPr>
          <w:p w14:paraId="310C5E73"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Mouse</w:t>
            </w:r>
          </w:p>
        </w:tc>
        <w:tc>
          <w:tcPr>
            <w:tcW w:w="1134" w:type="dxa"/>
            <w:vAlign w:val="bottom"/>
          </w:tcPr>
          <w:p w14:paraId="6B3E7C33" w14:textId="4CF615CC" w:rsidR="00A5506E" w:rsidRPr="00E82D3B" w:rsidRDefault="00F76C09"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Monoclonal</w:t>
            </w:r>
          </w:p>
        </w:tc>
        <w:tc>
          <w:tcPr>
            <w:tcW w:w="1276" w:type="dxa"/>
            <w:shd w:val="clear" w:color="auto" w:fill="auto"/>
            <w:noWrap/>
            <w:vAlign w:val="bottom"/>
            <w:hideMark/>
          </w:tcPr>
          <w:p w14:paraId="4290230A" w14:textId="69A49D96"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Cell signalling</w:t>
            </w:r>
          </w:p>
        </w:tc>
        <w:tc>
          <w:tcPr>
            <w:tcW w:w="1417" w:type="dxa"/>
            <w:shd w:val="clear" w:color="auto" w:fill="auto"/>
            <w:noWrap/>
            <w:vAlign w:val="bottom"/>
            <w:hideMark/>
          </w:tcPr>
          <w:p w14:paraId="2E9D187E"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1:1000</w:t>
            </w:r>
          </w:p>
        </w:tc>
        <w:tc>
          <w:tcPr>
            <w:tcW w:w="851" w:type="dxa"/>
            <w:shd w:val="clear" w:color="auto" w:fill="auto"/>
            <w:noWrap/>
            <w:vAlign w:val="bottom"/>
            <w:hideMark/>
          </w:tcPr>
          <w:p w14:paraId="5BC155CA"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w:t>
            </w:r>
          </w:p>
        </w:tc>
        <w:tc>
          <w:tcPr>
            <w:tcW w:w="1134" w:type="dxa"/>
            <w:shd w:val="clear" w:color="auto" w:fill="auto"/>
            <w:noWrap/>
            <w:vAlign w:val="bottom"/>
            <w:hideMark/>
          </w:tcPr>
          <w:p w14:paraId="2305132E"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&lt;1 kDa</w:t>
            </w:r>
          </w:p>
        </w:tc>
      </w:tr>
      <w:tr w:rsidR="00A5506E" w:rsidRPr="008E7B3A" w14:paraId="3B001B20" w14:textId="77777777" w:rsidTr="00CF0167">
        <w:trPr>
          <w:trHeight w:val="300"/>
        </w:trPr>
        <w:tc>
          <w:tcPr>
            <w:tcW w:w="2127" w:type="dxa"/>
            <w:shd w:val="clear" w:color="auto" w:fill="D9D9D9"/>
            <w:noWrap/>
            <w:vAlign w:val="bottom"/>
            <w:hideMark/>
          </w:tcPr>
          <w:p w14:paraId="490974F7"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SRCAP T-15  (sc-133312)</w:t>
            </w:r>
          </w:p>
        </w:tc>
        <w:tc>
          <w:tcPr>
            <w:tcW w:w="992" w:type="dxa"/>
            <w:shd w:val="clear" w:color="auto" w:fill="auto"/>
            <w:noWrap/>
            <w:vAlign w:val="bottom"/>
            <w:hideMark/>
          </w:tcPr>
          <w:p w14:paraId="0AD9080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Rabbit</w:t>
            </w:r>
          </w:p>
        </w:tc>
        <w:tc>
          <w:tcPr>
            <w:tcW w:w="1134" w:type="dxa"/>
            <w:vAlign w:val="bottom"/>
          </w:tcPr>
          <w:p w14:paraId="597100B7" w14:textId="5504C768" w:rsidR="00A5506E" w:rsidRPr="00E82D3B" w:rsidRDefault="00F76C09"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Polyclonal</w:t>
            </w:r>
          </w:p>
        </w:tc>
        <w:tc>
          <w:tcPr>
            <w:tcW w:w="1276" w:type="dxa"/>
            <w:shd w:val="clear" w:color="auto" w:fill="auto"/>
            <w:noWrap/>
            <w:vAlign w:val="bottom"/>
            <w:hideMark/>
          </w:tcPr>
          <w:p w14:paraId="43154497" w14:textId="572FA244"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Santa Cruz</w:t>
            </w:r>
          </w:p>
        </w:tc>
        <w:tc>
          <w:tcPr>
            <w:tcW w:w="1417" w:type="dxa"/>
            <w:shd w:val="clear" w:color="auto" w:fill="auto"/>
            <w:noWrap/>
            <w:vAlign w:val="bottom"/>
            <w:hideMark/>
          </w:tcPr>
          <w:p w14:paraId="21F5251B"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1:250-1:1000</w:t>
            </w:r>
          </w:p>
        </w:tc>
        <w:tc>
          <w:tcPr>
            <w:tcW w:w="851" w:type="dxa"/>
            <w:shd w:val="clear" w:color="auto" w:fill="auto"/>
            <w:noWrap/>
            <w:vAlign w:val="bottom"/>
            <w:hideMark/>
          </w:tcPr>
          <w:p w14:paraId="549D44E4" w14:textId="77777777" w:rsidR="00A5506E" w:rsidRPr="00E82D3B"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WB, IF</w:t>
            </w:r>
          </w:p>
        </w:tc>
        <w:tc>
          <w:tcPr>
            <w:tcW w:w="1134" w:type="dxa"/>
            <w:shd w:val="clear" w:color="auto" w:fill="auto"/>
            <w:noWrap/>
            <w:vAlign w:val="bottom"/>
            <w:hideMark/>
          </w:tcPr>
          <w:p w14:paraId="3068AEA1" w14:textId="77777777" w:rsidR="00A5506E" w:rsidRPr="00A5506E" w:rsidRDefault="00A5506E" w:rsidP="00CF0167">
            <w:pPr>
              <w:rPr>
                <w:rFonts w:ascii="Calibri" w:eastAsia="Times New Roman" w:hAnsi="Calibri" w:cs="Times New Roman"/>
                <w:color w:val="000000"/>
                <w:sz w:val="18"/>
              </w:rPr>
            </w:pPr>
            <w:r w:rsidRPr="00E82D3B">
              <w:rPr>
                <w:rFonts w:ascii="Calibri" w:eastAsia="Times New Roman" w:hAnsi="Calibri" w:cs="Times New Roman"/>
                <w:color w:val="000000"/>
                <w:sz w:val="18"/>
              </w:rPr>
              <w:t>340 kDa</w:t>
            </w:r>
          </w:p>
        </w:tc>
      </w:tr>
    </w:tbl>
    <w:p w14:paraId="0E1D5CCA" w14:textId="77777777" w:rsidR="008E7B3A" w:rsidRPr="008E7B3A" w:rsidRDefault="008E7B3A" w:rsidP="008E7B3A">
      <w:pPr>
        <w:spacing w:line="276" w:lineRule="auto"/>
        <w:jc w:val="both"/>
        <w:rPr>
          <w:rFonts w:ascii="Calibri" w:eastAsia="ＭＳ Ｐゴシック" w:hAnsi="Calibri" w:cs="Times New Roman"/>
          <w:sz w:val="28"/>
        </w:rPr>
      </w:pPr>
    </w:p>
    <w:tbl>
      <w:tblPr>
        <w:tblW w:w="8946" w:type="dxa"/>
        <w:tblInd w:w="9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93"/>
        <w:gridCol w:w="1701"/>
        <w:gridCol w:w="1701"/>
        <w:gridCol w:w="851"/>
      </w:tblGrid>
      <w:tr w:rsidR="008E7B3A" w:rsidRPr="008E7B3A" w14:paraId="11CF94BE" w14:textId="77777777" w:rsidTr="008E7B3A">
        <w:trPr>
          <w:trHeight w:val="300"/>
        </w:trPr>
        <w:tc>
          <w:tcPr>
            <w:tcW w:w="4693" w:type="dxa"/>
            <w:shd w:val="clear" w:color="auto" w:fill="000000"/>
            <w:noWrap/>
            <w:vAlign w:val="bottom"/>
            <w:hideMark/>
          </w:tcPr>
          <w:p w14:paraId="177D73C6"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Secondary Antibodies</w:t>
            </w:r>
          </w:p>
        </w:tc>
        <w:tc>
          <w:tcPr>
            <w:tcW w:w="1701" w:type="dxa"/>
            <w:shd w:val="clear" w:color="auto" w:fill="000000"/>
            <w:noWrap/>
            <w:vAlign w:val="bottom"/>
            <w:hideMark/>
          </w:tcPr>
          <w:p w14:paraId="42CF23DC"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Manufacturer</w:t>
            </w:r>
          </w:p>
        </w:tc>
        <w:tc>
          <w:tcPr>
            <w:tcW w:w="1701" w:type="dxa"/>
            <w:shd w:val="clear" w:color="auto" w:fill="000000"/>
            <w:noWrap/>
            <w:vAlign w:val="bottom"/>
            <w:hideMark/>
          </w:tcPr>
          <w:p w14:paraId="1F9F79DA" w14:textId="77777777" w:rsidR="008E7B3A" w:rsidRPr="008E7B3A" w:rsidRDefault="008E7B3A" w:rsidP="008E7B3A">
            <w:pPr>
              <w:rPr>
                <w:rFonts w:ascii="Calibri" w:eastAsia="Times New Roman" w:hAnsi="Calibri" w:cs="Times New Roman"/>
                <w:color w:val="FFFFFF"/>
              </w:rPr>
            </w:pPr>
            <w:r w:rsidRPr="008E7B3A">
              <w:rPr>
                <w:rFonts w:ascii="Calibri" w:eastAsia="Times New Roman" w:hAnsi="Calibri" w:cs="Times New Roman"/>
                <w:color w:val="FFFFFF"/>
              </w:rPr>
              <w:t>Concentration</w:t>
            </w:r>
          </w:p>
        </w:tc>
        <w:tc>
          <w:tcPr>
            <w:tcW w:w="851" w:type="dxa"/>
            <w:shd w:val="clear" w:color="auto" w:fill="000000"/>
            <w:noWrap/>
            <w:vAlign w:val="bottom"/>
            <w:hideMark/>
          </w:tcPr>
          <w:p w14:paraId="44126C3F" w14:textId="77777777" w:rsidR="008E7B3A" w:rsidRPr="008E7B3A" w:rsidRDefault="008E7B3A" w:rsidP="008E7B3A">
            <w:pPr>
              <w:rPr>
                <w:rFonts w:ascii="Calibri" w:eastAsia="Times New Roman" w:hAnsi="Calibri" w:cs="Times New Roman"/>
                <w:color w:val="FFFFFF"/>
              </w:rPr>
            </w:pPr>
            <w:r w:rsidRPr="008E7B3A">
              <w:rPr>
                <w:rFonts w:ascii="Calibri" w:eastAsia="Times New Roman" w:hAnsi="Calibri" w:cs="Times New Roman"/>
                <w:color w:val="FFFFFF"/>
              </w:rPr>
              <w:t>Use</w:t>
            </w:r>
          </w:p>
        </w:tc>
      </w:tr>
      <w:tr w:rsidR="008E7B3A" w:rsidRPr="008E7B3A" w14:paraId="708B26DA" w14:textId="77777777" w:rsidTr="008E7B3A">
        <w:trPr>
          <w:trHeight w:val="300"/>
        </w:trPr>
        <w:tc>
          <w:tcPr>
            <w:tcW w:w="4693" w:type="dxa"/>
            <w:shd w:val="clear" w:color="auto" w:fill="D9D9D9"/>
            <w:noWrap/>
            <w:vAlign w:val="bottom"/>
            <w:hideMark/>
          </w:tcPr>
          <w:p w14:paraId="6389E70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Alexa-Fluor 488 goat anti-mouse (A11001)</w:t>
            </w:r>
          </w:p>
        </w:tc>
        <w:tc>
          <w:tcPr>
            <w:tcW w:w="1701" w:type="dxa"/>
            <w:shd w:val="clear" w:color="auto" w:fill="auto"/>
            <w:noWrap/>
            <w:vAlign w:val="bottom"/>
            <w:hideMark/>
          </w:tcPr>
          <w:p w14:paraId="3C72007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Life technologies</w:t>
            </w:r>
          </w:p>
        </w:tc>
        <w:tc>
          <w:tcPr>
            <w:tcW w:w="1701" w:type="dxa"/>
            <w:shd w:val="clear" w:color="auto" w:fill="auto"/>
            <w:noWrap/>
            <w:vAlign w:val="bottom"/>
            <w:hideMark/>
          </w:tcPr>
          <w:p w14:paraId="7C88C32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1:1000</w:t>
            </w:r>
          </w:p>
        </w:tc>
        <w:tc>
          <w:tcPr>
            <w:tcW w:w="851" w:type="dxa"/>
            <w:shd w:val="clear" w:color="auto" w:fill="auto"/>
            <w:noWrap/>
            <w:vAlign w:val="bottom"/>
            <w:hideMark/>
          </w:tcPr>
          <w:p w14:paraId="25B3748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IF</w:t>
            </w:r>
          </w:p>
        </w:tc>
      </w:tr>
      <w:tr w:rsidR="008E7B3A" w:rsidRPr="008E7B3A" w14:paraId="55FB457E" w14:textId="77777777" w:rsidTr="008E7B3A">
        <w:trPr>
          <w:trHeight w:val="300"/>
        </w:trPr>
        <w:tc>
          <w:tcPr>
            <w:tcW w:w="4693" w:type="dxa"/>
            <w:shd w:val="clear" w:color="auto" w:fill="D9D9D9"/>
            <w:noWrap/>
            <w:vAlign w:val="bottom"/>
            <w:hideMark/>
          </w:tcPr>
          <w:p w14:paraId="255E6D0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Alexa-Fluor 594 goat anti-rabbit (A11012)</w:t>
            </w:r>
          </w:p>
        </w:tc>
        <w:tc>
          <w:tcPr>
            <w:tcW w:w="1701" w:type="dxa"/>
            <w:shd w:val="clear" w:color="auto" w:fill="auto"/>
            <w:noWrap/>
            <w:vAlign w:val="bottom"/>
            <w:hideMark/>
          </w:tcPr>
          <w:p w14:paraId="3289C53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Life technologies</w:t>
            </w:r>
          </w:p>
        </w:tc>
        <w:tc>
          <w:tcPr>
            <w:tcW w:w="1701" w:type="dxa"/>
            <w:shd w:val="clear" w:color="auto" w:fill="auto"/>
            <w:noWrap/>
            <w:vAlign w:val="bottom"/>
            <w:hideMark/>
          </w:tcPr>
          <w:p w14:paraId="6A5FABB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1:1000</w:t>
            </w:r>
          </w:p>
        </w:tc>
        <w:tc>
          <w:tcPr>
            <w:tcW w:w="851" w:type="dxa"/>
            <w:shd w:val="clear" w:color="auto" w:fill="auto"/>
            <w:noWrap/>
            <w:vAlign w:val="bottom"/>
            <w:hideMark/>
          </w:tcPr>
          <w:p w14:paraId="734C6CE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IF</w:t>
            </w:r>
          </w:p>
        </w:tc>
      </w:tr>
      <w:tr w:rsidR="008E7B3A" w:rsidRPr="008E7B3A" w14:paraId="13452CA3" w14:textId="77777777" w:rsidTr="008E7B3A">
        <w:trPr>
          <w:trHeight w:val="300"/>
        </w:trPr>
        <w:tc>
          <w:tcPr>
            <w:tcW w:w="4693" w:type="dxa"/>
            <w:shd w:val="clear" w:color="auto" w:fill="D9D9D9"/>
            <w:noWrap/>
            <w:vAlign w:val="bottom"/>
            <w:hideMark/>
          </w:tcPr>
          <w:p w14:paraId="23A5CF9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Polyclonal goat anti-mouse immunoglobulin HRP (P0447)</w:t>
            </w:r>
          </w:p>
        </w:tc>
        <w:tc>
          <w:tcPr>
            <w:tcW w:w="1701" w:type="dxa"/>
            <w:shd w:val="clear" w:color="auto" w:fill="auto"/>
            <w:noWrap/>
            <w:vAlign w:val="bottom"/>
            <w:hideMark/>
          </w:tcPr>
          <w:p w14:paraId="2B1A6F89"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Dako</w:t>
            </w:r>
          </w:p>
        </w:tc>
        <w:tc>
          <w:tcPr>
            <w:tcW w:w="1701" w:type="dxa"/>
            <w:shd w:val="clear" w:color="auto" w:fill="auto"/>
            <w:noWrap/>
            <w:vAlign w:val="bottom"/>
            <w:hideMark/>
          </w:tcPr>
          <w:p w14:paraId="3035A8C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1:1000</w:t>
            </w:r>
          </w:p>
        </w:tc>
        <w:tc>
          <w:tcPr>
            <w:tcW w:w="851" w:type="dxa"/>
            <w:shd w:val="clear" w:color="auto" w:fill="auto"/>
            <w:noWrap/>
            <w:vAlign w:val="bottom"/>
            <w:hideMark/>
          </w:tcPr>
          <w:p w14:paraId="15986AC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WB</w:t>
            </w:r>
          </w:p>
        </w:tc>
      </w:tr>
      <w:tr w:rsidR="008E7B3A" w:rsidRPr="008E7B3A" w14:paraId="57677F5B" w14:textId="77777777" w:rsidTr="008E7B3A">
        <w:trPr>
          <w:trHeight w:val="300"/>
        </w:trPr>
        <w:tc>
          <w:tcPr>
            <w:tcW w:w="4693" w:type="dxa"/>
            <w:shd w:val="clear" w:color="auto" w:fill="D9D9D9"/>
            <w:noWrap/>
            <w:vAlign w:val="bottom"/>
            <w:hideMark/>
          </w:tcPr>
          <w:p w14:paraId="5FCE229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Polyclonal rabbit anti-goat immunoglobulin HRP (P0160)</w:t>
            </w:r>
          </w:p>
        </w:tc>
        <w:tc>
          <w:tcPr>
            <w:tcW w:w="1701" w:type="dxa"/>
            <w:shd w:val="clear" w:color="auto" w:fill="auto"/>
            <w:noWrap/>
            <w:vAlign w:val="bottom"/>
            <w:hideMark/>
          </w:tcPr>
          <w:p w14:paraId="021299C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Dako</w:t>
            </w:r>
          </w:p>
        </w:tc>
        <w:tc>
          <w:tcPr>
            <w:tcW w:w="1701" w:type="dxa"/>
            <w:shd w:val="clear" w:color="auto" w:fill="auto"/>
            <w:noWrap/>
            <w:vAlign w:val="bottom"/>
            <w:hideMark/>
          </w:tcPr>
          <w:p w14:paraId="1EA16E3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1:1000</w:t>
            </w:r>
          </w:p>
        </w:tc>
        <w:tc>
          <w:tcPr>
            <w:tcW w:w="851" w:type="dxa"/>
            <w:shd w:val="clear" w:color="auto" w:fill="auto"/>
            <w:noWrap/>
            <w:vAlign w:val="bottom"/>
            <w:hideMark/>
          </w:tcPr>
          <w:p w14:paraId="320DD314"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WB</w:t>
            </w:r>
          </w:p>
        </w:tc>
      </w:tr>
      <w:tr w:rsidR="008E7B3A" w:rsidRPr="008E7B3A" w14:paraId="639CC4EF" w14:textId="77777777" w:rsidTr="008E7B3A">
        <w:trPr>
          <w:trHeight w:val="300"/>
        </w:trPr>
        <w:tc>
          <w:tcPr>
            <w:tcW w:w="4693" w:type="dxa"/>
            <w:shd w:val="clear" w:color="auto" w:fill="D9D9D9"/>
            <w:noWrap/>
            <w:vAlign w:val="bottom"/>
            <w:hideMark/>
          </w:tcPr>
          <w:p w14:paraId="388D9EC6"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Polyclonal swine anti-rabbit immunoglobulin HRP (P0399)</w:t>
            </w:r>
          </w:p>
        </w:tc>
        <w:tc>
          <w:tcPr>
            <w:tcW w:w="1701" w:type="dxa"/>
            <w:shd w:val="clear" w:color="auto" w:fill="auto"/>
            <w:noWrap/>
            <w:vAlign w:val="bottom"/>
            <w:hideMark/>
          </w:tcPr>
          <w:p w14:paraId="2C10EE2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Dako</w:t>
            </w:r>
          </w:p>
        </w:tc>
        <w:tc>
          <w:tcPr>
            <w:tcW w:w="1701" w:type="dxa"/>
            <w:shd w:val="clear" w:color="auto" w:fill="auto"/>
            <w:noWrap/>
            <w:vAlign w:val="bottom"/>
            <w:hideMark/>
          </w:tcPr>
          <w:p w14:paraId="208DB21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1:1000</w:t>
            </w:r>
          </w:p>
        </w:tc>
        <w:tc>
          <w:tcPr>
            <w:tcW w:w="851" w:type="dxa"/>
            <w:shd w:val="clear" w:color="auto" w:fill="auto"/>
            <w:noWrap/>
            <w:vAlign w:val="bottom"/>
            <w:hideMark/>
          </w:tcPr>
          <w:p w14:paraId="76F6580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WB</w:t>
            </w:r>
          </w:p>
        </w:tc>
      </w:tr>
    </w:tbl>
    <w:p w14:paraId="103BF957" w14:textId="77777777" w:rsidR="008E7B3A" w:rsidRPr="008E7B3A" w:rsidRDefault="008E7B3A" w:rsidP="008E7B3A">
      <w:pPr>
        <w:spacing w:line="276" w:lineRule="auto"/>
        <w:jc w:val="both"/>
        <w:rPr>
          <w:rFonts w:ascii="Calibri" w:eastAsia="ＭＳ Ｐゴシック" w:hAnsi="Calibri" w:cs="Times New Roman"/>
          <w:sz w:val="28"/>
        </w:rPr>
      </w:pPr>
    </w:p>
    <w:p w14:paraId="67D94363" w14:textId="77777777" w:rsidR="008E7B3A" w:rsidRPr="008E7B3A" w:rsidRDefault="008E7B3A" w:rsidP="008E7B3A">
      <w:pPr>
        <w:spacing w:line="276" w:lineRule="auto"/>
        <w:jc w:val="both"/>
        <w:rPr>
          <w:rFonts w:ascii="Calibri" w:eastAsia="ＭＳ Ｐゴシック" w:hAnsi="Calibri" w:cs="Times New Roman"/>
          <w:sz w:val="28"/>
        </w:rPr>
      </w:pPr>
    </w:p>
    <w:p w14:paraId="14FB236E" w14:textId="77777777" w:rsidR="008E7B3A" w:rsidRPr="008E7B3A" w:rsidRDefault="008E7B3A" w:rsidP="008E7B3A">
      <w:pPr>
        <w:rPr>
          <w:rFonts w:ascii="Calibri" w:eastAsia="ＭＳ Ｐゴシック" w:hAnsi="Calibri" w:cs="Times New Roman"/>
          <w:sz w:val="28"/>
        </w:rPr>
      </w:pPr>
      <w:r w:rsidRPr="008E7B3A">
        <w:rPr>
          <w:rFonts w:ascii="Calibri" w:eastAsia="ＭＳ Ｐゴシック" w:hAnsi="Calibri" w:cs="Times New Roman"/>
          <w:sz w:val="28"/>
        </w:rPr>
        <w:br w:type="page"/>
      </w:r>
    </w:p>
    <w:p w14:paraId="018AED1C" w14:textId="77777777" w:rsidR="008E7B3A" w:rsidRPr="008E7B3A" w:rsidRDefault="008E7B3A" w:rsidP="002F41C6">
      <w:pPr>
        <w:numPr>
          <w:ilvl w:val="0"/>
          <w:numId w:val="18"/>
        </w:numPr>
        <w:spacing w:line="276" w:lineRule="auto"/>
        <w:contextualSpacing/>
        <w:jc w:val="both"/>
        <w:rPr>
          <w:rFonts w:ascii="Calibri" w:eastAsia="ＭＳ Ｐゴシック" w:hAnsi="Calibri" w:cs="Times New Roman"/>
          <w:sz w:val="28"/>
        </w:rPr>
      </w:pPr>
      <w:r w:rsidRPr="008E7B3A">
        <w:rPr>
          <w:rFonts w:ascii="Calibri" w:eastAsia="ＭＳ Ｐゴシック" w:hAnsi="Calibri" w:cs="Times New Roman"/>
          <w:sz w:val="28"/>
        </w:rPr>
        <w:t>Cell Lines</w:t>
      </w:r>
    </w:p>
    <w:p w14:paraId="49B6FCD9" w14:textId="77777777" w:rsidR="008E7B3A" w:rsidRPr="008E7B3A" w:rsidRDefault="008E7B3A" w:rsidP="008E7B3A">
      <w:pPr>
        <w:spacing w:line="276" w:lineRule="auto"/>
        <w:jc w:val="both"/>
        <w:rPr>
          <w:rFonts w:ascii="Calibri" w:eastAsia="ＭＳ Ｐゴシック" w:hAnsi="Calibri" w:cs="Times New Roman"/>
          <w:sz w:val="28"/>
        </w:rPr>
      </w:pPr>
    </w:p>
    <w:tbl>
      <w:tblPr>
        <w:tblW w:w="850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418"/>
        <w:gridCol w:w="4252"/>
        <w:gridCol w:w="1418"/>
        <w:gridCol w:w="1417"/>
      </w:tblGrid>
      <w:tr w:rsidR="008E7B3A" w:rsidRPr="008E7B3A" w14:paraId="0E057A49" w14:textId="77777777" w:rsidTr="004146C7">
        <w:trPr>
          <w:trHeight w:val="325"/>
        </w:trPr>
        <w:tc>
          <w:tcPr>
            <w:tcW w:w="1418" w:type="dxa"/>
            <w:shd w:val="clear" w:color="auto" w:fill="000000"/>
            <w:noWrap/>
            <w:vAlign w:val="bottom"/>
            <w:hideMark/>
          </w:tcPr>
          <w:p w14:paraId="0C0EFB16"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Cell line</w:t>
            </w:r>
          </w:p>
        </w:tc>
        <w:tc>
          <w:tcPr>
            <w:tcW w:w="4252" w:type="dxa"/>
            <w:shd w:val="clear" w:color="auto" w:fill="000000"/>
            <w:noWrap/>
            <w:vAlign w:val="bottom"/>
            <w:hideMark/>
          </w:tcPr>
          <w:p w14:paraId="35C3294C" w14:textId="06CCB68F" w:rsidR="008E7B3A" w:rsidRPr="00A164B5" w:rsidRDefault="008E7B3A" w:rsidP="008E7B3A">
            <w:pPr>
              <w:rPr>
                <w:rFonts w:ascii="Calibri" w:eastAsia="Times New Roman" w:hAnsi="Calibri" w:cs="Times New Roman"/>
                <w:b/>
                <w:bCs/>
                <w:color w:val="FFFFFF"/>
                <w:highlight w:val="yellow"/>
              </w:rPr>
            </w:pPr>
            <w:r w:rsidRPr="00A164B5">
              <w:rPr>
                <w:rFonts w:ascii="Calibri" w:eastAsia="Times New Roman" w:hAnsi="Calibri" w:cs="Times New Roman"/>
                <w:b/>
                <w:bCs/>
                <w:color w:val="FFFFFF"/>
              </w:rPr>
              <w:t>Origin</w:t>
            </w:r>
            <w:r w:rsidR="004146C7" w:rsidRPr="00A164B5">
              <w:rPr>
                <w:rFonts w:ascii="Calibri" w:eastAsia="Times New Roman" w:hAnsi="Calibri" w:cs="Times New Roman"/>
                <w:b/>
                <w:bCs/>
                <w:color w:val="FFFFFF"/>
              </w:rPr>
              <w:t xml:space="preserve"> and Molecular Phenotype</w:t>
            </w:r>
          </w:p>
        </w:tc>
        <w:tc>
          <w:tcPr>
            <w:tcW w:w="1418" w:type="dxa"/>
            <w:shd w:val="clear" w:color="auto" w:fill="000000"/>
            <w:noWrap/>
            <w:vAlign w:val="bottom"/>
            <w:hideMark/>
          </w:tcPr>
          <w:p w14:paraId="1B142C31"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Antibiotic Selectivity</w:t>
            </w:r>
          </w:p>
        </w:tc>
        <w:tc>
          <w:tcPr>
            <w:tcW w:w="1417" w:type="dxa"/>
            <w:shd w:val="clear" w:color="auto" w:fill="000000"/>
          </w:tcPr>
          <w:p w14:paraId="6FF016A2" w14:textId="77777777" w:rsidR="008E7B3A" w:rsidRPr="008E7B3A" w:rsidRDefault="008E7B3A" w:rsidP="008E7B3A">
            <w:pPr>
              <w:rPr>
                <w:rFonts w:ascii="Calibri" w:eastAsia="Times New Roman" w:hAnsi="Calibri" w:cs="Times New Roman"/>
                <w:b/>
                <w:bCs/>
                <w:color w:val="FFFFFF"/>
              </w:rPr>
            </w:pPr>
          </w:p>
          <w:p w14:paraId="68A145F3" w14:textId="77777777" w:rsidR="008E7B3A" w:rsidRPr="008E7B3A" w:rsidRDefault="008E7B3A" w:rsidP="008E7B3A">
            <w:pPr>
              <w:rPr>
                <w:rFonts w:ascii="Calibri" w:eastAsia="Times New Roman" w:hAnsi="Calibri" w:cs="Times New Roman"/>
                <w:b/>
                <w:bCs/>
                <w:color w:val="FFFFFF"/>
              </w:rPr>
            </w:pPr>
            <w:r w:rsidRPr="008E7B3A">
              <w:rPr>
                <w:rFonts w:ascii="Calibri" w:eastAsia="Times New Roman" w:hAnsi="Calibri" w:cs="Times New Roman"/>
                <w:b/>
                <w:bCs/>
                <w:color w:val="FFFFFF"/>
              </w:rPr>
              <w:t>Reference</w:t>
            </w:r>
          </w:p>
        </w:tc>
      </w:tr>
      <w:tr w:rsidR="008E7B3A" w:rsidRPr="008E7B3A" w14:paraId="04C587A9" w14:textId="77777777" w:rsidTr="004146C7">
        <w:trPr>
          <w:trHeight w:val="325"/>
        </w:trPr>
        <w:tc>
          <w:tcPr>
            <w:tcW w:w="1418" w:type="dxa"/>
            <w:shd w:val="clear" w:color="auto" w:fill="D9D9D9"/>
            <w:noWrap/>
            <w:vAlign w:val="bottom"/>
            <w:hideMark/>
          </w:tcPr>
          <w:p w14:paraId="0330F16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HCT116</w:t>
            </w:r>
          </w:p>
        </w:tc>
        <w:tc>
          <w:tcPr>
            <w:tcW w:w="4252" w:type="dxa"/>
            <w:shd w:val="clear" w:color="auto" w:fill="auto"/>
            <w:noWrap/>
            <w:vAlign w:val="bottom"/>
            <w:hideMark/>
          </w:tcPr>
          <w:p w14:paraId="07AAB134" w14:textId="6D792E65"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Colorectal Adenocarcinoma</w:t>
            </w:r>
            <w:r w:rsidR="004146C7" w:rsidRPr="00E82D3B">
              <w:rPr>
                <w:rFonts w:ascii="Calibri" w:eastAsia="Times New Roman" w:hAnsi="Calibri" w:cs="Times New Roman"/>
                <w:color w:val="000000"/>
              </w:rPr>
              <w:t xml:space="preserve">- </w:t>
            </w:r>
            <w:r w:rsidR="004146C7" w:rsidRPr="00E82D3B">
              <w:rPr>
                <w:rFonts w:ascii="Calibri" w:eastAsia="Times New Roman" w:hAnsi="Calibri" w:cs="Times New Roman"/>
                <w:i/>
                <w:color w:val="000000"/>
              </w:rPr>
              <w:t>Microsatellite unstable (hMLH1 mutation), WT TP53, KRAS mutant, APC WT</w:t>
            </w:r>
          </w:p>
        </w:tc>
        <w:tc>
          <w:tcPr>
            <w:tcW w:w="1418" w:type="dxa"/>
            <w:shd w:val="clear" w:color="auto" w:fill="auto"/>
            <w:noWrap/>
            <w:vAlign w:val="bottom"/>
            <w:hideMark/>
          </w:tcPr>
          <w:p w14:paraId="3A5CB9C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w:t>
            </w:r>
          </w:p>
        </w:tc>
        <w:tc>
          <w:tcPr>
            <w:tcW w:w="1417" w:type="dxa"/>
          </w:tcPr>
          <w:p w14:paraId="124F3C3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&lt;EndNote&gt;&lt;Cite&gt;&lt;Author&gt;Brattain&lt;/Author&gt;&lt;Year&gt;1981&lt;/Year&gt;&lt;IDText&gt;Heterogeneity of malignant cells from a human colonic carcinoma&lt;/IDText&gt;&lt;DisplayText&gt;(Brattain et al., 1981)&lt;/DisplayText&gt;&lt;record&gt;&lt;dates&gt;&lt;pub-dates&gt;&lt;date&gt;May&lt;/date&gt;&lt;/pub-dates&gt;&lt;year&gt;1981&lt;/year&gt;&lt;/dates&gt;&lt;keywords&gt;&lt;keyword&gt;Animals&lt;/keyword&gt;&lt;keyword&gt;Carcinoma&lt;/keyword&gt;&lt;keyword&gt;Cell Line&lt;/keyword&gt;&lt;keyword&gt;Cells, Cultured&lt;/keyword&gt;&lt;keyword&gt;Colonic Neoplasms&lt;/keyword&gt;&lt;keyword&gt;Humans&lt;/keyword&gt;&lt;keyword&gt;Mice&lt;/keyword&gt;&lt;keyword&gt;Mice, Nude&lt;/keyword&gt;&lt;keyword&gt;Neoplasm Transplantation&lt;/keyword&gt;&lt;keyword&gt;Neoplasms, Experimental&lt;/keyword&gt;&lt;/keywords&gt;&lt;urls&gt;&lt;related-urls&gt;&lt;url&gt;https://www.ncbi.nlm.nih.gov/pubmed/7214343&lt;/url&gt;&lt;/related-urls&gt;&lt;/urls&gt;&lt;isbn&gt;0008-5472&lt;/isbn&gt;&lt;titles&gt;&lt;title&gt;Heterogeneity of malignant cells from a human colonic carcinoma&lt;/title&gt;&lt;secondary-title&gt;Cancer Res&lt;/secondary-title&gt;&lt;/titles&gt;&lt;pages&gt;1751-6&lt;/pages&gt;&lt;number&gt;5&lt;/number&gt;&lt;contributors&gt;&lt;authors&gt;&lt;author&gt;Brattain, M. G.&lt;/author&gt;&lt;author&gt;Fine, W. D.&lt;/author&gt;&lt;author&gt;Khaled, F. M.&lt;/author&gt;&lt;author&gt;Thompson, J.&lt;/author&gt;&lt;author&gt;Brattain, D. E.&lt;/author&gt;&lt;/authors&gt;&lt;/contributors&gt;&lt;language&gt;eng&lt;/language&gt;&lt;added-date format="utc"&gt;1499181024&lt;/added-date&gt;&lt;ref-type name="Journal Article"&gt;17&lt;/ref-type&gt;&lt;rec-number&gt;195&lt;/rec-number&gt;&lt;last-updated-date format="utc"&gt;1499181024&lt;/last-updated-date&gt;&lt;accession-num&gt;7214343&lt;/accession-num&gt;&lt;volume&gt;41&lt;/volume&gt;&lt;/record&gt;&lt;/Cite&gt;&lt;/EndNote&gt;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(Brattain et al., 1981)</w:t>
            </w:r>
            <w:r w:rsidRPr="008E7B3A">
              <w:rPr>
                <w:rFonts w:ascii="Calibri" w:eastAsia="Times New Roman" w:hAnsi="Calibri" w:cs="Times New Roman"/>
                <w:color w:val="000000"/>
              </w:rPr>
              <w:fldChar w:fldCharType="end"/>
            </w:r>
          </w:p>
        </w:tc>
      </w:tr>
      <w:tr w:rsidR="008E7B3A" w:rsidRPr="008E7B3A" w14:paraId="6B4A5F3C" w14:textId="77777777" w:rsidTr="004146C7">
        <w:trPr>
          <w:trHeight w:val="325"/>
        </w:trPr>
        <w:tc>
          <w:tcPr>
            <w:tcW w:w="1418" w:type="dxa"/>
            <w:shd w:val="clear" w:color="auto" w:fill="D9D9D9"/>
            <w:noWrap/>
            <w:vAlign w:val="bottom"/>
            <w:hideMark/>
          </w:tcPr>
          <w:p w14:paraId="28F22009" w14:textId="1B3C5EC5" w:rsidR="008E7B3A" w:rsidRPr="008E7B3A" w:rsidRDefault="00273B06" w:rsidP="008E7B3A">
            <w:pPr>
              <w:rPr>
                <w:rFonts w:ascii="Calibri" w:eastAsia="Times New Roman" w:hAnsi="Calibri" w:cs="Times New Roman"/>
                <w:color w:val="000000"/>
              </w:rPr>
            </w:pPr>
            <w:r>
              <w:rPr>
                <w:rFonts w:ascii="Calibri" w:eastAsia="Times New Roman" w:hAnsi="Calibri" w:cs="Times New Roman"/>
                <w:color w:val="000000"/>
              </w:rPr>
              <w:t>HCT116 Flp-In</w:t>
            </w:r>
            <w:r w:rsidR="008E7B3A" w:rsidRPr="008E7B3A">
              <w:rPr>
                <w:rFonts w:ascii="Calibri" w:eastAsia="Times New Roman" w:hAnsi="Calibri" w:cs="Times New Roman"/>
                <w:color w:val="000000"/>
              </w:rPr>
              <w:t xml:space="preserve"> </w:t>
            </w:r>
            <w:proofErr w:type="spellStart"/>
            <w:r w:rsidR="008E7B3A" w:rsidRPr="008E7B3A">
              <w:rPr>
                <w:rFonts w:ascii="Calibri" w:eastAsia="Times New Roman" w:hAnsi="Calibri" w:cs="Times New Roman"/>
                <w:color w:val="000000"/>
              </w:rPr>
              <w:t>TRex</w:t>
            </w:r>
            <w:proofErr w:type="spellEnd"/>
            <w:r w:rsidR="008E7B3A" w:rsidRPr="008E7B3A">
              <w:rPr>
                <w:rFonts w:ascii="Calibri" w:eastAsia="Times New Roman" w:hAnsi="Calibri" w:cs="Times New Roman"/>
                <w:color w:val="000000"/>
              </w:rPr>
              <w:t xml:space="preserve"> </w:t>
            </w:r>
          </w:p>
        </w:tc>
        <w:tc>
          <w:tcPr>
            <w:tcW w:w="4252" w:type="dxa"/>
            <w:shd w:val="clear" w:color="auto" w:fill="auto"/>
            <w:noWrap/>
            <w:vAlign w:val="bottom"/>
            <w:hideMark/>
          </w:tcPr>
          <w:p w14:paraId="4CD3AF8B" w14:textId="77777777"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Colorectal Adenocarcinoma with Flp. in recombination site (made in house)</w:t>
            </w:r>
            <w:r w:rsidR="004146C7" w:rsidRPr="00E82D3B">
              <w:rPr>
                <w:rFonts w:ascii="Calibri" w:eastAsia="Times New Roman" w:hAnsi="Calibri" w:cs="Times New Roman"/>
                <w:color w:val="000000"/>
              </w:rPr>
              <w:t>-</w:t>
            </w:r>
          </w:p>
          <w:p w14:paraId="6BC3B13D" w14:textId="430D1403" w:rsidR="004146C7" w:rsidRPr="00E82D3B" w:rsidRDefault="004146C7" w:rsidP="008E7B3A">
            <w:pPr>
              <w:rPr>
                <w:rFonts w:ascii="Calibri" w:eastAsia="Times New Roman" w:hAnsi="Calibri" w:cs="Times New Roman"/>
                <w:color w:val="000000"/>
              </w:rPr>
            </w:pPr>
            <w:r w:rsidRPr="00E82D3B">
              <w:rPr>
                <w:rFonts w:ascii="Calibri" w:eastAsia="Times New Roman" w:hAnsi="Calibri" w:cs="Times New Roman"/>
                <w:i/>
                <w:color w:val="000000"/>
              </w:rPr>
              <w:t>Microsatellite unstable (hMLH1 mutation), WT TP53, KRAS mutant, APC WT</w:t>
            </w:r>
          </w:p>
        </w:tc>
        <w:tc>
          <w:tcPr>
            <w:tcW w:w="1418" w:type="dxa"/>
            <w:shd w:val="clear" w:color="auto" w:fill="auto"/>
            <w:noWrap/>
            <w:vAlign w:val="bottom"/>
            <w:hideMark/>
          </w:tcPr>
          <w:p w14:paraId="4D73654C"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Blasticidin, Zeocin</w:t>
            </w:r>
          </w:p>
        </w:tc>
        <w:tc>
          <w:tcPr>
            <w:tcW w:w="1417" w:type="dxa"/>
          </w:tcPr>
          <w:p w14:paraId="5F02036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&lt;EndNote&gt;&lt;Cite&gt;&lt;Author&gt;Gagou&lt;/Author&gt;&lt;Year&gt;2014&lt;/Year&gt;&lt;IDText&gt;Human PIF1 helicase supports DNA replication and cell growth under oncogenic-stress&lt;/IDText&gt;&lt;DisplayText&gt;(Gagou et al., 2014)&lt;/DisplayText&gt;&lt;record&gt;&lt;dates&gt;&lt;pub-dates&gt;&lt;date&gt;Nov&lt;/date&gt;&lt;/pub-dates&gt;&lt;year&gt;2014&lt;/year&gt;&lt;/dates&gt;&lt;keywords&gt;&lt;keyword&gt;Cell Growth Processes&lt;/keyword&gt;&lt;keyword&gt;Cell Line, Transformed&lt;/keyword&gt;&lt;keyword&gt;DNA Helicases&lt;/keyword&gt;&lt;keyword&gt;DNA Replication&lt;/keyword&gt;&lt;keyword&gt;Fibroblasts&lt;/keyword&gt;&lt;keyword&gt;Genomic Instability&lt;/keyword&gt;&lt;keyword&gt;HCT116 Cells&lt;/keyword&gt;&lt;keyword&gt;Humans&lt;/keyword&gt;&lt;keyword&gt;Oncogenes&lt;/keyword&gt;&lt;keyword&gt;RNA, Small Interfering&lt;/keyword&gt;&lt;keyword&gt;Transfection&lt;/keyword&gt;&lt;keyword&gt;ras Proteins&lt;/keyword&gt;&lt;/keywords&gt;&lt;urls&gt;&lt;related-urls&gt;&lt;url&gt;https://www.ncbi.nlm.nih.gov/pubmed/25359767&lt;/url&gt;&lt;/related-urls&gt;&lt;/urls&gt;&lt;isbn&gt;1949-2553&lt;/isbn&gt;&lt;custom2&gt;PMC4294361&lt;/custom2&gt;&lt;titles&gt;&lt;title&gt;Human PIF1 helicase supports DNA replication and cell growth under oncogenic-stress&lt;/title&gt;&lt;secondary-title&gt;Oncotarget&lt;/secondary-title&gt;&lt;/titles&gt;&lt;pages&gt;11381-98&lt;/pages&gt;&lt;number&gt;22&lt;/number&gt;&lt;contributors&gt;&lt;authors&gt;&lt;author&gt;Gagou, M. E.&lt;/author&gt;&lt;author&gt;Ganesh, A.&lt;/author&gt;&lt;author&gt;Phear, G.&lt;/author&gt;&lt;author&gt;Robinson, D.&lt;/author&gt;&lt;author&gt;Petermann, E.&lt;/author&gt;&lt;author&gt;Cox, A.&lt;/author&gt;&lt;author&gt;Meuth, M.&lt;/author&gt;&lt;/authors&gt;&lt;/contributors&gt;&lt;language&gt;eng&lt;/language&gt;&lt;added-date format="utc"&gt;1500296565&lt;/added-date&gt;&lt;ref-type name="Journal Article"&gt;17&lt;/ref-type&gt;&lt;rec-number&gt;200&lt;/rec-number&gt;&lt;last-updated-date format="utc"&gt;1500296565&lt;/last-updated-date&gt;&lt;accession-num&gt;25359767&lt;/accession-num&gt;&lt;electronic-resource-num&gt;10.18632/oncotarget.2501&lt;/electronic-resource-num&gt;&lt;volume&gt;5&lt;/volume&gt;&lt;/record&gt;&lt;/Cite&gt;&lt;/EndNote&gt;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(Gagou et al., 2014)</w:t>
            </w:r>
            <w:r w:rsidRPr="008E7B3A">
              <w:rPr>
                <w:rFonts w:ascii="Calibri" w:eastAsia="Times New Roman" w:hAnsi="Calibri" w:cs="Times New Roman"/>
                <w:color w:val="000000"/>
              </w:rPr>
              <w:fldChar w:fldCharType="end"/>
            </w:r>
          </w:p>
        </w:tc>
      </w:tr>
      <w:tr w:rsidR="008E7B3A" w:rsidRPr="008E7B3A" w14:paraId="2C7E3CEE" w14:textId="77777777" w:rsidTr="004146C7">
        <w:trPr>
          <w:trHeight w:val="325"/>
        </w:trPr>
        <w:tc>
          <w:tcPr>
            <w:tcW w:w="1418" w:type="dxa"/>
            <w:shd w:val="clear" w:color="auto" w:fill="D9D9D9"/>
            <w:noWrap/>
            <w:vAlign w:val="bottom"/>
            <w:hideMark/>
          </w:tcPr>
          <w:p w14:paraId="1F347D8E" w14:textId="7002363E" w:rsidR="008E7B3A" w:rsidRPr="008E7B3A" w:rsidRDefault="001C1857" w:rsidP="008E7B3A">
            <w:pPr>
              <w:rPr>
                <w:rFonts w:ascii="Calibri" w:eastAsia="Times New Roman" w:hAnsi="Calibri" w:cs="Times New Roman"/>
                <w:color w:val="000000"/>
              </w:rPr>
            </w:pPr>
            <w:r>
              <w:rPr>
                <w:rFonts w:ascii="Calibri" w:eastAsia="Times New Roman" w:hAnsi="Calibri" w:cs="Times New Roman"/>
                <w:color w:val="000000"/>
              </w:rPr>
              <w:t>HCT116 TP</w:t>
            </w:r>
            <w:r w:rsidR="008E7B3A" w:rsidRPr="008E7B3A">
              <w:rPr>
                <w:rFonts w:ascii="Calibri" w:eastAsia="Times New Roman" w:hAnsi="Calibri" w:cs="Times New Roman"/>
                <w:color w:val="000000"/>
              </w:rPr>
              <w:t>53-/-</w:t>
            </w:r>
          </w:p>
        </w:tc>
        <w:tc>
          <w:tcPr>
            <w:tcW w:w="4252" w:type="dxa"/>
            <w:shd w:val="clear" w:color="auto" w:fill="auto"/>
            <w:noWrap/>
            <w:vAlign w:val="bottom"/>
            <w:hideMark/>
          </w:tcPr>
          <w:p w14:paraId="67C59114" w14:textId="77777777"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Colorectal Adenocarcinoma with p53 deficiency (made in house)</w:t>
            </w:r>
            <w:r w:rsidR="004146C7" w:rsidRPr="00E82D3B">
              <w:rPr>
                <w:rFonts w:ascii="Calibri" w:eastAsia="Times New Roman" w:hAnsi="Calibri" w:cs="Times New Roman"/>
                <w:color w:val="000000"/>
              </w:rPr>
              <w:t>-</w:t>
            </w:r>
          </w:p>
          <w:p w14:paraId="3BC174B2" w14:textId="5A1501E9" w:rsidR="004146C7" w:rsidRPr="00E82D3B" w:rsidRDefault="004146C7" w:rsidP="008E7B3A">
            <w:pPr>
              <w:rPr>
                <w:rFonts w:ascii="Calibri" w:eastAsia="Times New Roman" w:hAnsi="Calibri" w:cs="Times New Roman"/>
                <w:color w:val="000000"/>
              </w:rPr>
            </w:pPr>
            <w:r w:rsidRPr="00E82D3B">
              <w:rPr>
                <w:rFonts w:ascii="Calibri" w:eastAsia="Times New Roman" w:hAnsi="Calibri" w:cs="Times New Roman"/>
                <w:i/>
                <w:color w:val="000000"/>
              </w:rPr>
              <w:t>Microsatellite unstable (hMLH1 mutation), TP53 mutant, KRAS mutant, APC WT</w:t>
            </w:r>
          </w:p>
        </w:tc>
        <w:tc>
          <w:tcPr>
            <w:tcW w:w="1418" w:type="dxa"/>
            <w:shd w:val="clear" w:color="auto" w:fill="auto"/>
            <w:noWrap/>
            <w:vAlign w:val="bottom"/>
            <w:hideMark/>
          </w:tcPr>
          <w:p w14:paraId="07A6AEC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Hygromycin</w:t>
            </w:r>
          </w:p>
        </w:tc>
        <w:tc>
          <w:tcPr>
            <w:tcW w:w="1417" w:type="dxa"/>
          </w:tcPr>
          <w:p w14:paraId="208BC12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&lt;EndNote&gt;&lt;Cite&gt;&lt;Author&gt;Bunz&lt;/Author&gt;&lt;Year&gt;1998&lt;/Year&gt;&lt;IDText&gt;Requirement for p53 and p21 to sustain G2 arrest after DNA damage&lt;/IDText&gt;&lt;DisplayText&gt;(Bunz et al., 1998)&lt;/DisplayText&gt;&lt;record&gt;&lt;dates&gt;&lt;pub-dates&gt;&lt;date&gt;Nov&lt;/date&gt;&lt;/pub-dates&gt;&lt;year&gt;1998&lt;/year&gt;&lt;/dates&gt;&lt;keywords&gt;&lt;keyword&gt;Apoptosis&lt;/keyword&gt;&lt;keyword&gt;CDC2 Protein Kinase&lt;/keyword&gt;&lt;keyword&gt;Cell Line&lt;/keyword&gt;&lt;keyword&gt;Cyclin B&lt;/keyword&gt;&lt;keyword&gt;Cyclin B1&lt;/keyword&gt;&lt;keyword&gt;Cyclin-Dependent Kinase Inhibitor p21&lt;/keyword&gt;&lt;keyword&gt;Cyclins&lt;/keyword&gt;&lt;keyword&gt;DNA&lt;/keyword&gt;&lt;keyword&gt;DNA Damage&lt;/keyword&gt;&lt;keyword&gt;G2 Phase&lt;/keyword&gt;&lt;keyword&gt;Gamma Rays&lt;/keyword&gt;&lt;keyword&gt;Gene Expression Regulation&lt;/keyword&gt;&lt;keyword&gt;Genes, p53&lt;/keyword&gt;&lt;keyword&gt;Humans&lt;/keyword&gt;&lt;keyword&gt;Mitosis&lt;/keyword&gt;&lt;keyword&gt;Mutation&lt;/keyword&gt;&lt;keyword&gt;Nocodazole&lt;/keyword&gt;&lt;keyword&gt;Tumor Cells, Cultured&lt;/keyword&gt;&lt;keyword&gt;Tumor Suppressor Protein p53&lt;/keyword&gt;&lt;/keywords&gt;&lt;urls&gt;&lt;related-urls&gt;&lt;url&gt;https://www.ncbi.nlm.nih.gov/pubmed/9822382&lt;/url&gt;&lt;/related-urls&gt;&lt;/urls&gt;&lt;isbn&gt;0036-8075&lt;/isbn&gt;&lt;titles&gt;&lt;title&gt;Requirement for p53 and p21 to sustain G2 arrest after DNA damage&lt;/title&gt;&lt;secondary-title&gt;Science&lt;/secondary-title&gt;&lt;/titles&gt;&lt;pages&gt;1497-501&lt;/pages&gt;&lt;number&gt;5393&lt;/number&gt;&lt;contributors&gt;&lt;authors&gt;&lt;author&gt;Bunz, F.&lt;/author&gt;&lt;author&gt;Dutriaux, A.&lt;/author&gt;&lt;author&gt;Lengauer, C.&lt;/author&gt;&lt;author&gt;Waldman, T.&lt;/author&gt;&lt;author&gt;Zhou, S.&lt;/author&gt;&lt;author&gt;Brown, J. P.&lt;/author&gt;&lt;author&gt;Sedivy, J. M.&lt;/author&gt;&lt;author&gt;Kinzler, K. W.&lt;/author&gt;&lt;author&gt;Vogelstein, B.&lt;/author&gt;&lt;/authors&gt;&lt;/contributors&gt;&lt;language&gt;eng&lt;/language&gt;&lt;added-date format="utc"&gt;1500296518&lt;/added-date&gt;&lt;ref-type name="Journal Article"&gt;17&lt;/ref-type&gt;&lt;rec-number&gt;199&lt;/rec-number&gt;&lt;last-updated-date format="utc"&gt;1500296518&lt;/last-updated-date&gt;&lt;accession-num&gt;9822382&lt;/accession-num&gt;&lt;volume&gt;282&lt;/volume&gt;&lt;/record&gt;&lt;/Cite&gt;&lt;/EndNote&gt;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(Bunz et al., 1998)</w:t>
            </w:r>
            <w:r w:rsidRPr="008E7B3A">
              <w:rPr>
                <w:rFonts w:ascii="Calibri" w:eastAsia="Times New Roman" w:hAnsi="Calibri" w:cs="Times New Roman"/>
                <w:color w:val="000000"/>
              </w:rPr>
              <w:fldChar w:fldCharType="end"/>
            </w:r>
          </w:p>
        </w:tc>
      </w:tr>
      <w:tr w:rsidR="008E7B3A" w:rsidRPr="008E7B3A" w14:paraId="0CA9F1E8" w14:textId="77777777" w:rsidTr="004146C7">
        <w:trPr>
          <w:trHeight w:val="325"/>
        </w:trPr>
        <w:tc>
          <w:tcPr>
            <w:tcW w:w="1418" w:type="dxa"/>
            <w:shd w:val="clear" w:color="auto" w:fill="D9D9D9"/>
            <w:noWrap/>
            <w:vAlign w:val="bottom"/>
            <w:hideMark/>
          </w:tcPr>
          <w:p w14:paraId="01F433AE" w14:textId="47F111BE"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HEK293</w:t>
            </w:r>
          </w:p>
        </w:tc>
        <w:tc>
          <w:tcPr>
            <w:tcW w:w="4252" w:type="dxa"/>
            <w:shd w:val="clear" w:color="auto" w:fill="auto"/>
            <w:noWrap/>
            <w:vAlign w:val="bottom"/>
            <w:hideMark/>
          </w:tcPr>
          <w:p w14:paraId="72F73855" w14:textId="7E4C30BC"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 xml:space="preserve">Embryonic kidney </w:t>
            </w:r>
            <w:r w:rsidR="004146C7" w:rsidRPr="00E82D3B">
              <w:rPr>
                <w:rFonts w:ascii="Calibri" w:eastAsia="Times New Roman" w:hAnsi="Calibri" w:cs="Times New Roman"/>
                <w:color w:val="000000"/>
              </w:rPr>
              <w:t>–</w:t>
            </w:r>
          </w:p>
          <w:p w14:paraId="106F5D0D" w14:textId="6CE24C1A" w:rsidR="004146C7" w:rsidRPr="00E82D3B" w:rsidRDefault="00F54C26" w:rsidP="008E7B3A">
            <w:pPr>
              <w:rPr>
                <w:rFonts w:ascii="Calibri" w:eastAsia="Times New Roman" w:hAnsi="Calibri" w:cs="Times New Roman"/>
                <w:i/>
                <w:color w:val="000000"/>
              </w:rPr>
            </w:pPr>
            <w:r w:rsidRPr="00E82D3B">
              <w:rPr>
                <w:rFonts w:ascii="Calibri" w:eastAsia="Times New Roman" w:hAnsi="Calibri" w:cs="Times New Roman"/>
                <w:i/>
                <w:color w:val="000000"/>
              </w:rPr>
              <w:t xml:space="preserve">Chromosomal unstable, </w:t>
            </w:r>
            <w:proofErr w:type="spellStart"/>
            <w:r w:rsidRPr="00E82D3B">
              <w:rPr>
                <w:rFonts w:ascii="Calibri" w:eastAsia="Times New Roman" w:hAnsi="Calibri" w:cs="Times New Roman"/>
                <w:i/>
                <w:color w:val="000000"/>
              </w:rPr>
              <w:t>vitronectin</w:t>
            </w:r>
            <w:proofErr w:type="spellEnd"/>
            <w:r w:rsidRPr="00E82D3B">
              <w:rPr>
                <w:rFonts w:ascii="Calibri" w:eastAsia="Times New Roman" w:hAnsi="Calibri" w:cs="Times New Roman"/>
                <w:i/>
                <w:color w:val="000000"/>
              </w:rPr>
              <w:t xml:space="preserve"> expressing, WT TP53</w:t>
            </w:r>
          </w:p>
        </w:tc>
        <w:tc>
          <w:tcPr>
            <w:tcW w:w="1418" w:type="dxa"/>
            <w:shd w:val="clear" w:color="auto" w:fill="auto"/>
            <w:noWrap/>
            <w:vAlign w:val="bottom"/>
            <w:hideMark/>
          </w:tcPr>
          <w:p w14:paraId="1B51701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w:t>
            </w:r>
          </w:p>
        </w:tc>
        <w:tc>
          <w:tcPr>
            <w:tcW w:w="1417" w:type="dxa"/>
          </w:tcPr>
          <w:p w14:paraId="1E465EA7"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&lt;EndNote&gt;&lt;Cite&gt;&lt;Author&gt;Da Costa&lt;/Author&gt;&lt;Year&gt;1996&lt;/Year&gt;&lt;IDText&gt;Converting cancer genes into killer genes&lt;/IDText&gt;&lt;DisplayText&gt;(Da Costa et al., 1996)&lt;/DisplayText&gt;&lt;record&gt;&lt;dates&gt;&lt;pub-dates&gt;&lt;date&gt;Apr&lt;/date&gt;&lt;/pub-dates&gt;&lt;year&gt;1996&lt;/year&gt;&lt;/dates&gt;&lt;keywords&gt;&lt;keyword&gt;Cell Line&lt;/keyword&gt;&lt;keyword&gt;Cell Survival&lt;/keyword&gt;&lt;keyword&gt;Genes, Bacterial&lt;/keyword&gt;&lt;keyword&gt;Genes, p53&lt;/keyword&gt;&lt;keyword&gt;Genetic Therapy&lt;/keyword&gt;&lt;keyword&gt;Humans&lt;/keyword&gt;&lt;keyword&gt;Kidney&lt;/keyword&gt;&lt;keyword&gt;Models, Biological&lt;/keyword&gt;&lt;keyword&gt;Mutagenesis, Site-Directed&lt;/keyword&gt;&lt;keyword&gt;Neoplasms&lt;/keyword&gt;&lt;keyword&gt;Oncogenes&lt;/keyword&gt;&lt;keyword&gt;Plasmids&lt;/keyword&gt;&lt;keyword&gt;Point Mutation&lt;/keyword&gt;&lt;keyword&gt;Purine-Nucleoside Phosphorylase&lt;/keyword&gt;&lt;keyword&gt;Recombinant Proteins&lt;/keyword&gt;&lt;keyword&gt;Transfection&lt;/keyword&gt;&lt;keyword&gt;Tumor Suppressor Protein p53&lt;/keyword&gt;&lt;keyword&gt;beta-Galactosidase&lt;/keyword&gt;&lt;/keywords&gt;&lt;urls&gt;&lt;related-urls&gt;&lt;url&gt;https://www.ncbi.nlm.nih.gov/pubmed/8633039&lt;/url&gt;&lt;/related-urls&gt;&lt;/urls&gt;&lt;isbn&gt;0027-8424&lt;/isbn&gt;&lt;custom2&gt;PMC39510&lt;/custom2&gt;&lt;titles&gt;&lt;title&gt;Converting cancer genes into killer genes&lt;/title&gt;&lt;secondary-title&gt;Proc Natl Acad Sci U S A&lt;/secondary-title&gt;&lt;/titles&gt;&lt;pages&gt;4192-6&lt;/pages&gt;&lt;number&gt;9&lt;/number&gt;&lt;contributors&gt;&lt;authors&gt;&lt;author&gt;Da Costa, L. T.&lt;/author&gt;&lt;author&gt;Jen, J.&lt;/author&gt;&lt;author&gt;He, T. C.&lt;/author&gt;&lt;author&gt;Chan, T. A.&lt;/author&gt;&lt;author&gt;Kinzler, K. W.&lt;/author&gt;&lt;author&gt;Vogelstein, B.&lt;/author&gt;&lt;/authors&gt;&lt;/contributors&gt;&lt;language&gt;eng&lt;/language&gt;&lt;added-date format="utc"&gt;1499181244&lt;/added-date&gt;&lt;ref-type name="Journal Article"&gt;17&lt;/ref-type&gt;&lt;rec-number&gt;196&lt;/rec-number&gt;&lt;last-updated-date format="utc"&gt;1499181244&lt;/last-updated-date&gt;&lt;accession-num&gt;8633039&lt;/accession-num&gt;&lt;volume&gt;93&lt;/volume&gt;&lt;/record&gt;&lt;/Cite&gt;&lt;/EndNote&gt;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(Da Costa et al., 1996)</w:t>
            </w:r>
            <w:r w:rsidRPr="008E7B3A">
              <w:rPr>
                <w:rFonts w:ascii="Calibri" w:eastAsia="Times New Roman" w:hAnsi="Calibri" w:cs="Times New Roman"/>
                <w:color w:val="000000"/>
              </w:rPr>
              <w:fldChar w:fldCharType="end"/>
            </w:r>
          </w:p>
        </w:tc>
      </w:tr>
      <w:tr w:rsidR="008E7B3A" w:rsidRPr="008E7B3A" w14:paraId="789A67DD" w14:textId="77777777" w:rsidTr="004146C7">
        <w:trPr>
          <w:trHeight w:val="325"/>
        </w:trPr>
        <w:tc>
          <w:tcPr>
            <w:tcW w:w="1418" w:type="dxa"/>
            <w:shd w:val="clear" w:color="auto" w:fill="D9D9D9"/>
            <w:noWrap/>
            <w:vAlign w:val="bottom"/>
          </w:tcPr>
          <w:p w14:paraId="6EB1FE76" w14:textId="11391C4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Hela</w:t>
            </w:r>
          </w:p>
        </w:tc>
        <w:tc>
          <w:tcPr>
            <w:tcW w:w="4252" w:type="dxa"/>
            <w:shd w:val="clear" w:color="auto" w:fill="auto"/>
            <w:noWrap/>
            <w:vAlign w:val="bottom"/>
          </w:tcPr>
          <w:p w14:paraId="408E6F84" w14:textId="77777777"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Cervical Adenocarcinoma</w:t>
            </w:r>
            <w:r w:rsidR="00F54C26" w:rsidRPr="00E82D3B">
              <w:rPr>
                <w:rFonts w:ascii="Calibri" w:eastAsia="Times New Roman" w:hAnsi="Calibri" w:cs="Times New Roman"/>
                <w:color w:val="000000"/>
              </w:rPr>
              <w:t>-</w:t>
            </w:r>
          </w:p>
          <w:p w14:paraId="3D7BE303" w14:textId="1232B9FF" w:rsidR="00F54C26" w:rsidRPr="00E82D3B" w:rsidRDefault="00F54C26" w:rsidP="00F54C26">
            <w:pPr>
              <w:rPr>
                <w:rFonts w:ascii="Calibri" w:eastAsia="Times New Roman" w:hAnsi="Calibri" w:cs="Times New Roman"/>
                <w:color w:val="000000"/>
              </w:rPr>
            </w:pPr>
            <w:r w:rsidRPr="00E82D3B">
              <w:rPr>
                <w:rFonts w:ascii="Calibri" w:eastAsia="Times New Roman" w:hAnsi="Calibri" w:cs="Times New Roman"/>
                <w:i/>
                <w:color w:val="000000"/>
              </w:rPr>
              <w:t>Chromosomal unstable, WT TP53</w:t>
            </w:r>
          </w:p>
        </w:tc>
        <w:tc>
          <w:tcPr>
            <w:tcW w:w="1418" w:type="dxa"/>
            <w:shd w:val="clear" w:color="auto" w:fill="auto"/>
            <w:noWrap/>
            <w:vAlign w:val="bottom"/>
          </w:tcPr>
          <w:p w14:paraId="54C0C487" w14:textId="77777777" w:rsidR="008E7B3A" w:rsidRPr="008E7B3A" w:rsidRDefault="008E7B3A" w:rsidP="008E7B3A">
            <w:pPr>
              <w:rPr>
                <w:rFonts w:ascii="Calibri" w:eastAsia="Times New Roman" w:hAnsi="Calibri" w:cs="Times New Roman"/>
                <w:color w:val="000000"/>
              </w:rPr>
            </w:pPr>
          </w:p>
        </w:tc>
        <w:tc>
          <w:tcPr>
            <w:tcW w:w="1417" w:type="dxa"/>
          </w:tcPr>
          <w:p w14:paraId="0240521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&lt;EndNote&gt;&lt;Cite&gt;&lt;Author&gt;Macville&lt;/Author&gt;&lt;Year&gt;1999&lt;/Year&gt;&lt;IDText&gt;Comprehensive and definitive molecular cytogenetic characterization of HeLa cells by spectral karyotyping&lt;/IDText&gt;&lt;DisplayText&gt;(Macville et al., 1999)&lt;/DisplayText&gt;&lt;record&gt;&lt;dates&gt;&lt;pub-dates&gt;&lt;date&gt;Jan&lt;/date&gt;&lt;/pub-dates&gt;&lt;year&gt;1999&lt;/year&gt;&lt;/dates&gt;&lt;keywords&gt;&lt;keyword&gt;Chromosome Aberrations&lt;/keyword&gt;&lt;keyword&gt;Cytogenetics&lt;/keyword&gt;&lt;keyword&gt;HeLa Cells&lt;/keyword&gt;&lt;keyword&gt;Humans&lt;/keyword&gt;&lt;/keywords&gt;&lt;urls&gt;&lt;related-urls&gt;&lt;url&gt;https://www.ncbi.nlm.nih.gov/pubmed/9892199&lt;/url&gt;&lt;/related-urls&gt;&lt;/urls&gt;&lt;isbn&gt;0008-5472&lt;/isbn&gt;&lt;titles&gt;&lt;title&gt;Comprehensive and definitive molecular cytogenetic characterization of HeLa cells by spectral karyotyping&lt;/title&gt;&lt;secondary-title&gt;Cancer Res&lt;/secondary-title&gt;&lt;/titles&gt;&lt;pages&gt;141-50&lt;/pages&gt;&lt;number&gt;1&lt;/number&gt;&lt;contributors&gt;&lt;authors&gt;&lt;author&gt;Macville, M.&lt;/author&gt;&lt;author&gt;Schröck, E.&lt;/author&gt;&lt;author&gt;Padilla-Nash, H.&lt;/author&gt;&lt;author&gt;Keck, C.&lt;/author&gt;&lt;author&gt;Ghadimi, B. M.&lt;/author&gt;&lt;author&gt;Zimonjic, D.&lt;/author&gt;&lt;author&gt;Popescu, N.&lt;/author&gt;&lt;author&gt;Ried, T.&lt;/author&gt;&lt;/authors&gt;&lt;/contributors&gt;&lt;language&gt;eng&lt;/language&gt;&lt;added-date format="utc"&gt;1504691279&lt;/added-date&gt;&lt;ref-type name="Journal Article"&gt;17&lt;/ref-type&gt;&lt;rec-number&gt;269&lt;/rec-number&gt;&lt;last-updated-date format="utc"&gt;1504691279&lt;/last-updated-date&gt;&lt;accession-num&gt;9892199&lt;/accession-num&gt;&lt;volume&gt;59&lt;/volume&gt;&lt;/record&gt;&lt;/Cite&gt;&lt;/EndNote&gt;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(Macville et al., 1999)</w:t>
            </w:r>
            <w:r w:rsidRPr="008E7B3A">
              <w:rPr>
                <w:rFonts w:ascii="Calibri" w:eastAsia="Times New Roman" w:hAnsi="Calibri" w:cs="Times New Roman"/>
                <w:color w:val="000000"/>
              </w:rPr>
              <w:fldChar w:fldCharType="end"/>
            </w:r>
          </w:p>
        </w:tc>
      </w:tr>
      <w:tr w:rsidR="008E7B3A" w:rsidRPr="008E7B3A" w14:paraId="2F8497C4" w14:textId="77777777" w:rsidTr="004146C7">
        <w:trPr>
          <w:trHeight w:val="325"/>
        </w:trPr>
        <w:tc>
          <w:tcPr>
            <w:tcW w:w="1418" w:type="dxa"/>
            <w:shd w:val="clear" w:color="auto" w:fill="D9D9D9"/>
            <w:noWrap/>
            <w:vAlign w:val="bottom"/>
            <w:hideMark/>
          </w:tcPr>
          <w:p w14:paraId="568F80DF" w14:textId="3358EE59"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MRC5</w:t>
            </w:r>
          </w:p>
        </w:tc>
        <w:tc>
          <w:tcPr>
            <w:tcW w:w="4252" w:type="dxa"/>
            <w:shd w:val="clear" w:color="auto" w:fill="auto"/>
            <w:noWrap/>
            <w:vAlign w:val="bottom"/>
            <w:hideMark/>
          </w:tcPr>
          <w:p w14:paraId="3F161F56" w14:textId="77777777"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Normal lung fibroblast</w:t>
            </w:r>
            <w:r w:rsidR="00F54C26" w:rsidRPr="00E82D3B">
              <w:rPr>
                <w:rFonts w:ascii="Calibri" w:eastAsia="Times New Roman" w:hAnsi="Calibri" w:cs="Times New Roman"/>
                <w:color w:val="000000"/>
              </w:rPr>
              <w:t>-</w:t>
            </w:r>
          </w:p>
          <w:p w14:paraId="5A4FD808" w14:textId="45EAE67B" w:rsidR="00F54C26" w:rsidRPr="00E82D3B" w:rsidRDefault="00A164B5" w:rsidP="008E7B3A">
            <w:pPr>
              <w:rPr>
                <w:rFonts w:ascii="Calibri" w:eastAsia="Times New Roman" w:hAnsi="Calibri" w:cs="Times New Roman"/>
                <w:i/>
                <w:color w:val="000000"/>
              </w:rPr>
            </w:pPr>
            <w:r w:rsidRPr="00E82D3B">
              <w:rPr>
                <w:rFonts w:ascii="Calibri" w:eastAsia="Times New Roman" w:hAnsi="Calibri" w:cs="Times New Roman"/>
                <w:i/>
                <w:color w:val="000000"/>
              </w:rPr>
              <w:t>Normal diploid chromosome, 42-46 doublings before senescence</w:t>
            </w:r>
          </w:p>
        </w:tc>
        <w:tc>
          <w:tcPr>
            <w:tcW w:w="1418" w:type="dxa"/>
            <w:shd w:val="clear" w:color="auto" w:fill="auto"/>
            <w:noWrap/>
            <w:vAlign w:val="bottom"/>
            <w:hideMark/>
          </w:tcPr>
          <w:p w14:paraId="441F8FC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w:t>
            </w:r>
          </w:p>
        </w:tc>
        <w:tc>
          <w:tcPr>
            <w:tcW w:w="1417" w:type="dxa"/>
          </w:tcPr>
          <w:p w14:paraId="09DAF20D"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&lt;EndNote&gt;&lt;Cite&gt;&lt;Author&gt;Landers&lt;/Author&gt;&lt;Year&gt;1997&lt;/Year&gt;&lt;IDText&gt;Translational enhancement of mdm2 oncogene expression in human tumor cells containing a stabilized wild-type p53 protein&lt;/IDText&gt;&lt;DisplayText&gt;(Landers et al., 1997)&lt;/DisplayText&gt;&lt;record&gt;&lt;dates&gt;&lt;pub-dates&gt;&lt;date&gt;Aug&lt;/date&gt;&lt;/pub-dates&gt;&lt;year&gt;1997&lt;/year&gt;&lt;/dates&gt;&lt;keywords&gt;&lt;keyword&gt;Base Sequence&lt;/keyword&gt;&lt;keyword&gt;Cyclin-Dependent Kinase Inhibitor p21&lt;/keyword&gt;&lt;keyword&gt;Cyclins&lt;/keyword&gt;&lt;keyword&gt;DNA, Complementary&lt;/keyword&gt;&lt;keyword&gt;Genes, p53&lt;/keyword&gt;&lt;keyword&gt;Humans&lt;/keyword&gt;&lt;keyword&gt;Intracellular Signaling Peptides and Proteins&lt;/keyword&gt;&lt;keyword&gt;Melanoma&lt;/keyword&gt;&lt;keyword&gt;Molecular Sequence Data&lt;/keyword&gt;&lt;keyword&gt;Mutation&lt;/keyword&gt;&lt;keyword&gt;Neoplasm Proteins&lt;/keyword&gt;&lt;keyword&gt;Neoplasms&lt;/keyword&gt;&lt;keyword&gt;Nuclear Proteins&lt;/keyword&gt;&lt;keyword&gt;Polymerase Chain Reaction&lt;/keyword&gt;&lt;keyword&gt;Protein Biosynthesis&lt;/keyword&gt;&lt;keyword&gt;Proteins&lt;/keyword&gt;&lt;keyword&gt;Proto-Oncogene Proteins&lt;/keyword&gt;&lt;keyword&gt;Proto-Oncogene Proteins c-mdm2&lt;/keyword&gt;&lt;keyword&gt;RNA&lt;/keyword&gt;&lt;keyword&gt;RNA, Messenger&lt;/keyword&gt;&lt;keyword&gt;Transcription, Genetic&lt;/keyword&gt;&lt;keyword&gt;Tumor Cells, Cultured&lt;/keyword&gt;&lt;keyword&gt;Tumor Suppressor Protein p53&lt;/keyword&gt;&lt;/keywords&gt;&lt;urls&gt;&lt;related-urls&gt;&lt;url&gt;https://www.ncbi.nlm.nih.gov/pubmed/9270029&lt;/url&gt;&lt;/related-urls&gt;&lt;/urls&gt;&lt;isbn&gt;0008-5472&lt;/isbn&gt;&lt;titles&gt;&lt;title&gt;Translational enhancement of mdm2 oncogene expression in human tumor cells containing a stabilized wild-type p53 protein&lt;/title&gt;&lt;secondary-title&gt;Cancer Res&lt;/secondary-title&gt;&lt;/titles&gt;&lt;pages&gt;3562-8&lt;/pages&gt;&lt;number&gt;16&lt;/number&gt;&lt;contributors&gt;&lt;authors&gt;&lt;author&gt;Landers, J. E.&lt;/author&gt;&lt;author&gt;Cassel, S. L.&lt;/author&gt;&lt;author&gt;George, D. L.&lt;/author&gt;&lt;/authors&gt;&lt;/contributors&gt;&lt;language&gt;eng&lt;/language&gt;&lt;added-date format="utc"&gt;1499181638&lt;/added-date&gt;&lt;ref-type name="Journal Article"&gt;17&lt;/ref-type&gt;&lt;rec-number&gt;198&lt;/rec-number&gt;&lt;last-updated-date format="utc"&gt;1499181638&lt;/last-updated-date&gt;&lt;accession-num&gt;9270029&lt;/accession-num&gt;&lt;volume&gt;57&lt;/volume&gt;&lt;/record&gt;&lt;/Cite&gt;&lt;/EndNote&gt;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(Landers et al., 1997)</w:t>
            </w:r>
            <w:r w:rsidRPr="008E7B3A">
              <w:rPr>
                <w:rFonts w:ascii="Calibri" w:eastAsia="Times New Roman" w:hAnsi="Calibri" w:cs="Times New Roman"/>
                <w:color w:val="000000"/>
              </w:rPr>
              <w:fldChar w:fldCharType="end"/>
            </w:r>
          </w:p>
        </w:tc>
      </w:tr>
      <w:tr w:rsidR="008E7B3A" w:rsidRPr="008E7B3A" w14:paraId="3AFD4DC5" w14:textId="77777777" w:rsidTr="004146C7">
        <w:trPr>
          <w:trHeight w:val="325"/>
        </w:trPr>
        <w:tc>
          <w:tcPr>
            <w:tcW w:w="1418" w:type="dxa"/>
            <w:shd w:val="clear" w:color="auto" w:fill="D9D9D9"/>
            <w:noWrap/>
            <w:vAlign w:val="bottom"/>
            <w:hideMark/>
          </w:tcPr>
          <w:p w14:paraId="0CBF1924" w14:textId="4EBD0CD2"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RPE-1</w:t>
            </w:r>
          </w:p>
        </w:tc>
        <w:tc>
          <w:tcPr>
            <w:tcW w:w="4252" w:type="dxa"/>
            <w:shd w:val="clear" w:color="auto" w:fill="auto"/>
            <w:noWrap/>
            <w:vAlign w:val="bottom"/>
            <w:hideMark/>
          </w:tcPr>
          <w:p w14:paraId="5F98D792" w14:textId="77777777"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Normal Retinal Epithelium (hTERT immortalised)</w:t>
            </w:r>
            <w:r w:rsidR="00A164B5" w:rsidRPr="00E82D3B">
              <w:rPr>
                <w:rFonts w:ascii="Calibri" w:eastAsia="Times New Roman" w:hAnsi="Calibri" w:cs="Times New Roman"/>
                <w:color w:val="000000"/>
              </w:rPr>
              <w:t>-</w:t>
            </w:r>
          </w:p>
          <w:p w14:paraId="1A3432E0" w14:textId="6F09B48D" w:rsidR="00A164B5" w:rsidRPr="00E82D3B" w:rsidRDefault="00A164B5" w:rsidP="008E7B3A">
            <w:pPr>
              <w:rPr>
                <w:rFonts w:ascii="Calibri" w:eastAsia="Times New Roman" w:hAnsi="Calibri" w:cs="Times New Roman"/>
                <w:i/>
                <w:color w:val="000000"/>
              </w:rPr>
            </w:pPr>
            <w:r w:rsidRPr="00E82D3B">
              <w:rPr>
                <w:rFonts w:ascii="Calibri" w:eastAsia="Times New Roman" w:hAnsi="Calibri" w:cs="Times New Roman"/>
                <w:i/>
                <w:color w:val="000000"/>
              </w:rPr>
              <w:t>Diploid expression, WT TP53</w:t>
            </w:r>
          </w:p>
        </w:tc>
        <w:tc>
          <w:tcPr>
            <w:tcW w:w="1418" w:type="dxa"/>
            <w:shd w:val="clear" w:color="auto" w:fill="auto"/>
            <w:noWrap/>
            <w:vAlign w:val="bottom"/>
            <w:hideMark/>
          </w:tcPr>
          <w:p w14:paraId="5F908913"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w:t>
            </w:r>
          </w:p>
        </w:tc>
        <w:tc>
          <w:tcPr>
            <w:tcW w:w="1417" w:type="dxa"/>
          </w:tcPr>
          <w:p w14:paraId="46E7859A"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&lt;EndNote&gt;&lt;Cite&gt;&lt;Author&gt;Bodnar&lt;/Author&gt;&lt;Year&gt;1998&lt;/Year&gt;&lt;IDText&gt;Extension of life-span by introduction of telomerase into normal human cells&lt;/IDText&gt;&lt;DisplayText&gt;(Bodnar et al., 1998)&lt;/DisplayText&gt;&lt;record&gt;&lt;dates&gt;&lt;pub-dates&gt;&lt;date&gt;Jan&lt;/date&gt;&lt;/pub-dates&gt;&lt;year&gt;1998&lt;/year&gt;&lt;/dates&gt;&lt;keywords&gt;&lt;keyword&gt;Biomarkers&lt;/keyword&gt;&lt;keyword&gt;Catalysis&lt;/keyword&gt;&lt;keyword&gt;Cell Aging&lt;/keyword&gt;&lt;keyword&gt;Cell Division&lt;/keyword&gt;&lt;keyword&gt;Cell Line&lt;/keyword&gt;&lt;keyword&gt;Cell Transformation, Neoplastic&lt;/keyword&gt;&lt;keyword&gt;Cloning, Molecular&lt;/keyword&gt;&lt;keyword&gt;DNA-Binding Proteins&lt;/keyword&gt;&lt;keyword&gt;Fibroblasts&lt;/keyword&gt;&lt;keyword&gt;Homeostasis&lt;/keyword&gt;&lt;keyword&gt;Humans&lt;/keyword&gt;&lt;keyword&gt;Karyotyping&lt;/keyword&gt;&lt;keyword&gt;Phenotype&lt;/keyword&gt;&lt;keyword&gt;Pigment Epithelium of Eye&lt;/keyword&gt;&lt;keyword&gt;Proteins&lt;/keyword&gt;&lt;keyword&gt;RNA&lt;/keyword&gt;&lt;keyword&gt;RNA-Directed DNA Polymerase&lt;/keyword&gt;&lt;keyword&gt;Stem Cells&lt;/keyword&gt;&lt;keyword&gt;Telomerase&lt;/keyword&gt;&lt;keyword&gt;Telomere&lt;/keyword&gt;&lt;keyword&gt;Transfection&lt;/keyword&gt;&lt;keyword&gt;Tumor Cells, Cultured&lt;/keyword&gt;&lt;keyword&gt;beta-Galactosidase&lt;/keyword&gt;&lt;/keywords&gt;&lt;urls&gt;&lt;related-urls&gt;&lt;url&gt;https://www.ncbi.nlm.nih.gov/pubmed/9454332&lt;/url&gt;&lt;/related-urls&gt;&lt;/urls&gt;&lt;isbn&gt;0036-8075&lt;/isbn&gt;&lt;titles&gt;&lt;title&gt;Extension of life-span by introduction of telomerase into normal human cells&lt;/title&gt;&lt;secondary-title&gt;Science&lt;/secondary-title&gt;&lt;/titles&gt;&lt;pages&gt;349-52&lt;/pages&gt;&lt;number&gt;5349&lt;/number&gt;&lt;contributors&gt;&lt;authors&gt;&lt;author&gt;Bodnar, A. G.&lt;/author&gt;&lt;author&gt;Ouellette, M.&lt;/author&gt;&lt;author&gt;Frolkis, M.&lt;/author&gt;&lt;author&gt;Holt, S. E.&lt;/author&gt;&lt;author&gt;Chiu, C. P.&lt;/author&gt;&lt;author&gt;Morin, G. B.&lt;/author&gt;&lt;author&gt;Harley, C. B.&lt;/author&gt;&lt;author&gt;Shay, J. W.&lt;/author&gt;&lt;author&gt;Lichtsteiner, S.&lt;/author&gt;&lt;author&gt;Wright, W. E.&lt;/author&gt;&lt;/authors&gt;&lt;/contributors&gt;&lt;language&gt;eng&lt;/language&gt;&lt;added-date format="utc"&gt;1499181420&lt;/added-date&gt;&lt;ref-type name="Journal Article"&gt;17&lt;/ref-type&gt;&lt;rec-number&gt;197&lt;/rec-number&gt;&lt;last-updated-date format="utc"&gt;1499181420&lt;/last-updated-date&gt;&lt;accession-num&gt;9454332&lt;/accession-num&gt;&lt;volume&gt;279&lt;/volume&gt;&lt;/record&gt;&lt;/Cite&gt;&lt;/EndNote&gt;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(Bodnar et al., 1998)</w:t>
            </w:r>
            <w:r w:rsidRPr="008E7B3A">
              <w:rPr>
                <w:rFonts w:ascii="Calibri" w:eastAsia="Times New Roman" w:hAnsi="Calibri" w:cs="Times New Roman"/>
                <w:color w:val="000000"/>
              </w:rPr>
              <w:fldChar w:fldCharType="end"/>
            </w:r>
          </w:p>
        </w:tc>
      </w:tr>
      <w:tr w:rsidR="008E7B3A" w:rsidRPr="008E7B3A" w14:paraId="396CF660" w14:textId="77777777" w:rsidTr="004146C7">
        <w:trPr>
          <w:trHeight w:val="325"/>
        </w:trPr>
        <w:tc>
          <w:tcPr>
            <w:tcW w:w="1418" w:type="dxa"/>
            <w:shd w:val="clear" w:color="auto" w:fill="D9D9D9"/>
            <w:noWrap/>
            <w:vAlign w:val="bottom"/>
            <w:hideMark/>
          </w:tcPr>
          <w:p w14:paraId="229D5CD4" w14:textId="0592E28B"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SW480</w:t>
            </w:r>
          </w:p>
        </w:tc>
        <w:tc>
          <w:tcPr>
            <w:tcW w:w="4252" w:type="dxa"/>
            <w:shd w:val="clear" w:color="auto" w:fill="auto"/>
            <w:noWrap/>
            <w:vAlign w:val="bottom"/>
            <w:hideMark/>
          </w:tcPr>
          <w:p w14:paraId="5C07D81C" w14:textId="77777777" w:rsidR="008E7B3A" w:rsidRPr="00E82D3B" w:rsidRDefault="00831F75" w:rsidP="008E7B3A">
            <w:pPr>
              <w:rPr>
                <w:rFonts w:ascii="Calibri" w:eastAsia="Times New Roman" w:hAnsi="Calibri" w:cs="Times New Roman"/>
                <w:color w:val="000000"/>
              </w:rPr>
            </w:pPr>
            <w:r w:rsidRPr="00E82D3B">
              <w:rPr>
                <w:rFonts w:ascii="Calibri" w:eastAsia="Times New Roman" w:hAnsi="Calibri" w:cs="Times New Roman"/>
                <w:color w:val="000000"/>
              </w:rPr>
              <w:t>Colorectal Adenocarcinoma (Duke</w:t>
            </w:r>
            <w:r w:rsidR="008E7B3A" w:rsidRPr="00E82D3B">
              <w:rPr>
                <w:rFonts w:ascii="Calibri" w:eastAsia="Times New Roman" w:hAnsi="Calibri" w:cs="Times New Roman"/>
                <w:color w:val="000000"/>
              </w:rPr>
              <w:t>s</w:t>
            </w:r>
            <w:r w:rsidRPr="00E82D3B">
              <w:rPr>
                <w:rFonts w:ascii="Calibri" w:eastAsia="Times New Roman" w:hAnsi="Calibri" w:cs="Times New Roman"/>
                <w:color w:val="000000"/>
              </w:rPr>
              <w:t>’</w:t>
            </w:r>
            <w:r w:rsidR="008E7B3A" w:rsidRPr="00E82D3B">
              <w:rPr>
                <w:rFonts w:ascii="Calibri" w:eastAsia="Times New Roman" w:hAnsi="Calibri" w:cs="Times New Roman"/>
                <w:color w:val="000000"/>
              </w:rPr>
              <w:t xml:space="preserve"> B)</w:t>
            </w:r>
            <w:r w:rsidR="004146C7" w:rsidRPr="00E82D3B">
              <w:rPr>
                <w:rFonts w:ascii="Calibri" w:eastAsia="Times New Roman" w:hAnsi="Calibri" w:cs="Times New Roman"/>
                <w:color w:val="000000"/>
              </w:rPr>
              <w:t>-</w:t>
            </w:r>
          </w:p>
          <w:p w14:paraId="09FEF7D4" w14:textId="0E97E9AC" w:rsidR="004146C7" w:rsidRPr="00E82D3B" w:rsidRDefault="004146C7" w:rsidP="008E7B3A">
            <w:pPr>
              <w:rPr>
                <w:rFonts w:ascii="Calibri" w:eastAsia="Times New Roman" w:hAnsi="Calibri" w:cs="Times New Roman"/>
                <w:i/>
                <w:color w:val="000000"/>
              </w:rPr>
            </w:pPr>
            <w:r w:rsidRPr="00E82D3B">
              <w:rPr>
                <w:rFonts w:ascii="Calibri" w:eastAsia="Times New Roman" w:hAnsi="Calibri" w:cs="Times New Roman"/>
                <w:i/>
                <w:color w:val="000000"/>
              </w:rPr>
              <w:t>Chromosomal unstable, TP53, KRAS and APC mutant</w:t>
            </w:r>
          </w:p>
        </w:tc>
        <w:tc>
          <w:tcPr>
            <w:tcW w:w="1418" w:type="dxa"/>
            <w:shd w:val="clear" w:color="auto" w:fill="auto"/>
            <w:noWrap/>
            <w:vAlign w:val="bottom"/>
            <w:hideMark/>
          </w:tcPr>
          <w:p w14:paraId="15762615"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 </w:t>
            </w:r>
          </w:p>
        </w:tc>
        <w:tc>
          <w:tcPr>
            <w:tcW w:w="1417" w:type="dxa"/>
          </w:tcPr>
          <w:p w14:paraId="709FB198"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&lt;EndNote&gt;&lt;Cite&gt;&lt;Author&gt;Rodrigues&lt;/Author&gt;&lt;Year&gt;1990&lt;/Year&gt;&lt;IDText&gt;p53 mutations in colorectal cancer&lt;/IDText&gt;&lt;DisplayText&gt;(Rodrigues et al., 1990)&lt;/DisplayText&gt;&lt;record&gt;&lt;dates&gt;&lt;pub-dates&gt;&lt;date&gt;Oct&lt;/date&gt;&lt;/pub-dates&gt;&lt;year&gt;1990&lt;/year&gt;&lt;/dates&gt;&lt;keywords&gt;&lt;keyword&gt;Adenocarcinoma&lt;/keyword&gt;&lt;keyword&gt;Antibodies, Monoclonal&lt;/keyword&gt;&lt;keyword&gt;Base Sequence&lt;/keyword&gt;&lt;keyword&gt;Cell Line&lt;/keyword&gt;&lt;keyword&gt;Colonic Neoplasms&lt;/keyword&gt;&lt;keyword&gt;Enzyme-Linked Immunosorbent Assay&lt;/keyword&gt;&lt;keyword&gt;Epitopes&lt;/keyword&gt;&lt;keyword&gt;Humans&lt;/keyword&gt;&lt;keyword&gt;Immunoenzyme Techniques&lt;/keyword&gt;&lt;keyword&gt;Molecular Sequence Data&lt;/keyword&gt;&lt;keyword&gt;Mutation&lt;/keyword&gt;&lt;keyword&gt;Oligonucleotide Probes&lt;/keyword&gt;&lt;keyword&gt;Polymerase Chain Reaction&lt;/keyword&gt;&lt;keyword&gt;RNA, Neoplasm&lt;/keyword&gt;&lt;keyword&gt;Rectal Neoplasms&lt;/keyword&gt;&lt;keyword&gt;Tumor Suppressor Protein p53&lt;/keyword&gt;&lt;/keywords&gt;&lt;urls&gt;&lt;related-urls&gt;&lt;url&gt;https://www.ncbi.nlm.nih.gov/pubmed/1699228&lt;/url&gt;&lt;/related-urls&gt;&lt;/urls&gt;&lt;isbn&gt;0027-8424&lt;/isbn&gt;&lt;custom2&gt;PMC54786&lt;/custom2&gt;&lt;titles&gt;&lt;title&gt;p53 mutations in colorectal cancer&lt;/title&gt;&lt;secondary-title&gt;Proc Natl Acad Sci U S A&lt;/secondary-title&gt;&lt;/titles&gt;&lt;pages&gt;7555-9&lt;/pages&gt;&lt;number&gt;19&lt;/number&gt;&lt;contributors&gt;&lt;authors&gt;&lt;author&gt;Rodrigues, N. R.&lt;/author&gt;&lt;author&gt;Rowan, A.&lt;/author&gt;&lt;author&gt;Smith, M. E.&lt;/author&gt;&lt;author&gt;Kerr, I. B.&lt;/author&gt;&lt;author&gt;Bodmer, W. F.&lt;/author&gt;&lt;author&gt;Gannon, J. V.&lt;/author&gt;&lt;author&gt;Lane, D. P.&lt;/author&gt;&lt;/authors&gt;&lt;/contributors&gt;&lt;language&gt;eng&lt;/language&gt;&lt;added-date format="utc"&gt;1499180922&lt;/added-date&gt;&lt;ref-type name="Journal Article"&gt;17&lt;/ref-type&gt;&lt;rec-number&gt;194&lt;/rec-number&gt;&lt;last-updated-date format="utc"&gt;1499180922&lt;/last-updated-date&gt;&lt;accession-num&gt;1699228&lt;/accession-num&gt;&lt;volume&gt;87&lt;/volume&gt;&lt;/record&gt;&lt;/Cite&gt;&lt;/EndNote&gt;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(Rodrigues et al., 1990)</w:t>
            </w:r>
            <w:r w:rsidRPr="008E7B3A">
              <w:rPr>
                <w:rFonts w:ascii="Calibri" w:eastAsia="Times New Roman" w:hAnsi="Calibri" w:cs="Times New Roman"/>
                <w:color w:val="000000"/>
              </w:rPr>
              <w:fldChar w:fldCharType="end"/>
            </w:r>
          </w:p>
        </w:tc>
      </w:tr>
      <w:tr w:rsidR="008E7B3A" w:rsidRPr="008E7B3A" w14:paraId="14D20E3F" w14:textId="77777777" w:rsidTr="004146C7">
        <w:trPr>
          <w:trHeight w:val="325"/>
        </w:trPr>
        <w:tc>
          <w:tcPr>
            <w:tcW w:w="1418" w:type="dxa"/>
            <w:shd w:val="clear" w:color="auto" w:fill="D9D9D9"/>
            <w:noWrap/>
            <w:vAlign w:val="bottom"/>
          </w:tcPr>
          <w:p w14:paraId="243498EB"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SW620</w:t>
            </w:r>
          </w:p>
        </w:tc>
        <w:tc>
          <w:tcPr>
            <w:tcW w:w="4252" w:type="dxa"/>
            <w:shd w:val="clear" w:color="auto" w:fill="auto"/>
            <w:noWrap/>
            <w:vAlign w:val="bottom"/>
          </w:tcPr>
          <w:p w14:paraId="2F875E7B" w14:textId="77777777"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Colorectal Adenocarcinoma (Dukes’ C)</w:t>
            </w:r>
            <w:r w:rsidR="004146C7" w:rsidRPr="00E82D3B">
              <w:rPr>
                <w:rFonts w:ascii="Calibri" w:eastAsia="Times New Roman" w:hAnsi="Calibri" w:cs="Times New Roman"/>
                <w:color w:val="000000"/>
              </w:rPr>
              <w:t>-</w:t>
            </w:r>
          </w:p>
          <w:p w14:paraId="10DB3342" w14:textId="7A6D43EC" w:rsidR="004146C7" w:rsidRPr="00E82D3B" w:rsidRDefault="004146C7" w:rsidP="008E7B3A">
            <w:pPr>
              <w:rPr>
                <w:rFonts w:ascii="Calibri" w:eastAsia="Times New Roman" w:hAnsi="Calibri" w:cs="Times New Roman"/>
                <w:i/>
                <w:color w:val="000000"/>
              </w:rPr>
            </w:pPr>
            <w:r w:rsidRPr="00E82D3B">
              <w:rPr>
                <w:rFonts w:ascii="Calibri" w:eastAsia="Times New Roman" w:hAnsi="Calibri" w:cs="Times New Roman"/>
                <w:i/>
                <w:color w:val="000000"/>
              </w:rPr>
              <w:t>Chromosomal unstable, TP53, KRAS and APC mutant</w:t>
            </w:r>
          </w:p>
        </w:tc>
        <w:tc>
          <w:tcPr>
            <w:tcW w:w="1418" w:type="dxa"/>
            <w:shd w:val="clear" w:color="auto" w:fill="auto"/>
            <w:noWrap/>
            <w:vAlign w:val="bottom"/>
          </w:tcPr>
          <w:p w14:paraId="444A342E" w14:textId="77777777" w:rsidR="008E7B3A" w:rsidRPr="008E7B3A" w:rsidRDefault="008E7B3A" w:rsidP="008E7B3A">
            <w:pPr>
              <w:rPr>
                <w:rFonts w:ascii="Calibri" w:eastAsia="Times New Roman" w:hAnsi="Calibri" w:cs="Times New Roman"/>
                <w:color w:val="000000"/>
              </w:rPr>
            </w:pPr>
          </w:p>
        </w:tc>
        <w:tc>
          <w:tcPr>
            <w:tcW w:w="1417" w:type="dxa"/>
          </w:tcPr>
          <w:p w14:paraId="6DC0B44E"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&lt;EndNote&gt;&lt;Cite&gt;&lt;Author&gt;Trainer&lt;/Author&gt;&lt;Year&gt;1988&lt;/Year&gt;&lt;IDText&gt;Biological characterization and oncogene expression in human colorectal carcinoma cell lines&lt;/IDText&gt;&lt;DisplayText&gt;(Trainer et al., 1988)&lt;/DisplayText&gt;&lt;record&gt;&lt;dates&gt;&lt;pub-dates&gt;&lt;date&gt;Feb&lt;/date&gt;&lt;/pub-dates&gt;&lt;year&gt;1988&lt;/year&gt;&lt;/dates&gt;&lt;keywords&gt;&lt;keyword&gt;Animals&lt;/keyword&gt;&lt;keyword&gt;Antigens, Neoplasm&lt;/keyword&gt;&lt;keyword&gt;Biomarkers, Tumor&lt;/keyword&gt;&lt;keyword&gt;Cell Division&lt;/keyword&gt;&lt;keyword&gt;Cells, Cultured&lt;/keyword&gt;&lt;keyword&gt;Colonic Neoplasms&lt;/keyword&gt;&lt;keyword&gt;Female&lt;/keyword&gt;&lt;keyword&gt;Humans&lt;/keyword&gt;&lt;keyword&gt;Intermediate Filaments&lt;/keyword&gt;&lt;keyword&gt;Mice&lt;/keyword&gt;&lt;keyword&gt;Microscopy, Electron&lt;/keyword&gt;&lt;keyword&gt;Neoplasm Metastasis&lt;/keyword&gt;&lt;keyword&gt;Neoplasm Transplantation&lt;/keyword&gt;&lt;keyword&gt;Oncogenes&lt;/keyword&gt;&lt;keyword&gt;Rectal Neoplasms&lt;/keyword&gt;&lt;/keywords&gt;&lt;urls&gt;&lt;related-urls&gt;&lt;url&gt;https://www.ncbi.nlm.nih.gov/pubmed/3338874&lt;/url&gt;&lt;/related-urls&gt;&lt;/urls&gt;&lt;isbn&gt;0020-7136&lt;/isbn&gt;&lt;titles&gt;&lt;title&gt;Biological characterization and oncogene expression in human colorectal carcinoma cell lines&lt;/title&gt;&lt;secondary-title&gt;Int J Cancer&lt;/secondary-title&gt;&lt;/titles&gt;&lt;pages&gt;287-96&lt;/pages&gt;&lt;number&gt;2&lt;/number&gt;&lt;contributors&gt;&lt;authors&gt;&lt;author&gt;Trainer, D. L.&lt;/author&gt;&lt;author&gt;Kline, T.&lt;/author&gt;&lt;author&gt;McCabe, F. L.&lt;/author&gt;&lt;author&gt;Faucette, L. F.&lt;/author&gt;&lt;author&gt;Feild, J.&lt;/author&gt;&lt;author&gt;Chaikin, M.&lt;/author&gt;&lt;author&gt;Anzano, M.&lt;/author&gt;&lt;author&gt;Rieman, D.&lt;/author&gt;&lt;author&gt;Hoffstein, S.&lt;/author&gt;&lt;author&gt;Li, D. J.&lt;/author&gt;&lt;/authors&gt;&lt;/contributors&gt;&lt;language&gt;eng&lt;/language&gt;&lt;added-date format="utc"&gt;1510828017&lt;/added-date&gt;&lt;ref-type name="Journal Article"&gt;17&lt;/ref-type&gt;&lt;rec-number&gt;367&lt;/rec-number&gt;&lt;last-updated-date format="utc"&gt;1510828017&lt;/last-updated-date&gt;&lt;accession-num&gt;3338874&lt;/accession-num&gt;&lt;volume&gt;41&lt;/volume&gt;&lt;/record&gt;&lt;/Cite&gt;&lt;/EndNote&gt;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(Trainer et al., 1988)</w:t>
            </w:r>
            <w:r w:rsidRPr="008E7B3A">
              <w:rPr>
                <w:rFonts w:ascii="Calibri" w:eastAsia="Times New Roman" w:hAnsi="Calibri" w:cs="Times New Roman"/>
                <w:color w:val="000000"/>
              </w:rPr>
              <w:fldChar w:fldCharType="end"/>
            </w:r>
          </w:p>
        </w:tc>
      </w:tr>
      <w:tr w:rsidR="008E7B3A" w:rsidRPr="008E7B3A" w14:paraId="2FCD33FE" w14:textId="77777777" w:rsidTr="004146C7">
        <w:trPr>
          <w:trHeight w:val="325"/>
        </w:trPr>
        <w:tc>
          <w:tcPr>
            <w:tcW w:w="1418" w:type="dxa"/>
            <w:shd w:val="clear" w:color="auto" w:fill="D9D9D9"/>
            <w:noWrap/>
            <w:vAlign w:val="bottom"/>
          </w:tcPr>
          <w:p w14:paraId="59794EBE" w14:textId="7740579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t>U20S</w:t>
            </w:r>
          </w:p>
        </w:tc>
        <w:tc>
          <w:tcPr>
            <w:tcW w:w="4252" w:type="dxa"/>
            <w:shd w:val="clear" w:color="auto" w:fill="auto"/>
            <w:noWrap/>
            <w:vAlign w:val="bottom"/>
          </w:tcPr>
          <w:p w14:paraId="62607F0E" w14:textId="77777777" w:rsidR="008E7B3A" w:rsidRPr="00E82D3B" w:rsidRDefault="008E7B3A" w:rsidP="008E7B3A">
            <w:pPr>
              <w:rPr>
                <w:rFonts w:ascii="Calibri" w:eastAsia="Times New Roman" w:hAnsi="Calibri" w:cs="Times New Roman"/>
                <w:color w:val="000000"/>
              </w:rPr>
            </w:pPr>
            <w:r w:rsidRPr="00E82D3B">
              <w:rPr>
                <w:rFonts w:ascii="Calibri" w:eastAsia="Times New Roman" w:hAnsi="Calibri" w:cs="Times New Roman"/>
                <w:color w:val="000000"/>
              </w:rPr>
              <w:t>Bone Osteosarcoma Epithelial</w:t>
            </w:r>
            <w:r w:rsidR="00A164B5" w:rsidRPr="00E82D3B">
              <w:rPr>
                <w:rFonts w:ascii="Calibri" w:eastAsia="Times New Roman" w:hAnsi="Calibri" w:cs="Times New Roman"/>
                <w:color w:val="000000"/>
              </w:rPr>
              <w:t>-</w:t>
            </w:r>
          </w:p>
          <w:p w14:paraId="1DCEB048" w14:textId="14325894" w:rsidR="00A164B5" w:rsidRPr="00E82D3B" w:rsidRDefault="00A164B5" w:rsidP="008E7B3A">
            <w:pPr>
              <w:rPr>
                <w:rFonts w:ascii="Calibri" w:eastAsia="Times New Roman" w:hAnsi="Calibri" w:cs="Times New Roman"/>
                <w:color w:val="000000"/>
              </w:rPr>
            </w:pPr>
            <w:r w:rsidRPr="00E82D3B">
              <w:rPr>
                <w:rFonts w:ascii="Calibri" w:eastAsia="Times New Roman" w:hAnsi="Calibri" w:cs="Times New Roman"/>
                <w:i/>
                <w:color w:val="000000"/>
              </w:rPr>
              <w:t>Chromosomal unstable, WT TP53</w:t>
            </w:r>
          </w:p>
        </w:tc>
        <w:tc>
          <w:tcPr>
            <w:tcW w:w="1418" w:type="dxa"/>
            <w:shd w:val="clear" w:color="auto" w:fill="auto"/>
            <w:noWrap/>
            <w:vAlign w:val="bottom"/>
          </w:tcPr>
          <w:p w14:paraId="1D4D8B28" w14:textId="77777777" w:rsidR="008E7B3A" w:rsidRPr="008E7B3A" w:rsidRDefault="008E7B3A" w:rsidP="008E7B3A">
            <w:pPr>
              <w:rPr>
                <w:rFonts w:ascii="Calibri" w:eastAsia="Times New Roman" w:hAnsi="Calibri" w:cs="Times New Roman"/>
                <w:color w:val="000000"/>
              </w:rPr>
            </w:pPr>
          </w:p>
        </w:tc>
        <w:tc>
          <w:tcPr>
            <w:tcW w:w="1417" w:type="dxa"/>
          </w:tcPr>
          <w:p w14:paraId="42E03E92" w14:textId="77777777" w:rsidR="008E7B3A" w:rsidRPr="008E7B3A" w:rsidRDefault="008E7B3A" w:rsidP="008E7B3A">
            <w:pPr>
              <w:rPr>
                <w:rFonts w:ascii="Calibri" w:eastAsia="Times New Roman" w:hAnsi="Calibri" w:cs="Times New Roman"/>
                <w:color w:val="000000"/>
              </w:rPr>
            </w:pPr>
            <w:r w:rsidRPr="008E7B3A">
              <w:rPr>
                <w:rFonts w:ascii="Calibri" w:eastAsia="Times New Roman" w:hAnsi="Calibri" w:cs="Times New Roman"/>
                <w:color w:val="000000"/>
              </w:rPr>
              <w:fldChar w:fldCharType="begin"/>
            </w:r>
            <w:r w:rsidRPr="008E7B3A">
              <w:rPr>
                <w:rFonts w:ascii="Calibri" w:eastAsia="Times New Roman" w:hAnsi="Calibri" w:cs="Times New Roman"/>
                <w:color w:val="000000"/>
              </w:rPr>
              <w:instrText xml:space="preserve"> ADDIN EN.CITE &lt;EndNote&gt;&lt;Cite&gt;&lt;Author&gt;Landers&lt;/Author&gt;&lt;Year&gt;1997&lt;/Year&gt;&lt;IDText&gt;Translational enhancement of mdm2 oncogene expression in human tumor cells containing a stabilized wild-type p53 protein&lt;/IDText&gt;&lt;DisplayText&gt;(Landers et al., 1997)&lt;/DisplayText&gt;&lt;record&gt;&lt;dates&gt;&lt;pub-dates&gt;&lt;date&gt;Aug&lt;/date&gt;&lt;/pub-dates&gt;&lt;year&gt;1997&lt;/year&gt;&lt;/dates&gt;&lt;keywords&gt;&lt;keyword&gt;Base Sequence&lt;/keyword&gt;&lt;keyword&gt;Cyclin-Dependent Kinase Inhibitor p21&lt;/keyword&gt;&lt;keyword&gt;Cyclins&lt;/keyword&gt;&lt;keyword&gt;DNA, Complementary&lt;/keyword&gt;&lt;keyword&gt;Genes, p53&lt;/keyword&gt;&lt;keyword&gt;Humans&lt;/keyword&gt;&lt;keyword&gt;Intracellular Signaling Peptides and Proteins&lt;/keyword&gt;&lt;keyword&gt;Melanoma&lt;/keyword&gt;&lt;keyword&gt;Molecular Sequence Data&lt;/keyword&gt;&lt;keyword&gt;Mutation&lt;/keyword&gt;&lt;keyword&gt;Neoplasm Proteins&lt;/keyword&gt;&lt;keyword&gt;Neoplasms&lt;/keyword&gt;&lt;keyword&gt;Nuclear Proteins&lt;/keyword&gt;&lt;keyword&gt;Polymerase Chain Reaction&lt;/keyword&gt;&lt;keyword&gt;Protein Biosynthesis&lt;/keyword&gt;&lt;keyword&gt;Proteins&lt;/keyword&gt;&lt;keyword&gt;Proto-Oncogene Proteins&lt;/keyword&gt;&lt;keyword&gt;Proto-Oncogene Proteins c-mdm2&lt;/keyword&gt;&lt;keyword&gt;RNA&lt;/keyword&gt;&lt;keyword&gt;RNA, Messenger&lt;/keyword&gt;&lt;keyword&gt;Transcription, Genetic&lt;/keyword&gt;&lt;keyword&gt;Tumor Cells, Cultured&lt;/keyword&gt;&lt;keyword&gt;Tumor Suppressor Protein p53&lt;/keyword&gt;&lt;/keywords&gt;&lt;urls&gt;&lt;related-urls&gt;&lt;url&gt;https://www.ncbi.nlm.nih.gov/pubmed/9270029&lt;/url&gt;&lt;/related-urls&gt;&lt;/urls&gt;&lt;isbn&gt;0008-5472&lt;/isbn&gt;&lt;titles&gt;&lt;title&gt;Translational enhancement of mdm2 oncogene expression in human tumor cells containing a stabilized wild-type p53 protein&lt;/title&gt;&lt;secondary-title&gt;Cancer Res&lt;/secondary-title&gt;&lt;/titles&gt;&lt;pages&gt;3562-8&lt;/pages&gt;&lt;number&gt;16&lt;/number&gt;&lt;contributors&gt;&lt;authors&gt;&lt;author&gt;Landers, J. E.&lt;/author&gt;&lt;author&gt;Cassel, S. L.&lt;/author&gt;&lt;author&gt;George, D. L.&lt;/author&gt;&lt;/authors&gt;&lt;/contributors&gt;&lt;language&gt;eng&lt;/language&gt;&lt;added-date format="utc"&gt;1499181638&lt;/added-date&gt;&lt;ref-type name="Journal Article"&gt;17&lt;/ref-type&gt;&lt;rec-number&gt;198&lt;/rec-number&gt;&lt;last-updated-date format="utc"&gt;1499181638&lt;/last-updated-date&gt;&lt;accession-num&gt;9270029&lt;/accession-num&gt;&lt;volume&gt;57&lt;/volume&gt;&lt;/record&gt;&lt;/Cite&gt;&lt;/EndNote&gt;</w:instrText>
            </w:r>
            <w:r w:rsidRPr="008E7B3A">
              <w:rPr>
                <w:rFonts w:ascii="Calibri" w:eastAsia="Times New Roman" w:hAnsi="Calibri" w:cs="Times New Roman"/>
                <w:color w:val="000000"/>
              </w:rPr>
              <w:fldChar w:fldCharType="separate"/>
            </w:r>
            <w:r w:rsidRPr="008E7B3A">
              <w:rPr>
                <w:rFonts w:ascii="Calibri" w:eastAsia="Times New Roman" w:hAnsi="Calibri" w:cs="Times New Roman"/>
                <w:noProof/>
                <w:color w:val="000000"/>
              </w:rPr>
              <w:t>(Landers et al., 1997)</w:t>
            </w:r>
            <w:r w:rsidRPr="008E7B3A">
              <w:rPr>
                <w:rFonts w:ascii="Calibri" w:eastAsia="Times New Roman" w:hAnsi="Calibri" w:cs="Times New Roman"/>
                <w:color w:val="000000"/>
              </w:rPr>
              <w:fldChar w:fldCharType="end"/>
            </w:r>
          </w:p>
        </w:tc>
      </w:tr>
    </w:tbl>
    <w:p w14:paraId="6E505FA7" w14:textId="2AF7236A" w:rsidR="008E7B3A" w:rsidRPr="008E7B3A" w:rsidRDefault="008E7B3A" w:rsidP="008E7B3A">
      <w:pPr>
        <w:spacing w:line="276" w:lineRule="auto"/>
        <w:jc w:val="both"/>
        <w:rPr>
          <w:rFonts w:ascii="Calibri" w:eastAsia="ＭＳ Ｐゴシック" w:hAnsi="Calibri" w:cs="Times New Roman"/>
          <w:sz w:val="28"/>
        </w:rPr>
      </w:pPr>
    </w:p>
    <w:p w14:paraId="1C727558" w14:textId="77777777" w:rsidR="008E7B3A" w:rsidRPr="008E7B3A" w:rsidRDefault="008E7B3A" w:rsidP="008E7B3A">
      <w:pPr>
        <w:rPr>
          <w:rFonts w:ascii="Calibri" w:eastAsia="ＭＳ Ｐゴシック" w:hAnsi="Calibri" w:cs="Times New Roman"/>
          <w:bCs/>
          <w:sz w:val="32"/>
          <w:szCs w:val="32"/>
          <w:u w:val="single"/>
        </w:rPr>
      </w:pPr>
      <w:r w:rsidRPr="008E7B3A">
        <w:rPr>
          <w:rFonts w:ascii="Calibri" w:eastAsia="ＭＳ Ｐゴシック" w:hAnsi="Calibri" w:cs="Times New Roman"/>
          <w:b/>
          <w:u w:val="single"/>
        </w:rPr>
        <w:br w:type="page"/>
      </w:r>
    </w:p>
    <w:p w14:paraId="6E0C6531" w14:textId="77777777" w:rsidR="008E7B3A" w:rsidRPr="008E7B3A" w:rsidRDefault="008E7B3A" w:rsidP="008E7B3A">
      <w:pPr>
        <w:keepNext/>
        <w:keepLines/>
        <w:spacing w:before="480"/>
        <w:outlineLvl w:val="0"/>
        <w:rPr>
          <w:rFonts w:ascii="Calibri" w:eastAsia="ＭＳ Ｐゴシック" w:hAnsi="Calibri" w:cs="Times New Roman"/>
          <w:bCs/>
          <w:sz w:val="32"/>
          <w:szCs w:val="32"/>
          <w:u w:val="single"/>
        </w:rPr>
      </w:pPr>
      <w:r w:rsidRPr="008E7B3A">
        <w:rPr>
          <w:rFonts w:ascii="Calibri" w:eastAsia="ＭＳ Ｐゴシック" w:hAnsi="Calibri" w:cs="Times New Roman"/>
          <w:bCs/>
          <w:sz w:val="32"/>
          <w:szCs w:val="32"/>
          <w:u w:val="single"/>
        </w:rPr>
        <w:t>2.2 Methods</w:t>
      </w:r>
    </w:p>
    <w:p w14:paraId="6C92F9CA" w14:textId="77777777" w:rsidR="008E7B3A" w:rsidRPr="008E7B3A" w:rsidRDefault="008E7B3A" w:rsidP="002F41C6">
      <w:pPr>
        <w:keepNext/>
        <w:keepLines/>
        <w:numPr>
          <w:ilvl w:val="0"/>
          <w:numId w:val="19"/>
        </w:numPr>
        <w:spacing w:before="480" w:line="360" w:lineRule="auto"/>
        <w:jc w:val="both"/>
        <w:outlineLvl w:val="0"/>
        <w:rPr>
          <w:rFonts w:ascii="Calibri" w:eastAsia="ＭＳ Ｐゴシック" w:hAnsi="Calibri" w:cs="Times New Roman"/>
          <w:bCs/>
          <w:sz w:val="28"/>
          <w:szCs w:val="32"/>
        </w:rPr>
      </w:pPr>
      <w:r w:rsidRPr="008E7B3A">
        <w:rPr>
          <w:rFonts w:ascii="Calibri" w:eastAsia="ＭＳ Ｐゴシック" w:hAnsi="Calibri" w:cs="Times New Roman"/>
          <w:bCs/>
          <w:sz w:val="28"/>
          <w:szCs w:val="32"/>
        </w:rPr>
        <w:t>Bacterial Culture and Cloning</w:t>
      </w:r>
    </w:p>
    <w:p w14:paraId="5D85B749" w14:textId="77777777" w:rsidR="008E7B3A" w:rsidRPr="008E7B3A" w:rsidRDefault="008E7B3A" w:rsidP="008E7B3A">
      <w:pPr>
        <w:spacing w:line="360" w:lineRule="auto"/>
        <w:jc w:val="both"/>
        <w:rPr>
          <w:rFonts w:ascii="Calibri" w:eastAsia="ＭＳ Ｐゴシック" w:hAnsi="Calibri" w:cs="Times New Roman"/>
          <w:i/>
          <w:lang w:val="en-US"/>
        </w:rPr>
      </w:pPr>
    </w:p>
    <w:p w14:paraId="6DD563ED" w14:textId="77777777" w:rsidR="008E7B3A" w:rsidRPr="008E7B3A" w:rsidRDefault="008E7B3A" w:rsidP="002F41C6">
      <w:pPr>
        <w:numPr>
          <w:ilvl w:val="0"/>
          <w:numId w:val="20"/>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SRCAP cloning and LR reaction</w:t>
      </w:r>
    </w:p>
    <w:p w14:paraId="2E677755" w14:textId="523635FF"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A fully sequence verified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construct in the entry vector pENTR223.1 was purchased from Dharmacon and the bacterial culture containing this plasmid was grown for 16hrs in 5ml of LB broth and 100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of spectinomycin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The resulting bacterial preparation was processed through a Qiagen Spin Miniprep Kit following the specified protocol in order to extract and purify the plasmid DNA. An aliquot was also taken before processing and combined with glycerol to make a stock to be stored at -80</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 xml:space="preserve">C. In order to clone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cDNA into appropriate expression vectors 100ng each of the DNA and destination vector from lab stocks was placed with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LR clonase enzyme mix (Invitrogen)</w:t>
      </w:r>
      <w:r w:rsidR="00B71AD9">
        <w:rPr>
          <w:rFonts w:ascii="Calibri" w:eastAsia="ＭＳ Ｐゴシック" w:hAnsi="Calibri" w:cs="Times New Roman"/>
          <w:lang w:val="en-US"/>
        </w:rPr>
        <w:t>, which catalyzes the recombination from entry vector into destination vectors,</w:t>
      </w:r>
      <w:r w:rsidRPr="008E7B3A">
        <w:rPr>
          <w:rFonts w:ascii="Calibri" w:eastAsia="ＭＳ Ｐゴシック" w:hAnsi="Calibri" w:cs="Times New Roman"/>
          <w:lang w:val="en-US"/>
        </w:rPr>
        <w:t xml:space="preserve"> and left for </w:t>
      </w:r>
      <w:r w:rsidR="00CF0167">
        <w:rPr>
          <w:rFonts w:ascii="Calibri" w:eastAsia="ＭＳ Ｐゴシック" w:hAnsi="Calibri" w:cs="Times New Roman"/>
          <w:lang w:val="en-US"/>
        </w:rPr>
        <w:t>3hrs</w:t>
      </w:r>
      <w:r w:rsidRPr="008E7B3A">
        <w:rPr>
          <w:rFonts w:ascii="Calibri" w:eastAsia="ＭＳ Ｐゴシック" w:hAnsi="Calibri" w:cs="Times New Roman"/>
          <w:lang w:val="en-US"/>
        </w:rPr>
        <w:t>. The three mammalian expression destination vectors (</w:t>
      </w:r>
      <w:proofErr w:type="spellStart"/>
      <w:r w:rsidRPr="008E7B3A">
        <w:rPr>
          <w:rFonts w:ascii="Calibri" w:eastAsia="ＭＳ Ｐゴシック" w:hAnsi="Calibri" w:cs="Times New Roman"/>
          <w:lang w:val="en-US"/>
        </w:rPr>
        <w:t>Amp</w:t>
      </w:r>
      <w:r w:rsidRPr="008E7B3A">
        <w:rPr>
          <w:rFonts w:ascii="Calibri" w:eastAsia="ＭＳ Ｐゴシック" w:hAnsi="Calibri" w:cs="Times New Roman"/>
          <w:vertAlign w:val="superscript"/>
          <w:lang w:val="en-US"/>
        </w:rPr>
        <w:t>R</w:t>
      </w:r>
      <w:proofErr w:type="spellEnd"/>
      <w:r w:rsidRPr="008E7B3A">
        <w:rPr>
          <w:rFonts w:ascii="Calibri" w:eastAsia="ＭＳ Ｐゴシック" w:hAnsi="Calibri" w:cs="Times New Roman"/>
          <w:lang w:val="en-US"/>
        </w:rPr>
        <w:t xml:space="preserve">) used were </w:t>
      </w:r>
      <w:r w:rsidRPr="008E7B3A">
        <w:rPr>
          <w:rFonts w:ascii="Calibri" w:eastAsia="ＭＳ Ｐゴシック" w:hAnsi="Calibri" w:cs="Times New Roman"/>
          <w:i/>
          <w:lang w:val="en-US"/>
        </w:rPr>
        <w:t>pDEST-CMV-MYC</w:t>
      </w:r>
      <w:r w:rsidRPr="008E7B3A">
        <w:rPr>
          <w:rFonts w:ascii="Calibri" w:eastAsia="ＭＳ Ｐゴシック" w:hAnsi="Calibri" w:cs="Times New Roman"/>
          <w:lang w:val="en-US"/>
        </w:rPr>
        <w:t xml:space="preserve"> (N terminal), </w:t>
      </w:r>
      <w:r w:rsidRPr="008E7B3A">
        <w:rPr>
          <w:rFonts w:ascii="Calibri" w:eastAsia="ＭＳ Ｐゴシック" w:hAnsi="Calibri" w:cs="Times New Roman"/>
          <w:i/>
          <w:lang w:val="en-US"/>
        </w:rPr>
        <w:t>pDEST-FRT-N-YFP</w:t>
      </w:r>
      <w:r w:rsidRPr="008E7B3A">
        <w:rPr>
          <w:rFonts w:ascii="Calibri" w:eastAsia="ＭＳ Ｐゴシック" w:hAnsi="Calibri" w:cs="Times New Roman"/>
          <w:lang w:val="en-US"/>
        </w:rPr>
        <w:t xml:space="preserve"> and </w:t>
      </w:r>
      <w:r w:rsidRPr="008E7B3A">
        <w:rPr>
          <w:rFonts w:ascii="Calibri" w:eastAsia="ＭＳ Ｐゴシック" w:hAnsi="Calibri" w:cs="Times New Roman"/>
          <w:i/>
          <w:lang w:val="en-US"/>
        </w:rPr>
        <w:t xml:space="preserve">pDEST-FRT-N-Flag. </w:t>
      </w:r>
      <w:r w:rsidRPr="008E7B3A">
        <w:rPr>
          <w:rFonts w:ascii="Calibri" w:eastAsia="ＭＳ Ｐゴシック" w:hAnsi="Calibri" w:cs="Times New Roman"/>
          <w:lang w:val="en-US"/>
        </w:rPr>
        <w:t>These</w:t>
      </w:r>
      <w:r w:rsidRPr="008E7B3A">
        <w:rPr>
          <w:rFonts w:ascii="Calibri" w:eastAsia="ＭＳ Ｐゴシック" w:hAnsi="Calibri" w:cs="Times New Roman"/>
          <w:i/>
          <w:lang w:val="en-US"/>
        </w:rPr>
        <w:t xml:space="preserve"> </w:t>
      </w:r>
      <w:r w:rsidRPr="008E7B3A">
        <w:rPr>
          <w:rFonts w:ascii="Calibri" w:eastAsia="ＭＳ Ｐゴシック" w:hAnsi="Calibri" w:cs="Times New Roman"/>
          <w:lang w:val="en-US"/>
        </w:rPr>
        <w:t xml:space="preserve">plasmids were courtesy of Simon </w:t>
      </w:r>
      <w:proofErr w:type="spellStart"/>
      <w:r w:rsidRPr="008E7B3A">
        <w:rPr>
          <w:rFonts w:ascii="Calibri" w:eastAsia="ＭＳ Ｐゴシック" w:hAnsi="Calibri" w:cs="Times New Roman"/>
          <w:lang w:val="en-US"/>
        </w:rPr>
        <w:t>Boulton</w:t>
      </w:r>
      <w:proofErr w:type="spellEnd"/>
      <w:r w:rsidRPr="008E7B3A">
        <w:rPr>
          <w:rFonts w:ascii="Calibri" w:eastAsia="ＭＳ Ｐゴシック" w:hAnsi="Calibri" w:cs="Times New Roman"/>
          <w:lang w:val="en-US"/>
        </w:rPr>
        <w:t xml:space="preserve"> in the CRUK Clare Hall laboratories, and are modified plasmids ba</w:t>
      </w:r>
      <w:r w:rsidR="00770EBD">
        <w:rPr>
          <w:rFonts w:ascii="Calibri" w:eastAsia="ＭＳ Ｐゴシック" w:hAnsi="Calibri" w:cs="Times New Roman"/>
          <w:lang w:val="en-US"/>
        </w:rPr>
        <w:t>sed on</w:t>
      </w:r>
      <w:r w:rsidRPr="008E7B3A">
        <w:rPr>
          <w:rFonts w:ascii="Calibri" w:eastAsia="ＭＳ Ｐゴシック" w:hAnsi="Calibri" w:cs="Times New Roman"/>
          <w:lang w:val="en-US"/>
        </w:rPr>
        <w:t xml:space="preserve"> the pcDNA-DEST53 vector. </w:t>
      </w:r>
    </w:p>
    <w:p w14:paraId="560108DE" w14:textId="77777777" w:rsidR="008E7B3A" w:rsidRPr="008E7B3A" w:rsidRDefault="008E7B3A" w:rsidP="000C0396">
      <w:pPr>
        <w:spacing w:line="360" w:lineRule="auto"/>
        <w:jc w:val="both"/>
        <w:rPr>
          <w:rFonts w:ascii="Calibri" w:eastAsia="ＭＳ Ｐゴシック" w:hAnsi="Calibri" w:cs="Times New Roman"/>
          <w:b/>
          <w:i/>
          <w:lang w:val="en-US"/>
        </w:rPr>
      </w:pPr>
    </w:p>
    <w:p w14:paraId="00BE0525" w14:textId="77777777" w:rsidR="008E7B3A" w:rsidRPr="008E7B3A" w:rsidRDefault="008E7B3A" w:rsidP="002F41C6">
      <w:pPr>
        <w:numPr>
          <w:ilvl w:val="0"/>
          <w:numId w:val="20"/>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Transformation of SRCAP cDNA into DH5</w:t>
      </w:r>
      <m:oMath>
        <m:r>
          <m:rPr>
            <m:sty m:val="bi"/>
          </m:rPr>
          <w:rPr>
            <w:rFonts w:ascii="Cambria Math" w:eastAsia="ＭＳ Ｐゴシック" w:hAnsi="Cambria Math" w:cs="Times New Roman"/>
            <w:lang w:val="en-US"/>
          </w:rPr>
          <m:t>α</m:t>
        </m:r>
      </m:oMath>
      <w:r w:rsidRPr="008E7B3A">
        <w:rPr>
          <w:rFonts w:ascii="Calibri" w:eastAsia="ＭＳ Ｐゴシック" w:hAnsi="Calibri" w:cs="Times New Roman"/>
          <w:b/>
          <w:i/>
          <w:lang w:val="en-US"/>
        </w:rPr>
        <w:t xml:space="preserve"> E. Coli</w:t>
      </w:r>
    </w:p>
    <w:p w14:paraId="14D7FD6A" w14:textId="04BE7906"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After the LR reaction the destination vectors were transformed into</w:t>
      </w:r>
      <w:r w:rsidR="00B71AD9">
        <w:rPr>
          <w:rFonts w:ascii="Calibri" w:eastAsia="ＭＳ Ｐゴシック" w:hAnsi="Calibri" w:cs="Times New Roman"/>
          <w:lang w:val="en-US"/>
        </w:rPr>
        <w:t xml:space="preserve"> competent</w:t>
      </w:r>
      <w:r w:rsidRPr="008E7B3A">
        <w:rPr>
          <w:rFonts w:ascii="Calibri" w:eastAsia="ＭＳ Ｐゴシック" w:hAnsi="Calibri" w:cs="Times New Roman"/>
          <w:lang w:val="en-US"/>
        </w:rPr>
        <w:t xml:space="preserve"> DH5</w:t>
      </w:r>
      <m:oMath>
        <m:r>
          <w:rPr>
            <w:rFonts w:ascii="Cambria Math" w:eastAsia="ＭＳ Ｐゴシック" w:hAnsi="Cambria Math" w:cs="Times New Roman"/>
            <w:lang w:val="en-US"/>
          </w:rPr>
          <m:t>α</m:t>
        </m:r>
      </m:oMath>
      <w:r w:rsidRPr="008E7B3A">
        <w:rPr>
          <w:rFonts w:ascii="Calibri" w:eastAsia="ＭＳ Ｐゴシック" w:hAnsi="Calibri" w:cs="Times New Roman"/>
          <w:lang w:val="en-US"/>
        </w:rPr>
        <w:t xml:space="preserve"> </w:t>
      </w:r>
      <w:r w:rsidRPr="008E7B3A">
        <w:rPr>
          <w:rFonts w:ascii="Calibri" w:eastAsia="ＭＳ Ｐゴシック" w:hAnsi="Calibri" w:cs="Times New Roman"/>
          <w:i/>
          <w:lang w:val="en-US"/>
        </w:rPr>
        <w:t xml:space="preserve">E. Coli </w:t>
      </w:r>
      <w:r w:rsidRPr="008E7B3A">
        <w:rPr>
          <w:rFonts w:ascii="Calibri" w:eastAsia="ＭＳ Ｐゴシック" w:hAnsi="Calibri" w:cs="Times New Roman"/>
          <w:lang w:val="en-US"/>
        </w:rPr>
        <w:t>(made in house)</w:t>
      </w:r>
      <w:r w:rsidRPr="008E7B3A">
        <w:rPr>
          <w:rFonts w:ascii="Calibri" w:eastAsia="ＭＳ Ｐゴシック" w:hAnsi="Calibri" w:cs="Times New Roman"/>
          <w:i/>
          <w:lang w:val="en-US"/>
        </w:rPr>
        <w:t xml:space="preserve">. </w:t>
      </w:r>
      <w:r w:rsidRPr="008E7B3A">
        <w:rPr>
          <w:rFonts w:ascii="Calibri" w:eastAsia="ＭＳ Ｐゴシック" w:hAnsi="Calibri" w:cs="Times New Roman"/>
          <w:lang w:val="en-US"/>
        </w:rPr>
        <w:t>To do this 20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5X KCM (500mM KCL, 150mM CaCl</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 250mM MgCl</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 65</w:t>
      </w:r>
      <m:oMath>
        <m:r>
          <w:rPr>
            <w:rFonts w:ascii="Cambria Math" w:eastAsia="ＭＳ Ｐゴシック" w:hAnsi="Cambria Math" w:cs="Times New Roman"/>
            <w:lang w:val="en-US"/>
          </w:rPr>
          <m:t>μ</m:t>
        </m:r>
      </m:oMath>
      <w:r w:rsidRPr="008E7B3A">
        <w:rPr>
          <w:rFonts w:ascii="Calibri" w:eastAsia="ＭＳ Ｐゴシック" w:hAnsi="Calibri" w:cs="Times New Roman"/>
          <w:i/>
          <w:lang w:val="en-US"/>
        </w:rPr>
        <w:t xml:space="preserve">l </w:t>
      </w:r>
      <w:r w:rsidRPr="008E7B3A">
        <w:rPr>
          <w:rFonts w:ascii="Calibri" w:eastAsia="ＭＳ Ｐゴシック" w:hAnsi="Calibri" w:cs="Times New Roman"/>
          <w:lang w:val="en-US"/>
        </w:rPr>
        <w:t>of ddH</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O and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DNA was combined along with 90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w:t>
      </w:r>
      <w:r w:rsidRPr="008E7B3A">
        <w:rPr>
          <w:rFonts w:ascii="Calibri" w:eastAsia="ＭＳ Ｐゴシック" w:hAnsi="Calibri" w:cs="Times New Roman"/>
          <w:i/>
          <w:lang w:val="en-US"/>
        </w:rPr>
        <w:t>DH5</w:t>
      </w:r>
      <m:oMath>
        <m:r>
          <w:rPr>
            <w:rFonts w:ascii="Cambria Math" w:eastAsia="ＭＳ Ｐゴシック" w:hAnsi="Cambria Math" w:cs="Times New Roman"/>
            <w:lang w:val="en-US"/>
          </w:rPr>
          <m:t>α</m:t>
        </m:r>
      </m:oMath>
      <w:r w:rsidRPr="008E7B3A">
        <w:rPr>
          <w:rFonts w:ascii="Calibri" w:eastAsia="ＭＳ Ｐゴシック" w:hAnsi="Calibri" w:cs="Times New Roman"/>
          <w:i/>
          <w:lang w:val="en-US"/>
        </w:rPr>
        <w:t xml:space="preserve"> E. Coli</w:t>
      </w:r>
      <w:r w:rsidRPr="008E7B3A">
        <w:rPr>
          <w:rFonts w:ascii="Calibri" w:eastAsia="ＭＳ Ｐゴシック" w:hAnsi="Calibri" w:cs="Times New Roman"/>
          <w:lang w:val="en-US"/>
        </w:rPr>
        <w:t xml:space="preserve">. This </w:t>
      </w:r>
      <w:r w:rsidR="00B71AD9">
        <w:rPr>
          <w:rFonts w:ascii="Calibri" w:eastAsia="ＭＳ Ｐゴシック" w:hAnsi="Calibri" w:cs="Times New Roman"/>
          <w:lang w:val="en-US"/>
        </w:rPr>
        <w:t xml:space="preserve">mixture </w:t>
      </w:r>
      <w:r w:rsidRPr="008E7B3A">
        <w:rPr>
          <w:rFonts w:ascii="Calibri" w:eastAsia="ＭＳ Ｐゴシック" w:hAnsi="Calibri" w:cs="Times New Roman"/>
          <w:lang w:val="en-US"/>
        </w:rPr>
        <w:t xml:space="preserve">was left on ice for 20 minutes, room temperature for 10 minutes and then 1ml of LB broth added </w:t>
      </w:r>
      <w:r w:rsidR="00B71AD9">
        <w:rPr>
          <w:rFonts w:ascii="Calibri" w:eastAsia="ＭＳ Ｐゴシック" w:hAnsi="Calibri" w:cs="Times New Roman"/>
          <w:lang w:val="en-US"/>
        </w:rPr>
        <w:t xml:space="preserve">and the culture was incubated </w:t>
      </w:r>
      <w:r w:rsidRPr="008E7B3A">
        <w:rPr>
          <w:rFonts w:ascii="Calibri" w:eastAsia="ＭＳ Ｐゴシック" w:hAnsi="Calibri" w:cs="Times New Roman"/>
          <w:lang w:val="en-US"/>
        </w:rPr>
        <w:t>for 1hr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90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ddH</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O was combined with 90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cells </w:t>
      </w:r>
      <w:r w:rsidR="00B71AD9">
        <w:rPr>
          <w:rFonts w:ascii="Calibri" w:eastAsia="ＭＳ Ｐゴシック" w:hAnsi="Calibri" w:cs="Times New Roman"/>
          <w:lang w:val="en-US"/>
        </w:rPr>
        <w:t xml:space="preserve">in a similar way </w:t>
      </w:r>
      <w:r w:rsidRPr="008E7B3A">
        <w:rPr>
          <w:rFonts w:ascii="Calibri" w:eastAsia="ＭＳ Ｐゴシック" w:hAnsi="Calibri" w:cs="Times New Roman"/>
          <w:lang w:val="en-US"/>
        </w:rPr>
        <w:t xml:space="preserve">to use as a control. After the </w:t>
      </w:r>
      <w:r w:rsidR="00CF0167">
        <w:rPr>
          <w:rFonts w:ascii="Calibri" w:eastAsia="ＭＳ Ｐゴシック" w:hAnsi="Calibri" w:cs="Times New Roman"/>
          <w:lang w:val="en-US"/>
        </w:rPr>
        <w:t xml:space="preserve">1hr </w:t>
      </w:r>
      <w:r w:rsidRPr="008E7B3A">
        <w:rPr>
          <w:rFonts w:ascii="Calibri" w:eastAsia="ＭＳ Ｐゴシック" w:hAnsi="Calibri" w:cs="Times New Roman"/>
          <w:lang w:val="en-US"/>
        </w:rPr>
        <w:t>incubation</w:t>
      </w:r>
      <w:r w:rsidR="00B71AD9">
        <w:rPr>
          <w:rFonts w:ascii="Calibri" w:eastAsia="ＭＳ Ｐゴシック" w:hAnsi="Calibri" w:cs="Times New Roman"/>
          <w:lang w:val="en-US"/>
        </w:rPr>
        <w:t>,</w:t>
      </w:r>
      <w:r w:rsidRPr="008E7B3A">
        <w:rPr>
          <w:rFonts w:ascii="Calibri" w:eastAsia="ＭＳ Ｐゴシック" w:hAnsi="Calibri" w:cs="Times New Roman"/>
          <w:lang w:val="en-US"/>
        </w:rPr>
        <w:t xml:space="preserve"> the solution was centrifuged for 1 minute at 13000rpm, 800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the supernatant removed and the pellet resuspended in the remaining LB broth. This solution was spread over ampicillin (100ng/</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plates and left over night to grow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Successfully transformed cells grew as colonies and were picked, grown over</w:t>
      </w:r>
      <w:r w:rsidR="00327AA2">
        <w:rPr>
          <w:rFonts w:ascii="Calibri" w:eastAsia="ＭＳ Ｐゴシック" w:hAnsi="Calibri" w:cs="Times New Roman"/>
          <w:lang w:val="en-US"/>
        </w:rPr>
        <w:t xml:space="preserve"> </w:t>
      </w:r>
      <w:r w:rsidRPr="008E7B3A">
        <w:rPr>
          <w:rFonts w:ascii="Calibri" w:eastAsia="ＭＳ Ｐゴシック" w:hAnsi="Calibri" w:cs="Times New Roman"/>
          <w:lang w:val="en-US"/>
        </w:rPr>
        <w:t>night in 5ml LB broth with ampicillin and gentle shaking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w:t>
      </w:r>
      <w:r w:rsidR="00B71AD9">
        <w:rPr>
          <w:rFonts w:ascii="Calibri" w:eastAsia="ＭＳ Ｐゴシック" w:hAnsi="Calibri" w:cs="Times New Roman"/>
          <w:lang w:val="en-US"/>
        </w:rPr>
        <w:t>,</w:t>
      </w:r>
      <w:r w:rsidRPr="008E7B3A">
        <w:rPr>
          <w:rFonts w:ascii="Calibri" w:eastAsia="ＭＳ Ｐゴシック" w:hAnsi="Calibri" w:cs="Times New Roman"/>
          <w:lang w:val="en-US"/>
        </w:rPr>
        <w:t xml:space="preserve"> and plasmid DNA was isolated from the single colony solution by using the miniprep kit as specified previously. </w:t>
      </w:r>
    </w:p>
    <w:p w14:paraId="3D217BFD" w14:textId="77777777" w:rsidR="008E7B3A" w:rsidRPr="008E7B3A" w:rsidRDefault="008E7B3A" w:rsidP="008E7B3A">
      <w:pPr>
        <w:spacing w:line="360" w:lineRule="auto"/>
        <w:jc w:val="both"/>
        <w:rPr>
          <w:rFonts w:ascii="Calibri" w:eastAsia="ＭＳ Ｐゴシック" w:hAnsi="Calibri" w:cs="Times New Roman"/>
          <w:lang w:val="en-US"/>
        </w:rPr>
      </w:pPr>
    </w:p>
    <w:p w14:paraId="489E6BE5" w14:textId="77777777" w:rsidR="008E7B3A" w:rsidRPr="008E7B3A" w:rsidRDefault="008E7B3A" w:rsidP="002F41C6">
      <w:pPr>
        <w:numPr>
          <w:ilvl w:val="0"/>
          <w:numId w:val="20"/>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 xml:space="preserve">Transformation of SRCAP cDNA into XL10 Gold ultra-competent cells </w:t>
      </w:r>
    </w:p>
    <w:p w14:paraId="009DFD39" w14:textId="2FF4F072"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100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XL10 cells (Agilent) were incubated on ice for 10mins with 4</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w:t>
      </w:r>
      <w:r w:rsidRPr="008E7B3A">
        <w:rPr>
          <w:rFonts w:ascii="Calibri" w:eastAsia="ＭＳ Ｐゴシック" w:hAnsi="Calibri" w:cs="Times New Roman"/>
          <w:lang w:val="en-US"/>
        </w:rPr>
        <w:sym w:font="Symbol" w:char="F062"/>
      </w:r>
      <w:r w:rsidRPr="008E7B3A">
        <w:rPr>
          <w:rFonts w:ascii="Calibri" w:eastAsia="ＭＳ Ｐゴシック" w:hAnsi="Calibri" w:cs="Times New Roman"/>
          <w:lang w:val="en-US"/>
        </w:rPr>
        <w:t>-mercaptoethanol, with gentle swirling at intervals.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100ng/</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the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in destination vector DNA was then added </w:t>
      </w:r>
      <w:r w:rsidR="00B71AD9">
        <w:rPr>
          <w:rFonts w:ascii="Calibri" w:eastAsia="ＭＳ Ｐゴシック" w:hAnsi="Calibri" w:cs="Times New Roman"/>
          <w:lang w:val="en-US"/>
        </w:rPr>
        <w:t>and left on ice for 30mins. The transformation mix was then subjected to</w:t>
      </w:r>
      <w:r w:rsidRPr="008E7B3A">
        <w:rPr>
          <w:rFonts w:ascii="Calibri" w:eastAsia="ＭＳ Ｐゴシック" w:hAnsi="Calibri" w:cs="Times New Roman"/>
          <w:lang w:val="en-US"/>
        </w:rPr>
        <w:t xml:space="preserve"> a 30 second heat pulse at 42</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followed by 2mins on ice. Finally 900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SOC medium was added</w:t>
      </w:r>
      <w:r w:rsidR="00B71AD9">
        <w:rPr>
          <w:rFonts w:ascii="Calibri" w:eastAsia="ＭＳ Ｐゴシック" w:hAnsi="Calibri" w:cs="Times New Roman"/>
          <w:lang w:val="en-US"/>
        </w:rPr>
        <w:t xml:space="preserve"> and the cells allowed </w:t>
      </w:r>
      <w:proofErr w:type="gramStart"/>
      <w:r w:rsidR="00B71AD9">
        <w:rPr>
          <w:rFonts w:ascii="Calibri" w:eastAsia="ＭＳ Ｐゴシック" w:hAnsi="Calibri" w:cs="Times New Roman"/>
          <w:lang w:val="en-US"/>
        </w:rPr>
        <w:t>to grow</w:t>
      </w:r>
      <w:proofErr w:type="gramEnd"/>
      <w:r w:rsidRPr="008E7B3A">
        <w:rPr>
          <w:rFonts w:ascii="Calibri" w:eastAsia="ＭＳ Ｐゴシック" w:hAnsi="Calibri" w:cs="Times New Roman"/>
          <w:lang w:val="en-US"/>
        </w:rPr>
        <w:t xml:space="preserve"> for </w:t>
      </w:r>
      <w:r w:rsidR="00CF0167">
        <w:rPr>
          <w:rFonts w:ascii="Calibri" w:eastAsia="ＭＳ Ｐゴシック" w:hAnsi="Calibri" w:cs="Times New Roman"/>
          <w:lang w:val="en-US"/>
        </w:rPr>
        <w:t>1hr</w:t>
      </w:r>
      <w:r w:rsidRPr="008E7B3A">
        <w:rPr>
          <w:rFonts w:ascii="Calibri" w:eastAsia="ＭＳ Ｐゴシック" w:hAnsi="Calibri" w:cs="Times New Roman"/>
          <w:lang w:val="en-US"/>
        </w:rPr>
        <w:t xml:space="preserve"> with shaking at 225-250rpm at 30</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The solution was spread on ampicillin plates and left at 30</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for 20</w:t>
      </w:r>
      <w:r w:rsidR="00CF0167">
        <w:rPr>
          <w:rFonts w:ascii="Calibri" w:eastAsia="ＭＳ Ｐゴシック" w:hAnsi="Calibri" w:cs="Times New Roman"/>
          <w:lang w:val="en-US"/>
        </w:rPr>
        <w:t>hr</w:t>
      </w:r>
      <w:r w:rsidRPr="008E7B3A">
        <w:rPr>
          <w:rFonts w:ascii="Calibri" w:eastAsia="ＭＳ Ｐゴシック" w:hAnsi="Calibri" w:cs="Times New Roman"/>
          <w:lang w:val="en-US"/>
        </w:rPr>
        <w:t xml:space="preserve">s. Colonies were picked </w:t>
      </w:r>
      <w:r w:rsidR="00B71AD9">
        <w:rPr>
          <w:rFonts w:ascii="Calibri" w:eastAsia="ＭＳ Ｐゴシック" w:hAnsi="Calibri" w:cs="Times New Roman"/>
          <w:lang w:val="en-US"/>
        </w:rPr>
        <w:t xml:space="preserve">and then </w:t>
      </w:r>
      <w:r w:rsidRPr="008E7B3A">
        <w:rPr>
          <w:rFonts w:ascii="Calibri" w:eastAsia="ＭＳ Ｐゴシック" w:hAnsi="Calibri" w:cs="Times New Roman"/>
          <w:lang w:val="en-US"/>
        </w:rPr>
        <w:t>grown in LB broth</w:t>
      </w:r>
      <w:r w:rsidR="00B71AD9">
        <w:rPr>
          <w:rFonts w:ascii="Calibri" w:eastAsia="ＭＳ Ｐゴシック" w:hAnsi="Calibri" w:cs="Times New Roman"/>
          <w:lang w:val="en-US"/>
        </w:rPr>
        <w:t>,</w:t>
      </w:r>
      <w:r w:rsidRPr="008E7B3A">
        <w:rPr>
          <w:rFonts w:ascii="Calibri" w:eastAsia="ＭＳ Ｐゴシック" w:hAnsi="Calibri" w:cs="Times New Roman"/>
          <w:lang w:val="en-US"/>
        </w:rPr>
        <w:t xml:space="preserve"> and</w:t>
      </w:r>
      <w:r w:rsidR="00B71AD9">
        <w:rPr>
          <w:rFonts w:ascii="Calibri" w:eastAsia="ＭＳ Ｐゴシック" w:hAnsi="Calibri" w:cs="Times New Roman"/>
          <w:lang w:val="en-US"/>
        </w:rPr>
        <w:t xml:space="preserve"> plasmid</w:t>
      </w:r>
      <w:r w:rsidRPr="008E7B3A">
        <w:rPr>
          <w:rFonts w:ascii="Calibri" w:eastAsia="ＭＳ Ｐゴシック" w:hAnsi="Calibri" w:cs="Times New Roman"/>
          <w:lang w:val="en-US"/>
        </w:rPr>
        <w:t xml:space="preserve"> DNA </w:t>
      </w:r>
      <w:r w:rsidR="00B71AD9">
        <w:rPr>
          <w:rFonts w:ascii="Calibri" w:eastAsia="ＭＳ Ｐゴシック" w:hAnsi="Calibri" w:cs="Times New Roman"/>
          <w:lang w:val="en-US"/>
        </w:rPr>
        <w:t xml:space="preserve">was then </w:t>
      </w:r>
      <w:r w:rsidRPr="008E7B3A">
        <w:rPr>
          <w:rFonts w:ascii="Calibri" w:eastAsia="ＭＳ Ｐゴシック" w:hAnsi="Calibri" w:cs="Times New Roman"/>
          <w:lang w:val="en-US"/>
        </w:rPr>
        <w:t>extracted as per the protocol above.</w:t>
      </w:r>
    </w:p>
    <w:p w14:paraId="48081CB1" w14:textId="77777777" w:rsidR="008E7B3A" w:rsidRPr="008E7B3A" w:rsidRDefault="008E7B3A" w:rsidP="008E7B3A">
      <w:pPr>
        <w:spacing w:line="360" w:lineRule="auto"/>
        <w:jc w:val="both"/>
        <w:rPr>
          <w:rFonts w:ascii="Calibri" w:eastAsia="ＭＳ Ｐゴシック" w:hAnsi="Calibri" w:cs="Times New Roman"/>
          <w:lang w:val="en-US"/>
        </w:rPr>
      </w:pPr>
    </w:p>
    <w:p w14:paraId="7A4199DA" w14:textId="77777777" w:rsidR="008E7B3A" w:rsidRPr="008E7B3A" w:rsidRDefault="008E7B3A" w:rsidP="002F41C6">
      <w:pPr>
        <w:numPr>
          <w:ilvl w:val="0"/>
          <w:numId w:val="20"/>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DNA Quantification</w:t>
      </w:r>
    </w:p>
    <w:p w14:paraId="50ABA77E" w14:textId="02AA1048" w:rsid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DNA quantification of isolated/purified plasmids was determined using a </w:t>
      </w:r>
      <w:proofErr w:type="spellStart"/>
      <w:r w:rsidRPr="008E7B3A">
        <w:rPr>
          <w:rFonts w:ascii="Calibri" w:eastAsia="ＭＳ Ｐゴシック" w:hAnsi="Calibri" w:cs="Times New Roman"/>
          <w:lang w:val="en-US"/>
        </w:rPr>
        <w:t>NanoDrop</w:t>
      </w:r>
      <w:proofErr w:type="spellEnd"/>
      <w:r w:rsidRPr="008E7B3A">
        <w:rPr>
          <w:rFonts w:ascii="Calibri" w:eastAsia="ＭＳ Ｐゴシック" w:hAnsi="Calibri" w:cs="Times New Roman"/>
          <w:lang w:val="en-US"/>
        </w:rPr>
        <w:t xml:space="preserve"> spectrophotometer (ND-1000) and the corresponding ND-1000 software using the nucleic acids function. The machine was blanked using ddH</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O and then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each sample loaded onto the sensor, with cleaning of the sensor between each sample. DNA concentration was calculated by the software using the Beer Lambert equation which correlates the amount of light absorbed to the concentration of the absorbing molecule- c=(A*e)/b, where c is the concentration of DNA in ng/</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A is the absorbance at 260nm, e is the absorbance coefficient (50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for dsDNA, 33</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for ssDNA or 40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for ssRNA) and b is path length. The spectrophotometer also shows the sample purity through the 260nm</w:t>
      </w:r>
      <w:proofErr w:type="gramStart"/>
      <w:r w:rsidRPr="008E7B3A">
        <w:rPr>
          <w:rFonts w:ascii="Calibri" w:eastAsia="ＭＳ Ｐゴシック" w:hAnsi="Calibri" w:cs="Times New Roman"/>
          <w:lang w:val="en-US"/>
        </w:rPr>
        <w:t>:280nm</w:t>
      </w:r>
      <w:proofErr w:type="gramEnd"/>
      <w:r w:rsidRPr="008E7B3A">
        <w:rPr>
          <w:rFonts w:ascii="Calibri" w:eastAsia="ＭＳ Ｐゴシック" w:hAnsi="Calibri" w:cs="Times New Roman"/>
          <w:lang w:val="en-US"/>
        </w:rPr>
        <w:t xml:space="preserve"> or 260nm:230nm ratios, as proteins absorb light at 280nm and other organic compounds at 230nm,</w:t>
      </w:r>
      <w:r w:rsidR="00B71AD9">
        <w:rPr>
          <w:rFonts w:ascii="Calibri" w:eastAsia="ＭＳ Ｐゴシック" w:hAnsi="Calibri" w:cs="Times New Roman"/>
          <w:lang w:val="en-US"/>
        </w:rPr>
        <w:t xml:space="preserve"> the ratios for </w:t>
      </w:r>
      <w:r w:rsidRPr="008E7B3A">
        <w:rPr>
          <w:rFonts w:ascii="Calibri" w:eastAsia="ＭＳ Ｐゴシック" w:hAnsi="Calibri" w:cs="Times New Roman"/>
          <w:lang w:val="en-US"/>
        </w:rPr>
        <w:t xml:space="preserve">pure DNA </w:t>
      </w:r>
      <w:r w:rsidR="00B71AD9">
        <w:rPr>
          <w:rFonts w:ascii="Calibri" w:eastAsia="ＭＳ Ｐゴシック" w:hAnsi="Calibri" w:cs="Times New Roman"/>
          <w:lang w:val="en-US"/>
        </w:rPr>
        <w:t>are</w:t>
      </w:r>
      <w:r w:rsidRPr="008E7B3A">
        <w:rPr>
          <w:rFonts w:ascii="Calibri" w:eastAsia="ＭＳ Ｐゴシック" w:hAnsi="Calibri" w:cs="Times New Roman"/>
          <w:lang w:val="en-US"/>
        </w:rPr>
        <w:t xml:space="preserve"> considered to be around 1.8 to 2.0. DNA was also assessed via a 1% agarose gel (2g agarose powder (</w:t>
      </w:r>
      <w:proofErr w:type="spellStart"/>
      <w:r w:rsidRPr="008E7B3A">
        <w:rPr>
          <w:rFonts w:ascii="Calibri" w:eastAsia="ＭＳ Ｐゴシック" w:hAnsi="Calibri" w:cs="Times New Roman"/>
          <w:lang w:val="en-US"/>
        </w:rPr>
        <w:t>SeaKem</w:t>
      </w:r>
      <w:proofErr w:type="spellEnd"/>
      <w:r w:rsidRPr="008E7B3A">
        <w:rPr>
          <w:rFonts w:ascii="Calibri" w:eastAsia="ＭＳ Ｐゴシック" w:hAnsi="Calibri" w:cs="Times New Roman"/>
          <w:lang w:val="en-US"/>
        </w:rPr>
        <w:t xml:space="preserve"> LE) in 200ml 1xTAE, plus 4</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ethidium bromide</w:t>
      </w:r>
      <w:r w:rsidR="00770EBD">
        <w:rPr>
          <w:rFonts w:ascii="Calibri" w:eastAsia="ＭＳ Ｐゴシック" w:hAnsi="Calibri" w:cs="Times New Roman"/>
          <w:lang w:val="en-US"/>
        </w:rPr>
        <w:t xml:space="preserve"> (10mg/ml)</w:t>
      </w:r>
      <w:r w:rsidRPr="008E7B3A">
        <w:rPr>
          <w:rFonts w:ascii="Calibri" w:eastAsia="ＭＳ Ｐゴシック" w:hAnsi="Calibri" w:cs="Times New Roman"/>
          <w:lang w:val="en-US"/>
        </w:rPr>
        <w:t xml:space="preserve">). Samples were </w:t>
      </w:r>
      <w:r w:rsidR="00E95AFB">
        <w:rPr>
          <w:rFonts w:ascii="Calibri" w:eastAsia="ＭＳ Ｐゴシック" w:hAnsi="Calibri" w:cs="Times New Roman"/>
          <w:lang w:val="en-US"/>
        </w:rPr>
        <w:t xml:space="preserve">run </w:t>
      </w:r>
      <w:r w:rsidR="00831F75">
        <w:rPr>
          <w:rFonts w:ascii="Calibri" w:eastAsia="ＭＳ Ｐゴシック" w:hAnsi="Calibri" w:cs="Times New Roman"/>
          <w:lang w:val="en-US"/>
        </w:rPr>
        <w:t xml:space="preserve">in 1xTAE </w:t>
      </w:r>
      <w:r w:rsidR="00E95AFB">
        <w:rPr>
          <w:rFonts w:ascii="Calibri" w:eastAsia="ＭＳ Ｐゴシック" w:hAnsi="Calibri" w:cs="Times New Roman"/>
          <w:lang w:val="en-US"/>
        </w:rPr>
        <w:t xml:space="preserve">at 70V for 1-1.5hrs and </w:t>
      </w:r>
      <w:r w:rsidR="00B71AD9">
        <w:rPr>
          <w:rFonts w:ascii="Calibri" w:eastAsia="ＭＳ Ｐゴシック" w:hAnsi="Calibri" w:cs="Times New Roman"/>
          <w:lang w:val="en-US"/>
        </w:rPr>
        <w:t>compared to</w:t>
      </w:r>
      <w:r w:rsidRPr="008E7B3A">
        <w:rPr>
          <w:rFonts w:ascii="Calibri" w:eastAsia="ＭＳ Ｐゴシック" w:hAnsi="Calibri" w:cs="Times New Roman"/>
          <w:lang w:val="en-US"/>
        </w:rPr>
        <w:t xml:space="preserve">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hyperladder I mole</w:t>
      </w:r>
      <w:r w:rsidR="00E95AFB">
        <w:rPr>
          <w:rFonts w:ascii="Calibri" w:eastAsia="ＭＳ Ｐゴシック" w:hAnsi="Calibri" w:cs="Times New Roman"/>
          <w:lang w:val="en-US"/>
        </w:rPr>
        <w:t>cular weight marker, then</w:t>
      </w:r>
      <w:r w:rsidRPr="008E7B3A">
        <w:rPr>
          <w:rFonts w:ascii="Calibri" w:eastAsia="ＭＳ Ｐゴシック" w:hAnsi="Calibri" w:cs="Times New Roman"/>
          <w:lang w:val="en-US"/>
        </w:rPr>
        <w:t xml:space="preserve"> imaged using a Syngene Ugenius.</w:t>
      </w:r>
    </w:p>
    <w:p w14:paraId="26F7ACDC" w14:textId="77777777" w:rsidR="000C0396" w:rsidRDefault="000C0396" w:rsidP="008E7B3A">
      <w:pPr>
        <w:spacing w:line="360" w:lineRule="auto"/>
        <w:jc w:val="both"/>
        <w:rPr>
          <w:rFonts w:ascii="Calibri" w:eastAsia="ＭＳ Ｐゴシック" w:hAnsi="Calibri" w:cs="Times New Roman"/>
          <w:lang w:val="en-US"/>
        </w:rPr>
      </w:pPr>
    </w:p>
    <w:p w14:paraId="06AF3962" w14:textId="77777777" w:rsidR="000C0396" w:rsidRPr="008E7B3A" w:rsidRDefault="000C0396" w:rsidP="008E7B3A">
      <w:pPr>
        <w:spacing w:line="360" w:lineRule="auto"/>
        <w:jc w:val="both"/>
        <w:rPr>
          <w:rFonts w:ascii="Calibri" w:eastAsia="ＭＳ Ｐゴシック" w:hAnsi="Calibri" w:cs="Times New Roman"/>
          <w:lang w:val="en-US"/>
        </w:rPr>
      </w:pPr>
    </w:p>
    <w:p w14:paraId="2820B1D0" w14:textId="77777777" w:rsidR="00B71AD9" w:rsidRDefault="00B71AD9" w:rsidP="00B71AD9">
      <w:pPr>
        <w:spacing w:line="360" w:lineRule="auto"/>
        <w:ind w:left="720"/>
        <w:jc w:val="both"/>
        <w:rPr>
          <w:rFonts w:ascii="Calibri" w:eastAsia="ＭＳ Ｐゴシック" w:hAnsi="Calibri" w:cs="Times New Roman"/>
          <w:b/>
          <w:i/>
          <w:lang w:val="en-US"/>
        </w:rPr>
      </w:pPr>
    </w:p>
    <w:p w14:paraId="6445766C" w14:textId="69131DB5" w:rsidR="008E7B3A" w:rsidRPr="008E7B3A" w:rsidRDefault="008E7B3A" w:rsidP="002F41C6">
      <w:pPr>
        <w:numPr>
          <w:ilvl w:val="0"/>
          <w:numId w:val="20"/>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DNA Sequencing</w:t>
      </w:r>
      <w:r w:rsidR="00B71AD9">
        <w:rPr>
          <w:rFonts w:ascii="Calibri" w:eastAsia="ＭＳ Ｐゴシック" w:hAnsi="Calibri" w:cs="Times New Roman"/>
          <w:b/>
          <w:i/>
          <w:lang w:val="en-US"/>
        </w:rPr>
        <w:t xml:space="preserve"> of SRCAP constructs</w:t>
      </w:r>
    </w:p>
    <w:p w14:paraId="57DCEB6B" w14:textId="197BD6DF"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Sequencing of the plasmid constructs was carried out by the Genomic Core Facility </w:t>
      </w:r>
      <w:r w:rsidR="00B71AD9">
        <w:rPr>
          <w:rFonts w:ascii="Calibri" w:eastAsia="ＭＳ Ｐゴシック" w:hAnsi="Calibri" w:cs="Times New Roman"/>
          <w:lang w:val="en-US"/>
        </w:rPr>
        <w:t>of</w:t>
      </w:r>
      <w:r w:rsidRPr="008E7B3A">
        <w:rPr>
          <w:rFonts w:ascii="Calibri" w:eastAsia="ＭＳ Ｐゴシック" w:hAnsi="Calibri" w:cs="Times New Roman"/>
          <w:lang w:val="en-US"/>
        </w:rPr>
        <w:t xml:space="preserve"> Sheffield Medical Sc</w:t>
      </w:r>
      <w:r w:rsidR="00B71AD9">
        <w:rPr>
          <w:rFonts w:ascii="Calibri" w:eastAsia="ＭＳ Ｐゴシック" w:hAnsi="Calibri" w:cs="Times New Roman"/>
          <w:lang w:val="en-US"/>
        </w:rPr>
        <w:t>hool, using primers designed in-</w:t>
      </w:r>
      <w:r w:rsidRPr="008E7B3A">
        <w:rPr>
          <w:rFonts w:ascii="Calibri" w:eastAsia="ＭＳ Ｐゴシック" w:hAnsi="Calibri" w:cs="Times New Roman"/>
          <w:lang w:val="en-US"/>
        </w:rPr>
        <w:t>house and supplied by Sigma Aldrich (</w:t>
      </w:r>
      <w:proofErr w:type="spellStart"/>
      <w:r w:rsidRPr="008E7B3A">
        <w:rPr>
          <w:rFonts w:ascii="Calibri" w:eastAsia="ＭＳ Ｐゴシック" w:hAnsi="Calibri" w:cs="Times New Roman"/>
          <w:lang w:val="en-US"/>
        </w:rPr>
        <w:t>Ebersberg</w:t>
      </w:r>
      <w:proofErr w:type="spellEnd"/>
      <w:r w:rsidRPr="008E7B3A">
        <w:rPr>
          <w:rFonts w:ascii="Calibri" w:eastAsia="ＭＳ Ｐゴシック" w:hAnsi="Calibri" w:cs="Times New Roman"/>
          <w:lang w:val="en-US"/>
        </w:rPr>
        <w:t xml:space="preserve">, Germany) The primers spanned the entire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gene to check for any mutations from the NCBI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sequence (BC172428), </w:t>
      </w:r>
      <w:r w:rsidR="00B71AD9">
        <w:rPr>
          <w:rFonts w:ascii="Calibri" w:eastAsia="ＭＳ Ｐゴシック" w:hAnsi="Calibri" w:cs="Times New Roman"/>
          <w:lang w:val="en-US"/>
        </w:rPr>
        <w:t xml:space="preserve">and to </w:t>
      </w:r>
      <w:r w:rsidRPr="008E7B3A">
        <w:rPr>
          <w:rFonts w:ascii="Calibri" w:eastAsia="ＭＳ Ｐゴシック" w:hAnsi="Calibri" w:cs="Times New Roman"/>
          <w:lang w:val="en-US"/>
        </w:rPr>
        <w:t xml:space="preserve">check for </w:t>
      </w:r>
      <w:r w:rsidR="00B71AD9">
        <w:rPr>
          <w:rFonts w:ascii="Calibri" w:eastAsia="ＭＳ Ｐゴシック" w:hAnsi="Calibri" w:cs="Times New Roman"/>
          <w:lang w:val="en-US"/>
        </w:rPr>
        <w:t xml:space="preserve">the presence of the </w:t>
      </w:r>
      <w:r w:rsidRPr="008E7B3A">
        <w:rPr>
          <w:rFonts w:ascii="Calibri" w:eastAsia="ＭＳ Ｐゴシック" w:hAnsi="Calibri" w:cs="Times New Roman"/>
          <w:lang w:val="en-US"/>
        </w:rPr>
        <w:t>stop codon</w:t>
      </w:r>
      <w:r w:rsidR="00B71AD9">
        <w:rPr>
          <w:rFonts w:ascii="Calibri" w:eastAsia="ＭＳ Ｐゴシック" w:hAnsi="Calibri" w:cs="Times New Roman"/>
          <w:lang w:val="en-US"/>
        </w:rPr>
        <w:t>,</w:t>
      </w:r>
      <w:r w:rsidRPr="008E7B3A">
        <w:rPr>
          <w:rFonts w:ascii="Calibri" w:eastAsia="ＭＳ Ｐゴシック" w:hAnsi="Calibri" w:cs="Times New Roman"/>
          <w:lang w:val="en-US"/>
        </w:rPr>
        <w:t xml:space="preserve"> and there was </w:t>
      </w:r>
      <w:r w:rsidR="00B71AD9">
        <w:rPr>
          <w:rFonts w:ascii="Calibri" w:eastAsia="ＭＳ Ｐゴシック" w:hAnsi="Calibri" w:cs="Times New Roman"/>
          <w:lang w:val="en-US"/>
        </w:rPr>
        <w:t xml:space="preserve">also </w:t>
      </w:r>
      <w:r w:rsidRPr="008E7B3A">
        <w:rPr>
          <w:rFonts w:ascii="Calibri" w:eastAsia="ＭＳ Ｐゴシック" w:hAnsi="Calibri" w:cs="Times New Roman"/>
          <w:lang w:val="en-US"/>
        </w:rPr>
        <w:t xml:space="preserve">a reverse primer near the start to </w:t>
      </w:r>
      <w:r w:rsidR="00B71AD9">
        <w:rPr>
          <w:rFonts w:ascii="Calibri" w:eastAsia="ＭＳ Ｐゴシック" w:hAnsi="Calibri" w:cs="Times New Roman"/>
          <w:lang w:val="en-US"/>
        </w:rPr>
        <w:t xml:space="preserve">allow us to </w:t>
      </w:r>
      <w:r w:rsidRPr="008E7B3A">
        <w:rPr>
          <w:rFonts w:ascii="Calibri" w:eastAsia="ＭＳ Ｐゴシック" w:hAnsi="Calibri" w:cs="Times New Roman"/>
          <w:lang w:val="en-US"/>
        </w:rPr>
        <w:t>sequence back into the destination vector</w:t>
      </w:r>
      <w:r w:rsidR="00B71AD9">
        <w:rPr>
          <w:rFonts w:ascii="Calibri" w:eastAsia="ＭＳ Ｐゴシック" w:hAnsi="Calibri" w:cs="Times New Roman"/>
          <w:lang w:val="en-US"/>
        </w:rPr>
        <w:t>,</w:t>
      </w:r>
      <w:r w:rsidRPr="008E7B3A">
        <w:rPr>
          <w:rFonts w:ascii="Calibri" w:eastAsia="ＭＳ Ｐゴシック" w:hAnsi="Calibri" w:cs="Times New Roman"/>
          <w:lang w:val="en-US"/>
        </w:rPr>
        <w:t xml:space="preserve"> to check </w:t>
      </w:r>
      <w:r w:rsidR="00B71AD9">
        <w:rPr>
          <w:rFonts w:ascii="Calibri" w:eastAsia="ＭＳ Ｐゴシック" w:hAnsi="Calibri" w:cs="Times New Roman"/>
          <w:lang w:val="en-US"/>
        </w:rPr>
        <w:t xml:space="preserve">that </w:t>
      </w:r>
      <w:r w:rsidRPr="008E7B3A">
        <w:rPr>
          <w:rFonts w:ascii="Calibri" w:eastAsia="ＭＳ Ｐゴシック" w:hAnsi="Calibri" w:cs="Times New Roman"/>
          <w:lang w:val="en-US"/>
        </w:rPr>
        <w:t>it was in frame. The primers were supplied lyophilized and were re-suspended in ddH</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O to a concentration of 100pmol/</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as the supplier detailed. These are shown below, F= forward primer and R= reverse primer: </w:t>
      </w:r>
    </w:p>
    <w:p w14:paraId="51404E13"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-1F   – GTA CAA AAA AGC AGA AGG GCC</w:t>
      </w:r>
    </w:p>
    <w:p w14:paraId="2AFFFF74" w14:textId="77777777" w:rsidR="008E7B3A" w:rsidRPr="008E7B3A" w:rsidRDefault="008E7B3A" w:rsidP="008E7B3A">
      <w:pPr>
        <w:tabs>
          <w:tab w:val="right" w:pos="8306"/>
        </w:tabs>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-223F - CCA GAT GGT GCC ACA GTG CCC</w:t>
      </w:r>
      <w:r w:rsidRPr="008E7B3A">
        <w:rPr>
          <w:rFonts w:ascii="Courier" w:eastAsia="ＭＳ Ｐゴシック" w:hAnsi="Courier" w:cs="Times New Roman"/>
        </w:rPr>
        <w:tab/>
      </w:r>
    </w:p>
    <w:p w14:paraId="39F7C2BB"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-751F - AAC TGA AAA GTA CTC GGA CCT</w:t>
      </w:r>
    </w:p>
    <w:p w14:paraId="70F6659C"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-1281F -CTA TAG CAG CTG AGG AAC AGT</w:t>
      </w:r>
    </w:p>
    <w:p w14:paraId="37A4FE2B"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-1803F -CAG CTG AAA GTC TCC AGC CCA</w:t>
      </w:r>
    </w:p>
    <w:p w14:paraId="4FB7920F"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-2430F -TCT TCC AGT CTC ATC GCC AGT</w:t>
      </w:r>
    </w:p>
    <w:p w14:paraId="506B2C81"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 xml:space="preserve">-3051F -GCC GGA CAG TGG </w:t>
      </w:r>
      <w:proofErr w:type="spellStart"/>
      <w:r w:rsidRPr="008E7B3A">
        <w:rPr>
          <w:rFonts w:ascii="Courier" w:eastAsia="ＭＳ Ｐゴシック" w:hAnsi="Courier" w:cs="Times New Roman"/>
        </w:rPr>
        <w:t>TGG</w:t>
      </w:r>
      <w:proofErr w:type="spellEnd"/>
      <w:r w:rsidRPr="008E7B3A">
        <w:rPr>
          <w:rFonts w:ascii="Courier" w:eastAsia="ＭＳ Ｐゴシック" w:hAnsi="Courier" w:cs="Times New Roman"/>
        </w:rPr>
        <w:t xml:space="preserve"> </w:t>
      </w:r>
      <w:proofErr w:type="spellStart"/>
      <w:r w:rsidRPr="008E7B3A">
        <w:rPr>
          <w:rFonts w:ascii="Courier" w:eastAsia="ＭＳ Ｐゴシック" w:hAnsi="Courier" w:cs="Times New Roman"/>
        </w:rPr>
        <w:t>TGG</w:t>
      </w:r>
      <w:proofErr w:type="spellEnd"/>
      <w:r w:rsidRPr="008E7B3A">
        <w:rPr>
          <w:rFonts w:ascii="Courier" w:eastAsia="ＭＳ Ｐゴシック" w:hAnsi="Courier" w:cs="Times New Roman"/>
        </w:rPr>
        <w:t xml:space="preserve"> TGA</w:t>
      </w:r>
    </w:p>
    <w:p w14:paraId="3A972FA6"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-3681F -TGA CTT TGA CTG GTG CCC AGG</w:t>
      </w:r>
    </w:p>
    <w:p w14:paraId="550BC487"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-4311F -CTG TGT CCT CTA CAG TCT CAG</w:t>
      </w:r>
    </w:p>
    <w:p w14:paraId="3F7F44FC"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-4941F -CTA CTC CAG GAA CCT CTT TAG</w:t>
      </w:r>
    </w:p>
    <w:p w14:paraId="10865E80"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-5571F -ATG AGC CTG ACA CAC TGA CAT</w:t>
      </w:r>
    </w:p>
    <w:p w14:paraId="0DE41E02"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-6201F -AGG CAG AGG GCC ACC GAG TGC</w:t>
      </w:r>
    </w:p>
    <w:p w14:paraId="035FED79"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-6831F -CTG AGC TTG CAG AAT TTA ATG</w:t>
      </w:r>
    </w:p>
    <w:p w14:paraId="1225FE05"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-7440F -CAG CCC CAA ATC CAA TAA CCA</w:t>
      </w:r>
    </w:p>
    <w:p w14:paraId="568ECF18"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-8061F -AGC TGA CAG AGG CCA AGA CCC</w:t>
      </w:r>
    </w:p>
    <w:p w14:paraId="3FABBE49"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-8700F -CCA ATG GGG CTG ACC CAG TCC</w:t>
      </w:r>
    </w:p>
    <w:p w14:paraId="3AAFC5F2" w14:textId="77777777" w:rsidR="008E7B3A" w:rsidRPr="008E7B3A" w:rsidRDefault="008E7B3A" w:rsidP="008E7B3A">
      <w:pPr>
        <w:spacing w:line="360" w:lineRule="auto"/>
        <w:ind w:left="720"/>
        <w:jc w:val="both"/>
        <w:rPr>
          <w:rFonts w:ascii="Courier" w:eastAsia="ＭＳ Ｐゴシック" w:hAnsi="Courier" w:cs="Times New Roman"/>
        </w:rPr>
      </w:pPr>
      <w:proofErr w:type="gramStart"/>
      <w:r w:rsidRPr="008E7B3A">
        <w:rPr>
          <w:rFonts w:ascii="Courier" w:eastAsia="ＭＳ Ｐゴシック" w:hAnsi="Courier" w:cs="Times New Roman"/>
        </w:rPr>
        <w:t>srCAP</w:t>
      </w:r>
      <w:proofErr w:type="gramEnd"/>
      <w:r w:rsidRPr="008E7B3A">
        <w:rPr>
          <w:rFonts w:ascii="Courier" w:eastAsia="ＭＳ Ｐゴシック" w:hAnsi="Courier" w:cs="Times New Roman"/>
        </w:rPr>
        <w:t>-9427F- AGA GAC TGA GAA GTT GCC TCG</w:t>
      </w:r>
    </w:p>
    <w:p w14:paraId="04499D13" w14:textId="77777777" w:rsidR="008E7B3A" w:rsidRPr="008E7B3A" w:rsidRDefault="008E7B3A" w:rsidP="008E7B3A">
      <w:pPr>
        <w:spacing w:line="360" w:lineRule="auto"/>
        <w:ind w:left="720"/>
        <w:jc w:val="both"/>
        <w:rPr>
          <w:rFonts w:ascii="Courier" w:eastAsia="ＭＳ Ｐゴシック" w:hAnsi="Courier" w:cs="Times New Roman"/>
        </w:rPr>
      </w:pPr>
      <w:proofErr w:type="spellStart"/>
      <w:proofErr w:type="gramStart"/>
      <w:r w:rsidRPr="008E7B3A">
        <w:rPr>
          <w:rFonts w:ascii="Courier" w:eastAsia="ＭＳ Ｐゴシック" w:hAnsi="Courier" w:cs="Times New Roman"/>
        </w:rPr>
        <w:t>srCAP</w:t>
      </w:r>
      <w:proofErr w:type="spellEnd"/>
      <w:proofErr w:type="gramEnd"/>
      <w:r w:rsidRPr="008E7B3A">
        <w:rPr>
          <w:rFonts w:ascii="Courier" w:eastAsia="ＭＳ Ｐゴシック" w:hAnsi="Courier" w:cs="Times New Roman"/>
        </w:rPr>
        <w:t xml:space="preserve"> 199R-  GCC TGG AGG TCC ATC CAG TGA</w:t>
      </w:r>
    </w:p>
    <w:p w14:paraId="171B924F" w14:textId="77777777" w:rsidR="008E7B3A" w:rsidRPr="008E7B3A" w:rsidRDefault="008E7B3A" w:rsidP="008E7B3A">
      <w:pPr>
        <w:spacing w:line="360" w:lineRule="auto"/>
        <w:ind w:left="720"/>
        <w:jc w:val="both"/>
        <w:rPr>
          <w:rFonts w:ascii="Courier" w:eastAsia="ＭＳ Ｐゴシック" w:hAnsi="Courier" w:cs="Times New Roman"/>
        </w:rPr>
      </w:pPr>
    </w:p>
    <w:p w14:paraId="06DD7D85" w14:textId="6351B921" w:rsidR="008E7B3A" w:rsidRPr="008E7B3A" w:rsidRDefault="008E7B3A" w:rsidP="00B71AD9">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10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10ng/</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template DNA was submitted to the Genomics Facility along with 10</w:t>
      </w:r>
      <m:oMath>
        <m:r>
          <w:rPr>
            <w:rFonts w:ascii="Cambria Math" w:eastAsia="ＭＳ Ｐゴシック" w:hAnsi="Cambria Math" w:cs="Times New Roman"/>
            <w:lang w:val="en-US"/>
          </w:rPr>
          <m:t>μ</m:t>
        </m:r>
      </m:oMath>
      <w:r w:rsidR="00F6158E">
        <w:rPr>
          <w:rFonts w:ascii="Calibri" w:eastAsia="ＭＳ Ｐゴシック" w:hAnsi="Calibri" w:cs="Times New Roman"/>
          <w:lang w:val="en-US"/>
        </w:rPr>
        <w:t>l of each primer at 1pmol/ul</w:t>
      </w:r>
      <w:r w:rsidRPr="008E7B3A">
        <w:rPr>
          <w:rFonts w:ascii="Calibri" w:eastAsia="ＭＳ Ｐゴシック" w:hAnsi="Calibri" w:cs="Times New Roman"/>
          <w:lang w:val="en-US"/>
        </w:rPr>
        <w:t xml:space="preserve">. The samples were sequenced on a 3730 DNA analyser (Applied Biosystems) and the resulting sequences were analysed through </w:t>
      </w:r>
      <w:proofErr w:type="spellStart"/>
      <w:r w:rsidRPr="008E7B3A">
        <w:rPr>
          <w:rFonts w:ascii="Calibri" w:eastAsia="ＭＳ Ｐゴシック" w:hAnsi="Calibri" w:cs="Times New Roman"/>
          <w:lang w:val="en-US"/>
        </w:rPr>
        <w:t>FinchTV</w:t>
      </w:r>
      <w:proofErr w:type="spellEnd"/>
      <w:r w:rsidRPr="008E7B3A">
        <w:rPr>
          <w:rFonts w:ascii="Calibri" w:eastAsia="ＭＳ Ｐゴシック" w:hAnsi="Calibri" w:cs="Times New Roman"/>
          <w:lang w:val="en-US"/>
        </w:rPr>
        <w:t xml:space="preserve"> software (Perkin Elmer) and then compared with the NCBI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entry (</w:t>
      </w:r>
      <w:r w:rsidRPr="008E7B3A">
        <w:rPr>
          <w:rFonts w:ascii="Calibri" w:eastAsia="ＭＳ Ｐゴシック" w:hAnsi="Calibri" w:cs="Times New Roman"/>
        </w:rPr>
        <w:t xml:space="preserve">BC172428) </w:t>
      </w:r>
      <w:r w:rsidRPr="008E7B3A">
        <w:rPr>
          <w:rFonts w:ascii="Calibri" w:eastAsia="ＭＳ Ｐゴシック" w:hAnsi="Calibri" w:cs="Times New Roman"/>
          <w:lang w:val="en-US"/>
        </w:rPr>
        <w:t>using nucleotide BLAST (NCBI).</w:t>
      </w:r>
      <w:r>
        <w:rPr>
          <w:rFonts w:ascii="Calibri" w:eastAsia="ＭＳ Ｐゴシック" w:hAnsi="Calibri" w:cs="Times New Roman"/>
          <w:lang w:val="en-US"/>
        </w:rPr>
        <w:br w:type="page"/>
      </w:r>
    </w:p>
    <w:p w14:paraId="7A25162E" w14:textId="77777777" w:rsidR="008E7B3A" w:rsidRPr="008E7B3A" w:rsidRDefault="008E7B3A" w:rsidP="002F41C6">
      <w:pPr>
        <w:numPr>
          <w:ilvl w:val="0"/>
          <w:numId w:val="20"/>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Mutagenesis of cDNA</w:t>
      </w:r>
    </w:p>
    <w:p w14:paraId="7BD0CBC2" w14:textId="0C2B9432"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In order to delete the endogenous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Kozak consensus and start site sequence, which is highlighted in Figure 2.1, two primers were </w:t>
      </w:r>
      <w:r w:rsidR="00E82D3B" w:rsidRPr="008E7B3A">
        <w:rPr>
          <w:rFonts w:ascii="Calibri" w:eastAsia="ＭＳ Ｐゴシック" w:hAnsi="Calibri" w:cs="Times New Roman"/>
          <w:lang w:val="en-US"/>
        </w:rPr>
        <w:t>designed;</w:t>
      </w:r>
      <w:r w:rsidRPr="008E7B3A">
        <w:rPr>
          <w:rFonts w:ascii="Calibri" w:eastAsia="ＭＳ Ｐゴシック" w:hAnsi="Calibri" w:cs="Times New Roman"/>
          <w:lang w:val="en-US"/>
        </w:rPr>
        <w:t xml:space="preserve"> one forward and one reverse </w:t>
      </w:r>
      <w:r w:rsidR="00B71AD9">
        <w:rPr>
          <w:rFonts w:ascii="Calibri" w:eastAsia="ＭＳ Ｐゴシック" w:hAnsi="Calibri" w:cs="Times New Roman"/>
          <w:lang w:val="en-US"/>
        </w:rPr>
        <w:t>in order to carry out</w:t>
      </w:r>
      <w:r w:rsidRPr="008E7B3A">
        <w:rPr>
          <w:rFonts w:ascii="Calibri" w:eastAsia="ＭＳ Ｐゴシック" w:hAnsi="Calibri" w:cs="Times New Roman"/>
          <w:lang w:val="en-US"/>
        </w:rPr>
        <w:t xml:space="preserve"> site-directed mutagenesis </w:t>
      </w:r>
      <w:r w:rsidR="00B71AD9">
        <w:rPr>
          <w:rFonts w:ascii="Calibri" w:eastAsia="ＭＳ Ｐゴシック" w:hAnsi="Calibri" w:cs="Times New Roman"/>
          <w:lang w:val="en-US"/>
        </w:rPr>
        <w:t xml:space="preserve">to remove </w:t>
      </w:r>
      <w:r w:rsidRPr="008E7B3A">
        <w:rPr>
          <w:rFonts w:ascii="Calibri" w:eastAsia="ＭＳ Ｐゴシック" w:hAnsi="Calibri" w:cs="Times New Roman"/>
          <w:lang w:val="en-US"/>
        </w:rPr>
        <w:t>the highlighted section (</w:t>
      </w:r>
      <w:r w:rsidR="00B71AD9">
        <w:rPr>
          <w:rFonts w:ascii="Calibri" w:eastAsia="ＭＳ Ｐゴシック" w:hAnsi="Calibri" w:cs="Times New Roman"/>
          <w:lang w:val="en-US"/>
        </w:rPr>
        <w:t xml:space="preserve">primers obtained from </w:t>
      </w:r>
      <w:r w:rsidRPr="008E7B3A">
        <w:rPr>
          <w:rFonts w:ascii="Calibri" w:eastAsia="ＭＳ Ｐゴシック" w:hAnsi="Calibri" w:cs="Times New Roman"/>
          <w:lang w:val="en-US"/>
        </w:rPr>
        <w:t xml:space="preserve">Sigma Aldrich). </w:t>
      </w:r>
    </w:p>
    <w:p w14:paraId="1425C4CB" w14:textId="77777777" w:rsidR="008E7B3A" w:rsidRPr="008E7B3A" w:rsidRDefault="008E7B3A" w:rsidP="008E7B3A">
      <w:pPr>
        <w:spacing w:line="360" w:lineRule="auto"/>
        <w:jc w:val="both"/>
        <w:rPr>
          <w:rFonts w:ascii="Calibri" w:eastAsia="ＭＳ Ｐゴシック" w:hAnsi="Calibri" w:cs="Arial"/>
          <w:lang w:val="en-US"/>
        </w:rPr>
      </w:pPr>
    </w:p>
    <w:p w14:paraId="07FB6835" w14:textId="7664D165" w:rsidR="008E7B3A" w:rsidRPr="008E7B3A" w:rsidRDefault="008E7B3A" w:rsidP="008E7B3A">
      <w:pPr>
        <w:spacing w:line="360" w:lineRule="auto"/>
        <w:jc w:val="both"/>
        <w:rPr>
          <w:rFonts w:ascii="Calibri" w:eastAsia="ＭＳ Ｐゴシック" w:hAnsi="Calibri" w:cs="Arial"/>
          <w:lang w:val="en-US"/>
        </w:rPr>
      </w:pPr>
      <w:proofErr w:type="spellStart"/>
      <w:proofErr w:type="gramStart"/>
      <w:r w:rsidRPr="008E7B3A">
        <w:rPr>
          <w:rFonts w:ascii="Calibri" w:eastAsia="ＭＳ Ｐゴシック" w:hAnsi="Calibri" w:cs="Arial"/>
          <w:lang w:val="en-US"/>
        </w:rPr>
        <w:t>srCAP</w:t>
      </w:r>
      <w:proofErr w:type="spellEnd"/>
      <w:proofErr w:type="gramEnd"/>
      <w:r w:rsidRPr="008E7B3A">
        <w:rPr>
          <w:rFonts w:ascii="Calibri" w:eastAsia="ＭＳ Ｐゴシック" w:hAnsi="Calibri" w:cs="Arial"/>
          <w:lang w:val="en-US"/>
        </w:rPr>
        <w:t xml:space="preserve"> Kozak F- GCA GAA GGG CCG TCA AGG </w:t>
      </w:r>
      <w:r w:rsidR="00900899">
        <w:rPr>
          <w:rFonts w:ascii="Calibri" w:eastAsia="ＭＳ Ｐゴシック" w:hAnsi="Calibri" w:cs="Arial"/>
          <w:lang w:val="en-US"/>
        </w:rPr>
        <w:t>CAG AGC</w:t>
      </w:r>
      <w:r w:rsidRPr="008E7B3A">
        <w:rPr>
          <w:rFonts w:ascii="Calibri" w:eastAsia="ＭＳ Ｐゴシック" w:hAnsi="Calibri" w:cs="Arial"/>
          <w:lang w:val="en-US"/>
        </w:rPr>
        <w:t xml:space="preserve"> </w:t>
      </w:r>
      <w:proofErr w:type="spellStart"/>
      <w:r w:rsidR="00900899">
        <w:rPr>
          <w:rFonts w:ascii="Calibri" w:eastAsia="ＭＳ Ｐゴシック" w:hAnsi="Calibri" w:cs="Arial"/>
          <w:lang w:val="en-US"/>
        </w:rPr>
        <w:t>AGC</w:t>
      </w:r>
      <w:proofErr w:type="spellEnd"/>
      <w:r w:rsidRPr="008E7B3A">
        <w:rPr>
          <w:rFonts w:ascii="Calibri" w:eastAsia="ＭＳ Ｐゴシック" w:hAnsi="Calibri" w:cs="Arial"/>
          <w:lang w:val="en-US"/>
        </w:rPr>
        <w:t xml:space="preserve"> CCC </w:t>
      </w:r>
      <w:r w:rsidR="00900899">
        <w:rPr>
          <w:rFonts w:ascii="Calibri" w:eastAsia="ＭＳ Ｐゴシック" w:hAnsi="Calibri" w:cs="Arial"/>
          <w:lang w:val="en-US"/>
        </w:rPr>
        <w:t>TCC</w:t>
      </w:r>
      <w:r w:rsidRPr="008E7B3A">
        <w:rPr>
          <w:rFonts w:ascii="Calibri" w:eastAsia="ＭＳ Ｐゴシック" w:hAnsi="Calibri" w:cs="Arial"/>
          <w:lang w:val="en-US"/>
        </w:rPr>
        <w:t xml:space="preserve"> </w:t>
      </w:r>
      <w:r w:rsidR="00900899">
        <w:rPr>
          <w:rFonts w:ascii="Calibri" w:eastAsia="ＭＳ Ｐゴシック" w:hAnsi="Calibri" w:cs="Arial"/>
          <w:lang w:val="en-US"/>
        </w:rPr>
        <w:t xml:space="preserve">CCT </w:t>
      </w:r>
      <w:r w:rsidRPr="008E7B3A">
        <w:rPr>
          <w:rFonts w:ascii="Calibri" w:eastAsia="ＭＳ Ｐゴシック" w:hAnsi="Calibri" w:cs="Arial"/>
          <w:lang w:val="en-US"/>
        </w:rPr>
        <w:t>GC</w:t>
      </w:r>
    </w:p>
    <w:p w14:paraId="52D95F2B" w14:textId="6FE3843C" w:rsidR="008E7B3A" w:rsidRPr="008E7B3A" w:rsidRDefault="008E7B3A" w:rsidP="008E7B3A">
      <w:pPr>
        <w:spacing w:line="360" w:lineRule="auto"/>
        <w:jc w:val="both"/>
        <w:rPr>
          <w:rFonts w:ascii="Calibri" w:eastAsia="ＭＳ Ｐゴシック" w:hAnsi="Calibri" w:cs="Arial"/>
          <w:lang w:val="en-US"/>
        </w:rPr>
      </w:pPr>
      <w:proofErr w:type="spellStart"/>
      <w:proofErr w:type="gramStart"/>
      <w:r w:rsidRPr="008E7B3A">
        <w:rPr>
          <w:rFonts w:ascii="Calibri" w:eastAsia="ＭＳ Ｐゴシック" w:hAnsi="Calibri" w:cs="Arial"/>
          <w:lang w:val="en-US"/>
        </w:rPr>
        <w:t>srCAP</w:t>
      </w:r>
      <w:proofErr w:type="spellEnd"/>
      <w:proofErr w:type="gramEnd"/>
      <w:r w:rsidRPr="008E7B3A">
        <w:rPr>
          <w:rFonts w:ascii="Calibri" w:eastAsia="ＭＳ Ｐゴシック" w:hAnsi="Calibri" w:cs="Arial"/>
          <w:lang w:val="en-US"/>
        </w:rPr>
        <w:t xml:space="preserve"> Kozak R- GCA GGG GAG GGG C</w:t>
      </w:r>
      <w:r w:rsidR="00900899">
        <w:rPr>
          <w:rFonts w:ascii="Calibri" w:eastAsia="ＭＳ Ｐゴシック" w:hAnsi="Calibri" w:cs="Arial"/>
          <w:lang w:val="en-US"/>
        </w:rPr>
        <w:t xml:space="preserve">TG CTC TGC CTT GAC GGC CCT TCT </w:t>
      </w:r>
      <w:r w:rsidRPr="008E7B3A">
        <w:rPr>
          <w:rFonts w:ascii="Calibri" w:eastAsia="ＭＳ Ｐゴシック" w:hAnsi="Calibri" w:cs="Arial"/>
          <w:lang w:val="en-US"/>
        </w:rPr>
        <w:t>GC</w:t>
      </w:r>
    </w:p>
    <w:p w14:paraId="7824CB03" w14:textId="2223DFAF"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 </w:t>
      </w:r>
      <w:r w:rsidR="00AF4CA6">
        <w:rPr>
          <w:rFonts w:ascii="Calibri" w:eastAsia="ＭＳ Ｐゴシック" w:hAnsi="Calibri" w:cs="Times New Roman"/>
          <w:noProof/>
          <w:lang w:val="en-US"/>
        </w:rPr>
        <w:drawing>
          <wp:inline distT="0" distB="0" distL="0" distR="0" wp14:anchorId="7ECF5C0D" wp14:editId="365CD353">
            <wp:extent cx="5400675" cy="857250"/>
            <wp:effectExtent l="0" t="0" r="9525" b="6350"/>
            <wp:docPr id="188" name="Picture 188" descr="Macintosh HD:Users:ClairFellows:Desktop:Screen Shot 2018-01-08 at 12.4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irFellows:Desktop:Screen Shot 2018-01-08 at 12.43.4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675" cy="857250"/>
                    </a:xfrm>
                    <a:prstGeom prst="rect">
                      <a:avLst/>
                    </a:prstGeom>
                    <a:noFill/>
                    <a:ln>
                      <a:noFill/>
                    </a:ln>
                  </pic:spPr>
                </pic:pic>
              </a:graphicData>
            </a:graphic>
          </wp:inline>
        </w:drawing>
      </w:r>
    </w:p>
    <w:p w14:paraId="5E8ABE8D" w14:textId="2C734ABA" w:rsidR="008E7B3A" w:rsidRPr="008E7B3A" w:rsidRDefault="008E7B3A" w:rsidP="008E7B3A">
      <w:pPr>
        <w:spacing w:line="360" w:lineRule="auto"/>
        <w:jc w:val="both"/>
        <w:rPr>
          <w:rFonts w:ascii="Calibri" w:eastAsia="ＭＳ Ｐゴシック" w:hAnsi="Calibri" w:cs="Times New Roman"/>
          <w:b/>
          <w:lang w:val="en-US"/>
        </w:rPr>
      </w:pPr>
      <w:r w:rsidRPr="008E7B3A">
        <w:rPr>
          <w:rFonts w:ascii="Calibri" w:eastAsia="ＭＳ Ｐゴシック" w:hAnsi="Calibri" w:cs="Times New Roman"/>
          <w:b/>
          <w:lang w:val="en-US"/>
        </w:rPr>
        <w:t xml:space="preserve">Figure 2.1 </w:t>
      </w:r>
      <w:proofErr w:type="gramStart"/>
      <w:r w:rsidRPr="008E7B3A">
        <w:rPr>
          <w:rFonts w:ascii="Calibri" w:eastAsia="ＭＳ Ｐゴシック" w:hAnsi="Calibri" w:cs="Times New Roman"/>
          <w:b/>
          <w:lang w:val="en-US"/>
        </w:rPr>
        <w:t>The</w:t>
      </w:r>
      <w:proofErr w:type="gramEnd"/>
      <w:r w:rsidRPr="008E7B3A">
        <w:rPr>
          <w:rFonts w:ascii="Calibri" w:eastAsia="ＭＳ Ｐゴシック" w:hAnsi="Calibri" w:cs="Times New Roman"/>
          <w:b/>
          <w:lang w:val="en-US"/>
        </w:rPr>
        <w:t xml:space="preserve"> highlighted area was deleted by the two primers at the start of the </w:t>
      </w:r>
      <w:r w:rsidRPr="008E7B3A">
        <w:rPr>
          <w:rFonts w:ascii="Calibri" w:eastAsia="ＭＳ Ｐゴシック" w:hAnsi="Calibri" w:cs="Times New Roman"/>
          <w:b/>
          <w:i/>
          <w:lang w:val="en-US"/>
        </w:rPr>
        <w:t>SRCAP</w:t>
      </w:r>
      <w:r w:rsidRPr="008E7B3A">
        <w:rPr>
          <w:rFonts w:ascii="Calibri" w:eastAsia="ＭＳ Ｐゴシック" w:hAnsi="Calibri" w:cs="Times New Roman"/>
          <w:b/>
          <w:lang w:val="en-US"/>
        </w:rPr>
        <w:t xml:space="preserve"> gene</w:t>
      </w:r>
    </w:p>
    <w:p w14:paraId="0BBD0A95" w14:textId="77777777" w:rsidR="008E7B3A" w:rsidRPr="008E7B3A" w:rsidRDefault="008E7B3A" w:rsidP="008E7B3A">
      <w:pPr>
        <w:spacing w:line="360" w:lineRule="auto"/>
        <w:jc w:val="both"/>
        <w:rPr>
          <w:rFonts w:ascii="Calibri" w:eastAsia="ＭＳ Ｐゴシック" w:hAnsi="Calibri" w:cs="Times New Roman"/>
          <w:lang w:val="en-US"/>
        </w:rPr>
      </w:pPr>
    </w:p>
    <w:p w14:paraId="6E4BA40F" w14:textId="3C45F6AF"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100ng of the Entry, </w:t>
      </w:r>
      <w:r w:rsidRPr="008E7B3A">
        <w:rPr>
          <w:rFonts w:ascii="Calibri" w:eastAsia="ＭＳ Ｐゴシック" w:hAnsi="Calibri" w:cs="Times New Roman"/>
          <w:i/>
          <w:lang w:val="en-US"/>
        </w:rPr>
        <w:t>MYC</w:t>
      </w:r>
      <w:r w:rsidRPr="008E7B3A">
        <w:rPr>
          <w:rFonts w:ascii="Calibri" w:eastAsia="ＭＳ Ｐゴシック" w:hAnsi="Calibri" w:cs="Times New Roman"/>
          <w:lang w:val="en-US"/>
        </w:rPr>
        <w:t xml:space="preserve">, </w:t>
      </w:r>
      <w:r w:rsidRPr="008E7B3A">
        <w:rPr>
          <w:rFonts w:ascii="Calibri" w:eastAsia="ＭＳ Ｐゴシック" w:hAnsi="Calibri" w:cs="Times New Roman"/>
          <w:i/>
          <w:lang w:val="en-US"/>
        </w:rPr>
        <w:t>FLAG</w:t>
      </w:r>
      <w:r w:rsidRPr="008E7B3A">
        <w:rPr>
          <w:rFonts w:ascii="Calibri" w:eastAsia="ＭＳ Ｐゴシック" w:hAnsi="Calibri" w:cs="Times New Roman"/>
          <w:lang w:val="en-US"/>
        </w:rPr>
        <w:t xml:space="preserve"> and </w:t>
      </w:r>
      <w:r w:rsidRPr="008E7B3A">
        <w:rPr>
          <w:rFonts w:ascii="Calibri" w:eastAsia="ＭＳ Ｐゴシック" w:hAnsi="Calibri" w:cs="Times New Roman"/>
          <w:i/>
          <w:lang w:val="en-US"/>
        </w:rPr>
        <w:t>YFP</w:t>
      </w:r>
      <w:r w:rsidRPr="008E7B3A">
        <w:rPr>
          <w:rFonts w:ascii="Calibri" w:eastAsia="ＭＳ Ｐゴシック" w:hAnsi="Calibri" w:cs="Times New Roman"/>
          <w:lang w:val="en-US"/>
        </w:rPr>
        <w:t xml:space="preserve"> constructs already made and sequenced were put in separate PCR tubes, along with 100</w:t>
      </w:r>
      <m:oMath>
        <m:r>
          <w:rPr>
            <w:rFonts w:ascii="Cambria Math" w:eastAsia="ＭＳ Ｐゴシック" w:hAnsi="Cambria Math" w:cs="Times New Roman"/>
            <w:lang w:val="en-US"/>
          </w:rPr>
          <m:t>μM</m:t>
        </m:r>
      </m:oMath>
      <w:r w:rsidRPr="008E7B3A">
        <w:rPr>
          <w:rFonts w:ascii="Calibri" w:eastAsia="ＭＳ Ｐゴシック" w:hAnsi="Calibri" w:cs="Times New Roman"/>
          <w:lang w:val="en-US"/>
        </w:rPr>
        <w:t xml:space="preserve"> of each primer. Then using the KOD Hot Start DNA Polymerase kit (Novagen),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10x buffer and dNTPs and 2</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MgSO</w:t>
      </w:r>
      <w:r w:rsidRPr="008E7B3A">
        <w:rPr>
          <w:rFonts w:ascii="Calibri" w:eastAsia="ＭＳ Ｐゴシック" w:hAnsi="Calibri" w:cs="Times New Roman"/>
          <w:vertAlign w:val="subscript"/>
          <w:lang w:val="en-US"/>
        </w:rPr>
        <w:t xml:space="preserve">4 </w:t>
      </w:r>
      <w:r w:rsidRPr="008E7B3A">
        <w:rPr>
          <w:rFonts w:ascii="Calibri" w:eastAsia="ＭＳ Ｐゴシック" w:hAnsi="Calibri" w:cs="Times New Roman"/>
          <w:lang w:val="en-US"/>
        </w:rPr>
        <w:t>was added to each tube. This solution was made up to 49</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with ddH</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O and finally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KOD polymerase was added before vortexing. These tubes were then </w:t>
      </w:r>
      <w:r w:rsidR="00B71AD9">
        <w:rPr>
          <w:rFonts w:ascii="Calibri" w:eastAsia="ＭＳ Ｐゴシック" w:hAnsi="Calibri" w:cs="Times New Roman"/>
          <w:lang w:val="en-US"/>
        </w:rPr>
        <w:t>placed</w:t>
      </w:r>
      <w:r w:rsidRPr="008E7B3A">
        <w:rPr>
          <w:rFonts w:ascii="Calibri" w:eastAsia="ＭＳ Ｐゴシック" w:hAnsi="Calibri" w:cs="Times New Roman"/>
          <w:lang w:val="en-US"/>
        </w:rPr>
        <w:t xml:space="preserve"> into a Bio-Rad S1000 thermal cycler for around 7hrs with the following settings:</w:t>
      </w:r>
    </w:p>
    <w:tbl>
      <w:tblPr>
        <w:tblStyle w:val="TableGrid"/>
        <w:tblpPr w:leftFromText="180" w:rightFromText="180" w:vertAnchor="text" w:horzAnchor="page" w:tblpX="2377" w:tblpY="176"/>
        <w:tblW w:w="0" w:type="auto"/>
        <w:tblLook w:val="04A0" w:firstRow="1" w:lastRow="0" w:firstColumn="1" w:lastColumn="0" w:noHBand="0" w:noVBand="1"/>
      </w:tblPr>
      <w:tblGrid>
        <w:gridCol w:w="3626"/>
        <w:gridCol w:w="2166"/>
        <w:gridCol w:w="2497"/>
      </w:tblGrid>
      <w:tr w:rsidR="00656881" w:rsidRPr="008E7B3A" w14:paraId="5BB0C48D" w14:textId="77777777" w:rsidTr="00656881">
        <w:trPr>
          <w:trHeight w:val="312"/>
        </w:trPr>
        <w:tc>
          <w:tcPr>
            <w:tcW w:w="3626" w:type="dxa"/>
            <w:shd w:val="clear" w:color="auto" w:fill="000000"/>
          </w:tcPr>
          <w:p w14:paraId="418098AB" w14:textId="77777777" w:rsidR="00656881" w:rsidRPr="008E7B3A" w:rsidRDefault="00656881" w:rsidP="00656881">
            <w:pPr>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Step</w:t>
            </w:r>
          </w:p>
        </w:tc>
        <w:tc>
          <w:tcPr>
            <w:tcW w:w="2166" w:type="dxa"/>
            <w:shd w:val="clear" w:color="auto" w:fill="000000"/>
          </w:tcPr>
          <w:p w14:paraId="7D6DBD59" w14:textId="77777777" w:rsidR="00656881" w:rsidRPr="008E7B3A" w:rsidRDefault="00656881" w:rsidP="00656881">
            <w:pPr>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Temperature</w:t>
            </w:r>
          </w:p>
        </w:tc>
        <w:tc>
          <w:tcPr>
            <w:tcW w:w="2497" w:type="dxa"/>
            <w:shd w:val="clear" w:color="auto" w:fill="000000"/>
          </w:tcPr>
          <w:p w14:paraId="7605E861" w14:textId="77777777" w:rsidR="00656881" w:rsidRPr="008E7B3A" w:rsidRDefault="00656881" w:rsidP="00656881">
            <w:pPr>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Time (minutes)</w:t>
            </w:r>
          </w:p>
        </w:tc>
      </w:tr>
      <w:tr w:rsidR="00656881" w:rsidRPr="008E7B3A" w14:paraId="2DCF5FB0" w14:textId="77777777" w:rsidTr="00656881">
        <w:trPr>
          <w:trHeight w:val="332"/>
        </w:trPr>
        <w:tc>
          <w:tcPr>
            <w:tcW w:w="3626" w:type="dxa"/>
            <w:shd w:val="clear" w:color="auto" w:fill="D9D9D9"/>
          </w:tcPr>
          <w:p w14:paraId="2771440B"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1-Denaturation</w:t>
            </w:r>
          </w:p>
        </w:tc>
        <w:tc>
          <w:tcPr>
            <w:tcW w:w="2166" w:type="dxa"/>
          </w:tcPr>
          <w:p w14:paraId="3F4C2646"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95</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497" w:type="dxa"/>
          </w:tcPr>
          <w:p w14:paraId="676521D2"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3</w:t>
            </w:r>
          </w:p>
        </w:tc>
      </w:tr>
      <w:tr w:rsidR="00656881" w:rsidRPr="008E7B3A" w14:paraId="34E41C30" w14:textId="77777777" w:rsidTr="00656881">
        <w:trPr>
          <w:trHeight w:val="312"/>
        </w:trPr>
        <w:tc>
          <w:tcPr>
            <w:tcW w:w="3626" w:type="dxa"/>
            <w:shd w:val="clear" w:color="auto" w:fill="D9D9D9"/>
          </w:tcPr>
          <w:p w14:paraId="0796BA15"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2-Annealing and extension</w:t>
            </w:r>
          </w:p>
        </w:tc>
        <w:tc>
          <w:tcPr>
            <w:tcW w:w="2166" w:type="dxa"/>
          </w:tcPr>
          <w:p w14:paraId="3C6D749F"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95</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497" w:type="dxa"/>
          </w:tcPr>
          <w:p w14:paraId="4E1FCC0E"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1</w:t>
            </w:r>
          </w:p>
        </w:tc>
      </w:tr>
      <w:tr w:rsidR="00656881" w:rsidRPr="008E7B3A" w14:paraId="31DAC180" w14:textId="77777777" w:rsidTr="00656881">
        <w:trPr>
          <w:trHeight w:val="312"/>
        </w:trPr>
        <w:tc>
          <w:tcPr>
            <w:tcW w:w="3626" w:type="dxa"/>
            <w:shd w:val="clear" w:color="auto" w:fill="D9D9D9"/>
          </w:tcPr>
          <w:p w14:paraId="2E1A34E1"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3</w:t>
            </w:r>
          </w:p>
        </w:tc>
        <w:tc>
          <w:tcPr>
            <w:tcW w:w="2166" w:type="dxa"/>
          </w:tcPr>
          <w:p w14:paraId="3E6B749B"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60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497" w:type="dxa"/>
          </w:tcPr>
          <w:p w14:paraId="3B65221F"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1</w:t>
            </w:r>
          </w:p>
        </w:tc>
      </w:tr>
      <w:tr w:rsidR="00656881" w:rsidRPr="008E7B3A" w14:paraId="59B001B1" w14:textId="77777777" w:rsidTr="00656881">
        <w:trPr>
          <w:trHeight w:val="332"/>
        </w:trPr>
        <w:tc>
          <w:tcPr>
            <w:tcW w:w="3626" w:type="dxa"/>
            <w:shd w:val="clear" w:color="auto" w:fill="D9D9D9"/>
          </w:tcPr>
          <w:p w14:paraId="303E14DB"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4</w:t>
            </w:r>
          </w:p>
        </w:tc>
        <w:tc>
          <w:tcPr>
            <w:tcW w:w="2166" w:type="dxa"/>
          </w:tcPr>
          <w:p w14:paraId="58B2E8BA"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72</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497" w:type="dxa"/>
          </w:tcPr>
          <w:p w14:paraId="6297193C"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14 (25 cycles)</w:t>
            </w:r>
          </w:p>
        </w:tc>
      </w:tr>
      <w:tr w:rsidR="00656881" w:rsidRPr="008E7B3A" w14:paraId="15967B76" w14:textId="77777777" w:rsidTr="00656881">
        <w:trPr>
          <w:trHeight w:val="312"/>
        </w:trPr>
        <w:tc>
          <w:tcPr>
            <w:tcW w:w="3626" w:type="dxa"/>
            <w:shd w:val="clear" w:color="auto" w:fill="D9D9D9"/>
          </w:tcPr>
          <w:p w14:paraId="503DB68C"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5</w:t>
            </w:r>
          </w:p>
        </w:tc>
        <w:tc>
          <w:tcPr>
            <w:tcW w:w="2166" w:type="dxa"/>
          </w:tcPr>
          <w:p w14:paraId="6A90EB21"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72</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497" w:type="dxa"/>
          </w:tcPr>
          <w:p w14:paraId="54993BC3"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5</w:t>
            </w:r>
          </w:p>
        </w:tc>
      </w:tr>
      <w:tr w:rsidR="00656881" w:rsidRPr="008E7B3A" w14:paraId="04FB5C21" w14:textId="77777777" w:rsidTr="00656881">
        <w:trPr>
          <w:trHeight w:val="332"/>
        </w:trPr>
        <w:tc>
          <w:tcPr>
            <w:tcW w:w="3626" w:type="dxa"/>
            <w:shd w:val="clear" w:color="auto" w:fill="D9D9D9"/>
          </w:tcPr>
          <w:p w14:paraId="490B2C9E"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6- Keep cold</w:t>
            </w:r>
          </w:p>
        </w:tc>
        <w:tc>
          <w:tcPr>
            <w:tcW w:w="2166" w:type="dxa"/>
          </w:tcPr>
          <w:p w14:paraId="4CBB7F91" w14:textId="77777777" w:rsidR="00656881" w:rsidRPr="008E7B3A" w:rsidRDefault="00656881" w:rsidP="00656881">
            <w:pPr>
              <w:spacing w:line="276" w:lineRule="auto"/>
              <w:jc w:val="both"/>
              <w:rPr>
                <w:rFonts w:ascii="Calibri" w:eastAsia="ＭＳ Ｐゴシック" w:hAnsi="Calibri" w:cs="Times New Roman"/>
              </w:rPr>
            </w:pPr>
            <w:r w:rsidRPr="008E7B3A">
              <w:rPr>
                <w:rFonts w:ascii="Calibri" w:eastAsia="ＭＳ Ｐゴシック" w:hAnsi="Calibri" w:cs="Times New Roman"/>
              </w:rPr>
              <w:t>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497" w:type="dxa"/>
          </w:tcPr>
          <w:p w14:paraId="5019B32B" w14:textId="77777777" w:rsidR="00656881" w:rsidRPr="008E7B3A" w:rsidRDefault="00656881" w:rsidP="00656881">
            <w:pPr>
              <w:spacing w:line="276" w:lineRule="auto"/>
              <w:jc w:val="both"/>
              <w:rPr>
                <w:rFonts w:ascii="Calibri" w:eastAsia="ＭＳ Ｐゴシック" w:hAnsi="Calibri" w:cs="Times New Roman"/>
              </w:rPr>
            </w:pPr>
            <m:oMath>
              <m:r>
                <w:rPr>
                  <w:rFonts w:ascii="Cambria Math" w:eastAsia="ＭＳ Ｐゴシック" w:hAnsi="Cambria Math" w:cs="Times New Roman"/>
                </w:rPr>
                <m:t>∝</m:t>
              </m:r>
            </m:oMath>
            <w:r w:rsidRPr="008E7B3A">
              <w:rPr>
                <w:rFonts w:ascii="Calibri" w:eastAsia="ＭＳ Ｐゴシック" w:hAnsi="Calibri" w:cs="Times New Roman"/>
              </w:rPr>
              <w:t xml:space="preserve"> </w:t>
            </w:r>
          </w:p>
        </w:tc>
      </w:tr>
    </w:tbl>
    <w:p w14:paraId="12141D52" w14:textId="77777777" w:rsidR="008E7B3A" w:rsidRPr="008E7B3A" w:rsidRDefault="008E7B3A" w:rsidP="008E7B3A">
      <w:pPr>
        <w:spacing w:line="276" w:lineRule="auto"/>
        <w:jc w:val="both"/>
        <w:rPr>
          <w:rFonts w:ascii="Calibri" w:eastAsia="ＭＳ Ｐゴシック" w:hAnsi="Calibri" w:cs="Times New Roman"/>
          <w:b/>
          <w:lang w:val="en-US"/>
        </w:rPr>
      </w:pPr>
      <w:r w:rsidRPr="008E7B3A">
        <w:rPr>
          <w:rFonts w:ascii="Calibri" w:eastAsia="ＭＳ Ｐゴシック" w:hAnsi="Calibri" w:cs="Times New Roman"/>
          <w:b/>
          <w:lang w:val="en-US"/>
        </w:rPr>
        <w:t>Table 2.1 Site directed mutagenesis PCR programme</w:t>
      </w:r>
    </w:p>
    <w:p w14:paraId="28B597BA" w14:textId="77777777" w:rsidR="008E7B3A" w:rsidRPr="008E7B3A" w:rsidRDefault="008E7B3A" w:rsidP="008E7B3A">
      <w:pPr>
        <w:spacing w:line="276" w:lineRule="auto"/>
        <w:jc w:val="both"/>
        <w:rPr>
          <w:rFonts w:ascii="Calibri" w:eastAsia="ＭＳ Ｐゴシック" w:hAnsi="Calibri" w:cs="Times New Roman"/>
          <w:lang w:val="en-US"/>
        </w:rPr>
      </w:pPr>
    </w:p>
    <w:p w14:paraId="598A723E" w14:textId="46734EF6"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The PCR products were then subjected to restriction enzyme digestion by Dpn1 (New England Biolabs) to digest the parental (methylated) plasmid DNA. 2</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Dpn1 at 20000U/ml was added and </w:t>
      </w:r>
      <w:r w:rsidR="00B71AD9">
        <w:rPr>
          <w:rFonts w:ascii="Calibri" w:eastAsia="ＭＳ Ｐゴシック" w:hAnsi="Calibri" w:cs="Times New Roman"/>
          <w:lang w:val="en-US"/>
        </w:rPr>
        <w:t>incubated</w:t>
      </w:r>
      <w:r w:rsidRPr="008E7B3A">
        <w:rPr>
          <w:rFonts w:ascii="Calibri" w:eastAsia="ＭＳ Ｐゴシック" w:hAnsi="Calibri" w:cs="Times New Roman"/>
          <w:lang w:val="en-US"/>
        </w:rPr>
        <w:t xml:space="preserve"> for</w:t>
      </w:r>
      <w:r w:rsidR="00A5506E">
        <w:rPr>
          <w:rFonts w:ascii="Calibri" w:eastAsia="ＭＳ Ｐゴシック" w:hAnsi="Calibri" w:cs="Times New Roman"/>
          <w:lang w:val="en-US"/>
        </w:rPr>
        <w:t xml:space="preserve"> 3h</w:t>
      </w:r>
      <w:r w:rsidRPr="008E7B3A">
        <w:rPr>
          <w:rFonts w:ascii="Calibri" w:eastAsia="ＭＳ Ｐゴシック" w:hAnsi="Calibri" w:cs="Times New Roman"/>
          <w:lang w:val="en-US"/>
        </w:rPr>
        <w:t>rs at 37</w:t>
      </w:r>
      <w:r w:rsidRPr="008E7B3A">
        <w:rPr>
          <w:rFonts w:ascii="Calibri" w:eastAsia="ＭＳ Ｐゴシック" w:hAnsi="Calibri" w:cs="Times New Roman"/>
          <w:vertAlign w:val="superscript"/>
          <w:lang w:val="en-US"/>
        </w:rPr>
        <w:t>o</w:t>
      </w:r>
      <w:r w:rsidR="00B71AD9">
        <w:rPr>
          <w:rFonts w:ascii="Calibri" w:eastAsia="ＭＳ Ｐゴシック" w:hAnsi="Calibri" w:cs="Times New Roman"/>
          <w:lang w:val="en-US"/>
        </w:rPr>
        <w:t>C.</w:t>
      </w:r>
      <w:r w:rsidRPr="008E7B3A">
        <w:rPr>
          <w:rFonts w:ascii="Calibri" w:eastAsia="ＭＳ Ｐゴシック" w:hAnsi="Calibri" w:cs="Times New Roman"/>
          <w:lang w:val="en-US"/>
        </w:rPr>
        <w:t xml:space="preserve"> 10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sample </w:t>
      </w:r>
      <w:r w:rsidR="00B71AD9">
        <w:rPr>
          <w:rFonts w:ascii="Calibri" w:eastAsia="ＭＳ Ｐゴシック" w:hAnsi="Calibri" w:cs="Times New Roman"/>
          <w:lang w:val="en-US"/>
        </w:rPr>
        <w:t>for</w:t>
      </w:r>
      <w:r w:rsidRPr="008E7B3A">
        <w:rPr>
          <w:rFonts w:ascii="Calibri" w:eastAsia="ＭＳ Ｐゴシック" w:hAnsi="Calibri" w:cs="Times New Roman"/>
          <w:lang w:val="en-US"/>
        </w:rPr>
        <w:t xml:space="preserve"> each construct was electrophoresed on a 1% agarose gel. And then the constructs were transformed into </w:t>
      </w:r>
      <w:r w:rsidR="00B71AD9" w:rsidRPr="008E7B3A">
        <w:rPr>
          <w:rFonts w:ascii="Calibri" w:eastAsia="ＭＳ Ｐゴシック" w:hAnsi="Calibri" w:cs="Times New Roman"/>
          <w:i/>
          <w:lang w:val="en-US"/>
        </w:rPr>
        <w:t>DH5</w:t>
      </w:r>
      <m:oMath>
        <m:r>
          <w:rPr>
            <w:rFonts w:ascii="Cambria Math" w:eastAsia="ＭＳ Ｐゴシック" w:hAnsi="Cambria Math" w:cs="Times New Roman"/>
            <w:lang w:val="en-US"/>
          </w:rPr>
          <m:t>α</m:t>
        </m:r>
      </m:oMath>
      <w:r w:rsidR="00B71AD9" w:rsidRPr="008E7B3A">
        <w:rPr>
          <w:rFonts w:ascii="Calibri" w:eastAsia="ＭＳ Ｐゴシック" w:hAnsi="Calibri" w:cs="Times New Roman"/>
          <w:lang w:val="en-US"/>
        </w:rPr>
        <w:t xml:space="preserve"> </w:t>
      </w:r>
      <w:r w:rsidRPr="008E7B3A">
        <w:rPr>
          <w:rFonts w:ascii="Calibri" w:eastAsia="ＭＳ Ｐゴシック" w:hAnsi="Calibri" w:cs="Times New Roman"/>
          <w:lang w:val="en-US"/>
        </w:rPr>
        <w:t>competent cells, miniprepped and sequenced (core facility) using the same method as described above</w:t>
      </w:r>
      <w:r w:rsidR="00A219A0">
        <w:rPr>
          <w:rFonts w:ascii="Calibri" w:eastAsia="ＭＳ Ｐゴシック" w:hAnsi="Calibri" w:cs="Times New Roman"/>
          <w:lang w:val="en-US"/>
        </w:rPr>
        <w:t xml:space="preserve"> (section 2.2.I.e)</w:t>
      </w:r>
      <w:r w:rsidRPr="008E7B3A">
        <w:rPr>
          <w:rFonts w:ascii="Calibri" w:eastAsia="ＭＳ Ｐゴシック" w:hAnsi="Calibri" w:cs="Times New Roman"/>
          <w:lang w:val="en-US"/>
        </w:rPr>
        <w:t xml:space="preserve">. </w:t>
      </w:r>
    </w:p>
    <w:p w14:paraId="2F4D8CCA" w14:textId="77777777" w:rsidR="008E7B3A" w:rsidRPr="008E7B3A" w:rsidRDefault="008E7B3A" w:rsidP="008E7B3A">
      <w:pPr>
        <w:spacing w:line="360" w:lineRule="auto"/>
        <w:jc w:val="both"/>
        <w:rPr>
          <w:rFonts w:ascii="Calibri" w:eastAsia="ＭＳ Ｐゴシック" w:hAnsi="Calibri" w:cs="Times New Roman"/>
          <w:lang w:val="en-US"/>
        </w:rPr>
      </w:pPr>
    </w:p>
    <w:p w14:paraId="4D1EFA2C" w14:textId="77777777" w:rsidR="008E7B3A" w:rsidRPr="008E7B3A" w:rsidRDefault="008E7B3A" w:rsidP="002F41C6">
      <w:pPr>
        <w:numPr>
          <w:ilvl w:val="0"/>
          <w:numId w:val="20"/>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RAS construct transformation</w:t>
      </w:r>
    </w:p>
    <w:p w14:paraId="38704D31" w14:textId="6B6B6463"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A sample of </w:t>
      </w:r>
      <w:r w:rsidRPr="008E7B3A">
        <w:rPr>
          <w:rFonts w:ascii="Calibri" w:eastAsia="ＭＳ Ｐゴシック" w:hAnsi="Calibri" w:cs="Times New Roman"/>
          <w:i/>
          <w:lang w:val="en-US"/>
        </w:rPr>
        <w:t>HRAS</w:t>
      </w:r>
      <w:r w:rsidRPr="008E7B3A">
        <w:rPr>
          <w:rFonts w:ascii="Calibri" w:eastAsia="ＭＳ Ｐゴシック" w:hAnsi="Calibri" w:cs="Times New Roman"/>
          <w:lang w:val="en-US"/>
        </w:rPr>
        <w:t xml:space="preserve"> in a CAG vector (Appendix 6) was kindly provided by the Meuth lab</w:t>
      </w:r>
      <w:r w:rsidR="00F63CC9">
        <w:rPr>
          <w:rFonts w:ascii="Calibri" w:eastAsia="ＭＳ Ｐゴシック" w:hAnsi="Calibri" w:cs="Times New Roman"/>
          <w:lang w:val="en-US"/>
        </w:rPr>
        <w:t>oratory</w:t>
      </w:r>
      <w:r w:rsidRPr="008E7B3A">
        <w:rPr>
          <w:rFonts w:ascii="Calibri" w:eastAsia="ＭＳ Ｐゴシック" w:hAnsi="Calibri" w:cs="Times New Roman"/>
          <w:lang w:val="en-US"/>
        </w:rPr>
        <w:t xml:space="preserve"> from the University of Sheffield. In order to make </w:t>
      </w:r>
      <w:r w:rsidR="00F63CC9">
        <w:rPr>
          <w:rFonts w:ascii="Calibri" w:eastAsia="ＭＳ Ｐゴシック" w:hAnsi="Calibri" w:cs="Times New Roman"/>
          <w:lang w:val="en-US"/>
        </w:rPr>
        <w:t>sufficient quantities</w:t>
      </w:r>
      <w:r w:rsidRPr="008E7B3A">
        <w:rPr>
          <w:rFonts w:ascii="Calibri" w:eastAsia="ＭＳ Ｐゴシック" w:hAnsi="Calibri" w:cs="Times New Roman"/>
          <w:lang w:val="en-US"/>
        </w:rPr>
        <w:t xml:space="preserve"> the construct was transformed into bacteria, agar plated, colonies picked, grown and DNA extracted as described above. However, instead of using DH5</w:t>
      </w:r>
      <m:oMath>
        <m:r>
          <w:rPr>
            <w:rFonts w:ascii="Cambria Math" w:eastAsia="ＭＳ Ｐゴシック" w:hAnsi="Cambria Math" w:cs="Times New Roman"/>
            <w:lang w:val="en-US"/>
          </w:rPr>
          <m:t>α</m:t>
        </m:r>
      </m:oMath>
      <w:r w:rsidRPr="008E7B3A">
        <w:rPr>
          <w:rFonts w:ascii="Calibri" w:eastAsia="ＭＳ Ｐゴシック" w:hAnsi="Calibri" w:cs="Times New Roman"/>
          <w:lang w:val="en-US"/>
        </w:rPr>
        <w:t xml:space="preserve"> </w:t>
      </w:r>
      <w:r w:rsidRPr="008E7B3A">
        <w:rPr>
          <w:rFonts w:ascii="Calibri" w:eastAsia="ＭＳ Ｐゴシック" w:hAnsi="Calibri" w:cs="Times New Roman"/>
          <w:i/>
          <w:lang w:val="en-US"/>
        </w:rPr>
        <w:t xml:space="preserve">E. Coli, </w:t>
      </w:r>
      <w:r w:rsidRPr="008E7B3A">
        <w:rPr>
          <w:rFonts w:ascii="Calibri" w:eastAsia="ＭＳ Ｐゴシック" w:hAnsi="Calibri" w:cs="Times New Roman"/>
          <w:lang w:val="en-US"/>
        </w:rPr>
        <w:t>CAG competent cells were used.</w:t>
      </w:r>
    </w:p>
    <w:p w14:paraId="474E1729" w14:textId="77777777" w:rsidR="008E7B3A" w:rsidRPr="008E7B3A" w:rsidRDefault="008E7B3A" w:rsidP="008E7B3A">
      <w:pPr>
        <w:spacing w:line="360" w:lineRule="auto"/>
        <w:jc w:val="both"/>
        <w:rPr>
          <w:rFonts w:ascii="Calibri" w:eastAsia="ＭＳ Ｐゴシック" w:hAnsi="Calibri" w:cs="Times New Roman"/>
          <w:lang w:val="en-US"/>
        </w:rPr>
      </w:pPr>
    </w:p>
    <w:p w14:paraId="19DB48E1" w14:textId="77777777" w:rsidR="008E7B3A" w:rsidRPr="008E7B3A" w:rsidRDefault="008E7B3A" w:rsidP="002F41C6">
      <w:pPr>
        <w:numPr>
          <w:ilvl w:val="0"/>
          <w:numId w:val="20"/>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SRCAP cloning into pDEST-FRT-N-YFP (Flp compatible)</w:t>
      </w:r>
    </w:p>
    <w:p w14:paraId="0C879012" w14:textId="62915121" w:rsidR="008E7B3A" w:rsidRPr="008E7B3A" w:rsidRDefault="008E7B3A" w:rsidP="008E7B3A">
      <w:pPr>
        <w:spacing w:line="360" w:lineRule="auto"/>
        <w:jc w:val="both"/>
        <w:rPr>
          <w:rFonts w:ascii="Calibri" w:eastAsia="ＭＳ Ｐゴシック" w:hAnsi="Calibri" w:cs="Times New Roman"/>
          <w:b/>
          <w:sz w:val="28"/>
          <w:lang w:val="en-US"/>
        </w:rPr>
      </w:pPr>
      <w:r w:rsidRPr="008E7B3A">
        <w:rPr>
          <w:rFonts w:ascii="Calibri" w:eastAsia="ＭＳ Ｐゴシック" w:hAnsi="Calibri" w:cs="Times New Roman"/>
          <w:lang w:val="en-US"/>
        </w:rPr>
        <w:t xml:space="preserve">Mutated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in the entry vector was cloned in to the</w:t>
      </w:r>
      <w:r w:rsidRPr="008E7B3A">
        <w:rPr>
          <w:rFonts w:ascii="Calibri" w:eastAsia="ＭＳ Ｐゴシック" w:hAnsi="Calibri" w:cs="Times New Roman"/>
          <w:i/>
          <w:lang w:val="en-US"/>
        </w:rPr>
        <w:t xml:space="preserve"> pDEST-FRT-N-YFP </w:t>
      </w:r>
      <w:r w:rsidRPr="008E7B3A">
        <w:rPr>
          <w:rFonts w:ascii="Calibri" w:eastAsia="ＭＳ Ｐゴシック" w:hAnsi="Calibri" w:cs="Times New Roman"/>
          <w:lang w:val="en-US"/>
        </w:rPr>
        <w:t xml:space="preserve">(Flp compatible) vector by LR reaction as previously described. </w:t>
      </w:r>
      <w:r w:rsidR="00F63CC9">
        <w:rPr>
          <w:rFonts w:ascii="Calibri" w:eastAsia="ＭＳ Ｐゴシック" w:hAnsi="Calibri" w:cs="Times New Roman"/>
          <w:lang w:val="en-US"/>
        </w:rPr>
        <w:t xml:space="preserve">The resulting plasmid was then </w:t>
      </w:r>
      <w:r w:rsidRPr="008E7B3A">
        <w:rPr>
          <w:rFonts w:ascii="Calibri" w:eastAsia="ＭＳ Ｐゴシック" w:hAnsi="Calibri" w:cs="Times New Roman"/>
          <w:lang w:val="en-US"/>
        </w:rPr>
        <w:t>transformed into DH5</w:t>
      </w:r>
      <m:oMath>
        <m:r>
          <w:rPr>
            <w:rFonts w:ascii="Cambria Math" w:eastAsia="ＭＳ Ｐゴシック" w:hAnsi="Cambria Math" w:cs="Times New Roman"/>
            <w:lang w:val="en-US"/>
          </w:rPr>
          <m:t>α</m:t>
        </m:r>
      </m:oMath>
      <w:r w:rsidRPr="008E7B3A">
        <w:rPr>
          <w:rFonts w:ascii="Calibri" w:eastAsia="ＭＳ Ｐゴシック" w:hAnsi="Calibri" w:cs="Times New Roman"/>
          <w:lang w:val="en-US"/>
        </w:rPr>
        <w:t xml:space="preserve"> </w:t>
      </w:r>
      <w:r w:rsidRPr="008E7B3A">
        <w:rPr>
          <w:rFonts w:ascii="Calibri" w:eastAsia="ＭＳ Ｐゴシック" w:hAnsi="Calibri" w:cs="Times New Roman"/>
          <w:i/>
          <w:lang w:val="en-US"/>
        </w:rPr>
        <w:t xml:space="preserve">E. Coli, </w:t>
      </w:r>
      <w:r w:rsidR="00F63CC9" w:rsidRPr="00F63CC9">
        <w:rPr>
          <w:rFonts w:ascii="Calibri" w:eastAsia="ＭＳ Ｐゴシック" w:hAnsi="Calibri" w:cs="Times New Roman"/>
          <w:lang w:val="en-US"/>
        </w:rPr>
        <w:t>then</w:t>
      </w:r>
      <w:r w:rsidR="00F63CC9">
        <w:rPr>
          <w:rFonts w:ascii="Calibri" w:eastAsia="ＭＳ Ｐゴシック" w:hAnsi="Calibri" w:cs="Times New Roman"/>
          <w:i/>
          <w:lang w:val="en-US"/>
        </w:rPr>
        <w:t xml:space="preserve"> </w:t>
      </w:r>
      <w:r w:rsidRPr="008E7B3A">
        <w:rPr>
          <w:rFonts w:ascii="Calibri" w:eastAsia="ＭＳ Ｐゴシック" w:hAnsi="Calibri" w:cs="Times New Roman"/>
          <w:lang w:val="en-US"/>
        </w:rPr>
        <w:t xml:space="preserve">colonies </w:t>
      </w:r>
      <w:r w:rsidR="00F63CC9">
        <w:rPr>
          <w:rFonts w:ascii="Calibri" w:eastAsia="ＭＳ Ｐゴシック" w:hAnsi="Calibri" w:cs="Times New Roman"/>
          <w:lang w:val="en-US"/>
        </w:rPr>
        <w:t>were grown, picked and</w:t>
      </w:r>
      <w:r w:rsidRPr="008E7B3A">
        <w:rPr>
          <w:rFonts w:ascii="Calibri" w:eastAsia="ＭＳ Ｐゴシック" w:hAnsi="Calibri" w:cs="Times New Roman"/>
          <w:lang w:val="en-US"/>
        </w:rPr>
        <w:t xml:space="preserve"> DNA extracted and quantified as above. These were then sent for sequencing as described previously. </w:t>
      </w:r>
    </w:p>
    <w:p w14:paraId="47AEBC15" w14:textId="77777777" w:rsidR="008E7B3A" w:rsidRPr="008E7B3A" w:rsidRDefault="008E7B3A" w:rsidP="008E7B3A">
      <w:pPr>
        <w:spacing w:line="360" w:lineRule="auto"/>
        <w:jc w:val="both"/>
        <w:rPr>
          <w:rFonts w:ascii="Calibri" w:eastAsia="ＭＳ Ｐゴシック" w:hAnsi="Calibri" w:cs="Times New Roman"/>
          <w:sz w:val="28"/>
          <w:lang w:val="en-US"/>
        </w:rPr>
      </w:pPr>
    </w:p>
    <w:p w14:paraId="15725EA7" w14:textId="77777777" w:rsidR="008E7B3A" w:rsidRPr="008E7B3A" w:rsidRDefault="008E7B3A" w:rsidP="002F41C6">
      <w:pPr>
        <w:numPr>
          <w:ilvl w:val="0"/>
          <w:numId w:val="19"/>
        </w:numPr>
        <w:spacing w:line="360" w:lineRule="auto"/>
        <w:jc w:val="both"/>
        <w:rPr>
          <w:rFonts w:ascii="Calibri" w:eastAsia="ＭＳ Ｐゴシック" w:hAnsi="Calibri" w:cs="Times New Roman"/>
          <w:lang w:val="en-US"/>
        </w:rPr>
      </w:pPr>
      <w:r w:rsidRPr="008E7B3A">
        <w:rPr>
          <w:rFonts w:ascii="Calibri" w:eastAsia="ＭＳ Ｐゴシック" w:hAnsi="Calibri" w:cs="Times New Roman"/>
          <w:sz w:val="28"/>
          <w:lang w:val="en-US"/>
        </w:rPr>
        <w:t>Mammalian Tissue Culture</w:t>
      </w:r>
    </w:p>
    <w:p w14:paraId="5FA5EB28" w14:textId="77777777" w:rsidR="008E7B3A" w:rsidRPr="008E7B3A" w:rsidRDefault="008E7B3A" w:rsidP="008E7B3A">
      <w:pPr>
        <w:spacing w:line="360" w:lineRule="auto"/>
        <w:jc w:val="both"/>
        <w:rPr>
          <w:rFonts w:ascii="Calibri" w:eastAsia="ＭＳ Ｐゴシック" w:hAnsi="Calibri" w:cs="Times New Roman"/>
          <w:i/>
          <w:lang w:val="en-US"/>
        </w:rPr>
      </w:pPr>
    </w:p>
    <w:p w14:paraId="7B3B4A19" w14:textId="77777777" w:rsidR="008E7B3A" w:rsidRPr="008E7B3A" w:rsidRDefault="008E7B3A" w:rsidP="002F41C6">
      <w:pPr>
        <w:numPr>
          <w:ilvl w:val="0"/>
          <w:numId w:val="21"/>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Tissue Culture</w:t>
      </w:r>
    </w:p>
    <w:p w14:paraId="2AD89222" w14:textId="230F19A3"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Adherent cell lines from American Type Culture Collection (ATCC) were grown in Dulbecco’s Modified Eagle’s Medium (DMEM) supplemented with 10% fetal calf serum (FCS)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with 5% CO</w:t>
      </w:r>
      <w:r w:rsidRPr="008E7B3A">
        <w:rPr>
          <w:rFonts w:ascii="Calibri" w:eastAsia="ＭＳ Ｐゴシック" w:hAnsi="Calibri" w:cs="Times New Roman"/>
          <w:vertAlign w:val="subscript"/>
          <w:lang w:val="en-US"/>
        </w:rPr>
        <w:t xml:space="preserve">2.  </w:t>
      </w:r>
      <w:r w:rsidRPr="008E7B3A">
        <w:rPr>
          <w:rFonts w:ascii="Calibri" w:eastAsia="ＭＳ Ｐゴシック" w:hAnsi="Calibri" w:cs="Times New Roman"/>
          <w:lang w:val="en-US"/>
        </w:rPr>
        <w:t xml:space="preserve">Cell culture was performed under sterile conditions in a class 2 microbiology safety cabinets. At 80-90% confluency cell cultures were passaged in order to keep the cells </w:t>
      </w:r>
      <w:r w:rsidR="00F63CC9">
        <w:rPr>
          <w:rFonts w:ascii="Calibri" w:eastAsia="ＭＳ Ｐゴシック" w:hAnsi="Calibri" w:cs="Times New Roman"/>
          <w:lang w:val="en-US"/>
        </w:rPr>
        <w:t>proliferating</w:t>
      </w:r>
      <w:r w:rsidRPr="008E7B3A">
        <w:rPr>
          <w:rFonts w:ascii="Calibri" w:eastAsia="ＭＳ Ｐゴシック" w:hAnsi="Calibri" w:cs="Times New Roman"/>
          <w:lang w:val="en-US"/>
        </w:rPr>
        <w:t xml:space="preserve"> and healthy. </w:t>
      </w:r>
      <w:proofErr w:type="gramStart"/>
      <w:r w:rsidR="00F63CC9">
        <w:rPr>
          <w:rFonts w:ascii="Calibri" w:eastAsia="ＭＳ Ｐゴシック" w:hAnsi="Calibri" w:cs="Times New Roman"/>
          <w:lang w:val="en-US"/>
        </w:rPr>
        <w:t>Passaging</w:t>
      </w:r>
      <w:r w:rsidRPr="008E7B3A">
        <w:rPr>
          <w:rFonts w:ascii="Calibri" w:eastAsia="ＭＳ Ｐゴシック" w:hAnsi="Calibri" w:cs="Times New Roman"/>
          <w:lang w:val="en-US"/>
        </w:rPr>
        <w:t xml:space="preserve"> was carried out by removing the media, washing cell monolayers with sterile PBS and adding trypsin</w:t>
      </w:r>
      <w:proofErr w:type="gramEnd"/>
      <w:r w:rsidRPr="008E7B3A">
        <w:rPr>
          <w:rFonts w:ascii="Calibri" w:eastAsia="ＭＳ Ｐゴシック" w:hAnsi="Calibri" w:cs="Times New Roman"/>
          <w:lang w:val="en-US"/>
        </w:rPr>
        <w:t xml:space="preserve"> (0</w:t>
      </w:r>
      <w:r w:rsidR="00F63CC9">
        <w:rPr>
          <w:rFonts w:ascii="Calibri" w:eastAsia="ＭＳ Ｐゴシック" w:hAnsi="Calibri" w:cs="Times New Roman"/>
          <w:lang w:val="en-US"/>
        </w:rPr>
        <w:t xml:space="preserve">.5g/l trypsin, 0.2g/l </w:t>
      </w:r>
      <w:proofErr w:type="spellStart"/>
      <w:r w:rsidR="00F63CC9">
        <w:rPr>
          <w:rFonts w:ascii="Calibri" w:eastAsia="ＭＳ Ｐゴシック" w:hAnsi="Calibri" w:cs="Times New Roman"/>
          <w:lang w:val="en-US"/>
        </w:rPr>
        <w:t>versene</w:t>
      </w:r>
      <w:proofErr w:type="spellEnd"/>
      <w:r w:rsidR="00F63CC9">
        <w:rPr>
          <w:rFonts w:ascii="Calibri" w:eastAsia="ＭＳ Ｐゴシック" w:hAnsi="Calibri" w:cs="Times New Roman"/>
          <w:lang w:val="en-US"/>
        </w:rPr>
        <w:t xml:space="preserve">; </w:t>
      </w:r>
      <w:r w:rsidRPr="008E7B3A">
        <w:rPr>
          <w:rFonts w:ascii="Calibri" w:eastAsia="ＭＳ Ｐゴシック" w:hAnsi="Calibri" w:cs="Times New Roman"/>
          <w:lang w:val="en-US"/>
        </w:rPr>
        <w:t xml:space="preserve">2ml </w:t>
      </w:r>
      <w:r w:rsidR="00F63CC9">
        <w:rPr>
          <w:rFonts w:ascii="Calibri" w:eastAsia="ＭＳ Ｐゴシック" w:hAnsi="Calibri" w:cs="Times New Roman"/>
          <w:lang w:val="en-US"/>
        </w:rPr>
        <w:t>per</w:t>
      </w:r>
      <w:r w:rsidRPr="008E7B3A">
        <w:rPr>
          <w:rFonts w:ascii="Calibri" w:eastAsia="ＭＳ Ｐゴシック" w:hAnsi="Calibri" w:cs="Times New Roman"/>
          <w:lang w:val="en-US"/>
        </w:rPr>
        <w:t xml:space="preserve"> T75</w:t>
      </w:r>
      <w:r w:rsidR="00F63CC9">
        <w:rPr>
          <w:rFonts w:ascii="Calibri" w:eastAsia="ＭＳ Ｐゴシック" w:hAnsi="Calibri" w:cs="Times New Roman"/>
          <w:lang w:val="en-US"/>
        </w:rPr>
        <w:t xml:space="preserve"> flask</w:t>
      </w:r>
      <w:r w:rsidRPr="008E7B3A">
        <w:rPr>
          <w:rFonts w:ascii="Calibri" w:eastAsia="ＭＳ Ｐゴシック" w:hAnsi="Calibri" w:cs="Times New Roman"/>
          <w:lang w:val="en-US"/>
        </w:rPr>
        <w:t>). These were then incubated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 xml:space="preserve">C until the cells had detached. After washing the flasks with media to quench trypsin activity, a single cell suspension was created via pipetting. The resulting cell suspension was then diluted to either 1:10 or 1:20 depending on the cell line and degree of confluency. Antibiotic agents were only added to media where appropriate to make and maintain stable cell lines as shown in 2.1.6. </w:t>
      </w:r>
    </w:p>
    <w:p w14:paraId="10A62AE7" w14:textId="77777777" w:rsidR="00A373B1" w:rsidRDefault="00A373B1" w:rsidP="008E7B3A">
      <w:pPr>
        <w:spacing w:line="360" w:lineRule="auto"/>
        <w:jc w:val="both"/>
        <w:rPr>
          <w:rFonts w:ascii="Calibri" w:eastAsia="ＭＳ Ｐゴシック" w:hAnsi="Calibri" w:cs="Times New Roman"/>
          <w:lang w:val="en-US"/>
        </w:rPr>
      </w:pPr>
    </w:p>
    <w:p w14:paraId="516ADB25" w14:textId="1B0BA1F1"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Cell stocks were stored in </w:t>
      </w:r>
      <w:r w:rsidR="001340CC">
        <w:rPr>
          <w:rFonts w:ascii="Calibri" w:eastAsia="ＭＳ Ｐゴシック" w:hAnsi="Calibri" w:cs="Times New Roman"/>
          <w:lang w:val="en-US"/>
        </w:rPr>
        <w:t xml:space="preserve">10% FCS containing </w:t>
      </w:r>
      <w:r w:rsidRPr="008E7B3A">
        <w:rPr>
          <w:rFonts w:ascii="Calibri" w:eastAsia="ＭＳ Ｐゴシック" w:hAnsi="Calibri" w:cs="Times New Roman"/>
          <w:lang w:val="en-US"/>
        </w:rPr>
        <w:t>media at -80</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with 10% DMSO.  In order to thaw cells quickly to avoid the toxic affects of DMSO, they were placed in a water bath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 xml:space="preserve">C, then the media/DMSO removed by centrifugation at 1200rpm for 3mins. The cell pellet was then re-suspended in 6ml of complete media and placed in a T25 flask for the cells to settle and begin growing before being </w:t>
      </w:r>
      <w:r w:rsidR="001340CC">
        <w:rPr>
          <w:rFonts w:ascii="Calibri" w:eastAsia="ＭＳ Ｐゴシック" w:hAnsi="Calibri" w:cs="Times New Roman"/>
          <w:lang w:val="en-US"/>
        </w:rPr>
        <w:t>transferred</w:t>
      </w:r>
      <w:r w:rsidRPr="008E7B3A">
        <w:rPr>
          <w:rFonts w:ascii="Calibri" w:eastAsia="ＭＳ Ｐゴシック" w:hAnsi="Calibri" w:cs="Times New Roman"/>
          <w:lang w:val="en-US"/>
        </w:rPr>
        <w:t xml:space="preserve"> to a T75 flask. </w:t>
      </w:r>
    </w:p>
    <w:p w14:paraId="0B660E82" w14:textId="77777777" w:rsidR="008E7B3A" w:rsidRPr="008E7B3A" w:rsidRDefault="008E7B3A" w:rsidP="008E7B3A">
      <w:pPr>
        <w:spacing w:line="360" w:lineRule="auto"/>
        <w:jc w:val="both"/>
        <w:rPr>
          <w:rFonts w:ascii="Calibri" w:eastAsia="ＭＳ Ｐゴシック" w:hAnsi="Calibri" w:cs="Times New Roman"/>
          <w:lang w:val="en-US"/>
        </w:rPr>
      </w:pPr>
    </w:p>
    <w:p w14:paraId="65475290" w14:textId="51C894E4"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Cell counts were </w:t>
      </w:r>
      <w:r w:rsidR="001340CC">
        <w:rPr>
          <w:rFonts w:ascii="Calibri" w:eastAsia="ＭＳ Ｐゴシック" w:hAnsi="Calibri" w:cs="Times New Roman"/>
          <w:lang w:val="en-US"/>
        </w:rPr>
        <w:t>d</w:t>
      </w:r>
      <w:r w:rsidR="00A373B1">
        <w:rPr>
          <w:rFonts w:ascii="Calibri" w:eastAsia="ＭＳ Ｐゴシック" w:hAnsi="Calibri" w:cs="Times New Roman"/>
          <w:lang w:val="en-US"/>
        </w:rPr>
        <w:t>e</w:t>
      </w:r>
      <w:r w:rsidR="001340CC">
        <w:rPr>
          <w:rFonts w:ascii="Calibri" w:eastAsia="ＭＳ Ｐゴシック" w:hAnsi="Calibri" w:cs="Times New Roman"/>
          <w:lang w:val="en-US"/>
        </w:rPr>
        <w:t>termined</w:t>
      </w:r>
      <w:r w:rsidRPr="008E7B3A">
        <w:rPr>
          <w:rFonts w:ascii="Calibri" w:eastAsia="ＭＳ Ｐゴシック" w:hAnsi="Calibri" w:cs="Times New Roman"/>
          <w:lang w:val="en-US"/>
        </w:rPr>
        <w:t xml:space="preserve"> using a Neubauer haemocytometer, approximately 7</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cell suspension was pipetted under a coverslip placed on the haemocytometer. All four corners were counted on the grid, with each corner consisting of 4X4 squares. An average of the four corners was taken and multiplied by 10,000 to give the number of cell per ml.</w:t>
      </w:r>
    </w:p>
    <w:p w14:paraId="7C374722" w14:textId="77777777" w:rsidR="008E7B3A" w:rsidRPr="008E7B3A" w:rsidRDefault="008E7B3A" w:rsidP="008E7B3A">
      <w:pPr>
        <w:spacing w:line="360" w:lineRule="auto"/>
        <w:jc w:val="both"/>
        <w:rPr>
          <w:rFonts w:ascii="Calibri" w:eastAsia="ＭＳ Ｐゴシック" w:hAnsi="Calibri" w:cs="Times New Roman"/>
          <w:lang w:val="en-US"/>
        </w:rPr>
      </w:pPr>
    </w:p>
    <w:p w14:paraId="6FB0E7F9" w14:textId="63F2A6DD"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Over the course of the project cell lines were </w:t>
      </w:r>
      <w:r w:rsidR="001340CC">
        <w:rPr>
          <w:rFonts w:ascii="Calibri" w:eastAsia="ＭＳ Ｐゴシック" w:hAnsi="Calibri" w:cs="Times New Roman"/>
          <w:lang w:val="en-US"/>
        </w:rPr>
        <w:t>regularly</w:t>
      </w:r>
      <w:r w:rsidRPr="008E7B3A">
        <w:rPr>
          <w:rFonts w:ascii="Calibri" w:eastAsia="ＭＳ Ｐゴシック" w:hAnsi="Calibri" w:cs="Times New Roman"/>
          <w:lang w:val="en-US"/>
        </w:rPr>
        <w:t xml:space="preserve"> mycoplasma tested by departmental technicians using the EZ-PCR Mycoplasma Test Kit from </w:t>
      </w:r>
      <w:proofErr w:type="spellStart"/>
      <w:r w:rsidRPr="008E7B3A">
        <w:rPr>
          <w:rFonts w:ascii="Calibri" w:eastAsia="ＭＳ Ｐゴシック" w:hAnsi="Calibri" w:cs="Times New Roman"/>
          <w:lang w:val="en-US"/>
        </w:rPr>
        <w:t>Geneflow</w:t>
      </w:r>
      <w:proofErr w:type="spellEnd"/>
      <w:r w:rsidRPr="008E7B3A">
        <w:rPr>
          <w:rFonts w:ascii="Calibri" w:eastAsia="ＭＳ Ｐゴシック" w:hAnsi="Calibri" w:cs="Times New Roman"/>
          <w:lang w:val="en-US"/>
        </w:rPr>
        <w:t xml:space="preserve">. </w:t>
      </w:r>
    </w:p>
    <w:p w14:paraId="70C028C6" w14:textId="77777777" w:rsidR="008E7B3A" w:rsidRPr="008E7B3A" w:rsidRDefault="008E7B3A" w:rsidP="008E7B3A">
      <w:pPr>
        <w:spacing w:line="360" w:lineRule="auto"/>
        <w:jc w:val="both"/>
        <w:rPr>
          <w:rFonts w:ascii="Calibri" w:eastAsia="ＭＳ Ｐゴシック" w:hAnsi="Calibri" w:cs="Times New Roman"/>
          <w:b/>
          <w:i/>
          <w:lang w:val="en-US"/>
        </w:rPr>
      </w:pPr>
    </w:p>
    <w:p w14:paraId="16E934BC" w14:textId="77777777" w:rsidR="008E7B3A" w:rsidRPr="008E7B3A" w:rsidRDefault="008E7B3A" w:rsidP="002F41C6">
      <w:pPr>
        <w:numPr>
          <w:ilvl w:val="0"/>
          <w:numId w:val="21"/>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Cell Line Authentication</w:t>
      </w:r>
    </w:p>
    <w:p w14:paraId="0B98CD11" w14:textId="4CD6953D" w:rsidR="008E7B3A" w:rsidRDefault="001340CC" w:rsidP="008E7B3A">
      <w:pPr>
        <w:spacing w:line="360" w:lineRule="auto"/>
        <w:jc w:val="both"/>
        <w:rPr>
          <w:rFonts w:ascii="Calibri" w:eastAsia="ＭＳ Ｐゴシック" w:hAnsi="Calibri" w:cs="Times New Roman"/>
          <w:lang w:val="en-US"/>
        </w:rPr>
      </w:pPr>
      <w:r>
        <w:rPr>
          <w:rFonts w:ascii="Calibri" w:eastAsia="ＭＳ Ｐゴシック" w:hAnsi="Calibri" w:cs="Times New Roman"/>
          <w:lang w:val="en-US"/>
        </w:rPr>
        <w:t>Using the Sheffield University Genomics Core F</w:t>
      </w:r>
      <w:r w:rsidR="008E7B3A" w:rsidRPr="008E7B3A">
        <w:rPr>
          <w:rFonts w:ascii="Calibri" w:eastAsia="ＭＳ Ｐゴシック" w:hAnsi="Calibri" w:cs="Times New Roman"/>
          <w:lang w:val="en-US"/>
        </w:rPr>
        <w:t>acility the newly purchased SW480 cell li</w:t>
      </w:r>
      <w:r w:rsidR="00981419">
        <w:rPr>
          <w:rFonts w:ascii="Calibri" w:eastAsia="ＭＳ Ｐゴシック" w:hAnsi="Calibri" w:cs="Times New Roman"/>
          <w:lang w:val="en-US"/>
        </w:rPr>
        <w:t>ne was authenticated against 10 markers</w:t>
      </w:r>
      <w:r w:rsidR="008E7B3A" w:rsidRPr="008E7B3A">
        <w:rPr>
          <w:rFonts w:ascii="Calibri" w:eastAsia="ＭＳ Ｐゴシック" w:hAnsi="Calibri" w:cs="Times New Roman"/>
          <w:lang w:val="en-US"/>
        </w:rPr>
        <w:t>. DNA was extracted using the miniprep method previously mentioned and sent to the facility at 100ng/</w:t>
      </w:r>
      <m:oMath>
        <m:r>
          <w:rPr>
            <w:rFonts w:ascii="Cambria Math" w:eastAsia="ＭＳ Ｐゴシック" w:hAnsi="Cambria Math" w:cs="Times New Roman"/>
            <w:lang w:val="en-US"/>
          </w:rPr>
          <m:t>μ</m:t>
        </m:r>
      </m:oMath>
      <w:r w:rsidR="008E7B3A" w:rsidRPr="008E7B3A">
        <w:rPr>
          <w:rFonts w:ascii="Calibri" w:eastAsia="ＭＳ Ｐゴシック" w:hAnsi="Calibri" w:cs="Times New Roman"/>
          <w:lang w:val="en-US"/>
        </w:rPr>
        <w:t>l. The facility then used short-tandem repeat (STR) genotyping to determine whether the sample provided was a match to the COG (Children’s Oncology Group) cell culture and xenograft repository data (an open online database including STR profiles from ATCC). HCT116 and MRC5 cells l</w:t>
      </w:r>
      <w:r w:rsidR="00981419">
        <w:rPr>
          <w:rFonts w:ascii="Calibri" w:eastAsia="ＭＳ Ｐゴシック" w:hAnsi="Calibri" w:cs="Times New Roman"/>
          <w:lang w:val="en-US"/>
        </w:rPr>
        <w:t xml:space="preserve">ines were authenticated in 2011, and cells for this project were taken from original frozen stocks. </w:t>
      </w:r>
    </w:p>
    <w:p w14:paraId="1C558450" w14:textId="423437B5" w:rsidR="003F0192" w:rsidRDefault="003F0192" w:rsidP="008E7B3A">
      <w:pPr>
        <w:rPr>
          <w:rFonts w:ascii="Calibri" w:eastAsia="ＭＳ Ｐゴシック" w:hAnsi="Calibri" w:cs="Times New Roman"/>
        </w:rPr>
      </w:pPr>
    </w:p>
    <w:p w14:paraId="788D0C72" w14:textId="77777777" w:rsidR="00A373B1" w:rsidRPr="008E7B3A" w:rsidRDefault="00A373B1" w:rsidP="002F41C6">
      <w:pPr>
        <w:numPr>
          <w:ilvl w:val="0"/>
          <w:numId w:val="21"/>
        </w:numPr>
        <w:spacing w:line="360" w:lineRule="auto"/>
        <w:jc w:val="both"/>
        <w:rPr>
          <w:rFonts w:ascii="Calibri" w:eastAsia="ＭＳ Ｐゴシック" w:hAnsi="Calibri" w:cs="Times New Roman"/>
          <w:b/>
          <w:i/>
          <w:lang w:val="en-US"/>
        </w:rPr>
      </w:pPr>
      <w:proofErr w:type="gramStart"/>
      <w:r w:rsidRPr="008E7B3A">
        <w:rPr>
          <w:rFonts w:ascii="Calibri" w:eastAsia="ＭＳ Ｐゴシック" w:hAnsi="Calibri" w:cs="Times New Roman"/>
          <w:b/>
          <w:i/>
          <w:lang w:val="en-US"/>
        </w:rPr>
        <w:t>cDNA</w:t>
      </w:r>
      <w:proofErr w:type="gramEnd"/>
      <w:r w:rsidRPr="008E7B3A">
        <w:rPr>
          <w:rFonts w:ascii="Calibri" w:eastAsia="ＭＳ Ｐゴシック" w:hAnsi="Calibri" w:cs="Times New Roman"/>
          <w:b/>
          <w:i/>
          <w:lang w:val="en-US"/>
        </w:rPr>
        <w:t xml:space="preserve"> SRCAP Transfection</w:t>
      </w:r>
    </w:p>
    <w:p w14:paraId="56237BF5" w14:textId="55DFAE56" w:rsidR="00A373B1" w:rsidRDefault="00A373B1" w:rsidP="00A373B1">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Cells were seeded onto a si</w:t>
      </w:r>
      <w:r w:rsidR="00CF0167">
        <w:rPr>
          <w:rFonts w:ascii="Calibri" w:eastAsia="ＭＳ Ｐゴシック" w:hAnsi="Calibri" w:cs="Times New Roman"/>
          <w:lang w:val="en-US"/>
        </w:rPr>
        <w:t>x well plate and left for 24h</w:t>
      </w:r>
      <w:r w:rsidRPr="008E7B3A">
        <w:rPr>
          <w:rFonts w:ascii="Calibri" w:eastAsia="ＭＳ Ｐゴシック" w:hAnsi="Calibri" w:cs="Times New Roman"/>
          <w:lang w:val="en-US"/>
        </w:rPr>
        <w:t xml:space="preserve">rs. </w:t>
      </w:r>
      <m:oMath>
        <m:r>
          <w:rPr>
            <w:rFonts w:ascii="Cambria Math" w:eastAsia="ＭＳ Ｐゴシック" w:hAnsi="Cambria Math" w:cs="Times New Roman"/>
            <w:lang w:val="en-US"/>
          </w:rPr>
          <m:t>1μ</m:t>
        </m:r>
      </m:oMath>
      <w:proofErr w:type="gramStart"/>
      <w:r w:rsidRPr="008E7B3A">
        <w:rPr>
          <w:rFonts w:ascii="Calibri" w:eastAsia="ＭＳ Ｐゴシック" w:hAnsi="Calibri" w:cs="Times New Roman"/>
          <w:lang w:val="en-US"/>
        </w:rPr>
        <w:t>g</w:t>
      </w:r>
      <w:proofErr w:type="gramEnd"/>
      <w:r w:rsidRPr="008E7B3A">
        <w:rPr>
          <w:rFonts w:ascii="Calibri" w:eastAsia="ＭＳ Ｐゴシック" w:hAnsi="Calibri" w:cs="Times New Roman"/>
          <w:lang w:val="en-US"/>
        </w:rPr>
        <w:t xml:space="preserve"> of each plasmid </w:t>
      </w:r>
      <w:r>
        <w:rPr>
          <w:rFonts w:ascii="Calibri" w:eastAsia="ＭＳ Ｐゴシック" w:hAnsi="Calibri" w:cs="Times New Roman"/>
          <w:lang w:val="en-US"/>
        </w:rPr>
        <w:t xml:space="preserve">was </w:t>
      </w:r>
      <w:r w:rsidRPr="008E7B3A">
        <w:rPr>
          <w:rFonts w:ascii="Calibri" w:eastAsia="ＭＳ Ｐゴシック" w:hAnsi="Calibri" w:cs="Times New Roman"/>
          <w:lang w:val="en-US"/>
        </w:rPr>
        <w:t>diluted in 250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serum free DMEM, and then in a separate tube</w:t>
      </w:r>
      <w:r>
        <w:rPr>
          <w:rFonts w:ascii="Calibri" w:eastAsia="ＭＳ Ｐゴシック" w:hAnsi="Calibri" w:cs="Times New Roman"/>
          <w:lang w:val="en-US"/>
        </w:rPr>
        <w:t>,</w:t>
      </w:r>
      <w:r w:rsidRPr="008E7B3A">
        <w:rPr>
          <w:rFonts w:ascii="Calibri" w:eastAsia="ＭＳ Ｐゴシック" w:hAnsi="Calibri" w:cs="Times New Roman"/>
          <w:lang w:val="en-US"/>
        </w:rPr>
        <w:t xml:space="preserve"> 4</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Lipofectamine 2000 </w:t>
      </w:r>
      <w:r>
        <w:rPr>
          <w:rFonts w:ascii="Calibri" w:eastAsia="ＭＳ Ｐゴシック" w:hAnsi="Calibri" w:cs="Times New Roman"/>
          <w:lang w:val="en-US"/>
        </w:rPr>
        <w:t xml:space="preserve">was </w:t>
      </w:r>
      <w:r w:rsidRPr="008E7B3A">
        <w:rPr>
          <w:rFonts w:ascii="Calibri" w:eastAsia="ＭＳ Ｐゴシック" w:hAnsi="Calibri" w:cs="Times New Roman"/>
          <w:lang w:val="en-US"/>
        </w:rPr>
        <w:t>made up to 250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with serum free DMEM. These two mixtures were left for 5 minutes, </w:t>
      </w:r>
      <w:r>
        <w:rPr>
          <w:rFonts w:ascii="Calibri" w:eastAsia="ＭＳ Ｐゴシック" w:hAnsi="Calibri" w:cs="Times New Roman"/>
          <w:lang w:val="en-US"/>
        </w:rPr>
        <w:t xml:space="preserve">then </w:t>
      </w:r>
      <w:r w:rsidRPr="008E7B3A">
        <w:rPr>
          <w:rFonts w:ascii="Calibri" w:eastAsia="ＭＳ Ｐゴシック" w:hAnsi="Calibri" w:cs="Times New Roman"/>
          <w:lang w:val="en-US"/>
        </w:rPr>
        <w:t>mixed and incubated at room temperature for 25 minutes. Negative control transfections were made using sterile ddH</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 xml:space="preserve">O </w:t>
      </w:r>
      <w:r>
        <w:rPr>
          <w:rFonts w:ascii="Calibri" w:eastAsia="ＭＳ Ｐゴシック" w:hAnsi="Calibri" w:cs="Times New Roman"/>
          <w:lang w:val="en-US"/>
        </w:rPr>
        <w:t>in place</w:t>
      </w:r>
      <w:r w:rsidRPr="008E7B3A">
        <w:rPr>
          <w:rFonts w:ascii="Calibri" w:eastAsia="ＭＳ Ｐゴシック" w:hAnsi="Calibri" w:cs="Times New Roman"/>
          <w:lang w:val="en-US"/>
        </w:rPr>
        <w:t xml:space="preserve"> of DNA. 500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media was removed from each well and then 500</w:t>
      </w:r>
      <m:oMath>
        <m:r>
          <w:rPr>
            <w:rFonts w:ascii="Cambria Math" w:eastAsia="ＭＳ Ｐゴシック" w:hAnsi="Cambria Math" w:cs="Times New Roman"/>
            <w:lang w:val="en-US"/>
          </w:rPr>
          <m:t>μ</m:t>
        </m:r>
      </m:oMath>
      <w:r>
        <w:rPr>
          <w:rFonts w:ascii="Calibri" w:eastAsia="ＭＳ Ｐゴシック" w:hAnsi="Calibri" w:cs="Times New Roman"/>
          <w:lang w:val="en-US"/>
        </w:rPr>
        <w:t xml:space="preserve">l of the combined </w:t>
      </w:r>
      <w:r w:rsidRPr="008E7B3A">
        <w:rPr>
          <w:rFonts w:ascii="Calibri" w:eastAsia="ＭＳ Ｐゴシック" w:hAnsi="Calibri" w:cs="Times New Roman"/>
          <w:lang w:val="en-US"/>
        </w:rPr>
        <w:t>DNA solution was added. T</w:t>
      </w:r>
      <w:r>
        <w:rPr>
          <w:rFonts w:ascii="Calibri" w:eastAsia="ＭＳ Ｐゴシック" w:hAnsi="Calibri" w:cs="Times New Roman"/>
          <w:lang w:val="en-US"/>
        </w:rPr>
        <w:t xml:space="preserve">he plates were incubated for 24 or </w:t>
      </w:r>
      <w:r w:rsidR="00CF0167">
        <w:rPr>
          <w:rFonts w:ascii="Calibri" w:eastAsia="ＭＳ Ｐゴシック" w:hAnsi="Calibri" w:cs="Times New Roman"/>
          <w:lang w:val="en-US"/>
        </w:rPr>
        <w:t>48hr</w:t>
      </w:r>
      <w:r w:rsidRPr="008E7B3A">
        <w:rPr>
          <w:rFonts w:ascii="Calibri" w:eastAsia="ＭＳ Ｐゴシック" w:hAnsi="Calibri" w:cs="Times New Roman"/>
          <w:lang w:val="en-US"/>
        </w:rPr>
        <w:t>s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for transient transfections. To ma</w:t>
      </w:r>
      <w:r w:rsidR="00327AA2">
        <w:rPr>
          <w:rFonts w:ascii="Calibri" w:eastAsia="ＭＳ Ｐゴシック" w:hAnsi="Calibri" w:cs="Times New Roman"/>
          <w:lang w:val="en-US"/>
        </w:rPr>
        <w:t>ke stably expressing SRCAP over-</w:t>
      </w:r>
      <w:r w:rsidRPr="008E7B3A">
        <w:rPr>
          <w:rFonts w:ascii="Calibri" w:eastAsia="ＭＳ Ｐゴシック" w:hAnsi="Calibri" w:cs="Times New Roman"/>
          <w:lang w:val="en-US"/>
        </w:rPr>
        <w:t>expression cells</w:t>
      </w:r>
      <w:r>
        <w:rPr>
          <w:rFonts w:ascii="Calibri" w:eastAsia="ＭＳ Ｐゴシック" w:hAnsi="Calibri" w:cs="Times New Roman"/>
          <w:lang w:val="en-US"/>
        </w:rPr>
        <w:t>,</w:t>
      </w:r>
      <w:r w:rsidRPr="008E7B3A">
        <w:rPr>
          <w:rFonts w:ascii="Calibri" w:eastAsia="ＭＳ Ｐゴシック" w:hAnsi="Calibri" w:cs="Times New Roman"/>
          <w:lang w:val="en-US"/>
        </w:rPr>
        <w:t xml:space="preserve"> the above protocol was followed</w:t>
      </w:r>
      <w:r>
        <w:rPr>
          <w:rFonts w:ascii="Calibri" w:eastAsia="ＭＳ Ｐゴシック" w:hAnsi="Calibri" w:cs="Times New Roman"/>
          <w:lang w:val="en-US"/>
        </w:rPr>
        <w:t>,</w:t>
      </w:r>
      <w:r w:rsidRPr="008E7B3A">
        <w:rPr>
          <w:rFonts w:ascii="Calibri" w:eastAsia="ＭＳ Ｐゴシック" w:hAnsi="Calibri" w:cs="Times New Roman"/>
          <w:lang w:val="en-US"/>
        </w:rPr>
        <w:t xml:space="preserve"> but 24hrs after transfection the cells were placed in media containing 250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g/ml of hygromycin. The cells were kept in antibiotic selection media until the cells on the control plate had all died. </w:t>
      </w:r>
    </w:p>
    <w:p w14:paraId="5B02F300" w14:textId="77777777" w:rsidR="00A373B1" w:rsidRDefault="00A373B1" w:rsidP="00A373B1">
      <w:pPr>
        <w:spacing w:line="360" w:lineRule="auto"/>
        <w:jc w:val="both"/>
        <w:rPr>
          <w:rFonts w:ascii="Calibri" w:eastAsia="ＭＳ Ｐゴシック" w:hAnsi="Calibri" w:cs="Times New Roman"/>
          <w:lang w:val="en-US"/>
        </w:rPr>
      </w:pPr>
    </w:p>
    <w:p w14:paraId="2E094F5D" w14:textId="77777777" w:rsidR="00A373B1" w:rsidRPr="008E7B3A" w:rsidRDefault="00A373B1" w:rsidP="002F41C6">
      <w:pPr>
        <w:numPr>
          <w:ilvl w:val="0"/>
          <w:numId w:val="21"/>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Transfection Optimisation</w:t>
      </w:r>
    </w:p>
    <w:p w14:paraId="36365D4E" w14:textId="77777777" w:rsidR="00A373B1" w:rsidRPr="008E7B3A" w:rsidRDefault="00A373B1" w:rsidP="00A373B1">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SW480 cells were seeded in six well plates and 24hrs later transfected with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g </w:t>
      </w:r>
      <w:r w:rsidRPr="008E7B3A">
        <w:rPr>
          <w:rFonts w:ascii="Calibri" w:eastAsia="ＭＳ Ｐゴシック" w:hAnsi="Calibri" w:cs="Times New Roman"/>
          <w:i/>
          <w:lang w:val="en-US"/>
        </w:rPr>
        <w:t>YFP SRCAP</w:t>
      </w:r>
      <w:r w:rsidRPr="008E7B3A">
        <w:rPr>
          <w:rFonts w:ascii="Calibri" w:eastAsia="ＭＳ Ｐゴシック" w:hAnsi="Calibri" w:cs="Times New Roman"/>
          <w:lang w:val="en-US"/>
        </w:rPr>
        <w:t xml:space="preserve"> or ddH</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 xml:space="preserve">O for 24/48hrs. </w:t>
      </w:r>
      <w:r>
        <w:rPr>
          <w:rFonts w:ascii="Calibri" w:eastAsia="ＭＳ Ｐゴシック" w:hAnsi="Calibri" w:cs="Times New Roman"/>
          <w:lang w:val="en-US"/>
        </w:rPr>
        <w:t xml:space="preserve">In addition to </w:t>
      </w:r>
      <w:r w:rsidRPr="008E7B3A">
        <w:rPr>
          <w:rFonts w:ascii="Calibri" w:eastAsia="ＭＳ Ｐゴシック" w:hAnsi="Calibri" w:cs="Times New Roman"/>
          <w:lang w:val="en-US"/>
        </w:rPr>
        <w:t>the standard transfection using Lipofectamine 2000 as d</w:t>
      </w:r>
      <w:r>
        <w:rPr>
          <w:rFonts w:ascii="Calibri" w:eastAsia="ＭＳ Ｐゴシック" w:hAnsi="Calibri" w:cs="Times New Roman"/>
          <w:lang w:val="en-US"/>
        </w:rPr>
        <w:t>escribed above</w:t>
      </w:r>
      <w:r w:rsidRPr="008E7B3A">
        <w:rPr>
          <w:rFonts w:ascii="Calibri" w:eastAsia="ＭＳ Ｐゴシック" w:hAnsi="Calibri" w:cs="Times New Roman"/>
          <w:lang w:val="en-US"/>
        </w:rPr>
        <w:t xml:space="preserve">. </w:t>
      </w:r>
      <w:proofErr w:type="spellStart"/>
      <w:r w:rsidRPr="008E7B3A">
        <w:rPr>
          <w:rFonts w:ascii="Calibri" w:eastAsia="ＭＳ Ｐゴシック" w:hAnsi="Calibri" w:cs="Times New Roman"/>
          <w:lang w:val="en-US"/>
        </w:rPr>
        <w:t>Genejuice</w:t>
      </w:r>
      <w:proofErr w:type="spellEnd"/>
      <w:r w:rsidRPr="008E7B3A">
        <w:rPr>
          <w:rFonts w:ascii="Calibri" w:eastAsia="ＭＳ Ｐゴシック" w:hAnsi="Calibri" w:cs="Times New Roman"/>
          <w:lang w:val="en-US"/>
        </w:rPr>
        <w:t xml:space="preserve"> (Millipore), Fugene (</w:t>
      </w:r>
      <w:proofErr w:type="spellStart"/>
      <w:r w:rsidRPr="008E7B3A">
        <w:rPr>
          <w:rFonts w:ascii="Calibri" w:eastAsia="ＭＳ Ｐゴシック" w:hAnsi="Calibri" w:cs="Times New Roman"/>
          <w:lang w:val="en-US"/>
        </w:rPr>
        <w:t>Promega</w:t>
      </w:r>
      <w:proofErr w:type="spellEnd"/>
      <w:r w:rsidRPr="008E7B3A">
        <w:rPr>
          <w:rFonts w:ascii="Calibri" w:eastAsia="ＭＳ Ｐゴシック" w:hAnsi="Calibri" w:cs="Times New Roman"/>
          <w:lang w:val="en-US"/>
        </w:rPr>
        <w:t>), Lipofectamine LTX (</w:t>
      </w:r>
      <w:proofErr w:type="spellStart"/>
      <w:r w:rsidRPr="008E7B3A">
        <w:rPr>
          <w:rFonts w:ascii="Calibri" w:eastAsia="ＭＳ Ｐゴシック" w:hAnsi="Calibri" w:cs="Times New Roman"/>
          <w:lang w:val="en-US"/>
        </w:rPr>
        <w:t>Thermofisher</w:t>
      </w:r>
      <w:proofErr w:type="spellEnd"/>
      <w:r w:rsidRPr="008E7B3A">
        <w:rPr>
          <w:rFonts w:ascii="Calibri" w:eastAsia="ＭＳ Ｐゴシック" w:hAnsi="Calibri" w:cs="Times New Roman"/>
          <w:lang w:val="en-US"/>
        </w:rPr>
        <w:t xml:space="preserve">) and </w:t>
      </w:r>
      <w:proofErr w:type="spellStart"/>
      <w:r w:rsidRPr="008E7B3A">
        <w:rPr>
          <w:rFonts w:ascii="Calibri" w:eastAsia="ＭＳ Ｐゴシック" w:hAnsi="Calibri" w:cs="Times New Roman"/>
          <w:lang w:val="en-US"/>
        </w:rPr>
        <w:t>TransIT</w:t>
      </w:r>
      <w:proofErr w:type="spellEnd"/>
      <w:r w:rsidRPr="008E7B3A">
        <w:rPr>
          <w:rFonts w:ascii="Calibri" w:eastAsia="ＭＳ Ｐゴシック" w:hAnsi="Calibri" w:cs="Times New Roman"/>
          <w:lang w:val="en-US"/>
        </w:rPr>
        <w:t xml:space="preserve"> 2020 (</w:t>
      </w:r>
      <w:proofErr w:type="spellStart"/>
      <w:r w:rsidRPr="008E7B3A">
        <w:rPr>
          <w:rFonts w:ascii="Calibri" w:eastAsia="ＭＳ Ｐゴシック" w:hAnsi="Calibri" w:cs="Times New Roman"/>
          <w:lang w:val="en-US"/>
        </w:rPr>
        <w:t>Mirus</w:t>
      </w:r>
      <w:proofErr w:type="spellEnd"/>
      <w:r w:rsidRPr="008E7B3A">
        <w:rPr>
          <w:rFonts w:ascii="Calibri" w:eastAsia="ＭＳ Ｐゴシック" w:hAnsi="Calibri" w:cs="Times New Roman"/>
          <w:lang w:val="en-US"/>
        </w:rPr>
        <w:t>) sample transfection reagents were also used according to the</w:t>
      </w:r>
      <w:r>
        <w:rPr>
          <w:rFonts w:ascii="Calibri" w:eastAsia="ＭＳ Ｐゴシック" w:hAnsi="Calibri" w:cs="Times New Roman"/>
          <w:lang w:val="en-US"/>
        </w:rPr>
        <w:t xml:space="preserve"> respective</w:t>
      </w:r>
      <w:r w:rsidRPr="008E7B3A">
        <w:rPr>
          <w:rFonts w:ascii="Calibri" w:eastAsia="ＭＳ Ｐゴシック" w:hAnsi="Calibri" w:cs="Times New Roman"/>
          <w:lang w:val="en-US"/>
        </w:rPr>
        <w:t xml:space="preserve"> manufacturer</w:t>
      </w:r>
      <w:r>
        <w:rPr>
          <w:rFonts w:ascii="Calibri" w:eastAsia="ＭＳ Ｐゴシック" w:hAnsi="Calibri" w:cs="Times New Roman"/>
          <w:lang w:val="en-US"/>
        </w:rPr>
        <w:t>’</w:t>
      </w:r>
      <w:r w:rsidRPr="008E7B3A">
        <w:rPr>
          <w:rFonts w:ascii="Calibri" w:eastAsia="ＭＳ Ｐゴシック" w:hAnsi="Calibri" w:cs="Times New Roman"/>
          <w:lang w:val="en-US"/>
        </w:rPr>
        <w:t>s protocol</w:t>
      </w:r>
      <w:r>
        <w:rPr>
          <w:rFonts w:ascii="Calibri" w:eastAsia="ＭＳ Ｐゴシック" w:hAnsi="Calibri" w:cs="Times New Roman"/>
          <w:lang w:val="en-US"/>
        </w:rPr>
        <w:t>s</w:t>
      </w:r>
      <w:r w:rsidRPr="008E7B3A">
        <w:rPr>
          <w:rFonts w:ascii="Calibri" w:eastAsia="ＭＳ Ｐゴシック" w:hAnsi="Calibri" w:cs="Times New Roman"/>
          <w:lang w:val="en-US"/>
        </w:rPr>
        <w:t>. The cells were then trypsinised and washed in PBS before being resuspended in 400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PBS and </w:t>
      </w:r>
      <w:r>
        <w:rPr>
          <w:rFonts w:ascii="Calibri" w:eastAsia="ＭＳ Ｐゴシック" w:hAnsi="Calibri" w:cs="Times New Roman"/>
          <w:lang w:val="en-US"/>
        </w:rPr>
        <w:t>analysed</w:t>
      </w:r>
      <w:r w:rsidRPr="008E7B3A">
        <w:rPr>
          <w:rFonts w:ascii="Calibri" w:eastAsia="ＭＳ Ｐゴシック" w:hAnsi="Calibri" w:cs="Times New Roman"/>
          <w:lang w:val="en-US"/>
        </w:rPr>
        <w:t xml:space="preserve"> on the FACS Calibur machine</w:t>
      </w:r>
      <w:r>
        <w:rPr>
          <w:rFonts w:ascii="Calibri" w:eastAsia="ＭＳ Ｐゴシック" w:hAnsi="Calibri" w:cs="Times New Roman"/>
          <w:lang w:val="en-US"/>
        </w:rPr>
        <w:t xml:space="preserve"> to determine transfection efficiency</w:t>
      </w:r>
      <w:r w:rsidRPr="008E7B3A">
        <w:rPr>
          <w:rFonts w:ascii="Calibri" w:eastAsia="ＭＳ Ｐゴシック" w:hAnsi="Calibri" w:cs="Times New Roman"/>
          <w:lang w:val="en-US"/>
        </w:rPr>
        <w:t>. This technique allows for parameters such as cell size and granularity to be assessed as well as fluorescence. Cells are passed in a constant stream through a laser and the light scatter plus fluorescence is detected. Here cells were gated using the Flowjo software depending on whether they expressed YFP or not and the percentage of cells in each category</w:t>
      </w:r>
      <w:r>
        <w:rPr>
          <w:rFonts w:ascii="Calibri" w:eastAsia="ＭＳ Ｐゴシック" w:hAnsi="Calibri" w:cs="Times New Roman"/>
          <w:lang w:val="en-US"/>
        </w:rPr>
        <w:t xml:space="preserve"> was</w:t>
      </w:r>
      <w:r w:rsidRPr="008E7B3A">
        <w:rPr>
          <w:rFonts w:ascii="Calibri" w:eastAsia="ＭＳ Ｐゴシック" w:hAnsi="Calibri" w:cs="Times New Roman"/>
          <w:lang w:val="en-US"/>
        </w:rPr>
        <w:t xml:space="preserve"> calculated.</w:t>
      </w:r>
    </w:p>
    <w:p w14:paraId="494BE5C7" w14:textId="77777777" w:rsidR="008E7B3A" w:rsidRPr="008E7B3A" w:rsidRDefault="008E7B3A" w:rsidP="008E7B3A">
      <w:pPr>
        <w:spacing w:line="360" w:lineRule="auto"/>
        <w:jc w:val="both"/>
        <w:rPr>
          <w:rFonts w:ascii="Calibri" w:eastAsia="ＭＳ Ｐゴシック" w:hAnsi="Calibri" w:cs="Times New Roman"/>
          <w:lang w:val="en-US"/>
        </w:rPr>
      </w:pPr>
    </w:p>
    <w:p w14:paraId="35B59D4D" w14:textId="77777777" w:rsidR="008E7B3A" w:rsidRPr="008E7B3A" w:rsidRDefault="008E7B3A" w:rsidP="002F41C6">
      <w:pPr>
        <w:numPr>
          <w:ilvl w:val="0"/>
          <w:numId w:val="21"/>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Stable RAS transfection</w:t>
      </w:r>
    </w:p>
    <w:p w14:paraId="37844B56" w14:textId="50A91EF7" w:rsid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Cells were seeded in 6 well plates and left to adhere for 24hrs before the </w:t>
      </w:r>
      <w:r w:rsidRPr="008E7B3A">
        <w:rPr>
          <w:rFonts w:ascii="Calibri" w:eastAsia="ＭＳ Ｐゴシック" w:hAnsi="Calibri" w:cs="Times New Roman"/>
          <w:i/>
          <w:lang w:val="en-US"/>
        </w:rPr>
        <w:t>RAS</w:t>
      </w:r>
      <w:r w:rsidRPr="008E7B3A">
        <w:rPr>
          <w:rFonts w:ascii="Calibri" w:eastAsia="ＭＳ Ｐゴシック" w:hAnsi="Calibri" w:cs="Times New Roman"/>
          <w:lang w:val="en-US"/>
        </w:rPr>
        <w:t xml:space="preserve"> construct was added using the same transfection technique as above</w:t>
      </w:r>
      <w:r w:rsidR="00A219A0">
        <w:rPr>
          <w:rFonts w:ascii="Calibri" w:eastAsia="ＭＳ Ｐゴシック" w:hAnsi="Calibri" w:cs="Times New Roman"/>
          <w:lang w:val="en-US"/>
        </w:rPr>
        <w:t xml:space="preserve"> (section 2.2.II.c)</w:t>
      </w:r>
      <w:r w:rsidRPr="008E7B3A">
        <w:rPr>
          <w:rFonts w:ascii="Calibri" w:eastAsia="ＭＳ Ｐゴシック" w:hAnsi="Calibri" w:cs="Times New Roman"/>
          <w:lang w:val="en-US"/>
        </w:rPr>
        <w:t>. The plates were left 48hrs, then the cells trypsinised and seeded onto 10cm dishes with media containing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Puromycin. These were left until all the cells on the control plate were dead</w:t>
      </w:r>
      <w:r w:rsidR="001340CC">
        <w:rPr>
          <w:rFonts w:ascii="Calibri" w:eastAsia="ＭＳ Ｐゴシック" w:hAnsi="Calibri" w:cs="Times New Roman"/>
          <w:lang w:val="en-US"/>
        </w:rPr>
        <w:t>,</w:t>
      </w:r>
      <w:r w:rsidRPr="008E7B3A">
        <w:rPr>
          <w:rFonts w:ascii="Calibri" w:eastAsia="ＭＳ Ｐゴシック" w:hAnsi="Calibri" w:cs="Times New Roman"/>
          <w:lang w:val="en-US"/>
        </w:rPr>
        <w:t xml:space="preserve"> but colonies of cells </w:t>
      </w:r>
      <w:r w:rsidR="001340CC">
        <w:rPr>
          <w:rFonts w:ascii="Calibri" w:eastAsia="ＭＳ Ｐゴシック" w:hAnsi="Calibri" w:cs="Times New Roman"/>
          <w:lang w:val="en-US"/>
        </w:rPr>
        <w:t xml:space="preserve">had started to form on the plate transfected with the </w:t>
      </w:r>
      <w:r w:rsidR="001340CC" w:rsidRPr="001340CC">
        <w:rPr>
          <w:rFonts w:ascii="Calibri" w:eastAsia="ＭＳ Ｐゴシック" w:hAnsi="Calibri" w:cs="Times New Roman"/>
          <w:i/>
          <w:lang w:val="en-US"/>
        </w:rPr>
        <w:t>RAS</w:t>
      </w:r>
      <w:r w:rsidR="001340CC">
        <w:rPr>
          <w:rFonts w:ascii="Calibri" w:eastAsia="ＭＳ Ｐゴシック" w:hAnsi="Calibri" w:cs="Times New Roman"/>
          <w:lang w:val="en-US"/>
        </w:rPr>
        <w:t xml:space="preserve"> construct</w:t>
      </w:r>
      <w:r w:rsidRPr="008E7B3A">
        <w:rPr>
          <w:rFonts w:ascii="Calibri" w:eastAsia="ＭＳ Ｐゴシック" w:hAnsi="Calibri" w:cs="Times New Roman"/>
          <w:lang w:val="en-US"/>
        </w:rPr>
        <w:t>. Colonies were picked and grown up separately for assessment of RAS expression. Selection was maintained by continual growth in media containing puromycin.</w:t>
      </w:r>
    </w:p>
    <w:p w14:paraId="7C33952F" w14:textId="77777777" w:rsidR="008E7B3A" w:rsidRPr="008E7B3A" w:rsidRDefault="008E7B3A" w:rsidP="008E7B3A">
      <w:pPr>
        <w:spacing w:line="360" w:lineRule="auto"/>
        <w:jc w:val="both"/>
        <w:rPr>
          <w:rFonts w:ascii="Calibri" w:eastAsia="ＭＳ Ｐゴシック" w:hAnsi="Calibri" w:cs="Times New Roman"/>
          <w:lang w:val="en-US"/>
        </w:rPr>
      </w:pPr>
    </w:p>
    <w:p w14:paraId="6A36D8F8" w14:textId="77777777" w:rsidR="008E7B3A" w:rsidRPr="008E7B3A" w:rsidRDefault="008E7B3A" w:rsidP="002F41C6">
      <w:pPr>
        <w:numPr>
          <w:ilvl w:val="0"/>
          <w:numId w:val="21"/>
        </w:numPr>
        <w:spacing w:line="360" w:lineRule="auto"/>
        <w:jc w:val="both"/>
        <w:rPr>
          <w:rFonts w:ascii="Calibri" w:eastAsia="ＭＳ Ｐゴシック" w:hAnsi="Calibri" w:cs="Times New Roman"/>
          <w:b/>
          <w:i/>
          <w:lang w:val="en-US"/>
        </w:rPr>
      </w:pPr>
      <w:proofErr w:type="gramStart"/>
      <w:r w:rsidRPr="008E7B3A">
        <w:rPr>
          <w:rFonts w:ascii="Calibri" w:eastAsia="ＭＳ Ｐゴシック" w:hAnsi="Calibri" w:cs="Times New Roman"/>
          <w:b/>
          <w:i/>
          <w:lang w:val="en-US"/>
        </w:rPr>
        <w:t>pDEST</w:t>
      </w:r>
      <w:proofErr w:type="gramEnd"/>
      <w:r w:rsidRPr="008E7B3A">
        <w:rPr>
          <w:rFonts w:ascii="Calibri" w:eastAsia="ＭＳ Ｐゴシック" w:hAnsi="Calibri" w:cs="Times New Roman"/>
          <w:b/>
          <w:i/>
          <w:lang w:val="en-US"/>
        </w:rPr>
        <w:t xml:space="preserve">-FRT-N-YFP </w:t>
      </w:r>
      <w:proofErr w:type="spellStart"/>
      <w:r w:rsidRPr="008E7B3A">
        <w:rPr>
          <w:rFonts w:ascii="Calibri" w:eastAsia="ＭＳ Ｐゴシック" w:hAnsi="Calibri" w:cs="Times New Roman"/>
          <w:b/>
          <w:i/>
          <w:lang w:val="en-US"/>
        </w:rPr>
        <w:t>tet</w:t>
      </w:r>
      <w:proofErr w:type="spellEnd"/>
      <w:r w:rsidRPr="008E7B3A">
        <w:rPr>
          <w:rFonts w:ascii="Calibri" w:eastAsia="ＭＳ Ｐゴシック" w:hAnsi="Calibri" w:cs="Times New Roman"/>
          <w:b/>
          <w:i/>
          <w:lang w:val="en-US"/>
        </w:rPr>
        <w:t>-inducible stable transfection</w:t>
      </w:r>
    </w:p>
    <w:p w14:paraId="7D456CAC" w14:textId="71A5E6C2" w:rsidR="00A373B1"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The </w:t>
      </w:r>
      <w:r w:rsidRPr="008E7B3A">
        <w:rPr>
          <w:rFonts w:ascii="Calibri" w:eastAsia="ＭＳ Ｐゴシック" w:hAnsi="Calibri" w:cs="Times New Roman"/>
          <w:i/>
          <w:lang w:val="en-US"/>
        </w:rPr>
        <w:t>YFP</w:t>
      </w:r>
      <w:r w:rsidRPr="008E7B3A">
        <w:rPr>
          <w:rFonts w:ascii="Calibri" w:eastAsia="ＭＳ Ｐゴシック" w:hAnsi="Calibri" w:cs="Times New Roman"/>
          <w:lang w:val="en-US"/>
        </w:rPr>
        <w:t xml:space="preserve"> </w:t>
      </w:r>
      <w:r w:rsidRPr="008E7B3A">
        <w:rPr>
          <w:rFonts w:ascii="Calibri" w:eastAsia="ＭＳ Ｐゴシック" w:hAnsi="Calibri" w:cs="Times New Roman"/>
          <w:i/>
          <w:lang w:val="en-US"/>
        </w:rPr>
        <w:t xml:space="preserve">SRCAP </w:t>
      </w:r>
      <w:r w:rsidRPr="008E7B3A">
        <w:rPr>
          <w:rFonts w:ascii="Calibri" w:eastAsia="ＭＳ Ｐゴシック" w:hAnsi="Calibri" w:cs="Times New Roman"/>
          <w:lang w:val="en-US"/>
        </w:rPr>
        <w:t xml:space="preserve">Flp. </w:t>
      </w:r>
      <w:r w:rsidR="00273B06">
        <w:rPr>
          <w:rFonts w:ascii="Calibri" w:eastAsia="ＭＳ Ｐゴシック" w:hAnsi="Calibri" w:cs="Times New Roman"/>
          <w:lang w:val="en-US"/>
        </w:rPr>
        <w:t>vector was transfected into Flp-In</w:t>
      </w:r>
      <w:r w:rsidRPr="008E7B3A">
        <w:rPr>
          <w:rFonts w:ascii="Calibri" w:eastAsia="ＭＳ Ｐゴシック" w:hAnsi="Calibri" w:cs="Times New Roman"/>
          <w:lang w:val="en-US"/>
        </w:rPr>
        <w:t xml:space="preserve"> compatible HCT116 cells, which had been grown in selection media of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Blasticidin and 250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zeocin. Cells were seeded for 24hrs then a transfection mixture added.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g of </w:t>
      </w:r>
      <w:r w:rsidRPr="008E7B3A">
        <w:rPr>
          <w:rFonts w:ascii="Calibri" w:eastAsia="ＭＳ Ｐゴシック" w:hAnsi="Calibri" w:cs="Times New Roman"/>
          <w:i/>
          <w:lang w:val="en-US"/>
        </w:rPr>
        <w:t>YFP SRCAP</w:t>
      </w:r>
      <w:r w:rsidRPr="008E7B3A">
        <w:rPr>
          <w:rFonts w:ascii="Calibri" w:eastAsia="ＭＳ Ｐゴシック" w:hAnsi="Calibri" w:cs="Times New Roman"/>
          <w:lang w:val="en-US"/>
        </w:rPr>
        <w:t xml:space="preserve"> Flp. vector and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 of pPGKFLPobpA recombinase in 100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serum free DMEM was added to 4</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Lipofectamine 2000 in 100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serum free DMEM and left for 20mins before adding to the cells. 24hrs later the cells were trypsinised and seeded into 10cm dishes and the selection changed to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of Blasticidin and 200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g/ml of Hygromycin. The dishes were left until the cells on the control plate were all dead and the transfected plates had continued to proliferate. At this point the expression of </w:t>
      </w:r>
      <w:r w:rsidRPr="008E7B3A">
        <w:rPr>
          <w:rFonts w:ascii="Calibri" w:eastAsia="ＭＳ Ｐゴシック" w:hAnsi="Calibri" w:cs="Times New Roman"/>
          <w:i/>
          <w:lang w:val="en-US"/>
        </w:rPr>
        <w:t>YFP SRCAP</w:t>
      </w:r>
      <w:r w:rsidRPr="008E7B3A">
        <w:rPr>
          <w:rFonts w:ascii="Calibri" w:eastAsia="ＭＳ Ｐゴシック" w:hAnsi="Calibri" w:cs="Times New Roman"/>
          <w:lang w:val="en-US"/>
        </w:rPr>
        <w:t xml:space="preserve"> needed to be switched on with tetracycline to check the expression had worked. Cells from the transfected population were seeded into 6 well plates and tetracycline </w:t>
      </w:r>
      <w:r w:rsidR="000B3F7D">
        <w:rPr>
          <w:rFonts w:ascii="Calibri" w:eastAsia="ＭＳ Ｐゴシック" w:hAnsi="Calibri" w:cs="Times New Roman"/>
          <w:lang w:val="en-US"/>
        </w:rPr>
        <w:t xml:space="preserve">was </w:t>
      </w:r>
      <w:r w:rsidRPr="008E7B3A">
        <w:rPr>
          <w:rFonts w:ascii="Calibri" w:eastAsia="ＭＳ Ｐゴシック" w:hAnsi="Calibri" w:cs="Times New Roman"/>
          <w:lang w:val="en-US"/>
        </w:rPr>
        <w:t>added after 24hrs at a concentration of 2</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g/ml. Samples were then taken 24, 48 and 72hrs after tetracycline addition for protein and RNA extraction and analysis. Continued antibiotic selection of the stable cells was </w:t>
      </w:r>
      <w:r w:rsidR="00537B6E">
        <w:rPr>
          <w:rFonts w:ascii="Calibri" w:eastAsia="ＭＳ Ｐゴシック" w:hAnsi="Calibri" w:cs="Times New Roman"/>
          <w:lang w:val="en-US"/>
        </w:rPr>
        <w:t>maintained</w:t>
      </w:r>
      <w:r w:rsidRPr="008E7B3A">
        <w:rPr>
          <w:rFonts w:ascii="Calibri" w:eastAsia="ＭＳ Ｐゴシック" w:hAnsi="Calibri" w:cs="Times New Roman"/>
          <w:lang w:val="en-US"/>
        </w:rPr>
        <w:t xml:space="preserve"> by continuous growth in media supplemented with blasticidin and hygromycin.</w:t>
      </w:r>
    </w:p>
    <w:p w14:paraId="754F3ABB" w14:textId="77777777" w:rsidR="008E7B3A" w:rsidRPr="008E7B3A" w:rsidRDefault="008E7B3A" w:rsidP="008E7B3A">
      <w:pPr>
        <w:spacing w:line="360" w:lineRule="auto"/>
        <w:jc w:val="both"/>
        <w:rPr>
          <w:rFonts w:ascii="Calibri" w:eastAsia="ＭＳ Ｐゴシック" w:hAnsi="Calibri" w:cs="Times New Roman"/>
          <w:i/>
          <w:lang w:val="en-US"/>
        </w:rPr>
      </w:pPr>
    </w:p>
    <w:p w14:paraId="7B8D1B48" w14:textId="77777777" w:rsidR="008E7B3A" w:rsidRPr="008E7B3A" w:rsidRDefault="008E7B3A" w:rsidP="002F41C6">
      <w:pPr>
        <w:numPr>
          <w:ilvl w:val="0"/>
          <w:numId w:val="21"/>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Transient CRISPR/Cas9 SRCAP transfection</w:t>
      </w:r>
    </w:p>
    <w:p w14:paraId="6F5C8307" w14:textId="0569DD15" w:rsid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After 24hrs seeded cells were subjected to CRISPR/Cas9 </w:t>
      </w:r>
      <w:r w:rsidRPr="008E7B3A">
        <w:rPr>
          <w:rFonts w:ascii="Calibri" w:eastAsia="ＭＳ Ｐゴシック" w:hAnsi="Calibri" w:cs="Times New Roman"/>
          <w:i/>
        </w:rPr>
        <w:t>SRCAP</w:t>
      </w:r>
      <w:r w:rsidRPr="008E7B3A">
        <w:rPr>
          <w:rFonts w:ascii="Calibri" w:eastAsia="ＭＳ Ｐゴシック" w:hAnsi="Calibri" w:cs="Times New Roman"/>
        </w:rPr>
        <w:t xml:space="preserve"> transfection using the Santa Cruz </w:t>
      </w:r>
      <w:r w:rsidRPr="008E7B3A">
        <w:rPr>
          <w:rFonts w:ascii="Calibri" w:eastAsia="ＭＳ Ｐゴシック" w:hAnsi="Calibri" w:cs="Times New Roman"/>
          <w:i/>
        </w:rPr>
        <w:t>SRCAP</w:t>
      </w:r>
      <w:r w:rsidRPr="008E7B3A">
        <w:rPr>
          <w:rFonts w:ascii="Calibri" w:eastAsia="ＭＳ Ｐゴシック" w:hAnsi="Calibri" w:cs="Times New Roman"/>
        </w:rPr>
        <w:t xml:space="preserve"> CRISPR Activation plasmid (sc-403049-ACT) and the corresponding Santa Cruz Control CRISPR Activation plasmid (sc-437275</w:t>
      </w:r>
      <w:r w:rsidRPr="00E82D3B">
        <w:rPr>
          <w:rFonts w:ascii="Calibri" w:eastAsia="ＭＳ Ｐゴシック" w:hAnsi="Calibri" w:cs="Times New Roman"/>
        </w:rPr>
        <w:t>)</w:t>
      </w:r>
      <w:r w:rsidR="00A219A0" w:rsidRPr="00E82D3B">
        <w:rPr>
          <w:rFonts w:ascii="Calibri" w:eastAsia="ＭＳ Ｐゴシック" w:hAnsi="Calibri" w:cs="Times New Roman"/>
        </w:rPr>
        <w:t xml:space="preserve">, as described in </w:t>
      </w:r>
      <w:r w:rsidR="00386E21" w:rsidRPr="00E82D3B">
        <w:rPr>
          <w:rFonts w:ascii="Calibri" w:eastAsia="ＭＳ Ｐゴシック" w:hAnsi="Calibri" w:cs="Times New Roman"/>
        </w:rPr>
        <w:t xml:space="preserve">section </w:t>
      </w:r>
      <w:r w:rsidR="00A219A0" w:rsidRPr="00E82D3B">
        <w:rPr>
          <w:rFonts w:ascii="Calibri" w:eastAsia="ＭＳ Ｐゴシック" w:hAnsi="Calibri" w:cs="Times New Roman"/>
        </w:rPr>
        <w:t>3.1</w:t>
      </w:r>
      <w:r w:rsidR="00386E21" w:rsidRPr="00E82D3B">
        <w:rPr>
          <w:rFonts w:ascii="Calibri" w:eastAsia="ＭＳ Ｐゴシック" w:hAnsi="Calibri" w:cs="Times New Roman"/>
        </w:rPr>
        <w:t>, 3.6 and figure 3.2</w:t>
      </w:r>
      <w:r w:rsidRPr="00E82D3B">
        <w:rPr>
          <w:rFonts w:ascii="Calibri" w:eastAsia="ＭＳ Ｐゴシック" w:hAnsi="Calibri" w:cs="Times New Roman"/>
        </w:rPr>
        <w:t>. 10</w:t>
      </w:r>
      <m:oMath>
        <m:r>
          <w:rPr>
            <w:rFonts w:ascii="Cambria Math" w:eastAsia="ＭＳ Ｐゴシック" w:hAnsi="Cambria Math" w:cs="Times New Roman"/>
          </w:rPr>
          <m:t>μ</m:t>
        </m:r>
      </m:oMath>
      <w:r w:rsidRPr="00E82D3B">
        <w:rPr>
          <w:rFonts w:ascii="Calibri" w:eastAsia="ＭＳ Ｐゴシック" w:hAnsi="Calibri" w:cs="Times New Roman"/>
        </w:rPr>
        <w:t>l</w:t>
      </w:r>
      <w:r w:rsidRPr="008E7B3A">
        <w:rPr>
          <w:rFonts w:ascii="Calibri" w:eastAsia="ＭＳ Ｐゴシック" w:hAnsi="Calibri" w:cs="Times New Roman"/>
        </w:rPr>
        <w:t xml:space="preserve"> of 0.1</w:t>
      </w:r>
      <m:oMath>
        <m:r>
          <w:rPr>
            <w:rFonts w:ascii="Cambria Math" w:eastAsia="ＭＳ Ｐゴシック" w:hAnsi="Cambria Math" w:cs="Times New Roman"/>
          </w:rPr>
          <m:t>μ</m:t>
        </m:r>
      </m:oMath>
      <w:r w:rsidRPr="008E7B3A">
        <w:rPr>
          <w:rFonts w:ascii="Calibri" w:eastAsia="ＭＳ Ｐゴシック" w:hAnsi="Calibri" w:cs="Times New Roman"/>
        </w:rPr>
        <w:t>g/</w:t>
      </w:r>
      <m:oMath>
        <m:r>
          <w:rPr>
            <w:rFonts w:ascii="Cambria Math" w:eastAsia="ＭＳ Ｐゴシック" w:hAnsi="Cambria Math" w:cs="Times New Roman"/>
          </w:rPr>
          <m:t>μ</m:t>
        </m:r>
      </m:oMath>
      <w:r w:rsidRPr="008E7B3A">
        <w:rPr>
          <w:rFonts w:ascii="Calibri" w:eastAsia="ＭＳ Ｐゴシック" w:hAnsi="Calibri" w:cs="Times New Roman"/>
        </w:rPr>
        <w:t xml:space="preserve">l plasmid DNA (control or </w:t>
      </w:r>
      <w:r w:rsidRPr="008E7B3A">
        <w:rPr>
          <w:rFonts w:ascii="Calibri" w:eastAsia="ＭＳ Ｐゴシック" w:hAnsi="Calibri" w:cs="Times New Roman"/>
          <w:i/>
        </w:rPr>
        <w:t>SRCAP</w:t>
      </w:r>
      <w:r w:rsidRPr="008E7B3A">
        <w:rPr>
          <w:rFonts w:ascii="Calibri" w:eastAsia="ＭＳ Ｐゴシック" w:hAnsi="Calibri" w:cs="Times New Roman"/>
        </w:rPr>
        <w:t>) was combined with 140</w:t>
      </w:r>
      <m:oMath>
        <m:r>
          <w:rPr>
            <w:rFonts w:ascii="Cambria Math" w:eastAsia="ＭＳ Ｐゴシック" w:hAnsi="Cambria Math" w:cs="Times New Roman"/>
          </w:rPr>
          <m:t>μ</m:t>
        </m:r>
      </m:oMath>
      <w:r w:rsidRPr="008E7B3A">
        <w:rPr>
          <w:rFonts w:ascii="Calibri" w:eastAsia="ＭＳ Ｐゴシック" w:hAnsi="Calibri" w:cs="Times New Roman"/>
        </w:rPr>
        <w:t>l of serum free DMEM and 5</w:t>
      </w:r>
      <m:oMath>
        <m:r>
          <w:rPr>
            <w:rFonts w:ascii="Cambria Math" w:eastAsia="ＭＳ Ｐゴシック" w:hAnsi="Cambria Math" w:cs="Times New Roman"/>
          </w:rPr>
          <m:t>μ</m:t>
        </m:r>
      </m:oMath>
      <w:r w:rsidRPr="008E7B3A">
        <w:rPr>
          <w:rFonts w:ascii="Calibri" w:eastAsia="ＭＳ Ｐゴシック" w:hAnsi="Calibri" w:cs="Times New Roman"/>
        </w:rPr>
        <w:t>l of Lipofectamine 2000 was combined with 145</w:t>
      </w:r>
      <m:oMath>
        <m:r>
          <w:rPr>
            <w:rFonts w:ascii="Cambria Math" w:eastAsia="ＭＳ Ｐゴシック" w:hAnsi="Cambria Math" w:cs="Times New Roman"/>
          </w:rPr>
          <m:t>μ</m:t>
        </m:r>
      </m:oMath>
      <w:r w:rsidRPr="008E7B3A">
        <w:rPr>
          <w:rFonts w:ascii="Calibri" w:eastAsia="ＭＳ Ｐゴシック" w:hAnsi="Calibri" w:cs="Times New Roman"/>
        </w:rPr>
        <w:t>l of serum free DMEM. These solutions were left for 5mins, combined then left for a further 20mins at room temperature, before the 300</w:t>
      </w:r>
      <m:oMath>
        <m:r>
          <w:rPr>
            <w:rFonts w:ascii="Cambria Math" w:eastAsia="ＭＳ Ｐゴシック" w:hAnsi="Cambria Math" w:cs="Times New Roman"/>
          </w:rPr>
          <m:t>μ</m:t>
        </m:r>
      </m:oMath>
      <w:r w:rsidRPr="008E7B3A">
        <w:rPr>
          <w:rFonts w:ascii="Calibri" w:eastAsia="ＭＳ Ｐゴシック" w:hAnsi="Calibri" w:cs="Times New Roman"/>
        </w:rPr>
        <w:t xml:space="preserve">l was added to 2.7ml of media and </w:t>
      </w:r>
      <w:r w:rsidR="00537B6E">
        <w:rPr>
          <w:rFonts w:ascii="Calibri" w:eastAsia="ＭＳ Ｐゴシック" w:hAnsi="Calibri" w:cs="Times New Roman"/>
        </w:rPr>
        <w:t>added to</w:t>
      </w:r>
      <w:r w:rsidRPr="008E7B3A">
        <w:rPr>
          <w:rFonts w:ascii="Calibri" w:eastAsia="ＭＳ Ｐゴシック" w:hAnsi="Calibri" w:cs="Times New Roman"/>
        </w:rPr>
        <w:t xml:space="preserve"> the cells to incubate for 48/72 hrs. </w:t>
      </w:r>
    </w:p>
    <w:p w14:paraId="0492A5DA" w14:textId="77777777" w:rsidR="00CF5335" w:rsidRDefault="00CF5335" w:rsidP="008E7B3A">
      <w:pPr>
        <w:tabs>
          <w:tab w:val="left" w:pos="5360"/>
        </w:tabs>
        <w:spacing w:line="360" w:lineRule="auto"/>
        <w:jc w:val="both"/>
        <w:rPr>
          <w:rFonts w:ascii="Calibri" w:eastAsia="ＭＳ Ｐゴシック" w:hAnsi="Calibri" w:cs="Times New Roman"/>
        </w:rPr>
      </w:pPr>
    </w:p>
    <w:p w14:paraId="08F15BF7" w14:textId="77777777" w:rsidR="00CF5335" w:rsidRDefault="00CF5335" w:rsidP="008E7B3A">
      <w:pPr>
        <w:tabs>
          <w:tab w:val="left" w:pos="5360"/>
        </w:tabs>
        <w:spacing w:line="360" w:lineRule="auto"/>
        <w:jc w:val="both"/>
        <w:rPr>
          <w:rFonts w:ascii="Calibri" w:eastAsia="ＭＳ Ｐゴシック" w:hAnsi="Calibri" w:cs="Times New Roman"/>
        </w:rPr>
      </w:pPr>
    </w:p>
    <w:p w14:paraId="4B1B96B5" w14:textId="77777777" w:rsidR="008E7B3A" w:rsidRPr="008E7B3A" w:rsidRDefault="008E7B3A" w:rsidP="008E7B3A">
      <w:pPr>
        <w:tabs>
          <w:tab w:val="left" w:pos="5360"/>
        </w:tabs>
        <w:spacing w:line="360" w:lineRule="auto"/>
        <w:jc w:val="both"/>
        <w:rPr>
          <w:rFonts w:ascii="Calibri" w:eastAsia="ＭＳ Ｐゴシック" w:hAnsi="Calibri" w:cs="Times New Roman"/>
          <w:b/>
          <w:i/>
        </w:rPr>
      </w:pPr>
    </w:p>
    <w:p w14:paraId="7C717EA2" w14:textId="77777777" w:rsidR="008E7B3A" w:rsidRPr="008E7B3A" w:rsidRDefault="008E7B3A" w:rsidP="002F41C6">
      <w:pPr>
        <w:numPr>
          <w:ilvl w:val="0"/>
          <w:numId w:val="21"/>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CRISPR/Cas9 SRCAP Lentiviral antibiotic concentration determination</w:t>
      </w:r>
    </w:p>
    <w:p w14:paraId="291407BC" w14:textId="6C1072F9" w:rsidR="008E7B3A" w:rsidRPr="008E7B3A" w:rsidRDefault="00537B6E" w:rsidP="008E7B3A">
      <w:pPr>
        <w:tabs>
          <w:tab w:val="left" w:pos="5360"/>
        </w:tabs>
        <w:spacing w:line="360" w:lineRule="auto"/>
        <w:jc w:val="both"/>
        <w:rPr>
          <w:rFonts w:ascii="Calibri" w:eastAsia="ＭＳ Ｐゴシック" w:hAnsi="Calibri" w:cs="Times New Roman"/>
        </w:rPr>
      </w:pPr>
      <w:r>
        <w:rPr>
          <w:rFonts w:ascii="Calibri" w:eastAsia="ＭＳ Ｐゴシック" w:hAnsi="Calibri" w:cs="Times New Roman"/>
        </w:rPr>
        <w:t xml:space="preserve">150,000 </w:t>
      </w:r>
      <w:r w:rsidR="008E7B3A" w:rsidRPr="008E7B3A">
        <w:rPr>
          <w:rFonts w:ascii="Calibri" w:eastAsia="ＭＳ Ｐゴシック" w:hAnsi="Calibri" w:cs="Times New Roman"/>
        </w:rPr>
        <w:t xml:space="preserve">RPE-1, HEK293, SW480 and HCT116 cells were seeded </w:t>
      </w:r>
      <w:r>
        <w:rPr>
          <w:rFonts w:ascii="Calibri" w:eastAsia="ＭＳ Ｐゴシック" w:hAnsi="Calibri" w:cs="Times New Roman"/>
        </w:rPr>
        <w:t xml:space="preserve">per well </w:t>
      </w:r>
      <w:r w:rsidR="008E7B3A" w:rsidRPr="008E7B3A">
        <w:rPr>
          <w:rFonts w:ascii="Calibri" w:eastAsia="ＭＳ Ｐゴシック" w:hAnsi="Calibri" w:cs="Times New Roman"/>
        </w:rPr>
        <w:t>into six well plates and variable concentrations of hygromycin, blasticidin and puromycin were added in 2ml media as follows:</w:t>
      </w:r>
    </w:p>
    <w:p w14:paraId="00798CF2" w14:textId="77777777"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Hygromycin (</w:t>
      </w:r>
      <m:oMath>
        <m:r>
          <w:rPr>
            <w:rFonts w:ascii="Cambria Math" w:eastAsia="ＭＳ Ｐゴシック" w:hAnsi="Cambria Math" w:cs="Times New Roman"/>
          </w:rPr>
          <m:t>μ</m:t>
        </m:r>
      </m:oMath>
      <w:r w:rsidRPr="008E7B3A">
        <w:rPr>
          <w:rFonts w:ascii="Calibri" w:eastAsia="ＭＳ Ｐゴシック" w:hAnsi="Calibri" w:cs="Times New Roman"/>
        </w:rPr>
        <w:t>g/ml)- 0, 100, 200, 300, 400, 500</w:t>
      </w:r>
    </w:p>
    <w:p w14:paraId="5220C4A1" w14:textId="77777777"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Blasticidin (</w:t>
      </w:r>
      <m:oMath>
        <m:r>
          <w:rPr>
            <w:rFonts w:ascii="Cambria Math" w:eastAsia="ＭＳ Ｐゴシック" w:hAnsi="Cambria Math" w:cs="Times New Roman"/>
          </w:rPr>
          <m:t>μ</m:t>
        </m:r>
      </m:oMath>
      <w:r w:rsidRPr="008E7B3A">
        <w:rPr>
          <w:rFonts w:ascii="Calibri" w:eastAsia="ＭＳ Ｐゴシック" w:hAnsi="Calibri" w:cs="Times New Roman"/>
        </w:rPr>
        <w:t>g/ml)- 0, 1, 5, 10, 15, 20</w:t>
      </w:r>
    </w:p>
    <w:p w14:paraId="4E242E7A" w14:textId="77777777"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Puromycin (</w:t>
      </w:r>
      <m:oMath>
        <m:r>
          <w:rPr>
            <w:rFonts w:ascii="Cambria Math" w:eastAsia="ＭＳ Ｐゴシック" w:hAnsi="Cambria Math" w:cs="Times New Roman"/>
          </w:rPr>
          <m:t>μ</m:t>
        </m:r>
      </m:oMath>
      <w:r w:rsidRPr="008E7B3A">
        <w:rPr>
          <w:rFonts w:ascii="Calibri" w:eastAsia="ＭＳ Ｐゴシック" w:hAnsi="Calibri" w:cs="Times New Roman"/>
        </w:rPr>
        <w:t>g/ml)- 0, 1, 2.5, 5, 7.5, 10</w:t>
      </w:r>
    </w:p>
    <w:p w14:paraId="5D17E964" w14:textId="77777777" w:rsid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The cell number was then counted in each well at 72hrs using tryphan blue and haemocytometer manual counting. The concentration for each selection agent was selected when around 80-90% of cell death had occurred in the untransfected cells.  </w:t>
      </w:r>
    </w:p>
    <w:p w14:paraId="2217EF9C" w14:textId="77777777" w:rsidR="008E7B3A" w:rsidRPr="008E7B3A" w:rsidRDefault="008E7B3A" w:rsidP="008E7B3A">
      <w:pPr>
        <w:tabs>
          <w:tab w:val="left" w:pos="5360"/>
        </w:tabs>
        <w:spacing w:line="360" w:lineRule="auto"/>
        <w:jc w:val="both"/>
        <w:rPr>
          <w:rFonts w:ascii="Calibri" w:eastAsia="ＭＳ Ｐゴシック" w:hAnsi="Calibri" w:cs="Times New Roman"/>
        </w:rPr>
      </w:pPr>
    </w:p>
    <w:p w14:paraId="796190D1" w14:textId="77777777" w:rsidR="008E7B3A" w:rsidRPr="008E7B3A" w:rsidRDefault="008E7B3A" w:rsidP="002F41C6">
      <w:pPr>
        <w:numPr>
          <w:ilvl w:val="0"/>
          <w:numId w:val="21"/>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 xml:space="preserve">CRISPR/Cas9 SRCAP Lentiviral stable transfection </w:t>
      </w:r>
    </w:p>
    <w:p w14:paraId="2EFDACEB" w14:textId="7ABCCA78" w:rsidR="008E7B3A" w:rsidRPr="008E7B3A" w:rsidRDefault="008E7B3A" w:rsidP="008E7B3A">
      <w:p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lang w:val="en-US"/>
        </w:rPr>
        <w:t xml:space="preserve">The solution supplied by Santa Cruz contains three lentiviral vectors containing guide RNA to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VP64 transcriptional activator and deactivated Cas9 nuclease</w:t>
      </w:r>
      <w:r w:rsidR="00386E21">
        <w:rPr>
          <w:rFonts w:ascii="Calibri" w:eastAsia="ＭＳ Ｐゴシック" w:hAnsi="Calibri" w:cs="Times New Roman"/>
          <w:lang w:val="en-US"/>
        </w:rPr>
        <w:t xml:space="preserve"> </w:t>
      </w:r>
      <w:r w:rsidR="00386E21" w:rsidRPr="00E82D3B">
        <w:rPr>
          <w:rFonts w:ascii="Calibri" w:eastAsia="ＭＳ Ｐゴシック" w:hAnsi="Calibri" w:cs="Times New Roman"/>
          <w:lang w:val="en-US"/>
        </w:rPr>
        <w:t>(as described in section 3.1, 3.7 and figure 3.2)</w:t>
      </w:r>
      <w:r w:rsidRPr="00E82D3B">
        <w:rPr>
          <w:rFonts w:ascii="Calibri" w:eastAsia="ＭＳ Ｐゴシック" w:hAnsi="Calibri" w:cs="Times New Roman"/>
          <w:lang w:val="en-US"/>
        </w:rPr>
        <w:t>.</w:t>
      </w:r>
      <w:r w:rsidRPr="008E7B3A">
        <w:rPr>
          <w:rFonts w:ascii="Calibri" w:eastAsia="ＭＳ Ｐゴシック" w:hAnsi="Calibri" w:cs="Times New Roman"/>
          <w:lang w:val="en-US"/>
        </w:rPr>
        <w:t xml:space="preserve"> In order to transfect cells with this vector solution</w:t>
      </w:r>
      <w:r w:rsidR="00537B6E">
        <w:rPr>
          <w:rFonts w:ascii="Calibri" w:eastAsia="ＭＳ Ｐゴシック" w:hAnsi="Calibri" w:cs="Times New Roman"/>
          <w:lang w:val="en-US"/>
        </w:rPr>
        <w:t>,</w:t>
      </w:r>
      <w:r w:rsidRPr="008E7B3A">
        <w:rPr>
          <w:rFonts w:ascii="Calibri" w:eastAsia="ＭＳ Ｐゴシック" w:hAnsi="Calibri" w:cs="Times New Roman"/>
          <w:lang w:val="en-US"/>
        </w:rPr>
        <w:t xml:space="preserve"> RPE-1, HCT116, SW480 and HEK293 cells were seeded into 6 well plates and grown until around 60% confluent, then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of polybrene was added. This neutralises the charge interactions in order to allow the pseudo viral capsid to bind to the cell membrane and therefore permit the vectors to enter the cell. After this 10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the lentiviral vector solution was added directly to the cells  (or ddH</w:t>
      </w:r>
      <w:r w:rsidRPr="008E7B3A">
        <w:rPr>
          <w:rFonts w:ascii="Calibri" w:eastAsia="ＭＳ Ｐゴシック" w:hAnsi="Calibri" w:cs="Times New Roman"/>
          <w:vertAlign w:val="subscript"/>
          <w:lang w:val="en-US"/>
        </w:rPr>
        <w:t>2</w:t>
      </w:r>
      <w:r w:rsidRPr="008E7B3A">
        <w:rPr>
          <w:rFonts w:ascii="Calibri" w:eastAsia="ＭＳ Ｐゴシック" w:hAnsi="Calibri" w:cs="Times New Roman"/>
          <w:lang w:val="en-US"/>
        </w:rPr>
        <w:t>O for control) and the plates incubated at 37</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for 48hrs. At this point antibiotic selection media was added, including 200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Hygromycin,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g/ml Blasticidin and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g/ml Puromycin in normal DMEM media. This selection media was changed every 4 days until all the cells on the control plates were dead and colonies had begun to form on the transfected plates. Colonies were picked and grown separately for SRCAP expression testing, and the </w:t>
      </w:r>
      <w:r w:rsidR="00537B6E">
        <w:rPr>
          <w:rFonts w:ascii="Calibri" w:eastAsia="ＭＳ Ｐゴシック" w:hAnsi="Calibri" w:cs="Times New Roman"/>
          <w:lang w:val="en-US"/>
        </w:rPr>
        <w:t>remaining</w:t>
      </w:r>
      <w:r w:rsidRPr="008E7B3A">
        <w:rPr>
          <w:rFonts w:ascii="Calibri" w:eastAsia="ＭＳ Ｐゴシック" w:hAnsi="Calibri" w:cs="Times New Roman"/>
          <w:lang w:val="en-US"/>
        </w:rPr>
        <w:t xml:space="preserve"> transfected cells were combined to form a mixed over</w:t>
      </w:r>
      <w:r w:rsidR="00327AA2">
        <w:rPr>
          <w:rFonts w:ascii="Calibri" w:eastAsia="ＭＳ Ｐゴシック" w:hAnsi="Calibri" w:cs="Times New Roman"/>
          <w:lang w:val="en-US"/>
        </w:rPr>
        <w:t>-</w:t>
      </w:r>
      <w:r w:rsidRPr="008E7B3A">
        <w:rPr>
          <w:rFonts w:ascii="Calibri" w:eastAsia="ＭＳ Ｐゴシック" w:hAnsi="Calibri" w:cs="Times New Roman"/>
          <w:lang w:val="en-US"/>
        </w:rPr>
        <w:t xml:space="preserve">expression population. </w:t>
      </w:r>
    </w:p>
    <w:p w14:paraId="54DF8B1C" w14:textId="77777777" w:rsidR="008E7B3A" w:rsidRPr="008E7B3A" w:rsidRDefault="008E7B3A" w:rsidP="008E7B3A">
      <w:pPr>
        <w:spacing w:line="360" w:lineRule="auto"/>
        <w:ind w:left="720"/>
        <w:jc w:val="both"/>
        <w:rPr>
          <w:rFonts w:ascii="Calibri" w:eastAsia="ＭＳ Ｐゴシック" w:hAnsi="Calibri" w:cs="Times New Roman"/>
          <w:b/>
          <w:i/>
          <w:lang w:val="en-US"/>
        </w:rPr>
      </w:pPr>
    </w:p>
    <w:p w14:paraId="1EE8A5EA" w14:textId="77777777" w:rsidR="008E7B3A" w:rsidRPr="008E7B3A" w:rsidRDefault="008E7B3A" w:rsidP="002F41C6">
      <w:pPr>
        <w:numPr>
          <w:ilvl w:val="0"/>
          <w:numId w:val="21"/>
        </w:numPr>
        <w:spacing w:line="360" w:lineRule="auto"/>
        <w:jc w:val="both"/>
        <w:rPr>
          <w:rFonts w:ascii="Calibri" w:eastAsia="ＭＳ Ｐゴシック" w:hAnsi="Calibri" w:cs="Times New Roman"/>
          <w:b/>
          <w:i/>
          <w:lang w:val="en-US"/>
        </w:rPr>
      </w:pPr>
      <w:proofErr w:type="gramStart"/>
      <w:r w:rsidRPr="008E7B3A">
        <w:rPr>
          <w:rFonts w:ascii="Calibri" w:eastAsia="ＭＳ Ｐゴシック" w:hAnsi="Calibri" w:cs="Times New Roman"/>
          <w:b/>
          <w:i/>
          <w:lang w:val="en-US"/>
        </w:rPr>
        <w:t>siRNA</w:t>
      </w:r>
      <w:proofErr w:type="gramEnd"/>
      <w:r w:rsidRPr="008E7B3A">
        <w:rPr>
          <w:rFonts w:ascii="Calibri" w:eastAsia="ＭＳ Ｐゴシック" w:hAnsi="Calibri" w:cs="Times New Roman"/>
          <w:b/>
          <w:i/>
          <w:lang w:val="en-US"/>
        </w:rPr>
        <w:t xml:space="preserve"> Knockdown of SRCAP</w:t>
      </w:r>
    </w:p>
    <w:p w14:paraId="5E31B555" w14:textId="6773619B"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Cells were seeded on to a six well plate at a density of 2x10</w:t>
      </w:r>
      <w:r w:rsidRPr="008E7B3A">
        <w:rPr>
          <w:rFonts w:ascii="Calibri" w:eastAsia="ＭＳ Ｐゴシック" w:hAnsi="Calibri" w:cs="Times New Roman"/>
          <w:vertAlign w:val="superscript"/>
          <w:lang w:val="en-US"/>
        </w:rPr>
        <w:t xml:space="preserve">5 </w:t>
      </w:r>
      <w:r w:rsidRPr="008E7B3A">
        <w:rPr>
          <w:rFonts w:ascii="Calibri" w:eastAsia="ＭＳ Ｐゴシック" w:hAnsi="Calibri" w:cs="Times New Roman"/>
          <w:lang w:val="en-US"/>
        </w:rPr>
        <w:t>cells per well either into empty wells, or onto coverslips (13mm) for immunof</w:t>
      </w:r>
      <w:r w:rsidR="00CF0167">
        <w:rPr>
          <w:rFonts w:ascii="Calibri" w:eastAsia="ＭＳ Ｐゴシック" w:hAnsi="Calibri" w:cs="Times New Roman"/>
          <w:lang w:val="en-US"/>
        </w:rPr>
        <w:t>luorescence, and left for 24h</w:t>
      </w:r>
      <w:r w:rsidRPr="008E7B3A">
        <w:rPr>
          <w:rFonts w:ascii="Calibri" w:eastAsia="ＭＳ Ｐゴシック" w:hAnsi="Calibri" w:cs="Times New Roman"/>
          <w:lang w:val="en-US"/>
        </w:rPr>
        <w:t>rs.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20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M </w:t>
      </w:r>
      <w:r w:rsidRPr="008E7B3A">
        <w:rPr>
          <w:rFonts w:ascii="Calibri" w:eastAsia="ＭＳ Ｐゴシック" w:hAnsi="Calibri" w:cs="Times New Roman"/>
          <w:i/>
          <w:lang w:val="en-US"/>
        </w:rPr>
        <w:t>SRCAP</w:t>
      </w:r>
      <w:r w:rsidRPr="008E7B3A">
        <w:rPr>
          <w:rFonts w:ascii="Calibri" w:eastAsia="ＭＳ Ｐゴシック" w:hAnsi="Calibri" w:cs="Times New Roman"/>
          <w:lang w:val="en-US"/>
        </w:rPr>
        <w:t xml:space="preserve"> siRNA (MWG) or 1</w:t>
      </w:r>
      <m:oMath>
        <m:r>
          <w:rPr>
            <w:rFonts w:ascii="Cambria Math" w:eastAsia="ＭＳ Ｐゴシック" w:hAnsi="Cambria Math" w:cs="Times New Roman"/>
            <w:lang w:val="en-US"/>
          </w:rPr>
          <m:t xml:space="preserve"> μ</m:t>
        </m:r>
      </m:oMath>
      <w:r w:rsidRPr="008E7B3A">
        <w:rPr>
          <w:rFonts w:ascii="Calibri" w:eastAsia="ＭＳ Ｐゴシック" w:hAnsi="Calibri" w:cs="Times New Roman"/>
          <w:lang w:val="en-US"/>
        </w:rPr>
        <w:t>l of 100</w:t>
      </w:r>
      <m:oMath>
        <m:r>
          <w:rPr>
            <w:rFonts w:ascii="Cambria Math" w:eastAsia="ＭＳ Ｐゴシック" w:hAnsi="Cambria Math" w:cs="Times New Roman"/>
            <w:lang w:val="en-US"/>
          </w:rPr>
          <m:t>μM</m:t>
        </m:r>
      </m:oMath>
      <w:r w:rsidRPr="008E7B3A">
        <w:rPr>
          <w:rFonts w:ascii="Calibri" w:eastAsia="ＭＳ Ｐゴシック" w:hAnsi="Calibri" w:cs="Times New Roman"/>
          <w:lang w:val="en-US"/>
        </w:rPr>
        <w:t xml:space="preserve"> low GC non-specific scrambled control (MWG) was added to 245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or 249</w:t>
      </w:r>
      <m:oMath>
        <m:r>
          <w:rPr>
            <w:rFonts w:ascii="Cambria Math" w:eastAsia="ＭＳ Ｐゴシック" w:hAnsi="Cambria Math" w:cs="Times New Roman"/>
            <w:lang w:val="en-US"/>
          </w:rPr>
          <m:t xml:space="preserve">μl </m:t>
        </m:r>
      </m:oMath>
      <w:r w:rsidRPr="008E7B3A">
        <w:rPr>
          <w:rFonts w:ascii="Calibri" w:eastAsia="ＭＳ Ｐゴシック" w:hAnsi="Calibri" w:cs="Times New Roman"/>
          <w:lang w:val="en-US"/>
        </w:rPr>
        <w:t>respectively of serum free DMEM media, and in a separate tube, 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RNAiMax was added to 245</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serum free DMEM media. These were incubated separately at room temperature for 5mins, then combined and left for a further 20mins. 500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media was removed from each well and the 500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siRNA mix</w:t>
      </w:r>
      <w:r w:rsidR="00CF0167">
        <w:rPr>
          <w:rFonts w:ascii="Calibri" w:eastAsia="ＭＳ Ｐゴシック" w:hAnsi="Calibri" w:cs="Times New Roman"/>
          <w:lang w:val="en-US"/>
        </w:rPr>
        <w:t xml:space="preserve"> added and left for 24/48/72h</w:t>
      </w:r>
      <w:r w:rsidRPr="008E7B3A">
        <w:rPr>
          <w:rFonts w:ascii="Calibri" w:eastAsia="ＭＳ Ｐゴシック" w:hAnsi="Calibri" w:cs="Times New Roman"/>
          <w:lang w:val="en-US"/>
        </w:rPr>
        <w:t xml:space="preserve">rs depending on the experiment. (These amounts were scaled up depending on the number of wells in the experiment). </w:t>
      </w:r>
    </w:p>
    <w:p w14:paraId="340667FA" w14:textId="77777777" w:rsidR="008E7B3A" w:rsidRPr="008E7B3A" w:rsidRDefault="008E7B3A" w:rsidP="008E7B3A">
      <w:pPr>
        <w:spacing w:line="360" w:lineRule="auto"/>
        <w:jc w:val="both"/>
        <w:rPr>
          <w:rFonts w:ascii="Calibri" w:eastAsia="ＭＳ Ｐゴシック" w:hAnsi="Calibri" w:cs="Times New Roman"/>
          <w:lang w:val="en-US"/>
        </w:rPr>
      </w:pPr>
      <w:proofErr w:type="gramStart"/>
      <w:r w:rsidRPr="008E7B3A">
        <w:rPr>
          <w:rFonts w:ascii="Calibri" w:eastAsia="ＭＳ Ｐゴシック" w:hAnsi="Calibri" w:cs="Times New Roman"/>
          <w:lang w:val="en-US"/>
        </w:rPr>
        <w:t>siRNA</w:t>
      </w:r>
      <w:proofErr w:type="gramEnd"/>
      <w:r w:rsidRPr="008E7B3A">
        <w:rPr>
          <w:rFonts w:ascii="Calibri" w:eastAsia="ＭＳ Ｐゴシック" w:hAnsi="Calibri" w:cs="Times New Roman"/>
          <w:lang w:val="en-US"/>
        </w:rPr>
        <w:t xml:space="preserve"> probes:    si5- GGAUAGACAUGGGUCGAUU</w:t>
      </w:r>
    </w:p>
    <w:p w14:paraId="74CFC373" w14:textId="77777777"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                             </w:t>
      </w:r>
      <w:proofErr w:type="gramStart"/>
      <w:r w:rsidRPr="008E7B3A">
        <w:rPr>
          <w:rFonts w:ascii="Calibri" w:eastAsia="ＭＳ Ｐゴシック" w:hAnsi="Calibri" w:cs="Times New Roman"/>
          <w:lang w:val="en-US"/>
        </w:rPr>
        <w:t>si6</w:t>
      </w:r>
      <w:proofErr w:type="gramEnd"/>
      <w:r w:rsidRPr="008E7B3A">
        <w:rPr>
          <w:rFonts w:ascii="Calibri" w:eastAsia="ＭＳ Ｐゴシック" w:hAnsi="Calibri" w:cs="Times New Roman"/>
          <w:lang w:val="en-US"/>
        </w:rPr>
        <w:t>- CGAUUGAAGUUGAAGAACA</w:t>
      </w:r>
    </w:p>
    <w:p w14:paraId="618A069D" w14:textId="77777777"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 xml:space="preserve">                             </w:t>
      </w:r>
      <w:proofErr w:type="gramStart"/>
      <w:r w:rsidRPr="008E7B3A">
        <w:rPr>
          <w:rFonts w:ascii="Calibri" w:eastAsia="ＭＳ Ｐゴシック" w:hAnsi="Calibri" w:cs="Times New Roman"/>
          <w:lang w:val="en-US"/>
        </w:rPr>
        <w:t>si7</w:t>
      </w:r>
      <w:proofErr w:type="gramEnd"/>
      <w:r w:rsidRPr="008E7B3A">
        <w:rPr>
          <w:rFonts w:ascii="Calibri" w:eastAsia="ＭＳ Ｐゴシック" w:hAnsi="Calibri" w:cs="Times New Roman"/>
          <w:lang w:val="en-US"/>
        </w:rPr>
        <w:t>- GGUCGUGUCUCUCGAUAUG</w:t>
      </w:r>
    </w:p>
    <w:p w14:paraId="072CAE59" w14:textId="77777777"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                             </w:t>
      </w:r>
      <w:proofErr w:type="gramStart"/>
      <w:r w:rsidRPr="008E7B3A">
        <w:rPr>
          <w:rFonts w:ascii="Calibri" w:eastAsia="ＭＳ Ｐゴシック" w:hAnsi="Calibri" w:cs="Times New Roman"/>
        </w:rPr>
        <w:t>si8</w:t>
      </w:r>
      <w:proofErr w:type="gramEnd"/>
      <w:r w:rsidRPr="008E7B3A">
        <w:rPr>
          <w:rFonts w:ascii="Calibri" w:eastAsia="ＭＳ Ｐゴシック" w:hAnsi="Calibri" w:cs="Times New Roman"/>
        </w:rPr>
        <w:t>- UCCGAGAGCUGUUUGAUAU</w:t>
      </w:r>
    </w:p>
    <w:p w14:paraId="41F1D4D4" w14:textId="77777777" w:rsidR="008E7B3A" w:rsidRPr="008E7B3A" w:rsidRDefault="008E7B3A" w:rsidP="002F41C6">
      <w:pPr>
        <w:keepNext/>
        <w:keepLines/>
        <w:numPr>
          <w:ilvl w:val="0"/>
          <w:numId w:val="19"/>
        </w:numPr>
        <w:spacing w:before="480" w:line="360" w:lineRule="auto"/>
        <w:outlineLvl w:val="0"/>
        <w:rPr>
          <w:rFonts w:ascii="Calibri" w:eastAsia="ＭＳ Ｐゴシック" w:hAnsi="Calibri" w:cs="Times New Roman"/>
          <w:bCs/>
          <w:color w:val="000000"/>
          <w:sz w:val="28"/>
          <w:szCs w:val="32"/>
        </w:rPr>
      </w:pPr>
      <w:r w:rsidRPr="008E7B3A">
        <w:rPr>
          <w:rFonts w:ascii="Calibri" w:eastAsia="ＭＳ Ｐゴシック" w:hAnsi="Calibri" w:cs="Times New Roman"/>
          <w:bCs/>
          <w:color w:val="000000"/>
          <w:sz w:val="28"/>
          <w:szCs w:val="32"/>
        </w:rPr>
        <w:t>RNA Studies</w:t>
      </w:r>
    </w:p>
    <w:p w14:paraId="757E9B22" w14:textId="77777777" w:rsidR="008E7B3A" w:rsidRPr="008E7B3A" w:rsidRDefault="008E7B3A" w:rsidP="008E7B3A">
      <w:pPr>
        <w:spacing w:line="360" w:lineRule="auto"/>
        <w:jc w:val="both"/>
        <w:rPr>
          <w:rFonts w:ascii="Calibri" w:eastAsia="ＭＳ Ｐゴシック" w:hAnsi="Calibri" w:cs="Times New Roman"/>
          <w:i/>
          <w:lang w:val="en-US"/>
        </w:rPr>
      </w:pPr>
    </w:p>
    <w:p w14:paraId="15126A8E" w14:textId="77777777" w:rsidR="008E7B3A" w:rsidRPr="008E7B3A" w:rsidRDefault="008E7B3A" w:rsidP="002F41C6">
      <w:pPr>
        <w:numPr>
          <w:ilvl w:val="0"/>
          <w:numId w:val="22"/>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 xml:space="preserve">RNA Extraction </w:t>
      </w:r>
    </w:p>
    <w:p w14:paraId="7E8E7F28" w14:textId="0A811F3A" w:rsid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In order to extract the RNA from cultured cells, media was removed and cells washed with PBS. 350</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RLT buffer (Qiagen) was added, the wells scraped to detach cell monolayers and transferred into a </w:t>
      </w:r>
      <w:proofErr w:type="spellStart"/>
      <w:r w:rsidRPr="008E7B3A">
        <w:rPr>
          <w:rFonts w:ascii="Calibri" w:eastAsia="ＭＳ Ｐゴシック" w:hAnsi="Calibri" w:cs="Times New Roman"/>
        </w:rPr>
        <w:t>qIAshredder</w:t>
      </w:r>
      <w:proofErr w:type="spellEnd"/>
      <w:r w:rsidRPr="008E7B3A">
        <w:rPr>
          <w:rFonts w:ascii="Calibri" w:eastAsia="ＭＳ Ｐゴシック" w:hAnsi="Calibri" w:cs="Times New Roman"/>
        </w:rPr>
        <w:t xml:space="preserve"> (Qiagen) and centrifuged for 2mins in order to lyse the cells</w:t>
      </w:r>
      <w:r w:rsidR="00537B6E">
        <w:rPr>
          <w:rFonts w:ascii="Calibri" w:eastAsia="ＭＳ Ｐゴシック" w:hAnsi="Calibri" w:cs="Times New Roman"/>
        </w:rPr>
        <w:t>, remove cellular debris,</w:t>
      </w:r>
      <w:r w:rsidRPr="008E7B3A">
        <w:rPr>
          <w:rFonts w:ascii="Calibri" w:eastAsia="ＭＳ Ｐゴシック" w:hAnsi="Calibri" w:cs="Times New Roman"/>
        </w:rPr>
        <w:t xml:space="preserve"> and inactivate RNase to ensure stable RNA. 350</w:t>
      </w:r>
      <m:oMath>
        <m:r>
          <w:rPr>
            <w:rFonts w:ascii="Cambria Math" w:eastAsia="ＭＳ Ｐゴシック" w:hAnsi="Cambria Math" w:cs="Times New Roman"/>
          </w:rPr>
          <m:t>μ</m:t>
        </m:r>
      </m:oMath>
      <w:r w:rsidRPr="008E7B3A">
        <w:rPr>
          <w:rFonts w:ascii="Calibri" w:eastAsia="ＭＳ Ｐゴシック" w:hAnsi="Calibri" w:cs="Times New Roman"/>
        </w:rPr>
        <w:t>l of 70% ethanol was then added to the supernatant to provide optimum binding condition</w:t>
      </w:r>
      <w:r w:rsidR="00537B6E">
        <w:rPr>
          <w:rFonts w:ascii="Calibri" w:eastAsia="ＭＳ Ｐゴシック" w:hAnsi="Calibri" w:cs="Times New Roman"/>
        </w:rPr>
        <w:t>s</w:t>
      </w:r>
      <w:r w:rsidRPr="008E7B3A">
        <w:rPr>
          <w:rFonts w:ascii="Calibri" w:eastAsia="ＭＳ Ｐゴシック" w:hAnsi="Calibri" w:cs="Times New Roman"/>
        </w:rPr>
        <w:t xml:space="preserve"> and the whole 700</w:t>
      </w:r>
      <m:oMath>
        <m:r>
          <w:rPr>
            <w:rFonts w:ascii="Cambria Math" w:eastAsia="ＭＳ Ｐゴシック" w:hAnsi="Cambria Math" w:cs="Times New Roman"/>
          </w:rPr>
          <m:t>μ</m:t>
        </m:r>
      </m:oMath>
      <w:r w:rsidRPr="008E7B3A">
        <w:rPr>
          <w:rFonts w:ascii="Calibri" w:eastAsia="ＭＳ Ｐゴシック" w:hAnsi="Calibri" w:cs="Times New Roman"/>
        </w:rPr>
        <w:t xml:space="preserve">l </w:t>
      </w:r>
      <w:r w:rsidR="00537B6E">
        <w:rPr>
          <w:rFonts w:ascii="Calibri" w:eastAsia="ＭＳ Ｐゴシック" w:hAnsi="Calibri" w:cs="Times New Roman"/>
        </w:rPr>
        <w:t xml:space="preserve">was then </w:t>
      </w:r>
      <w:r w:rsidRPr="008E7B3A">
        <w:rPr>
          <w:rFonts w:ascii="Calibri" w:eastAsia="ＭＳ Ｐゴシック" w:hAnsi="Calibri" w:cs="Times New Roman"/>
        </w:rPr>
        <w:t xml:space="preserve">transferred to an </w:t>
      </w:r>
      <w:proofErr w:type="spellStart"/>
      <w:r w:rsidRPr="008E7B3A">
        <w:rPr>
          <w:rFonts w:ascii="Calibri" w:eastAsia="ＭＳ Ｐゴシック" w:hAnsi="Calibri" w:cs="Times New Roman"/>
        </w:rPr>
        <w:t>RNeasy</w:t>
      </w:r>
      <w:proofErr w:type="spellEnd"/>
      <w:r w:rsidRPr="008E7B3A">
        <w:rPr>
          <w:rFonts w:ascii="Calibri" w:eastAsia="ＭＳ Ｐゴシック" w:hAnsi="Calibri" w:cs="Times New Roman"/>
        </w:rPr>
        <w:t xml:space="preserve"> </w:t>
      </w:r>
      <w:proofErr w:type="spellStart"/>
      <w:r w:rsidRPr="008E7B3A">
        <w:rPr>
          <w:rFonts w:ascii="Calibri" w:eastAsia="ＭＳ Ｐゴシック" w:hAnsi="Calibri" w:cs="Times New Roman"/>
        </w:rPr>
        <w:t>minispin</w:t>
      </w:r>
      <w:proofErr w:type="spellEnd"/>
      <w:r w:rsidRPr="008E7B3A">
        <w:rPr>
          <w:rFonts w:ascii="Calibri" w:eastAsia="ＭＳ Ｐゴシック" w:hAnsi="Calibri" w:cs="Times New Roman"/>
        </w:rPr>
        <w:t xml:space="preserve"> column. RNA was extracted using the manufacturer</w:t>
      </w:r>
      <w:r w:rsidR="00537B6E">
        <w:rPr>
          <w:rFonts w:ascii="Calibri" w:eastAsia="ＭＳ Ｐゴシック" w:hAnsi="Calibri" w:cs="Times New Roman"/>
        </w:rPr>
        <w:t>’</w:t>
      </w:r>
      <w:r w:rsidRPr="008E7B3A">
        <w:rPr>
          <w:rFonts w:ascii="Calibri" w:eastAsia="ＭＳ Ｐゴシック" w:hAnsi="Calibri" w:cs="Times New Roman"/>
        </w:rPr>
        <w:t xml:space="preserve">s protocol from the </w:t>
      </w:r>
      <w:proofErr w:type="spellStart"/>
      <w:r w:rsidRPr="008E7B3A">
        <w:rPr>
          <w:rFonts w:ascii="Calibri" w:eastAsia="ＭＳ Ｐゴシック" w:hAnsi="Calibri" w:cs="Times New Roman"/>
        </w:rPr>
        <w:t>RNeasy</w:t>
      </w:r>
      <w:proofErr w:type="spellEnd"/>
      <w:r w:rsidRPr="008E7B3A">
        <w:rPr>
          <w:rFonts w:ascii="Calibri" w:eastAsia="ＭＳ Ｐゴシック" w:hAnsi="Calibri" w:cs="Times New Roman"/>
        </w:rPr>
        <w:t xml:space="preserve"> Mini Kit. The kit uses a high salt buffer to allow binding of the RNA within the sample to the column; </w:t>
      </w:r>
      <w:r w:rsidR="00537B6E">
        <w:rPr>
          <w:rFonts w:ascii="Calibri" w:eastAsia="ＭＳ Ｐゴシック" w:hAnsi="Calibri" w:cs="Times New Roman"/>
        </w:rPr>
        <w:t>then</w:t>
      </w:r>
      <w:r w:rsidRPr="008E7B3A">
        <w:rPr>
          <w:rFonts w:ascii="Calibri" w:eastAsia="ＭＳ Ｐゴシック" w:hAnsi="Calibri" w:cs="Times New Roman"/>
        </w:rPr>
        <w:t xml:space="preserve"> the column </w:t>
      </w:r>
      <w:r w:rsidR="00537B6E">
        <w:rPr>
          <w:rFonts w:ascii="Calibri" w:eastAsia="ＭＳ Ｐゴシック" w:hAnsi="Calibri" w:cs="Times New Roman"/>
        </w:rPr>
        <w:t>was</w:t>
      </w:r>
      <w:r w:rsidRPr="008E7B3A">
        <w:rPr>
          <w:rFonts w:ascii="Calibri" w:eastAsia="ＭＳ Ｐゴシック" w:hAnsi="Calibri" w:cs="Times New Roman"/>
        </w:rPr>
        <w:t xml:space="preserve"> washed to remove contaminants </w:t>
      </w:r>
      <w:r w:rsidR="00537B6E">
        <w:rPr>
          <w:rFonts w:ascii="Calibri" w:eastAsia="ＭＳ Ｐゴシック" w:hAnsi="Calibri" w:cs="Times New Roman"/>
        </w:rPr>
        <w:t>and</w:t>
      </w:r>
      <w:r w:rsidRPr="008E7B3A">
        <w:rPr>
          <w:rFonts w:ascii="Calibri" w:eastAsia="ＭＳ Ｐゴシック" w:hAnsi="Calibri" w:cs="Times New Roman"/>
        </w:rPr>
        <w:t xml:space="preserve"> the RNA eluted with water. The samples were then quantified using the ND-1000 </w:t>
      </w:r>
      <w:proofErr w:type="spellStart"/>
      <w:r w:rsidRPr="008E7B3A">
        <w:rPr>
          <w:rFonts w:ascii="Calibri" w:eastAsia="ＭＳ Ｐゴシック" w:hAnsi="Calibri" w:cs="Times New Roman"/>
        </w:rPr>
        <w:t>NanoDrop</w:t>
      </w:r>
      <w:proofErr w:type="spellEnd"/>
      <w:r w:rsidRPr="008E7B3A">
        <w:rPr>
          <w:rFonts w:ascii="Calibri" w:eastAsia="ＭＳ Ｐゴシック" w:hAnsi="Calibri" w:cs="Times New Roman"/>
        </w:rPr>
        <w:t xml:space="preserve"> spectrophotometer with the RNA function selected and using the Beer Lambert calculation as described previously</w:t>
      </w:r>
      <w:r w:rsidR="00537B6E">
        <w:rPr>
          <w:rFonts w:ascii="Calibri" w:eastAsia="ＭＳ Ｐゴシック" w:hAnsi="Calibri" w:cs="Times New Roman"/>
        </w:rPr>
        <w:t xml:space="preserve"> in section 2.2.I.d</w:t>
      </w:r>
      <w:r w:rsidRPr="008E7B3A">
        <w:rPr>
          <w:rFonts w:ascii="Calibri" w:eastAsia="ＭＳ Ｐゴシック" w:hAnsi="Calibri" w:cs="Times New Roman"/>
        </w:rPr>
        <w:t xml:space="preserve">. </w:t>
      </w:r>
    </w:p>
    <w:p w14:paraId="3BB11CDD" w14:textId="77777777" w:rsidR="008E7B3A" w:rsidRPr="008E7B3A" w:rsidRDefault="008E7B3A" w:rsidP="008E7B3A">
      <w:pPr>
        <w:tabs>
          <w:tab w:val="left" w:pos="5360"/>
        </w:tabs>
        <w:spacing w:line="360" w:lineRule="auto"/>
        <w:jc w:val="both"/>
        <w:rPr>
          <w:rFonts w:ascii="Calibri" w:eastAsia="ＭＳ Ｐゴシック" w:hAnsi="Calibri" w:cs="Times New Roman"/>
          <w:b/>
          <w:i/>
        </w:rPr>
      </w:pPr>
    </w:p>
    <w:p w14:paraId="14AD2387" w14:textId="77777777" w:rsidR="008E7B3A" w:rsidRPr="008E7B3A" w:rsidRDefault="008E7B3A" w:rsidP="002F41C6">
      <w:pPr>
        <w:numPr>
          <w:ilvl w:val="0"/>
          <w:numId w:val="22"/>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RT-PCR</w:t>
      </w:r>
    </w:p>
    <w:p w14:paraId="5138B255" w14:textId="4C2B955E" w:rsid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The RNA </w:t>
      </w:r>
      <w:r w:rsidR="00537B6E">
        <w:rPr>
          <w:rFonts w:ascii="Calibri" w:eastAsia="ＭＳ Ｐゴシック" w:hAnsi="Calibri" w:cs="Times New Roman"/>
        </w:rPr>
        <w:t>was then subjected to</w:t>
      </w:r>
      <w:r w:rsidRPr="008E7B3A">
        <w:rPr>
          <w:rFonts w:ascii="Calibri" w:eastAsia="ＭＳ Ｐゴシック" w:hAnsi="Calibri" w:cs="Times New Roman"/>
        </w:rPr>
        <w:t xml:space="preserve"> reverse transcription PCR using the Taqman reverse transcriptase kit (Applied Biosystems). A master mix was made using the following quantities (for one sample):</w:t>
      </w:r>
    </w:p>
    <w:p w14:paraId="5F0DA15A" w14:textId="77777777" w:rsidR="00A219A0" w:rsidRPr="008E7B3A" w:rsidRDefault="00A219A0" w:rsidP="008E7B3A">
      <w:pPr>
        <w:tabs>
          <w:tab w:val="left" w:pos="5360"/>
        </w:tabs>
        <w:spacing w:line="360" w:lineRule="auto"/>
        <w:jc w:val="both"/>
        <w:rPr>
          <w:rFonts w:ascii="Calibri" w:eastAsia="ＭＳ Ｐゴシック" w:hAnsi="Calibri" w:cs="Times New Roman"/>
        </w:rPr>
      </w:pPr>
    </w:p>
    <w:p w14:paraId="071E3AE1" w14:textId="77777777" w:rsidR="008E7B3A" w:rsidRPr="008E7B3A" w:rsidRDefault="008E7B3A" w:rsidP="008E7B3A">
      <w:pPr>
        <w:tabs>
          <w:tab w:val="left" w:pos="5360"/>
        </w:tabs>
        <w:spacing w:line="276" w:lineRule="auto"/>
        <w:jc w:val="both"/>
        <w:rPr>
          <w:rFonts w:ascii="Calibri" w:eastAsia="ＭＳ Ｐゴシック" w:hAnsi="Calibri" w:cs="Times New Roman"/>
          <w:b/>
          <w:i/>
        </w:rPr>
      </w:pPr>
    </w:p>
    <w:tbl>
      <w:tblPr>
        <w:tblStyle w:val="TableGrid"/>
        <w:tblW w:w="0" w:type="auto"/>
        <w:tblLook w:val="04A0" w:firstRow="1" w:lastRow="0" w:firstColumn="1" w:lastColumn="0" w:noHBand="0" w:noVBand="1"/>
      </w:tblPr>
      <w:tblGrid>
        <w:gridCol w:w="4261"/>
        <w:gridCol w:w="4261"/>
      </w:tblGrid>
      <w:tr w:rsidR="008E7B3A" w:rsidRPr="008E7B3A" w14:paraId="12BBCF62" w14:textId="77777777" w:rsidTr="008E7B3A">
        <w:tc>
          <w:tcPr>
            <w:tcW w:w="4261" w:type="dxa"/>
            <w:shd w:val="clear" w:color="auto" w:fill="000000"/>
          </w:tcPr>
          <w:p w14:paraId="2DC56E9B" w14:textId="77777777" w:rsidR="008E7B3A" w:rsidRPr="008E7B3A" w:rsidRDefault="008E7B3A" w:rsidP="008E7B3A">
            <w:pPr>
              <w:tabs>
                <w:tab w:val="left" w:pos="5360"/>
              </w:tabs>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Reagent</w:t>
            </w:r>
          </w:p>
        </w:tc>
        <w:tc>
          <w:tcPr>
            <w:tcW w:w="4261" w:type="dxa"/>
            <w:shd w:val="clear" w:color="auto" w:fill="000000"/>
          </w:tcPr>
          <w:p w14:paraId="0A30F1E0" w14:textId="77777777" w:rsidR="008E7B3A" w:rsidRPr="008E7B3A" w:rsidRDefault="008E7B3A" w:rsidP="008E7B3A">
            <w:pPr>
              <w:tabs>
                <w:tab w:val="left" w:pos="5360"/>
              </w:tabs>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Quantity</w:t>
            </w:r>
          </w:p>
        </w:tc>
      </w:tr>
      <w:tr w:rsidR="008E7B3A" w:rsidRPr="008E7B3A" w14:paraId="31A24E2B" w14:textId="77777777" w:rsidTr="008E7B3A">
        <w:tc>
          <w:tcPr>
            <w:tcW w:w="4261" w:type="dxa"/>
            <w:shd w:val="clear" w:color="auto" w:fill="D9D9D9"/>
          </w:tcPr>
          <w:p w14:paraId="4A0F8E22" w14:textId="77777777" w:rsidR="008E7B3A" w:rsidRPr="008E7B3A" w:rsidRDefault="008E7B3A" w:rsidP="008E7B3A">
            <w:pPr>
              <w:tabs>
                <w:tab w:val="left" w:pos="5360"/>
              </w:tabs>
              <w:spacing w:line="276" w:lineRule="auto"/>
              <w:jc w:val="both"/>
              <w:rPr>
                <w:rFonts w:ascii="Calibri" w:eastAsia="ＭＳ Ｐゴシック" w:hAnsi="Calibri" w:cs="Times New Roman"/>
              </w:rPr>
            </w:pPr>
            <w:proofErr w:type="spellStart"/>
            <w:proofErr w:type="gramStart"/>
            <w:r w:rsidRPr="008E7B3A">
              <w:rPr>
                <w:rFonts w:ascii="Calibri" w:eastAsia="ＭＳ Ｐゴシック" w:hAnsi="Calibri" w:cs="Times New Roman"/>
              </w:rPr>
              <w:t>dNTPs</w:t>
            </w:r>
            <w:proofErr w:type="spellEnd"/>
            <w:proofErr w:type="gramEnd"/>
          </w:p>
        </w:tc>
        <w:tc>
          <w:tcPr>
            <w:tcW w:w="4261" w:type="dxa"/>
          </w:tcPr>
          <w:p w14:paraId="51CC9CA5"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5.5</w:t>
            </w:r>
            <m:oMath>
              <m:r>
                <w:rPr>
                  <w:rFonts w:ascii="Cambria Math" w:eastAsia="ＭＳ Ｐゴシック" w:hAnsi="Cambria Math" w:cs="Times New Roman"/>
                </w:rPr>
                <m:t>μ</m:t>
              </m:r>
            </m:oMath>
            <w:r w:rsidRPr="008E7B3A">
              <w:rPr>
                <w:rFonts w:ascii="Calibri" w:eastAsia="ＭＳ Ｐゴシック" w:hAnsi="Calibri" w:cs="Times New Roman"/>
              </w:rPr>
              <w:t>l</w:t>
            </w:r>
          </w:p>
        </w:tc>
      </w:tr>
      <w:tr w:rsidR="008E7B3A" w:rsidRPr="008E7B3A" w14:paraId="7B40E16F" w14:textId="77777777" w:rsidTr="008E7B3A">
        <w:tc>
          <w:tcPr>
            <w:tcW w:w="4261" w:type="dxa"/>
            <w:shd w:val="clear" w:color="auto" w:fill="D9D9D9"/>
          </w:tcPr>
          <w:p w14:paraId="3A9D9480"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MgCl</w:t>
            </w:r>
            <w:r w:rsidRPr="008E7B3A">
              <w:rPr>
                <w:rFonts w:ascii="Calibri" w:eastAsia="ＭＳ Ｐゴシック" w:hAnsi="Calibri" w:cs="Times New Roman"/>
                <w:vertAlign w:val="subscript"/>
              </w:rPr>
              <w:t>2</w:t>
            </w:r>
          </w:p>
        </w:tc>
        <w:tc>
          <w:tcPr>
            <w:tcW w:w="4261" w:type="dxa"/>
          </w:tcPr>
          <w:p w14:paraId="4A56B3E9"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5</w:t>
            </w:r>
            <m:oMath>
              <m:r>
                <w:rPr>
                  <w:rFonts w:ascii="Cambria Math" w:eastAsia="ＭＳ Ｐゴシック" w:hAnsi="Cambria Math" w:cs="Times New Roman"/>
                </w:rPr>
                <m:t>μ</m:t>
              </m:r>
            </m:oMath>
            <w:r w:rsidRPr="008E7B3A">
              <w:rPr>
                <w:rFonts w:ascii="Calibri" w:eastAsia="ＭＳ Ｐゴシック" w:hAnsi="Calibri" w:cs="Times New Roman"/>
              </w:rPr>
              <w:t>l</w:t>
            </w:r>
          </w:p>
        </w:tc>
      </w:tr>
      <w:tr w:rsidR="008E7B3A" w:rsidRPr="008E7B3A" w14:paraId="2AF8C04F" w14:textId="77777777" w:rsidTr="008E7B3A">
        <w:tc>
          <w:tcPr>
            <w:tcW w:w="4261" w:type="dxa"/>
            <w:shd w:val="clear" w:color="auto" w:fill="D9D9D9"/>
          </w:tcPr>
          <w:p w14:paraId="03155FD5"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 xml:space="preserve">Random </w:t>
            </w:r>
            <w:proofErr w:type="spellStart"/>
            <w:r w:rsidRPr="008E7B3A">
              <w:rPr>
                <w:rFonts w:ascii="Calibri" w:eastAsia="ＭＳ Ｐゴシック" w:hAnsi="Calibri" w:cs="Times New Roman"/>
              </w:rPr>
              <w:t>Hexamers</w:t>
            </w:r>
            <w:proofErr w:type="spellEnd"/>
          </w:p>
        </w:tc>
        <w:tc>
          <w:tcPr>
            <w:tcW w:w="4261" w:type="dxa"/>
          </w:tcPr>
          <w:p w14:paraId="660A0F45"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1.25</w:t>
            </w:r>
            <m:oMath>
              <m:r>
                <w:rPr>
                  <w:rFonts w:ascii="Cambria Math" w:eastAsia="ＭＳ Ｐゴシック" w:hAnsi="Cambria Math" w:cs="Times New Roman"/>
                </w:rPr>
                <m:t>μ</m:t>
              </m:r>
            </m:oMath>
            <w:r w:rsidRPr="008E7B3A">
              <w:rPr>
                <w:rFonts w:ascii="Calibri" w:eastAsia="ＭＳ Ｐゴシック" w:hAnsi="Calibri" w:cs="Times New Roman"/>
              </w:rPr>
              <w:t>l</w:t>
            </w:r>
          </w:p>
        </w:tc>
      </w:tr>
      <w:tr w:rsidR="008E7B3A" w:rsidRPr="008E7B3A" w14:paraId="05B9686B" w14:textId="77777777" w:rsidTr="008E7B3A">
        <w:tc>
          <w:tcPr>
            <w:tcW w:w="4261" w:type="dxa"/>
            <w:shd w:val="clear" w:color="auto" w:fill="D9D9D9"/>
          </w:tcPr>
          <w:p w14:paraId="23F652F2"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RNase Inhibitor</w:t>
            </w:r>
          </w:p>
        </w:tc>
        <w:tc>
          <w:tcPr>
            <w:tcW w:w="4261" w:type="dxa"/>
          </w:tcPr>
          <w:p w14:paraId="3BD8C2E4"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0.5</w:t>
            </w:r>
            <m:oMath>
              <m:r>
                <w:rPr>
                  <w:rFonts w:ascii="Cambria Math" w:eastAsia="ＭＳ Ｐゴシック" w:hAnsi="Cambria Math" w:cs="Times New Roman"/>
                </w:rPr>
                <m:t>μ</m:t>
              </m:r>
            </m:oMath>
            <w:r w:rsidRPr="008E7B3A">
              <w:rPr>
                <w:rFonts w:ascii="Calibri" w:eastAsia="ＭＳ Ｐゴシック" w:hAnsi="Calibri" w:cs="Times New Roman"/>
              </w:rPr>
              <w:t>l</w:t>
            </w:r>
          </w:p>
        </w:tc>
      </w:tr>
      <w:tr w:rsidR="008E7B3A" w:rsidRPr="008E7B3A" w14:paraId="752A40B7" w14:textId="77777777" w:rsidTr="008E7B3A">
        <w:tc>
          <w:tcPr>
            <w:tcW w:w="4261" w:type="dxa"/>
            <w:shd w:val="clear" w:color="auto" w:fill="D9D9D9"/>
          </w:tcPr>
          <w:p w14:paraId="34E77E34"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Multiscribe RTase</w:t>
            </w:r>
          </w:p>
        </w:tc>
        <w:tc>
          <w:tcPr>
            <w:tcW w:w="4261" w:type="dxa"/>
          </w:tcPr>
          <w:p w14:paraId="2FE1669C"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0.625</w:t>
            </w:r>
            <m:oMath>
              <m:r>
                <w:rPr>
                  <w:rFonts w:ascii="Cambria Math" w:eastAsia="ＭＳ Ｐゴシック" w:hAnsi="Cambria Math" w:cs="Times New Roman"/>
                </w:rPr>
                <m:t>μ</m:t>
              </m:r>
            </m:oMath>
            <w:r w:rsidRPr="008E7B3A">
              <w:rPr>
                <w:rFonts w:ascii="Calibri" w:eastAsia="ＭＳ Ｐゴシック" w:hAnsi="Calibri" w:cs="Times New Roman"/>
              </w:rPr>
              <w:t>l</w:t>
            </w:r>
          </w:p>
        </w:tc>
      </w:tr>
      <w:tr w:rsidR="008E7B3A" w:rsidRPr="008E7B3A" w14:paraId="39A528E3" w14:textId="77777777" w:rsidTr="008E7B3A">
        <w:tc>
          <w:tcPr>
            <w:tcW w:w="4261" w:type="dxa"/>
            <w:shd w:val="clear" w:color="auto" w:fill="D9D9D9"/>
          </w:tcPr>
          <w:p w14:paraId="7101A8B5"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10x Buffer</w:t>
            </w:r>
          </w:p>
        </w:tc>
        <w:tc>
          <w:tcPr>
            <w:tcW w:w="4261" w:type="dxa"/>
          </w:tcPr>
          <w:p w14:paraId="67B22E40"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2.5</w:t>
            </w:r>
            <m:oMath>
              <m:r>
                <w:rPr>
                  <w:rFonts w:ascii="Cambria Math" w:eastAsia="ＭＳ Ｐゴシック" w:hAnsi="Cambria Math" w:cs="Times New Roman"/>
                </w:rPr>
                <m:t>μ</m:t>
              </m:r>
            </m:oMath>
            <w:r w:rsidRPr="008E7B3A">
              <w:rPr>
                <w:rFonts w:ascii="Calibri" w:eastAsia="ＭＳ Ｐゴシック" w:hAnsi="Calibri" w:cs="Times New Roman"/>
              </w:rPr>
              <w:t>l</w:t>
            </w:r>
          </w:p>
        </w:tc>
      </w:tr>
    </w:tbl>
    <w:p w14:paraId="101E6BED" w14:textId="758DECFD" w:rsidR="008E7B3A" w:rsidRPr="008E7B3A" w:rsidRDefault="00CF5335" w:rsidP="008E7B3A">
      <w:pPr>
        <w:tabs>
          <w:tab w:val="left" w:pos="5360"/>
        </w:tabs>
        <w:spacing w:line="276" w:lineRule="auto"/>
        <w:jc w:val="both"/>
        <w:rPr>
          <w:rFonts w:ascii="Calibri" w:eastAsia="ＭＳ Ｐゴシック" w:hAnsi="Calibri" w:cs="Times New Roman"/>
          <w:b/>
        </w:rPr>
      </w:pPr>
      <w:r>
        <w:rPr>
          <w:rFonts w:ascii="Calibri" w:eastAsia="ＭＳ Ｐゴシック" w:hAnsi="Calibri" w:cs="Times New Roman"/>
          <w:b/>
        </w:rPr>
        <w:t>Table 2.2</w:t>
      </w:r>
      <w:r w:rsidR="008E7B3A" w:rsidRPr="008E7B3A">
        <w:rPr>
          <w:rFonts w:ascii="Calibri" w:eastAsia="ＭＳ Ｐゴシック" w:hAnsi="Calibri" w:cs="Times New Roman"/>
          <w:b/>
        </w:rPr>
        <w:t xml:space="preserve"> Amounts of each component used from the Taqman RT-PCR kit</w:t>
      </w:r>
    </w:p>
    <w:p w14:paraId="7A1F264E" w14:textId="77777777" w:rsidR="008E7B3A" w:rsidRPr="008E7B3A" w:rsidRDefault="008E7B3A" w:rsidP="008E7B3A">
      <w:pPr>
        <w:tabs>
          <w:tab w:val="left" w:pos="5360"/>
        </w:tabs>
        <w:spacing w:line="276" w:lineRule="auto"/>
        <w:jc w:val="both"/>
        <w:rPr>
          <w:rFonts w:ascii="Calibri" w:eastAsia="ＭＳ Ｐゴシック" w:hAnsi="Calibri" w:cs="Times New Roman"/>
        </w:rPr>
      </w:pPr>
    </w:p>
    <w:p w14:paraId="5857AA54" w14:textId="52981D6F" w:rsidR="008E7B3A" w:rsidRPr="008E7B3A" w:rsidRDefault="008E7B3A" w:rsidP="00A373B1">
      <w:pPr>
        <w:spacing w:line="360" w:lineRule="auto"/>
        <w:rPr>
          <w:rFonts w:ascii="Calibri" w:eastAsia="ＭＳ Ｐゴシック" w:hAnsi="Calibri" w:cs="Times New Roman"/>
        </w:rPr>
      </w:pPr>
      <w:r w:rsidRPr="008E7B3A">
        <w:rPr>
          <w:rFonts w:ascii="Calibri" w:eastAsia="ＭＳ Ｐゴシック" w:hAnsi="Calibri" w:cs="Times New Roman"/>
        </w:rPr>
        <w:t>This mix was made up to 25</w:t>
      </w:r>
      <m:oMath>
        <m:r>
          <w:rPr>
            <w:rFonts w:ascii="Cambria Math" w:eastAsia="ＭＳ Ｐゴシック" w:hAnsi="Cambria Math" w:cs="Times New Roman"/>
          </w:rPr>
          <m:t>μ</m:t>
        </m:r>
      </m:oMath>
      <w:r w:rsidRPr="008E7B3A">
        <w:rPr>
          <w:rFonts w:ascii="Calibri" w:eastAsia="ＭＳ Ｐゴシック" w:hAnsi="Calibri" w:cs="Times New Roman"/>
        </w:rPr>
        <w:t>l with 200ng of RNA and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 xml:space="preserve">O in PCR tubes. These were </w:t>
      </w:r>
      <w:r w:rsidR="00537B6E">
        <w:rPr>
          <w:rFonts w:ascii="Calibri" w:eastAsia="ＭＳ Ｐゴシック" w:hAnsi="Calibri" w:cs="Times New Roman"/>
        </w:rPr>
        <w:t>incubated</w:t>
      </w:r>
      <w:r w:rsidRPr="008E7B3A">
        <w:rPr>
          <w:rFonts w:ascii="Calibri" w:eastAsia="ＭＳ Ｐゴシック" w:hAnsi="Calibri" w:cs="Times New Roman"/>
        </w:rPr>
        <w:t xml:space="preserve"> on a PCR machine using the following settings:</w:t>
      </w:r>
    </w:p>
    <w:p w14:paraId="362E4F0E" w14:textId="77777777" w:rsidR="008E7B3A" w:rsidRPr="008E7B3A" w:rsidRDefault="008E7B3A" w:rsidP="00A373B1">
      <w:pPr>
        <w:tabs>
          <w:tab w:val="left" w:pos="5360"/>
        </w:tabs>
        <w:spacing w:line="360" w:lineRule="auto"/>
        <w:jc w:val="both"/>
        <w:rPr>
          <w:rFonts w:ascii="Calibri" w:eastAsia="ＭＳ Ｐゴシック" w:hAnsi="Calibri" w:cs="Times New Roman"/>
          <w:b/>
          <w:i/>
        </w:rPr>
      </w:pPr>
    </w:p>
    <w:tbl>
      <w:tblPr>
        <w:tblStyle w:val="TableGrid"/>
        <w:tblW w:w="0" w:type="auto"/>
        <w:tblLook w:val="04A0" w:firstRow="1" w:lastRow="0" w:firstColumn="1" w:lastColumn="0" w:noHBand="0" w:noVBand="1"/>
      </w:tblPr>
      <w:tblGrid>
        <w:gridCol w:w="2838"/>
        <w:gridCol w:w="2839"/>
        <w:gridCol w:w="2839"/>
      </w:tblGrid>
      <w:tr w:rsidR="008E7B3A" w:rsidRPr="008E7B3A" w14:paraId="5DD03E51" w14:textId="77777777" w:rsidTr="008E7B3A">
        <w:tc>
          <w:tcPr>
            <w:tcW w:w="2838" w:type="dxa"/>
            <w:shd w:val="clear" w:color="auto" w:fill="000000"/>
          </w:tcPr>
          <w:p w14:paraId="299B8D33" w14:textId="77777777" w:rsidR="008E7B3A" w:rsidRPr="008E7B3A" w:rsidRDefault="008E7B3A" w:rsidP="008E7B3A">
            <w:pPr>
              <w:tabs>
                <w:tab w:val="left" w:pos="5360"/>
              </w:tabs>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Step</w:t>
            </w:r>
          </w:p>
        </w:tc>
        <w:tc>
          <w:tcPr>
            <w:tcW w:w="2839" w:type="dxa"/>
            <w:shd w:val="clear" w:color="auto" w:fill="000000"/>
          </w:tcPr>
          <w:p w14:paraId="4F84B172" w14:textId="77777777" w:rsidR="008E7B3A" w:rsidRPr="008E7B3A" w:rsidRDefault="008E7B3A" w:rsidP="008E7B3A">
            <w:pPr>
              <w:tabs>
                <w:tab w:val="left" w:pos="5360"/>
              </w:tabs>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Temperature</w:t>
            </w:r>
          </w:p>
        </w:tc>
        <w:tc>
          <w:tcPr>
            <w:tcW w:w="2839" w:type="dxa"/>
            <w:shd w:val="clear" w:color="auto" w:fill="000000"/>
          </w:tcPr>
          <w:p w14:paraId="30984D0A" w14:textId="77777777" w:rsidR="008E7B3A" w:rsidRPr="008E7B3A" w:rsidRDefault="008E7B3A" w:rsidP="008E7B3A">
            <w:pPr>
              <w:tabs>
                <w:tab w:val="left" w:pos="5360"/>
              </w:tabs>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Time (Minutes)</w:t>
            </w:r>
          </w:p>
        </w:tc>
      </w:tr>
      <w:tr w:rsidR="008E7B3A" w:rsidRPr="008E7B3A" w14:paraId="75340438" w14:textId="77777777" w:rsidTr="008E7B3A">
        <w:tc>
          <w:tcPr>
            <w:tcW w:w="2838" w:type="dxa"/>
            <w:shd w:val="clear" w:color="auto" w:fill="D9D9D9"/>
          </w:tcPr>
          <w:p w14:paraId="18F3806C"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1</w:t>
            </w:r>
          </w:p>
        </w:tc>
        <w:tc>
          <w:tcPr>
            <w:tcW w:w="2839" w:type="dxa"/>
          </w:tcPr>
          <w:p w14:paraId="50925E4A"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25</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839" w:type="dxa"/>
          </w:tcPr>
          <w:p w14:paraId="1A38196C"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5</w:t>
            </w:r>
          </w:p>
        </w:tc>
      </w:tr>
      <w:tr w:rsidR="008E7B3A" w:rsidRPr="008E7B3A" w14:paraId="5B5EACCC" w14:textId="77777777" w:rsidTr="008E7B3A">
        <w:tc>
          <w:tcPr>
            <w:tcW w:w="2838" w:type="dxa"/>
            <w:shd w:val="clear" w:color="auto" w:fill="D9D9D9"/>
          </w:tcPr>
          <w:p w14:paraId="6792DD31"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2</w:t>
            </w:r>
          </w:p>
        </w:tc>
        <w:tc>
          <w:tcPr>
            <w:tcW w:w="2839" w:type="dxa"/>
          </w:tcPr>
          <w:p w14:paraId="083C7C97"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48</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839" w:type="dxa"/>
          </w:tcPr>
          <w:p w14:paraId="138473E4"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60</w:t>
            </w:r>
          </w:p>
        </w:tc>
      </w:tr>
      <w:tr w:rsidR="008E7B3A" w:rsidRPr="008E7B3A" w14:paraId="04AFC648" w14:textId="77777777" w:rsidTr="008E7B3A">
        <w:tc>
          <w:tcPr>
            <w:tcW w:w="2838" w:type="dxa"/>
            <w:shd w:val="clear" w:color="auto" w:fill="D9D9D9"/>
          </w:tcPr>
          <w:p w14:paraId="5A17E613"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3</w:t>
            </w:r>
          </w:p>
        </w:tc>
        <w:tc>
          <w:tcPr>
            <w:tcW w:w="2839" w:type="dxa"/>
          </w:tcPr>
          <w:p w14:paraId="61E24A2E"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95</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839" w:type="dxa"/>
          </w:tcPr>
          <w:p w14:paraId="4144BA67" w14:textId="77777777" w:rsidR="008E7B3A" w:rsidRPr="008E7B3A" w:rsidRDefault="008E7B3A" w:rsidP="008E7B3A">
            <w:pPr>
              <w:tabs>
                <w:tab w:val="left" w:pos="5360"/>
              </w:tabs>
              <w:spacing w:line="276" w:lineRule="auto"/>
              <w:rPr>
                <w:rFonts w:ascii="Calibri" w:eastAsia="ＭＳ Ｐゴシック" w:hAnsi="Calibri" w:cs="Times New Roman"/>
              </w:rPr>
            </w:pPr>
            <w:r w:rsidRPr="008E7B3A">
              <w:rPr>
                <w:rFonts w:ascii="Calibri" w:eastAsia="ＭＳ Ｐゴシック" w:hAnsi="Calibri" w:cs="Times New Roman"/>
              </w:rPr>
              <w:t>5</w:t>
            </w:r>
          </w:p>
        </w:tc>
      </w:tr>
      <w:tr w:rsidR="008E7B3A" w:rsidRPr="008E7B3A" w14:paraId="2E724E43" w14:textId="77777777" w:rsidTr="008E7B3A">
        <w:tc>
          <w:tcPr>
            <w:tcW w:w="2838" w:type="dxa"/>
            <w:shd w:val="clear" w:color="auto" w:fill="D9D9D9"/>
          </w:tcPr>
          <w:p w14:paraId="665668DC"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4</w:t>
            </w:r>
          </w:p>
        </w:tc>
        <w:tc>
          <w:tcPr>
            <w:tcW w:w="2839" w:type="dxa"/>
          </w:tcPr>
          <w:p w14:paraId="1C019C50" w14:textId="77777777" w:rsidR="008E7B3A" w:rsidRPr="008E7B3A" w:rsidRDefault="008E7B3A" w:rsidP="008E7B3A">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w:t>
            </w:r>
          </w:p>
        </w:tc>
        <w:tc>
          <w:tcPr>
            <w:tcW w:w="2839" w:type="dxa"/>
          </w:tcPr>
          <w:p w14:paraId="04D65B1E" w14:textId="77777777" w:rsidR="008E7B3A" w:rsidRPr="008E7B3A" w:rsidRDefault="008E7B3A" w:rsidP="008E7B3A">
            <w:pPr>
              <w:tabs>
                <w:tab w:val="left" w:pos="5360"/>
              </w:tabs>
              <w:spacing w:line="276" w:lineRule="auto"/>
              <w:rPr>
                <w:rFonts w:ascii="Calibri" w:eastAsia="ＭＳ Ｐゴシック" w:hAnsi="Calibri" w:cs="Times New Roman"/>
              </w:rPr>
            </w:pPr>
            <m:oMath>
              <m:r>
                <w:rPr>
                  <w:rFonts w:ascii="Cambria Math" w:eastAsia="ＭＳ Ｐゴシック" w:hAnsi="Cambria Math" w:cs="Times New Roman"/>
                </w:rPr>
                <m:t>∝</m:t>
              </m:r>
            </m:oMath>
            <w:r w:rsidRPr="008E7B3A">
              <w:rPr>
                <w:rFonts w:ascii="Calibri" w:eastAsia="ＭＳ Ｐゴシック" w:hAnsi="Calibri" w:cs="Times New Roman"/>
              </w:rPr>
              <w:t xml:space="preserve"> </w:t>
            </w:r>
          </w:p>
        </w:tc>
      </w:tr>
    </w:tbl>
    <w:p w14:paraId="72313B4D" w14:textId="055C91E8" w:rsidR="008E7B3A" w:rsidRPr="008E7B3A" w:rsidRDefault="00CF5335" w:rsidP="008E7B3A">
      <w:pPr>
        <w:tabs>
          <w:tab w:val="left" w:pos="5360"/>
        </w:tabs>
        <w:spacing w:line="276" w:lineRule="auto"/>
        <w:jc w:val="both"/>
        <w:rPr>
          <w:rFonts w:ascii="Calibri" w:eastAsia="ＭＳ Ｐゴシック" w:hAnsi="Calibri" w:cs="Times New Roman"/>
        </w:rPr>
      </w:pPr>
      <w:r>
        <w:rPr>
          <w:rFonts w:ascii="Calibri" w:eastAsia="ＭＳ Ｐゴシック" w:hAnsi="Calibri" w:cs="Times New Roman"/>
          <w:b/>
          <w:i/>
        </w:rPr>
        <w:t>Table 2.3</w:t>
      </w:r>
      <w:r w:rsidR="008E7B3A" w:rsidRPr="008E7B3A">
        <w:rPr>
          <w:rFonts w:ascii="Calibri" w:eastAsia="ＭＳ Ｐゴシック" w:hAnsi="Calibri" w:cs="Times New Roman"/>
          <w:b/>
          <w:i/>
        </w:rPr>
        <w:t xml:space="preserve"> RT-PCR Programme to make cDNA</w:t>
      </w:r>
    </w:p>
    <w:p w14:paraId="65BCE671" w14:textId="77777777" w:rsidR="008E7B3A" w:rsidRPr="008E7B3A" w:rsidRDefault="008E7B3A" w:rsidP="008E7B3A">
      <w:pPr>
        <w:tabs>
          <w:tab w:val="left" w:pos="5360"/>
        </w:tabs>
        <w:spacing w:line="276" w:lineRule="auto"/>
        <w:jc w:val="both"/>
        <w:rPr>
          <w:rFonts w:ascii="Calibri" w:eastAsia="ＭＳ Ｐゴシック" w:hAnsi="Calibri" w:cs="Times New Roman"/>
          <w:b/>
          <w:i/>
        </w:rPr>
      </w:pPr>
    </w:p>
    <w:p w14:paraId="1AE1656E" w14:textId="77777777" w:rsidR="008E7B3A" w:rsidRPr="008E7B3A" w:rsidRDefault="008E7B3A" w:rsidP="002F41C6">
      <w:pPr>
        <w:numPr>
          <w:ilvl w:val="0"/>
          <w:numId w:val="22"/>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Taqman Assay for relative expression of mRNA</w:t>
      </w:r>
    </w:p>
    <w:p w14:paraId="276058AE" w14:textId="2D297EE4" w:rsid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For the Taqman assay</w:t>
      </w:r>
      <w:r w:rsidR="00537B6E">
        <w:rPr>
          <w:rFonts w:ascii="Calibri" w:eastAsia="ＭＳ Ｐゴシック" w:hAnsi="Calibri" w:cs="Times New Roman"/>
        </w:rPr>
        <w:t>,</w:t>
      </w:r>
      <w:r w:rsidRPr="008E7B3A">
        <w:rPr>
          <w:rFonts w:ascii="Calibri" w:eastAsia="ＭＳ Ｐゴシック" w:hAnsi="Calibri" w:cs="Times New Roman"/>
        </w:rPr>
        <w:t xml:space="preserve"> 5</w:t>
      </w:r>
      <m:oMath>
        <m:r>
          <w:rPr>
            <w:rFonts w:ascii="Cambria Math" w:eastAsia="ＭＳ Ｐゴシック" w:hAnsi="Cambria Math" w:cs="Times New Roman"/>
          </w:rPr>
          <m:t>μ</m:t>
        </m:r>
      </m:oMath>
      <w:r w:rsidRPr="008E7B3A">
        <w:rPr>
          <w:rFonts w:ascii="Calibri" w:eastAsia="ＭＳ Ｐゴシック" w:hAnsi="Calibri" w:cs="Times New Roman"/>
        </w:rPr>
        <w:t>l of master mix (Applied Biosystems), 0.5</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probe </w:t>
      </w:r>
      <w:r w:rsidR="00537B6E">
        <w:rPr>
          <w:rFonts w:ascii="Calibri" w:eastAsia="ＭＳ Ｐゴシック" w:hAnsi="Calibri" w:cs="Times New Roman"/>
        </w:rPr>
        <w:t>mix</w:t>
      </w:r>
      <w:r w:rsidR="00A373B1">
        <w:rPr>
          <w:rFonts w:ascii="Calibri" w:eastAsia="ＭＳ Ｐゴシック" w:hAnsi="Calibri" w:cs="Times New Roman"/>
        </w:rPr>
        <w:t xml:space="preserve"> </w:t>
      </w:r>
      <w:r w:rsidRPr="008E7B3A">
        <w:rPr>
          <w:rFonts w:ascii="Calibri" w:eastAsia="ＭＳ Ｐゴシック" w:hAnsi="Calibri" w:cs="Times New Roman"/>
        </w:rPr>
        <w:t>(Applied Biosystems) and 2.5</w:t>
      </w:r>
      <m:oMath>
        <m:r>
          <w:rPr>
            <w:rFonts w:ascii="Cambria Math" w:eastAsia="ＭＳ Ｐゴシック" w:hAnsi="Cambria Math" w:cs="Times New Roman"/>
          </w:rPr>
          <m:t>μ</m:t>
        </m:r>
      </m:oMath>
      <w:r w:rsidRPr="008E7B3A">
        <w:rPr>
          <w:rFonts w:ascii="Calibri" w:eastAsia="ＭＳ Ｐゴシック" w:hAnsi="Calibri" w:cs="Times New Roman"/>
        </w:rPr>
        <w:t>l of ddH</w:t>
      </w:r>
      <w:r w:rsidRPr="008E7B3A">
        <w:rPr>
          <w:rFonts w:ascii="Calibri" w:eastAsia="ＭＳ Ｐゴシック" w:hAnsi="Calibri" w:cs="Times New Roman"/>
          <w:vertAlign w:val="subscript"/>
        </w:rPr>
        <w:t>2</w:t>
      </w:r>
      <w:r w:rsidRPr="008E7B3A">
        <w:rPr>
          <w:rFonts w:ascii="Calibri" w:eastAsia="ＭＳ Ｐゴシック" w:hAnsi="Calibri" w:cs="Times New Roman"/>
        </w:rPr>
        <w:t>O was added to each well needed in a 384 well PCR plate, then 2</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PCR product from the above RT-PCR reaction was added to triplicate wells. This was carried out for the </w:t>
      </w:r>
      <w:r w:rsidRPr="008E7B3A">
        <w:rPr>
          <w:rFonts w:ascii="Calibri" w:eastAsia="ＭＳ Ｐゴシック" w:hAnsi="Calibri" w:cs="Times New Roman"/>
          <w:i/>
        </w:rPr>
        <w:t>SRCAP</w:t>
      </w:r>
      <w:r w:rsidRPr="008E7B3A">
        <w:rPr>
          <w:rFonts w:ascii="Calibri" w:eastAsia="ＭＳ Ｐゴシック" w:hAnsi="Calibri" w:cs="Times New Roman"/>
        </w:rPr>
        <w:t xml:space="preserve"> (Hs00198472_m1) and </w:t>
      </w:r>
      <w:r w:rsidRPr="008E7B3A">
        <w:rPr>
          <w:rFonts w:ascii="Calibri" w:eastAsia="ＭＳ Ｐゴシック" w:hAnsi="Calibri" w:cs="Times New Roman"/>
          <w:i/>
        </w:rPr>
        <w:t>p400</w:t>
      </w:r>
      <w:r w:rsidRPr="008E7B3A">
        <w:rPr>
          <w:rFonts w:ascii="Calibri" w:eastAsia="ＭＳ Ｐゴシック" w:hAnsi="Calibri" w:cs="Times New Roman"/>
        </w:rPr>
        <w:t xml:space="preserve"> (Hs01566078_m1) Taqman probes, as well as control </w:t>
      </w:r>
      <w:r w:rsidRPr="008E7B3A">
        <w:rPr>
          <w:rFonts w:ascii="Calibri" w:eastAsia="ＭＳ Ｐゴシック" w:hAnsi="Calibri" w:cs="Times New Roman"/>
          <w:i/>
        </w:rPr>
        <w:t>18S</w:t>
      </w:r>
      <w:r w:rsidRPr="008E7B3A">
        <w:rPr>
          <w:rFonts w:ascii="Calibri" w:eastAsia="ＭＳ Ｐゴシック" w:hAnsi="Calibri" w:cs="Times New Roman"/>
        </w:rPr>
        <w:t xml:space="preserve"> probe as a housekeeping gene (</w:t>
      </w:r>
      <w:r w:rsidR="007A3A36">
        <w:rPr>
          <w:rFonts w:ascii="Calibri" w:eastAsia="ＭＳ Ｐゴシック" w:hAnsi="Calibri" w:cs="Times New Roman"/>
        </w:rPr>
        <w:t xml:space="preserve">Hs03003631_g1, </w:t>
      </w:r>
      <w:r w:rsidRPr="008E7B3A">
        <w:rPr>
          <w:rFonts w:ascii="Calibri" w:eastAsia="ＭＳ Ｐゴシック" w:hAnsi="Calibri" w:cs="Times New Roman"/>
        </w:rPr>
        <w:t xml:space="preserve">Applied Biosystems). </w:t>
      </w:r>
      <w:r w:rsidR="00A219A0" w:rsidRPr="00E82D3B">
        <w:rPr>
          <w:rFonts w:ascii="Calibri" w:eastAsia="ＭＳ Ｐゴシック" w:hAnsi="Calibri" w:cs="Times New Roman"/>
        </w:rPr>
        <w:t>18S was chosen as a housekeeping gene due to previous optimisation within the Collis laboratory</w:t>
      </w:r>
      <w:r w:rsidR="00A219A0">
        <w:rPr>
          <w:rFonts w:ascii="Calibri" w:eastAsia="ＭＳ Ｐゴシック" w:hAnsi="Calibri" w:cs="Times New Roman"/>
        </w:rPr>
        <w:t xml:space="preserve">. </w:t>
      </w:r>
      <w:r w:rsidRPr="008E7B3A">
        <w:rPr>
          <w:rFonts w:ascii="Calibri" w:eastAsia="ＭＳ Ｐゴシック" w:hAnsi="Calibri" w:cs="Times New Roman"/>
        </w:rPr>
        <w:t>The plate was run on a 7900 RT-PCR machine using the SDS 2.4 programme, with repeat settings of 40 and the reporter set to FAM.  The data was then exported to excel and the 2</w:t>
      </w:r>
      <w:r w:rsidRPr="008E7B3A">
        <w:rPr>
          <w:rFonts w:ascii="Calibri" w:eastAsia="ＭＳ Ｐゴシック" w:hAnsi="Calibri" w:cs="Times New Roman"/>
          <w:vertAlign w:val="superscript"/>
        </w:rPr>
        <w:t>-ΔΔCt</w:t>
      </w:r>
      <w:r w:rsidRPr="008E7B3A">
        <w:rPr>
          <w:rFonts w:ascii="Calibri" w:eastAsia="ＭＳ Ｐゴシック" w:hAnsi="Calibri" w:cs="Times New Roman"/>
        </w:rPr>
        <w:t xml:space="preserve"> </w:t>
      </w:r>
      <w:proofErr w:type="gramStart"/>
      <w:r w:rsidRPr="008E7B3A">
        <w:rPr>
          <w:rFonts w:ascii="Calibri" w:eastAsia="ＭＳ Ｐゴシック" w:hAnsi="Calibri" w:cs="Times New Roman"/>
        </w:rPr>
        <w:t>method</w:t>
      </w:r>
      <w:proofErr w:type="gramEnd"/>
      <w:r w:rsidRPr="008E7B3A">
        <w:rPr>
          <w:rFonts w:ascii="Calibri" w:eastAsia="ＭＳ Ｐゴシック" w:hAnsi="Calibri" w:cs="Times New Roman"/>
        </w:rPr>
        <w:t xml:space="preserve"> applied in order to assess changes in expression levels</w:t>
      </w:r>
      <w:r w:rsidR="00537B6E">
        <w:rPr>
          <w:rFonts w:ascii="Calibri" w:eastAsia="ＭＳ Ｐゴシック" w:hAnsi="Calibri" w:cs="Times New Roman"/>
        </w:rPr>
        <w:t>, as follows</w:t>
      </w:r>
      <w:r w:rsidRPr="008E7B3A">
        <w:rPr>
          <w:rFonts w:ascii="Calibri" w:eastAsia="ＭＳ Ｐゴシック" w:hAnsi="Calibri" w:cs="Times New Roman"/>
        </w:rPr>
        <w:t xml:space="preserve">. Firstly an average was taken of the three repeat Ct values for the gene of interest and the control housekeeping gene. The average housekeeping gene value was subtracted from the gene of interest value giving the delta Ct value for both experimental and control data. Next the difference between the delta Ct for experimental and delta Ct for control was calculated to get the delta </w:t>
      </w:r>
      <w:proofErr w:type="spellStart"/>
      <w:r w:rsidRPr="008E7B3A">
        <w:rPr>
          <w:rFonts w:ascii="Calibri" w:eastAsia="ＭＳ Ｐゴシック" w:hAnsi="Calibri" w:cs="Times New Roman"/>
        </w:rPr>
        <w:t>delta</w:t>
      </w:r>
      <w:proofErr w:type="spellEnd"/>
      <w:r w:rsidRPr="008E7B3A">
        <w:rPr>
          <w:rFonts w:ascii="Calibri" w:eastAsia="ＭＳ Ｐゴシック" w:hAnsi="Calibri" w:cs="Times New Roman"/>
        </w:rPr>
        <w:t xml:space="preserve"> Ct value. And finally to </w:t>
      </w:r>
      <w:r w:rsidR="00537B6E">
        <w:rPr>
          <w:rFonts w:ascii="Calibri" w:eastAsia="ＭＳ Ｐゴシック" w:hAnsi="Calibri" w:cs="Times New Roman"/>
        </w:rPr>
        <w:t>obtain</w:t>
      </w:r>
      <w:r w:rsidRPr="008E7B3A">
        <w:rPr>
          <w:rFonts w:ascii="Calibri" w:eastAsia="ＭＳ Ｐゴシック" w:hAnsi="Calibri" w:cs="Times New Roman"/>
        </w:rPr>
        <w:t xml:space="preserve"> the relative mRNA expression</w:t>
      </w:r>
      <w:r w:rsidR="00537B6E">
        <w:rPr>
          <w:rFonts w:ascii="Calibri" w:eastAsia="ＭＳ Ｐゴシック" w:hAnsi="Calibri" w:cs="Times New Roman"/>
        </w:rPr>
        <w:t>,</w:t>
      </w:r>
      <w:r w:rsidRPr="008E7B3A">
        <w:rPr>
          <w:rFonts w:ascii="Calibri" w:eastAsia="ＭＳ Ｐゴシック" w:hAnsi="Calibri" w:cs="Times New Roman"/>
        </w:rPr>
        <w:t xml:space="preserve"> 2</w:t>
      </w:r>
      <w:r w:rsidRPr="008E7B3A">
        <w:rPr>
          <w:rFonts w:ascii="Calibri" w:eastAsia="ＭＳ Ｐゴシック" w:hAnsi="Calibri" w:cs="Times New Roman"/>
          <w:vertAlign w:val="superscript"/>
        </w:rPr>
        <w:t xml:space="preserve">-ΔΔCt </w:t>
      </w:r>
      <w:r w:rsidRPr="008E7B3A">
        <w:rPr>
          <w:rFonts w:ascii="Calibri" w:eastAsia="ＭＳ Ｐゴシック" w:hAnsi="Calibri" w:cs="Times New Roman"/>
        </w:rPr>
        <w:t xml:space="preserve">was </w:t>
      </w:r>
      <w:r w:rsidR="00537B6E">
        <w:rPr>
          <w:rFonts w:ascii="Calibri" w:eastAsia="ＭＳ Ｐゴシック" w:hAnsi="Calibri" w:cs="Times New Roman"/>
        </w:rPr>
        <w:t>calculated</w:t>
      </w:r>
      <w:r w:rsidRPr="008E7B3A">
        <w:rPr>
          <w:rFonts w:ascii="Calibri" w:eastAsia="ＭＳ Ｐゴシック" w:hAnsi="Calibri" w:cs="Times New Roman"/>
        </w:rPr>
        <w:t xml:space="preserve"> </w:t>
      </w:r>
      <w:r w:rsidRPr="008E7B3A">
        <w:rPr>
          <w:rFonts w:ascii="Calibri" w:eastAsia="ＭＳ Ｐゴシック" w:hAnsi="Calibri" w:cs="Times New Roman"/>
        </w:rPr>
        <w:fldChar w:fldCharType="begin"/>
      </w:r>
      <w:r w:rsidRPr="008E7B3A">
        <w:rPr>
          <w:rFonts w:ascii="Calibri" w:eastAsia="ＭＳ Ｐゴシック" w:hAnsi="Calibri" w:cs="Times New Roman"/>
        </w:rPr>
        <w:instrText xml:space="preserve"> ADDIN EN.CITE &lt;EndNote&gt;&lt;Cite&gt;&lt;Author&gt;Livak&lt;/Author&gt;&lt;Year&gt;2001&lt;/Year&gt;&lt;IDText&gt;Analysis of relative gene expression data using real-time quantitative PCR and the 2(-Delta Delta C(T)) Method&lt;/IDText&gt;&lt;DisplayText&gt;(Livak and Schmittgen, 2001)&lt;/DisplayText&gt;&lt;record&gt;&lt;dates&gt;&lt;pub-dates&gt;&lt;date&gt;Dec&lt;/date&gt;&lt;/pub-dates&gt;&lt;year&gt;2001&lt;/year&gt;&lt;/dates&gt;&lt;keywords&gt;&lt;keyword&gt;Algorithms&lt;/keyword&gt;&lt;keyword&gt;Brain&lt;/keyword&gt;&lt;keyword&gt;Cell Line&lt;/keyword&gt;&lt;keyword&gt;DNA, Complementary&lt;/keyword&gt;&lt;keyword&gt;Humans&lt;/keyword&gt;&lt;keyword&gt;Polymerase Chain Reaction&lt;/keyword&gt;&lt;keyword&gt;Reverse Transcriptase Polymerase Chain Reaction&lt;/keyword&gt;&lt;keyword&gt;Time Factors&lt;/keyword&gt;&lt;/keywords&gt;&lt;urls&gt;&lt;related-urls&gt;&lt;url&gt;https://www.ncbi.nlm.nih.gov/pubmed/11846609&lt;/url&gt;&lt;/related-urls&gt;&lt;/urls&gt;&lt;isbn&gt;1046-2023&lt;/isbn&gt;&lt;titles&gt;&lt;title&gt;Analysis of relative gene expression data using real-time quantitative PCR and the 2(-Delta Delta C(T)) Method&lt;/title&gt;&lt;secondary-title&gt;Methods&lt;/secondary-title&gt;&lt;/titles&gt;&lt;pages&gt;402-8&lt;/pages&gt;&lt;number&gt;4&lt;/number&gt;&lt;contributors&gt;&lt;authors&gt;&lt;author&gt;Livak, K. J.&lt;/author&gt;&lt;author&gt;Schmittgen, T. D.&lt;/author&gt;&lt;/authors&gt;&lt;/contributors&gt;&lt;language&gt;eng&lt;/language&gt;&lt;added-date format="utc"&gt;1500381862&lt;/added-date&gt;&lt;ref-type name="Journal Article"&gt;17&lt;/ref-type&gt;&lt;rec-number&gt;201&lt;/rec-number&gt;&lt;last-updated-date format="utc"&gt;1500381862&lt;/last-updated-date&gt;&lt;accession-num&gt;11846609&lt;/accession-num&gt;&lt;electronic-resource-num&gt;10.1006/meth.2001.1262&lt;/electronic-resource-num&gt;&lt;volume&gt;25&lt;/volume&gt;&lt;/record&gt;&lt;/Cite&gt;&lt;/EndNote&gt;</w:instrText>
      </w:r>
      <w:r w:rsidRPr="008E7B3A">
        <w:rPr>
          <w:rFonts w:ascii="Calibri" w:eastAsia="ＭＳ Ｐゴシック" w:hAnsi="Calibri" w:cs="Times New Roman"/>
        </w:rPr>
        <w:fldChar w:fldCharType="separate"/>
      </w:r>
      <w:r w:rsidRPr="008E7B3A">
        <w:rPr>
          <w:rFonts w:ascii="Calibri" w:eastAsia="ＭＳ Ｐゴシック" w:hAnsi="Calibri" w:cs="Times New Roman"/>
          <w:noProof/>
        </w:rPr>
        <w:t>(Livak and Schmittgen, 2001)</w:t>
      </w:r>
      <w:r w:rsidRPr="008E7B3A">
        <w:rPr>
          <w:rFonts w:ascii="Calibri" w:eastAsia="ＭＳ Ｐゴシック" w:hAnsi="Calibri" w:cs="Times New Roman"/>
        </w:rPr>
        <w:fldChar w:fldCharType="end"/>
      </w:r>
      <w:r w:rsidRPr="008E7B3A">
        <w:rPr>
          <w:rFonts w:ascii="Calibri" w:eastAsia="ＭＳ Ｐゴシック" w:hAnsi="Calibri" w:cs="Times New Roman"/>
        </w:rPr>
        <w:t xml:space="preserve">. </w:t>
      </w:r>
    </w:p>
    <w:p w14:paraId="5FA3B05D" w14:textId="77777777" w:rsidR="007D5361" w:rsidRPr="008E7B3A" w:rsidRDefault="007D5361" w:rsidP="008E7B3A">
      <w:pPr>
        <w:tabs>
          <w:tab w:val="left" w:pos="5360"/>
        </w:tabs>
        <w:spacing w:line="360" w:lineRule="auto"/>
        <w:jc w:val="both"/>
        <w:rPr>
          <w:rFonts w:ascii="Calibri" w:eastAsia="ＭＳ Ｐゴシック" w:hAnsi="Calibri" w:cs="Times New Roman"/>
        </w:rPr>
      </w:pPr>
    </w:p>
    <w:p w14:paraId="3636D564" w14:textId="77777777" w:rsidR="008E7B3A" w:rsidRPr="008E7B3A" w:rsidRDefault="008E7B3A" w:rsidP="002F41C6">
      <w:pPr>
        <w:numPr>
          <w:ilvl w:val="0"/>
          <w:numId w:val="22"/>
        </w:numPr>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RNA Microarray: Sample Collection and Fluorescent Activated Cell Sorting</w:t>
      </w:r>
    </w:p>
    <w:p w14:paraId="70A5306C" w14:textId="2BF5BF21"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HCT116 cells were transfected with si6, non-specific control probe or </w:t>
      </w:r>
      <w:r w:rsidRPr="008E7B3A">
        <w:rPr>
          <w:rFonts w:ascii="Calibri" w:eastAsia="ＭＳ Ｐゴシック" w:hAnsi="Calibri" w:cs="Times New Roman"/>
          <w:i/>
        </w:rPr>
        <w:t>YFP SRCAP</w:t>
      </w:r>
      <w:r w:rsidRPr="008E7B3A">
        <w:rPr>
          <w:rFonts w:ascii="Calibri" w:eastAsia="ＭＳ Ｐゴシック" w:hAnsi="Calibri" w:cs="Times New Roman"/>
        </w:rPr>
        <w:t xml:space="preserve"> vector as per the transfection protocols described previously. After 48hrs the knockdown and control samples were lysed to collect RNA. Whilst the cells transfected with </w:t>
      </w:r>
      <w:r w:rsidRPr="008E7B3A">
        <w:rPr>
          <w:rFonts w:ascii="Calibri" w:eastAsia="ＭＳ Ｐゴシック" w:hAnsi="Calibri" w:cs="Times New Roman"/>
          <w:i/>
        </w:rPr>
        <w:t>YFP SRCAP</w:t>
      </w:r>
      <w:r w:rsidRPr="008E7B3A">
        <w:rPr>
          <w:rFonts w:ascii="Calibri" w:eastAsia="ＭＳ Ｐゴシック" w:hAnsi="Calibri" w:cs="Times New Roman"/>
        </w:rPr>
        <w:t xml:space="preserve"> were taken for </w:t>
      </w:r>
      <w:r w:rsidRPr="00E82D3B">
        <w:rPr>
          <w:rFonts w:ascii="Calibri" w:eastAsia="ＭＳ Ｐゴシック" w:hAnsi="Calibri" w:cs="Times New Roman"/>
        </w:rPr>
        <w:t>sterile fluorescent activated cell sorting (FACS) in the flow cytometry core facility of the Sheffield Medi</w:t>
      </w:r>
      <w:r w:rsidR="00A272CE" w:rsidRPr="00E82D3B">
        <w:rPr>
          <w:rFonts w:ascii="Calibri" w:eastAsia="ＭＳ Ｐゴシック" w:hAnsi="Calibri" w:cs="Times New Roman"/>
        </w:rPr>
        <w:t>c</w:t>
      </w:r>
      <w:r w:rsidRPr="00E82D3B">
        <w:rPr>
          <w:rFonts w:ascii="Calibri" w:eastAsia="ＭＳ Ｐゴシック" w:hAnsi="Calibri" w:cs="Times New Roman"/>
        </w:rPr>
        <w:t>al School. This</w:t>
      </w:r>
      <w:r w:rsidRPr="008E7B3A">
        <w:rPr>
          <w:rFonts w:ascii="Calibri" w:eastAsia="ＭＳ Ｐゴシック" w:hAnsi="Calibri" w:cs="Times New Roman"/>
        </w:rPr>
        <w:t xml:space="preserve"> was carried ou</w:t>
      </w:r>
      <w:r w:rsidR="00537B6E">
        <w:rPr>
          <w:rFonts w:ascii="Calibri" w:eastAsia="ＭＳ Ｐゴシック" w:hAnsi="Calibri" w:cs="Times New Roman"/>
        </w:rPr>
        <w:t>t by the core technical support.</w:t>
      </w:r>
      <w:r w:rsidRPr="008E7B3A">
        <w:rPr>
          <w:rFonts w:ascii="Calibri" w:eastAsia="ＭＳ Ｐゴシック" w:hAnsi="Calibri" w:cs="Times New Roman"/>
        </w:rPr>
        <w:t xml:space="preserve"> YFP-positive and negative cells were sorted from the total cell population based on YFP intensity, using an untransfected population as a guide for gating</w:t>
      </w:r>
      <w:r w:rsidR="00A219A0">
        <w:rPr>
          <w:rFonts w:ascii="Calibri" w:eastAsia="ＭＳ Ｐゴシック" w:hAnsi="Calibri" w:cs="Times New Roman"/>
        </w:rPr>
        <w:t xml:space="preserve"> (see Appendix 7)</w:t>
      </w:r>
      <w:r w:rsidRPr="008E7B3A">
        <w:rPr>
          <w:rFonts w:ascii="Calibri" w:eastAsia="ＭＳ Ｐゴシック" w:hAnsi="Calibri" w:cs="Times New Roman"/>
        </w:rPr>
        <w:t>. Negative YFP and positive YFP cells were sorted into separate tubes containing sterile media. Due to the low transfection efficiency and the need for high RNA yields</w:t>
      </w:r>
      <w:r w:rsidR="00537B6E">
        <w:rPr>
          <w:rFonts w:ascii="Calibri" w:eastAsia="ＭＳ Ｐゴシック" w:hAnsi="Calibri" w:cs="Times New Roman"/>
        </w:rPr>
        <w:t>,</w:t>
      </w:r>
      <w:r w:rsidRPr="008E7B3A">
        <w:rPr>
          <w:rFonts w:ascii="Calibri" w:eastAsia="ＭＳ Ｐゴシック" w:hAnsi="Calibri" w:cs="Times New Roman"/>
        </w:rPr>
        <w:t xml:space="preserve"> the populations were then re-seeded into 6 well plates, left for 72hrs to proliferate and then the RNA was harvested as described in section 2.2.III.a The RNA samples were then checked for relative mRNA </w:t>
      </w:r>
      <w:r w:rsidRPr="008E7B3A">
        <w:rPr>
          <w:rFonts w:ascii="Calibri" w:eastAsia="ＭＳ Ｐゴシック" w:hAnsi="Calibri" w:cs="Times New Roman"/>
          <w:i/>
        </w:rPr>
        <w:t>SRCAP</w:t>
      </w:r>
      <w:r w:rsidRPr="008E7B3A">
        <w:rPr>
          <w:rFonts w:ascii="Calibri" w:eastAsia="ＭＳ Ｐゴシック" w:hAnsi="Calibri" w:cs="Times New Roman"/>
        </w:rPr>
        <w:t xml:space="preserve"> levels using previously described protocols (section 2.2.III.b&amp;c). </w:t>
      </w:r>
    </w:p>
    <w:p w14:paraId="0C3F89F0" w14:textId="77777777" w:rsidR="008E7B3A" w:rsidRPr="008E7B3A" w:rsidRDefault="008E7B3A" w:rsidP="008E7B3A">
      <w:pPr>
        <w:spacing w:line="360" w:lineRule="auto"/>
        <w:jc w:val="both"/>
        <w:rPr>
          <w:rFonts w:ascii="Calibri" w:eastAsia="ＭＳ Ｐゴシック" w:hAnsi="Calibri" w:cs="Times New Roman"/>
        </w:rPr>
      </w:pPr>
    </w:p>
    <w:p w14:paraId="7C9B6279" w14:textId="77777777" w:rsidR="008E7B3A" w:rsidRPr="008E7B3A" w:rsidRDefault="008E7B3A" w:rsidP="002F41C6">
      <w:pPr>
        <w:numPr>
          <w:ilvl w:val="0"/>
          <w:numId w:val="22"/>
        </w:numPr>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RNA Quality Assessment</w:t>
      </w:r>
    </w:p>
    <w:p w14:paraId="3EBCEEBE" w14:textId="721A6D02" w:rsid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Before samples could be used in the microarray </w:t>
      </w:r>
      <w:r w:rsidR="00537B6E">
        <w:rPr>
          <w:rFonts w:ascii="Calibri" w:eastAsia="ＭＳ Ｐゴシック" w:hAnsi="Calibri" w:cs="Times New Roman"/>
        </w:rPr>
        <w:t xml:space="preserve">assay </w:t>
      </w:r>
      <w:r w:rsidRPr="008E7B3A">
        <w:rPr>
          <w:rFonts w:ascii="Calibri" w:eastAsia="ＭＳ Ｐゴシック" w:hAnsi="Calibri" w:cs="Times New Roman"/>
        </w:rPr>
        <w:t xml:space="preserve">they had to be assessed for quality and concentration and given a score known as a RNA integrity number (RIN). RINs can be between 0-10, with a score of around 7 being </w:t>
      </w:r>
      <w:r w:rsidR="00537B6E">
        <w:rPr>
          <w:rFonts w:ascii="Calibri" w:eastAsia="ＭＳ Ｐゴシック" w:hAnsi="Calibri" w:cs="Times New Roman"/>
        </w:rPr>
        <w:t>sufficient</w:t>
      </w:r>
      <w:r w:rsidRPr="008E7B3A">
        <w:rPr>
          <w:rFonts w:ascii="Calibri" w:eastAsia="ＭＳ Ｐゴシック" w:hAnsi="Calibri" w:cs="Times New Roman"/>
        </w:rPr>
        <w:t xml:space="preserve"> </w:t>
      </w:r>
      <w:r w:rsidR="00537B6E">
        <w:rPr>
          <w:rFonts w:ascii="Calibri" w:eastAsia="ＭＳ Ｐゴシック" w:hAnsi="Calibri" w:cs="Times New Roman"/>
        </w:rPr>
        <w:t>quality to use for assays. The quality assessment</w:t>
      </w:r>
      <w:r w:rsidRPr="008E7B3A">
        <w:rPr>
          <w:rFonts w:ascii="Calibri" w:eastAsia="ＭＳ Ｐゴシック" w:hAnsi="Calibri" w:cs="Times New Roman"/>
        </w:rPr>
        <w:t xml:space="preserve"> was carried out using an Agilent 2100 Bioanalyser using the RNA 6000 Nano Kit (Agilent). The protocol for the kit was followed, where an electrophoresis gel matrix mixture is loaded onto the chip using the Chip priming station supplied, this gel allows separation of nucleic acids based on size as a</w:t>
      </w:r>
      <w:r w:rsidR="00537B6E">
        <w:rPr>
          <w:rFonts w:ascii="Calibri" w:eastAsia="ＭＳ Ｐゴシック" w:hAnsi="Calibri" w:cs="Times New Roman"/>
        </w:rPr>
        <w:t>n electric</w:t>
      </w:r>
      <w:r w:rsidRPr="008E7B3A">
        <w:rPr>
          <w:rFonts w:ascii="Calibri" w:eastAsia="ＭＳ Ｐゴシック" w:hAnsi="Calibri" w:cs="Times New Roman"/>
        </w:rPr>
        <w:t xml:space="preserve"> current is applied. The ladder and samples (1μl) are then loaded into the designated wells and the cartridge placed in the machine, with analysis on the Agilent 2100 expert software. The electrophoretic trace produced </w:t>
      </w:r>
      <w:r w:rsidR="00537B6E">
        <w:rPr>
          <w:rFonts w:ascii="Calibri" w:eastAsia="ＭＳ Ｐゴシック" w:hAnsi="Calibri" w:cs="Times New Roman"/>
        </w:rPr>
        <w:t>allows the software</w:t>
      </w:r>
      <w:r w:rsidRPr="008E7B3A">
        <w:rPr>
          <w:rFonts w:ascii="Calibri" w:eastAsia="ＭＳ Ｐゴシック" w:hAnsi="Calibri" w:cs="Times New Roman"/>
        </w:rPr>
        <w:t xml:space="preserve"> to calculate the RIN by </w:t>
      </w:r>
      <w:r w:rsidR="00537B6E">
        <w:rPr>
          <w:rFonts w:ascii="Calibri" w:eastAsia="ＭＳ Ｐゴシック" w:hAnsi="Calibri" w:cs="Times New Roman"/>
        </w:rPr>
        <w:t>comparing</w:t>
      </w:r>
      <w:r w:rsidRPr="008E7B3A">
        <w:rPr>
          <w:rFonts w:ascii="Calibri" w:eastAsia="ＭＳ Ｐゴシック" w:hAnsi="Calibri" w:cs="Times New Roman"/>
        </w:rPr>
        <w:t xml:space="preserve"> </w:t>
      </w:r>
      <w:r w:rsidR="00537B6E">
        <w:rPr>
          <w:rFonts w:ascii="Calibri" w:eastAsia="ＭＳ Ｐゴシック" w:hAnsi="Calibri" w:cs="Times New Roman"/>
        </w:rPr>
        <w:t>the</w:t>
      </w:r>
      <w:r w:rsidRPr="008E7B3A">
        <w:rPr>
          <w:rFonts w:ascii="Calibri" w:eastAsia="ＭＳ Ｐゴシック" w:hAnsi="Calibri" w:cs="Times New Roman"/>
        </w:rPr>
        <w:t xml:space="preserve"> distinct ribosomal peaks for 18S and 28S </w:t>
      </w:r>
      <w:r w:rsidR="00537B6E">
        <w:rPr>
          <w:rFonts w:ascii="Calibri" w:eastAsia="ＭＳ Ｐゴシック" w:hAnsi="Calibri" w:cs="Times New Roman"/>
        </w:rPr>
        <w:t xml:space="preserve">to the levels </w:t>
      </w:r>
      <w:r w:rsidRPr="008E7B3A">
        <w:rPr>
          <w:rFonts w:ascii="Calibri" w:eastAsia="ＭＳ Ｐゴシック" w:hAnsi="Calibri" w:cs="Times New Roman"/>
        </w:rPr>
        <w:t xml:space="preserve">of any degradation products. </w:t>
      </w:r>
    </w:p>
    <w:p w14:paraId="66B45027" w14:textId="77777777" w:rsidR="00A373B1" w:rsidRPr="00DC426C" w:rsidRDefault="00A373B1" w:rsidP="008E7B3A">
      <w:pPr>
        <w:spacing w:line="360" w:lineRule="auto"/>
        <w:jc w:val="both"/>
        <w:rPr>
          <w:rFonts w:ascii="Calibri" w:eastAsia="ＭＳ Ｐゴシック" w:hAnsi="Calibri" w:cs="Times New Roman"/>
        </w:rPr>
      </w:pPr>
    </w:p>
    <w:p w14:paraId="711FD60C" w14:textId="77777777" w:rsidR="008E7B3A" w:rsidRPr="008E7B3A" w:rsidRDefault="008E7B3A" w:rsidP="002F41C6">
      <w:pPr>
        <w:numPr>
          <w:ilvl w:val="0"/>
          <w:numId w:val="22"/>
        </w:numPr>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Affymetrix Genechip RNA Microarray</w:t>
      </w:r>
    </w:p>
    <w:p w14:paraId="6D638131" w14:textId="75478A71"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Aft</w:t>
      </w:r>
      <w:r w:rsidR="00E43FB5">
        <w:rPr>
          <w:rFonts w:ascii="Calibri" w:eastAsia="ＭＳ Ｐゴシック" w:hAnsi="Calibri" w:cs="Times New Roman"/>
        </w:rPr>
        <w:t>er determination of quality, the high quality</w:t>
      </w:r>
      <w:r w:rsidRPr="008E7B3A">
        <w:rPr>
          <w:rFonts w:ascii="Calibri" w:eastAsia="ＭＳ Ｐゴシック" w:hAnsi="Calibri" w:cs="Times New Roman"/>
        </w:rPr>
        <w:t xml:space="preserve"> RNA samples were </w:t>
      </w:r>
      <w:r w:rsidR="00E43FB5">
        <w:rPr>
          <w:rFonts w:ascii="Calibri" w:eastAsia="ＭＳ Ｐゴシック" w:hAnsi="Calibri" w:cs="Times New Roman"/>
        </w:rPr>
        <w:t>treated with</w:t>
      </w:r>
      <w:r w:rsidRPr="008E7B3A">
        <w:rPr>
          <w:rFonts w:ascii="Calibri" w:eastAsia="ＭＳ Ｐゴシック" w:hAnsi="Calibri" w:cs="Times New Roman"/>
        </w:rPr>
        <w:t xml:space="preserve"> the Genechip WT PLUS reagent kit by Affymetrix in order to analyse </w:t>
      </w:r>
      <w:r w:rsidR="00E43FB5">
        <w:rPr>
          <w:rFonts w:ascii="Calibri" w:eastAsia="ＭＳ Ｐゴシック" w:hAnsi="Calibri" w:cs="Times New Roman"/>
        </w:rPr>
        <w:t xml:space="preserve">whole transcriptome expression; </w:t>
      </w:r>
      <w:r w:rsidRPr="008E7B3A">
        <w:rPr>
          <w:rFonts w:ascii="Calibri" w:eastAsia="ＭＳ Ｐゴシック" w:hAnsi="Calibri" w:cs="Times New Roman"/>
        </w:rPr>
        <w:t xml:space="preserve">the steps for this kit are described below and this work was conducted by Catherine Gelsthorpe, a research technician working in </w:t>
      </w:r>
      <w:r w:rsidR="00E43FB5">
        <w:rPr>
          <w:rFonts w:ascii="Calibri" w:eastAsia="ＭＳ Ｐゴシック" w:hAnsi="Calibri" w:cs="Times New Roman"/>
        </w:rPr>
        <w:t>Dr</w:t>
      </w:r>
      <w:r w:rsidRPr="008E7B3A">
        <w:rPr>
          <w:rFonts w:ascii="Calibri" w:eastAsia="ＭＳ Ｐゴシック" w:hAnsi="Calibri" w:cs="Times New Roman"/>
        </w:rPr>
        <w:t xml:space="preserve"> Paul Heath’s laboratory at the Sheffield Institute for Translational Neuroscience (</w:t>
      </w:r>
      <w:proofErr w:type="spellStart"/>
      <w:r w:rsidRPr="008E7B3A">
        <w:rPr>
          <w:rFonts w:ascii="Calibri" w:eastAsia="ＭＳ Ｐゴシック" w:hAnsi="Calibri" w:cs="Times New Roman"/>
        </w:rPr>
        <w:t>SITraN</w:t>
      </w:r>
      <w:proofErr w:type="spellEnd"/>
      <w:r w:rsidRPr="008E7B3A">
        <w:rPr>
          <w:rFonts w:ascii="Calibri" w:eastAsia="ＭＳ Ｐゴシック" w:hAnsi="Calibri" w:cs="Times New Roman"/>
        </w:rPr>
        <w:t xml:space="preserve">). </w:t>
      </w:r>
    </w:p>
    <w:p w14:paraId="1D60384D" w14:textId="77777777" w:rsidR="008E7B3A" w:rsidRPr="008E7B3A" w:rsidRDefault="008E7B3A" w:rsidP="008E7B3A">
      <w:pPr>
        <w:spacing w:line="360" w:lineRule="auto"/>
        <w:jc w:val="both"/>
        <w:rPr>
          <w:rFonts w:ascii="Calibri" w:eastAsia="ＭＳ Ｐゴシック" w:hAnsi="Calibri" w:cs="Times New Roman"/>
        </w:rPr>
      </w:pPr>
    </w:p>
    <w:p w14:paraId="0F5CB36C" w14:textId="42ABBA4A"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Firstly poly-A RNA controls were spiked into the RNA as an exogenous positive control. A series of dilutions was made using Poly-A control stock and Poly-A control dilution buffer and the 4</w:t>
      </w:r>
      <w:r w:rsidRPr="008E7B3A">
        <w:rPr>
          <w:rFonts w:ascii="Calibri" w:eastAsia="ＭＳ Ｐゴシック" w:hAnsi="Calibri" w:cs="Times New Roman"/>
          <w:vertAlign w:val="superscript"/>
        </w:rPr>
        <w:t>th</w:t>
      </w:r>
      <w:r w:rsidRPr="008E7B3A">
        <w:rPr>
          <w:rFonts w:ascii="Calibri" w:eastAsia="ＭＳ Ｐゴシック" w:hAnsi="Calibri" w:cs="Times New Roman"/>
        </w:rPr>
        <w:t xml:space="preserve"> (1:10) of these added to 100ng of each of the RNA </w:t>
      </w:r>
      <w:r w:rsidR="00E43FB5">
        <w:rPr>
          <w:rFonts w:ascii="Calibri" w:eastAsia="ＭＳ Ｐゴシック" w:hAnsi="Calibri" w:cs="Times New Roman"/>
        </w:rPr>
        <w:t xml:space="preserve">samples </w:t>
      </w:r>
      <w:r w:rsidRPr="008E7B3A">
        <w:rPr>
          <w:rFonts w:ascii="Calibri" w:eastAsia="ＭＳ Ｐゴシック" w:hAnsi="Calibri" w:cs="Times New Roman"/>
        </w:rPr>
        <w:t>and made up to a total volume of 5</w:t>
      </w:r>
      <m:oMath>
        <m:r>
          <w:rPr>
            <w:rFonts w:ascii="Cambria Math" w:eastAsia="ＭＳ Ｐゴシック" w:hAnsi="Cambria Math" w:cs="Times New Roman"/>
          </w:rPr>
          <m:t>μ</m:t>
        </m:r>
      </m:oMath>
      <w:r w:rsidRPr="008E7B3A">
        <w:rPr>
          <w:rFonts w:ascii="Calibri" w:eastAsia="ＭＳ Ｐゴシック" w:hAnsi="Calibri" w:cs="Times New Roman"/>
        </w:rPr>
        <w:t>l with nuclease free water.</w:t>
      </w:r>
    </w:p>
    <w:p w14:paraId="7AD4C93B" w14:textId="77777777" w:rsidR="00DC426C" w:rsidRDefault="00DC426C" w:rsidP="008E7B3A">
      <w:pPr>
        <w:spacing w:line="360" w:lineRule="auto"/>
        <w:jc w:val="both"/>
        <w:rPr>
          <w:rFonts w:ascii="Calibri" w:eastAsia="ＭＳ Ｐゴシック" w:hAnsi="Calibri" w:cs="Times New Roman"/>
        </w:rPr>
      </w:pPr>
    </w:p>
    <w:p w14:paraId="725BFAB7" w14:textId="0CB1B28F"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In order to amplify the RNA samples</w:t>
      </w:r>
      <w:r w:rsidR="00E43FB5">
        <w:rPr>
          <w:rFonts w:ascii="Calibri" w:eastAsia="ＭＳ Ｐゴシック" w:hAnsi="Calibri" w:cs="Times New Roman"/>
        </w:rPr>
        <w:t>,</w:t>
      </w:r>
      <w:r w:rsidRPr="008E7B3A">
        <w:rPr>
          <w:rFonts w:ascii="Calibri" w:eastAsia="ＭＳ Ｐゴシック" w:hAnsi="Calibri" w:cs="Times New Roman"/>
        </w:rPr>
        <w:t xml:space="preserve"> the above-mentioned </w:t>
      </w:r>
      <w:r w:rsidR="00E43FB5">
        <w:rPr>
          <w:rFonts w:ascii="Calibri" w:eastAsia="ＭＳ Ｐゴシック" w:hAnsi="Calibri" w:cs="Times New Roman"/>
        </w:rPr>
        <w:t xml:space="preserve">Genechip WT PLUS </w:t>
      </w:r>
      <w:r w:rsidRPr="008E7B3A">
        <w:rPr>
          <w:rFonts w:ascii="Calibri" w:eastAsia="ＭＳ Ｐゴシック" w:hAnsi="Calibri" w:cs="Times New Roman"/>
        </w:rPr>
        <w:t>kit was used for reverse transcription using primers tagged with T7 promoter sequence in order to create single stranded complimentary DNA (cDNA) with a 5’ T7 promoter. Here 4</w:t>
      </w:r>
      <m:oMath>
        <m:r>
          <w:rPr>
            <w:rFonts w:ascii="Cambria Math" w:eastAsia="ＭＳ Ｐゴシック" w:hAnsi="Cambria Math" w:cs="Times New Roman"/>
          </w:rPr>
          <m:t>μ</m:t>
        </m:r>
      </m:oMath>
      <w:r w:rsidRPr="008E7B3A">
        <w:rPr>
          <w:rFonts w:ascii="Calibri" w:eastAsia="ＭＳ Ｐゴシック" w:hAnsi="Calibri" w:cs="Times New Roman"/>
        </w:rPr>
        <w:t>l of first-strand buffer and 1</w:t>
      </w:r>
      <m:oMath>
        <m:r>
          <w:rPr>
            <w:rFonts w:ascii="Cambria Math" w:eastAsia="ＭＳ Ｐゴシック" w:hAnsi="Cambria Math" w:cs="Times New Roman"/>
          </w:rPr>
          <m:t>μ</m:t>
        </m:r>
      </m:oMath>
      <w:r w:rsidRPr="008E7B3A">
        <w:rPr>
          <w:rFonts w:ascii="Calibri" w:eastAsia="ＭＳ Ｐゴシック" w:hAnsi="Calibri" w:cs="Times New Roman"/>
        </w:rPr>
        <w:t>l of first strand enzyme were combined and added to the 5</w:t>
      </w:r>
      <m:oMath>
        <m:r>
          <w:rPr>
            <w:rFonts w:ascii="Cambria Math" w:eastAsia="ＭＳ Ｐゴシック" w:hAnsi="Cambria Math" w:cs="Times New Roman"/>
          </w:rPr>
          <m:t>μ</m:t>
        </m:r>
      </m:oMath>
      <w:r w:rsidRPr="008E7B3A">
        <w:rPr>
          <w:rFonts w:ascii="Calibri" w:eastAsia="ＭＳ Ｐゴシック" w:hAnsi="Calibri" w:cs="Times New Roman"/>
        </w:rPr>
        <w:t>l of RNA/ poly-A mix and incubated on a thermo cycler for 1hr at 25</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1hr at 42</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and 2mins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Following this</w:t>
      </w:r>
      <w:r w:rsidR="00E43FB5">
        <w:rPr>
          <w:rFonts w:ascii="Calibri" w:eastAsia="ＭＳ Ｐゴシック" w:hAnsi="Calibri" w:cs="Times New Roman"/>
        </w:rPr>
        <w:t>,</w:t>
      </w:r>
      <w:r w:rsidRPr="008E7B3A">
        <w:rPr>
          <w:rFonts w:ascii="Calibri" w:eastAsia="ＭＳ Ｐゴシック" w:hAnsi="Calibri" w:cs="Times New Roman"/>
        </w:rPr>
        <w:t xml:space="preserve"> the single stranded cDNA was converted to double-stranded cDNA by use of RNase H to degrade the RNA, and DNA polymerase to transcribe the complimentary sequence. The protocol for this was as follows: 18</w:t>
      </w:r>
      <m:oMath>
        <m:r>
          <w:rPr>
            <w:rFonts w:ascii="Cambria Math" w:eastAsia="ＭＳ Ｐゴシック" w:hAnsi="Cambria Math" w:cs="Times New Roman"/>
          </w:rPr>
          <m:t>μ</m:t>
        </m:r>
      </m:oMath>
      <w:r w:rsidRPr="008E7B3A">
        <w:rPr>
          <w:rFonts w:ascii="Calibri" w:eastAsia="ＭＳ Ｐゴシック" w:hAnsi="Calibri" w:cs="Times New Roman"/>
        </w:rPr>
        <w:t>l second strand buffer plus 2</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second strand enzyme was combined with the previous first strand cDNA sample and </w:t>
      </w:r>
      <w:r w:rsidR="00E43FB5">
        <w:rPr>
          <w:rFonts w:ascii="Calibri" w:eastAsia="ＭＳ Ｐゴシック" w:hAnsi="Calibri" w:cs="Times New Roman"/>
        </w:rPr>
        <w:t>returned to</w:t>
      </w:r>
      <w:r w:rsidRPr="008E7B3A">
        <w:rPr>
          <w:rFonts w:ascii="Calibri" w:eastAsia="ＭＳ Ｐゴシック" w:hAnsi="Calibri" w:cs="Times New Roman"/>
        </w:rPr>
        <w:t xml:space="preserve"> </w:t>
      </w:r>
      <w:r w:rsidR="00E43FB5">
        <w:rPr>
          <w:rFonts w:ascii="Calibri" w:eastAsia="ＭＳ Ｐゴシック" w:hAnsi="Calibri" w:cs="Times New Roman"/>
        </w:rPr>
        <w:t xml:space="preserve">the thermo cycler for </w:t>
      </w:r>
      <w:r w:rsidRPr="008E7B3A">
        <w:rPr>
          <w:rFonts w:ascii="Calibri" w:eastAsia="ＭＳ Ｐゴシック" w:hAnsi="Calibri" w:cs="Times New Roman"/>
        </w:rPr>
        <w:t>1hr at 16</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10mins 65</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and 2mins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The cDNA then serves as a template for antisense RNA synthesis by in vitro transcription (IVT) using a T7 RNA polymerase that binds to the previously modified strand</w:t>
      </w:r>
      <w:r w:rsidR="009838AB">
        <w:rPr>
          <w:rFonts w:ascii="Calibri" w:eastAsia="ＭＳ Ｐゴシック" w:hAnsi="Calibri" w:cs="Times New Roman"/>
        </w:rPr>
        <w:t xml:space="preserve"> containing the T7 promoter sequence</w:t>
      </w:r>
      <w:r w:rsidRPr="008E7B3A">
        <w:rPr>
          <w:rFonts w:ascii="Calibri" w:eastAsia="ＭＳ Ｐゴシック" w:hAnsi="Calibri" w:cs="Times New Roman"/>
        </w:rPr>
        <w:t>. This creates around a 1000 fold amplification of complimentary RNA (cRNA) to the original mRNA samples. At this stage 24</w:t>
      </w:r>
      <m:oMath>
        <m:r>
          <w:rPr>
            <w:rFonts w:ascii="Cambria Math" w:eastAsia="ＭＳ Ｐゴシック" w:hAnsi="Cambria Math" w:cs="Times New Roman"/>
          </w:rPr>
          <m:t>μ</m:t>
        </m:r>
      </m:oMath>
      <w:r w:rsidRPr="008E7B3A">
        <w:rPr>
          <w:rFonts w:ascii="Calibri" w:eastAsia="ＭＳ Ｐゴシック" w:hAnsi="Calibri" w:cs="Times New Roman"/>
        </w:rPr>
        <w:t>l of IVT buffer plus 6</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IVT enzyme </w:t>
      </w:r>
      <w:r w:rsidR="00E43FB5">
        <w:rPr>
          <w:rFonts w:ascii="Calibri" w:eastAsia="ＭＳ Ｐゴシック" w:hAnsi="Calibri" w:cs="Times New Roman"/>
        </w:rPr>
        <w:t>is added to the second strand cR</w:t>
      </w:r>
      <w:r w:rsidRPr="008E7B3A">
        <w:rPr>
          <w:rFonts w:ascii="Calibri" w:eastAsia="ＭＳ Ｐゴシック" w:hAnsi="Calibri" w:cs="Times New Roman"/>
        </w:rPr>
        <w:t>NA with thermo cycling step as follows: 16hrs at 40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then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 xml:space="preserve">C. </w:t>
      </w:r>
    </w:p>
    <w:p w14:paraId="4DAE3F6E" w14:textId="77777777" w:rsidR="008E7B3A" w:rsidRPr="008E7B3A" w:rsidRDefault="008E7B3A" w:rsidP="008E7B3A">
      <w:pPr>
        <w:spacing w:line="360" w:lineRule="auto"/>
        <w:jc w:val="both"/>
        <w:rPr>
          <w:rFonts w:ascii="Calibri" w:eastAsia="ＭＳ Ｐゴシック" w:hAnsi="Calibri" w:cs="Times New Roman"/>
        </w:rPr>
      </w:pPr>
    </w:p>
    <w:p w14:paraId="30C45007" w14:textId="348BA2C0"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Purification of the cRNA then </w:t>
      </w:r>
      <w:r w:rsidR="00DC426C">
        <w:rPr>
          <w:rFonts w:ascii="Calibri" w:eastAsia="ＭＳ Ｐゴシック" w:hAnsi="Calibri" w:cs="Times New Roman"/>
        </w:rPr>
        <w:t>occurs, again following the kit</w:t>
      </w:r>
      <w:r w:rsidRPr="008E7B3A">
        <w:rPr>
          <w:rFonts w:ascii="Calibri" w:eastAsia="ＭＳ Ｐゴシック" w:hAnsi="Calibri" w:cs="Times New Roman"/>
        </w:rPr>
        <w:t xml:space="preserve"> protocol. Here, any waste, such as unincorporated nucleotides, enzymes etc. are separated from the cRNA by using </w:t>
      </w:r>
      <w:r w:rsidR="00DC426C">
        <w:rPr>
          <w:rFonts w:ascii="Calibri" w:eastAsia="ＭＳ Ｐゴシック" w:hAnsi="Calibri" w:cs="Times New Roman"/>
        </w:rPr>
        <w:t xml:space="preserve">magnetic </w:t>
      </w:r>
      <w:r w:rsidRPr="008E7B3A">
        <w:rPr>
          <w:rFonts w:ascii="Calibri" w:eastAsia="ＭＳ Ｐゴシック" w:hAnsi="Calibri" w:cs="Times New Roman"/>
        </w:rPr>
        <w:t>purification beads. The 60</w:t>
      </w:r>
      <m:oMath>
        <m:r>
          <w:rPr>
            <w:rFonts w:ascii="Cambria Math" w:eastAsia="ＭＳ Ｐゴシック" w:hAnsi="Cambria Math" w:cs="Times New Roman"/>
          </w:rPr>
          <m:t>μ</m:t>
        </m:r>
      </m:oMath>
      <w:r w:rsidRPr="008E7B3A">
        <w:rPr>
          <w:rFonts w:ascii="Calibri" w:eastAsia="ＭＳ Ｐゴシック" w:hAnsi="Calibri" w:cs="Times New Roman"/>
        </w:rPr>
        <w:t>l cRNA and 100</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beads were mixed and the beads plus any attached cRNA were pulled to the bottom of the well </w:t>
      </w:r>
      <w:r w:rsidR="00DC426C">
        <w:rPr>
          <w:rFonts w:ascii="Calibri" w:eastAsia="ＭＳ Ｐゴシック" w:hAnsi="Calibri" w:cs="Times New Roman"/>
        </w:rPr>
        <w:t>using a magnet</w:t>
      </w:r>
      <w:r w:rsidRPr="008E7B3A">
        <w:rPr>
          <w:rFonts w:ascii="Calibri" w:eastAsia="ＭＳ Ｐゴシック" w:hAnsi="Calibri" w:cs="Times New Roman"/>
        </w:rPr>
        <w:t xml:space="preserve"> and the supernatant containing any waste was removed. The beads were washed in 80% ethanol three times and then the cRNA eluted from the beads </w:t>
      </w:r>
      <w:r w:rsidR="00DC426C">
        <w:rPr>
          <w:rFonts w:ascii="Calibri" w:eastAsia="ＭＳ Ｐゴシック" w:hAnsi="Calibri" w:cs="Times New Roman"/>
        </w:rPr>
        <w:t>in</w:t>
      </w:r>
      <w:r w:rsidRPr="008E7B3A">
        <w:rPr>
          <w:rFonts w:ascii="Calibri" w:eastAsia="ＭＳ Ｐゴシック" w:hAnsi="Calibri" w:cs="Times New Roman"/>
        </w:rPr>
        <w:t xml:space="preserve"> nuclease-free water at 65</w:t>
      </w:r>
      <w:r w:rsidRPr="008E7B3A">
        <w:rPr>
          <w:rFonts w:ascii="Calibri" w:eastAsia="ＭＳ Ｐゴシック" w:hAnsi="Calibri" w:cs="Times New Roman"/>
          <w:vertAlign w:val="superscript"/>
        </w:rPr>
        <w:t>o</w:t>
      </w:r>
      <w:r w:rsidR="00DC426C">
        <w:rPr>
          <w:rFonts w:ascii="Calibri" w:eastAsia="ＭＳ Ｐゴシック" w:hAnsi="Calibri" w:cs="Times New Roman"/>
        </w:rPr>
        <w:t>C. The y</w:t>
      </w:r>
      <w:r w:rsidRPr="008E7B3A">
        <w:rPr>
          <w:rFonts w:ascii="Calibri" w:eastAsia="ＭＳ Ｐゴシック" w:hAnsi="Calibri" w:cs="Times New Roman"/>
        </w:rPr>
        <w:t>ield of cRNA was quantified using a nanodrop as previously described in section</w:t>
      </w:r>
      <w:r w:rsidR="00E43FB5">
        <w:rPr>
          <w:rFonts w:ascii="Calibri" w:eastAsia="ＭＳ Ｐゴシック" w:hAnsi="Calibri" w:cs="Times New Roman"/>
        </w:rPr>
        <w:t xml:space="preserve"> 2.2.I.d</w:t>
      </w:r>
      <w:r w:rsidRPr="008E7B3A">
        <w:rPr>
          <w:rFonts w:ascii="Calibri" w:eastAsia="ＭＳ Ｐゴシック" w:hAnsi="Calibri" w:cs="Times New Roman"/>
        </w:rPr>
        <w:t xml:space="preserve">. For the next step the </w:t>
      </w:r>
      <w:r w:rsidR="00DC426C">
        <w:rPr>
          <w:rFonts w:ascii="Calibri" w:eastAsia="ＭＳ Ｐゴシック" w:hAnsi="Calibri" w:cs="Times New Roman"/>
        </w:rPr>
        <w:t xml:space="preserve">cRNA </w:t>
      </w:r>
      <w:r w:rsidRPr="008E7B3A">
        <w:rPr>
          <w:rFonts w:ascii="Calibri" w:eastAsia="ＭＳ Ｐゴシック" w:hAnsi="Calibri" w:cs="Times New Roman"/>
        </w:rPr>
        <w:t xml:space="preserve">concentration </w:t>
      </w:r>
      <w:r w:rsidR="00DC426C">
        <w:rPr>
          <w:rFonts w:ascii="Calibri" w:eastAsia="ＭＳ Ｐゴシック" w:hAnsi="Calibri" w:cs="Times New Roman"/>
        </w:rPr>
        <w:t>was adjusted</w:t>
      </w:r>
      <w:r w:rsidRPr="008E7B3A">
        <w:rPr>
          <w:rFonts w:ascii="Calibri" w:eastAsia="ＭＳ Ｐゴシック" w:hAnsi="Calibri" w:cs="Times New Roman"/>
        </w:rPr>
        <w:t xml:space="preserve"> to 15μg in 24μl. </w:t>
      </w:r>
    </w:p>
    <w:p w14:paraId="763EFA0D" w14:textId="77777777" w:rsidR="008E7B3A" w:rsidRPr="008E7B3A" w:rsidRDefault="008E7B3A" w:rsidP="008E7B3A">
      <w:pPr>
        <w:spacing w:line="360" w:lineRule="auto"/>
        <w:jc w:val="both"/>
        <w:rPr>
          <w:rFonts w:ascii="Calibri" w:eastAsia="ＭＳ Ｐゴシック" w:hAnsi="Calibri" w:cs="Times New Roman"/>
        </w:rPr>
      </w:pPr>
    </w:p>
    <w:p w14:paraId="690BB8EF" w14:textId="1AA840B3"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A subsequent round of synthesis of cDNA was then carried out. The cRNA was combined with second cycle buffers (8</w:t>
      </w:r>
      <m:oMath>
        <m:r>
          <w:rPr>
            <w:rFonts w:ascii="Cambria Math" w:eastAsia="ＭＳ Ｐゴシック" w:hAnsi="Cambria Math" w:cs="Times New Roman"/>
          </w:rPr>
          <m:t>μ</m:t>
        </m:r>
      </m:oMath>
      <w:r w:rsidRPr="008E7B3A">
        <w:rPr>
          <w:rFonts w:ascii="Calibri" w:eastAsia="ＭＳ Ｐゴシック" w:hAnsi="Calibri" w:cs="Times New Roman"/>
        </w:rPr>
        <w:t>l) and enzyme (4</w:t>
      </w:r>
      <m:oMath>
        <m:r>
          <w:rPr>
            <w:rFonts w:ascii="Cambria Math" w:eastAsia="ＭＳ Ｐゴシック" w:hAnsi="Cambria Math" w:cs="Times New Roman"/>
          </w:rPr>
          <m:t>μ</m:t>
        </m:r>
      </m:oMath>
      <w:r w:rsidRPr="008E7B3A">
        <w:rPr>
          <w:rFonts w:ascii="Calibri" w:eastAsia="ＭＳ Ｐゴシック" w:hAnsi="Calibri" w:cs="Times New Roman"/>
        </w:rPr>
        <w:t xml:space="preserve">l) in a reverse transcription reaction to generate sense-strand cDNA containing dUTP instead of dTTP, using </w:t>
      </w:r>
      <w:r w:rsidR="00DC426C">
        <w:rPr>
          <w:rFonts w:ascii="Calibri" w:eastAsia="ＭＳ Ｐゴシック" w:hAnsi="Calibri" w:cs="Times New Roman"/>
        </w:rPr>
        <w:t>the thermo cycler programme</w:t>
      </w:r>
      <w:r w:rsidRPr="008E7B3A">
        <w:rPr>
          <w:rFonts w:ascii="Calibri" w:eastAsia="ＭＳ Ｐゴシック" w:hAnsi="Calibri" w:cs="Times New Roman"/>
        </w:rPr>
        <w:t>: 10mins at 25</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90mins at 42</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then 10mins at 70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and 2mins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4</w:t>
      </w:r>
      <m:oMath>
        <m:r>
          <w:rPr>
            <w:rFonts w:ascii="Cambria Math" w:eastAsia="ＭＳ Ｐゴシック" w:hAnsi="Cambria Math" w:cs="Times New Roman"/>
          </w:rPr>
          <m:t>μ</m:t>
        </m:r>
      </m:oMath>
      <w:r w:rsidRPr="008E7B3A">
        <w:rPr>
          <w:rFonts w:ascii="Calibri" w:eastAsia="ＭＳ Ｐゴシック" w:hAnsi="Calibri" w:cs="Times New Roman"/>
        </w:rPr>
        <w:t>l of RNase H was again used to hydrolyse the cRNA template strand and leave single stranded cDNA using the following thermo cycler programme: 45mins at 37</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5mins at 95</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and 2mins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After this the 2</w:t>
      </w:r>
      <w:r w:rsidRPr="008E7B3A">
        <w:rPr>
          <w:rFonts w:ascii="Calibri" w:eastAsia="ＭＳ Ｐゴシック" w:hAnsi="Calibri" w:cs="Times New Roman"/>
          <w:vertAlign w:val="superscript"/>
        </w:rPr>
        <w:t>nd</w:t>
      </w:r>
      <w:r w:rsidRPr="008E7B3A">
        <w:rPr>
          <w:rFonts w:ascii="Calibri" w:eastAsia="ＭＳ Ｐゴシック" w:hAnsi="Calibri" w:cs="Times New Roman"/>
        </w:rPr>
        <w:t xml:space="preserve"> cycle single stranded cDNA was purified as previously described using purification beads, this time however 100% ethanol was also added along with the beads </w:t>
      </w:r>
      <w:r w:rsidR="00DC426C">
        <w:rPr>
          <w:rFonts w:ascii="Calibri" w:eastAsia="ＭＳ Ｐゴシック" w:hAnsi="Calibri" w:cs="Times New Roman"/>
        </w:rPr>
        <w:t>according to the</w:t>
      </w:r>
      <w:r w:rsidRPr="008E7B3A">
        <w:rPr>
          <w:rFonts w:ascii="Calibri" w:eastAsia="ＭＳ Ｐゴシック" w:hAnsi="Calibri" w:cs="Times New Roman"/>
        </w:rPr>
        <w:t xml:space="preserve"> instructions in order for the cDNA to bind. Eluted pure cDNA was then quantified again on a nanodrop, this time </w:t>
      </w:r>
      <w:r w:rsidR="00DC426C">
        <w:rPr>
          <w:rFonts w:ascii="Calibri" w:eastAsia="ＭＳ Ｐゴシック" w:hAnsi="Calibri" w:cs="Times New Roman"/>
        </w:rPr>
        <w:t xml:space="preserve">the concentration was adjusted to </w:t>
      </w:r>
      <w:r w:rsidRPr="008E7B3A">
        <w:rPr>
          <w:rFonts w:ascii="Calibri" w:eastAsia="ＭＳ Ｐゴシック" w:hAnsi="Calibri" w:cs="Times New Roman"/>
        </w:rPr>
        <w:t xml:space="preserve">5.5μg in 31.2μl. </w:t>
      </w:r>
    </w:p>
    <w:p w14:paraId="01C29E8A" w14:textId="77777777" w:rsidR="008E7B3A" w:rsidRPr="008E7B3A" w:rsidRDefault="008E7B3A" w:rsidP="008E7B3A">
      <w:pPr>
        <w:spacing w:line="360" w:lineRule="auto"/>
        <w:jc w:val="both"/>
        <w:rPr>
          <w:rFonts w:ascii="Calibri" w:eastAsia="ＭＳ Ｐゴシック" w:hAnsi="Calibri" w:cs="Times New Roman"/>
        </w:rPr>
      </w:pPr>
    </w:p>
    <w:p w14:paraId="2248D553" w14:textId="4424591E"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Next the cDNA was fragmented using uracil-DNA glycosylase (UDG) and apurinic/apyrimidinic endonuclease 1 (APE1) which cleaves at the atypical dUTP bases. Here 1</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each UDG and APE1 was added to the </w:t>
      </w:r>
      <w:proofErr w:type="spellStart"/>
      <w:r w:rsidRPr="008E7B3A">
        <w:rPr>
          <w:rFonts w:ascii="Calibri" w:eastAsia="ＭＳ Ｐゴシック" w:hAnsi="Calibri" w:cs="Times New Roman"/>
        </w:rPr>
        <w:t>ss</w:t>
      </w:r>
      <w:proofErr w:type="spellEnd"/>
      <w:r w:rsidRPr="008E7B3A">
        <w:rPr>
          <w:rFonts w:ascii="Calibri" w:eastAsia="ＭＳ Ｐゴシック" w:hAnsi="Calibri" w:cs="Times New Roman"/>
        </w:rPr>
        <w:t>-cDNA along with 4.8</w:t>
      </w:r>
      <m:oMath>
        <m:r>
          <w:rPr>
            <w:rFonts w:ascii="Cambria Math" w:eastAsia="ＭＳ Ｐゴシック" w:hAnsi="Cambria Math" w:cs="Times New Roman"/>
          </w:rPr>
          <m:t>μ</m:t>
        </m:r>
      </m:oMath>
      <w:r w:rsidRPr="008E7B3A">
        <w:rPr>
          <w:rFonts w:ascii="Calibri" w:eastAsia="ＭＳ Ｐゴシック" w:hAnsi="Calibri" w:cs="Times New Roman"/>
        </w:rPr>
        <w:t>l of 10x cDNA fragmentation buffer and put in a thermo cycler for the following incubations: 1hr at 37</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2mins at 93</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and 2mins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 xml:space="preserve">C. In order to check the fragmentation process had worked the samples were again </w:t>
      </w:r>
      <w:r w:rsidR="00DC426C">
        <w:rPr>
          <w:rFonts w:ascii="Calibri" w:eastAsia="ＭＳ Ｐゴシック" w:hAnsi="Calibri" w:cs="Times New Roman"/>
        </w:rPr>
        <w:t>analysed</w:t>
      </w:r>
      <w:r w:rsidRPr="008E7B3A">
        <w:rPr>
          <w:rFonts w:ascii="Calibri" w:eastAsia="ＭＳ Ｐゴシック" w:hAnsi="Calibri" w:cs="Times New Roman"/>
        </w:rPr>
        <w:t xml:space="preserve"> on the 2100 Bioanalyser using the RNA 600 Nano Kit as described previously. This time a single peak was seen between 40-70 nucleotides long. </w:t>
      </w:r>
    </w:p>
    <w:p w14:paraId="5F2C85AE" w14:textId="77777777" w:rsidR="008E7B3A" w:rsidRPr="008E7B3A" w:rsidRDefault="008E7B3A" w:rsidP="008E7B3A">
      <w:pPr>
        <w:spacing w:line="360" w:lineRule="auto"/>
        <w:jc w:val="both"/>
        <w:rPr>
          <w:rFonts w:ascii="Calibri" w:eastAsia="ＭＳ Ｐゴシック" w:hAnsi="Calibri" w:cs="Times New Roman"/>
        </w:rPr>
      </w:pPr>
    </w:p>
    <w:p w14:paraId="4A113B5A" w14:textId="6E7E857F" w:rsidR="008E7B3A" w:rsidRPr="008E7B3A"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rPr>
        <w:t>The fragments were then labelled with 2</w:t>
      </w:r>
      <m:oMath>
        <m:r>
          <w:rPr>
            <w:rFonts w:ascii="Cambria Math" w:eastAsia="ＭＳ Ｐゴシック" w:hAnsi="Cambria Math" w:cs="Times New Roman"/>
          </w:rPr>
          <m:t>μ</m:t>
        </m:r>
      </m:oMath>
      <w:r w:rsidRPr="008E7B3A">
        <w:rPr>
          <w:rFonts w:ascii="Calibri" w:eastAsia="ＭＳ Ｐゴシック" w:hAnsi="Calibri" w:cs="Times New Roman"/>
        </w:rPr>
        <w:t>l of terminal deoxynucleotidyl transferase (T</w:t>
      </w:r>
      <w:r w:rsidR="00DC426C">
        <w:rPr>
          <w:rFonts w:ascii="Calibri" w:eastAsia="ＭＳ Ｐゴシック" w:hAnsi="Calibri" w:cs="Times New Roman"/>
        </w:rPr>
        <w:t>dT) and the kit DNA labelling r</w:t>
      </w:r>
      <w:r w:rsidRPr="008E7B3A">
        <w:rPr>
          <w:rFonts w:ascii="Calibri" w:eastAsia="ＭＳ Ｐゴシック" w:hAnsi="Calibri" w:cs="Times New Roman"/>
        </w:rPr>
        <w:t>eagent that is covalently linked to biotin (1</w:t>
      </w:r>
      <m:oMath>
        <m:r>
          <w:rPr>
            <w:rFonts w:ascii="Cambria Math" w:eastAsia="ＭＳ Ｐゴシック" w:hAnsi="Cambria Math" w:cs="Times New Roman"/>
          </w:rPr>
          <m:t>μ</m:t>
        </m:r>
      </m:oMath>
      <w:r w:rsidRPr="008E7B3A">
        <w:rPr>
          <w:rFonts w:ascii="Calibri" w:eastAsia="ＭＳ Ｐゴシック" w:hAnsi="Calibri" w:cs="Times New Roman"/>
        </w:rPr>
        <w:t>L) plus 12</w:t>
      </w:r>
      <m:oMath>
        <m:r>
          <w:rPr>
            <w:rFonts w:ascii="Cambria Math" w:eastAsia="ＭＳ Ｐゴシック" w:hAnsi="Cambria Math" w:cs="Times New Roman"/>
          </w:rPr>
          <m:t>μ</m:t>
        </m:r>
      </m:oMath>
      <w:r w:rsidRPr="008E7B3A">
        <w:rPr>
          <w:rFonts w:ascii="Calibri" w:eastAsia="ＭＳ Ｐゴシック" w:hAnsi="Calibri" w:cs="Times New Roman"/>
        </w:rPr>
        <w:t>l of 5X TdT buffer using the following incubations: 1hr at 37</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10mins at 70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and 2mins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In order to check labelling a gel-sh</w:t>
      </w:r>
      <w:r w:rsidR="00DC426C">
        <w:rPr>
          <w:rFonts w:ascii="Calibri" w:eastAsia="ＭＳ Ｐゴシック" w:hAnsi="Calibri" w:cs="Times New Roman"/>
        </w:rPr>
        <w:t>ift assay was per</w:t>
      </w:r>
      <w:r w:rsidRPr="008E7B3A">
        <w:rPr>
          <w:rFonts w:ascii="Calibri" w:eastAsia="ＭＳ Ｐゴシック" w:hAnsi="Calibri" w:cs="Times New Roman"/>
        </w:rPr>
        <w:t>formed. 2μl of sample was heated at 70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for 5mins and 5μl of a 1:5 dilution of Neutravidin (Thermo Scientific) added to 1μl</w:t>
      </w:r>
      <w:r w:rsidR="00DC426C">
        <w:rPr>
          <w:rFonts w:ascii="Calibri" w:eastAsia="ＭＳ Ｐゴシック" w:hAnsi="Calibri" w:cs="Times New Roman"/>
        </w:rPr>
        <w:t>,</w:t>
      </w:r>
      <w:r w:rsidRPr="008E7B3A">
        <w:rPr>
          <w:rFonts w:ascii="Calibri" w:eastAsia="ＭＳ Ｐゴシック" w:hAnsi="Calibri" w:cs="Times New Roman"/>
        </w:rPr>
        <w:t xml:space="preserve"> and as a negative control 5μl of dH</w:t>
      </w:r>
      <w:r w:rsidRPr="008E7B3A">
        <w:rPr>
          <w:rFonts w:ascii="Calibri" w:eastAsia="ＭＳ Ｐゴシック" w:hAnsi="Calibri" w:cs="Times New Roman"/>
          <w:vertAlign w:val="subscript"/>
        </w:rPr>
        <w:t>2</w:t>
      </w:r>
      <w:r w:rsidRPr="008E7B3A">
        <w:rPr>
          <w:rFonts w:ascii="Calibri" w:eastAsia="ＭＳ Ｐゴシック" w:hAnsi="Calibri" w:cs="Times New Roman"/>
        </w:rPr>
        <w:t xml:space="preserve">O </w:t>
      </w:r>
      <w:r w:rsidR="00DC426C">
        <w:rPr>
          <w:rFonts w:ascii="Calibri" w:eastAsia="ＭＳ Ｐゴシック" w:hAnsi="Calibri" w:cs="Times New Roman"/>
        </w:rPr>
        <w:t xml:space="preserve">was </w:t>
      </w:r>
      <w:r w:rsidRPr="008E7B3A">
        <w:rPr>
          <w:rFonts w:ascii="Calibri" w:eastAsia="ＭＳ Ｐゴシック" w:hAnsi="Calibri" w:cs="Times New Roman"/>
        </w:rPr>
        <w:t xml:space="preserve">added to the other 1μl of sample. These were </w:t>
      </w:r>
      <w:r w:rsidR="00DC426C">
        <w:rPr>
          <w:rFonts w:ascii="Calibri" w:eastAsia="ＭＳ Ｐゴシック" w:hAnsi="Calibri" w:cs="Times New Roman"/>
        </w:rPr>
        <w:t>incubated</w:t>
      </w:r>
      <w:r w:rsidRPr="008E7B3A">
        <w:rPr>
          <w:rFonts w:ascii="Calibri" w:eastAsia="ＭＳ Ｐゴシック" w:hAnsi="Calibri" w:cs="Times New Roman"/>
        </w:rPr>
        <w:t xml:space="preserve"> for 5mins at room temperature then 5μl of loading dye added. Samples were then loaded onto a 4-20% TBE precast gel (Invitrogen) in 1x TBE buffer (Affymetrix) and electrophoresed for 1hr at 150V. The gel was then washed in 0.001% ethidium bromide for </w:t>
      </w:r>
      <w:r w:rsidR="00CF0167">
        <w:rPr>
          <w:rFonts w:ascii="Calibri" w:eastAsia="ＭＳ Ｐゴシック" w:hAnsi="Calibri" w:cs="Times New Roman"/>
        </w:rPr>
        <w:t>30mins</w:t>
      </w:r>
      <w:r w:rsidRPr="008E7B3A">
        <w:rPr>
          <w:rFonts w:ascii="Calibri" w:eastAsia="ＭＳ Ｐゴシック" w:hAnsi="Calibri" w:cs="Times New Roman"/>
        </w:rPr>
        <w:t xml:space="preserve"> before being imaged. </w:t>
      </w:r>
    </w:p>
    <w:p w14:paraId="121ECF0E" w14:textId="77777777" w:rsidR="008E7B3A" w:rsidRPr="008E7B3A" w:rsidRDefault="008E7B3A" w:rsidP="008E7B3A">
      <w:pPr>
        <w:spacing w:line="360" w:lineRule="auto"/>
        <w:jc w:val="both"/>
        <w:rPr>
          <w:rFonts w:ascii="Calibri" w:eastAsia="ＭＳ Ｐゴシック" w:hAnsi="Calibri" w:cs="Times New Roman"/>
        </w:rPr>
      </w:pPr>
    </w:p>
    <w:p w14:paraId="42F9FA04" w14:textId="49437229" w:rsidR="008E7B3A" w:rsidRDefault="000A1E0D"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noProof/>
          <w:lang w:val="en-US"/>
        </w:rPr>
        <w:drawing>
          <wp:anchor distT="0" distB="0" distL="114300" distR="114300" simplePos="0" relativeHeight="252043264" behindDoc="0" locked="0" layoutInCell="1" allowOverlap="1" wp14:anchorId="20B81D0E" wp14:editId="7B9B1425">
            <wp:simplePos x="0" y="0"/>
            <wp:positionH relativeFrom="column">
              <wp:posOffset>0</wp:posOffset>
            </wp:positionH>
            <wp:positionV relativeFrom="paragraph">
              <wp:posOffset>3185160</wp:posOffset>
            </wp:positionV>
            <wp:extent cx="5372100" cy="2291080"/>
            <wp:effectExtent l="25400" t="25400" r="38100" b="20320"/>
            <wp:wrapSquare wrapText="bothSides"/>
            <wp:docPr id="298" name="Picture 298" descr="Macintosh HD:Users:ClairFellows:Desktop:Screen Shot 2017-06-08 at 12.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06-08 at 12.13.5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2100" cy="229108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8E7B3A" w:rsidRPr="008E7B3A">
        <w:rPr>
          <w:rFonts w:ascii="Calibri" w:eastAsia="ＭＳ Ｐゴシック" w:hAnsi="Calibri" w:cs="Times New Roman"/>
        </w:rPr>
        <w:t xml:space="preserve">The hybridisation step was accomplished using the Genechip Hybridisation, Wash and Stain kit (Affymetrix). Here a hybridisation cocktail was made including </w:t>
      </w:r>
      <w:proofErr w:type="spellStart"/>
      <w:r w:rsidR="008E7B3A" w:rsidRPr="008E7B3A">
        <w:rPr>
          <w:rFonts w:ascii="Calibri" w:eastAsia="ＭＳ Ｐゴシック" w:hAnsi="Calibri" w:cs="Times New Roman"/>
        </w:rPr>
        <w:t>oligo</w:t>
      </w:r>
      <w:proofErr w:type="spellEnd"/>
      <w:r w:rsidR="008E7B3A" w:rsidRPr="008E7B3A">
        <w:rPr>
          <w:rFonts w:ascii="Calibri" w:eastAsia="ＭＳ Ｐゴシック" w:hAnsi="Calibri" w:cs="Times New Roman"/>
        </w:rPr>
        <w:t xml:space="preserve"> B2 control (1.7</w:t>
      </w:r>
      <m:oMath>
        <m:r>
          <w:rPr>
            <w:rFonts w:ascii="Cambria Math" w:eastAsia="ＭＳ Ｐゴシック" w:hAnsi="Cambria Math" w:cs="Times New Roman"/>
          </w:rPr>
          <m:t>μ</m:t>
        </m:r>
      </m:oMath>
      <w:r w:rsidR="008E7B3A" w:rsidRPr="008E7B3A">
        <w:rPr>
          <w:rFonts w:ascii="Calibri" w:eastAsia="ＭＳ Ｐゴシック" w:hAnsi="Calibri" w:cs="Times New Roman"/>
        </w:rPr>
        <w:t>l), which adhere to specific areas of the array for ease of orientation, as well as 20x hybridisation controls (5</w:t>
      </w:r>
      <m:oMath>
        <m:r>
          <w:rPr>
            <w:rFonts w:ascii="Cambria Math" w:eastAsia="ＭＳ Ｐゴシック" w:hAnsi="Cambria Math" w:cs="Times New Roman"/>
          </w:rPr>
          <m:t>μ</m:t>
        </m:r>
      </m:oMath>
      <w:r w:rsidR="008E7B3A" w:rsidRPr="008E7B3A">
        <w:rPr>
          <w:rFonts w:ascii="Calibri" w:eastAsia="ＭＳ Ｐゴシック" w:hAnsi="Calibri" w:cs="Times New Roman"/>
        </w:rPr>
        <w:t>l), 2x hybridisation mix (50</w:t>
      </w:r>
      <m:oMath>
        <m:r>
          <w:rPr>
            <w:rFonts w:ascii="Cambria Math" w:eastAsia="ＭＳ Ｐゴシック" w:hAnsi="Cambria Math" w:cs="Times New Roman"/>
          </w:rPr>
          <m:t>μ</m:t>
        </m:r>
      </m:oMath>
      <w:r w:rsidR="008E7B3A" w:rsidRPr="008E7B3A">
        <w:rPr>
          <w:rFonts w:ascii="Calibri" w:eastAsia="ＭＳ Ｐゴシック" w:hAnsi="Calibri" w:cs="Times New Roman"/>
        </w:rPr>
        <w:t>l), nuclease free water (9.3</w:t>
      </w:r>
      <m:oMath>
        <m:r>
          <w:rPr>
            <w:rFonts w:ascii="Cambria Math" w:eastAsia="ＭＳ Ｐゴシック" w:hAnsi="Cambria Math" w:cs="Times New Roman"/>
          </w:rPr>
          <m:t>μ</m:t>
        </m:r>
      </m:oMath>
      <w:r w:rsidR="008E7B3A" w:rsidRPr="008E7B3A">
        <w:rPr>
          <w:rFonts w:ascii="Calibri" w:eastAsia="ＭＳ Ｐゴシック" w:hAnsi="Calibri" w:cs="Times New Roman"/>
        </w:rPr>
        <w:t>l) and DMSO (7</w:t>
      </w:r>
      <m:oMath>
        <m:r>
          <w:rPr>
            <w:rFonts w:ascii="Cambria Math" w:eastAsia="ＭＳ Ｐゴシック" w:hAnsi="Cambria Math" w:cs="Times New Roman"/>
          </w:rPr>
          <m:t>μ</m:t>
        </m:r>
      </m:oMath>
      <w:r w:rsidR="008E7B3A" w:rsidRPr="008E7B3A">
        <w:rPr>
          <w:rFonts w:ascii="Calibri" w:eastAsia="ＭＳ Ｐゴシック" w:hAnsi="Calibri" w:cs="Times New Roman"/>
        </w:rPr>
        <w:t>l), which allows for a lower T</w:t>
      </w:r>
      <w:r w:rsidR="008E7B3A" w:rsidRPr="008E7B3A">
        <w:rPr>
          <w:rFonts w:ascii="Calibri" w:eastAsia="ＭＳ Ｐゴシック" w:hAnsi="Calibri" w:cs="Times New Roman"/>
          <w:vertAlign w:val="subscript"/>
        </w:rPr>
        <w:t xml:space="preserve">m </w:t>
      </w:r>
      <w:r w:rsidR="008E7B3A" w:rsidRPr="008E7B3A">
        <w:rPr>
          <w:rFonts w:ascii="Calibri" w:eastAsia="ＭＳ Ｐゴシック" w:hAnsi="Calibri" w:cs="Times New Roman"/>
        </w:rPr>
        <w:t>during the incubation. This mix was added to each sample and incubated 5mins at 99</w:t>
      </w:r>
      <w:r w:rsidR="008E7B3A" w:rsidRPr="008E7B3A">
        <w:rPr>
          <w:rFonts w:ascii="Calibri" w:eastAsia="ＭＳ Ｐゴシック" w:hAnsi="Calibri" w:cs="Times New Roman"/>
          <w:vertAlign w:val="superscript"/>
        </w:rPr>
        <w:t>o</w:t>
      </w:r>
      <w:r w:rsidR="008E7B3A" w:rsidRPr="008E7B3A">
        <w:rPr>
          <w:rFonts w:ascii="Calibri" w:eastAsia="ＭＳ Ｐゴシック" w:hAnsi="Calibri" w:cs="Times New Roman"/>
        </w:rPr>
        <w:t>C and 5mins at 45</w:t>
      </w:r>
      <w:r w:rsidR="008E7B3A" w:rsidRPr="008E7B3A">
        <w:rPr>
          <w:rFonts w:ascii="Calibri" w:eastAsia="ＭＳ Ｐゴシック" w:hAnsi="Calibri" w:cs="Times New Roman"/>
          <w:vertAlign w:val="superscript"/>
        </w:rPr>
        <w:t>o</w:t>
      </w:r>
      <w:r w:rsidR="008E7B3A" w:rsidRPr="008E7B3A">
        <w:rPr>
          <w:rFonts w:ascii="Calibri" w:eastAsia="ＭＳ Ｐゴシック" w:hAnsi="Calibri" w:cs="Times New Roman"/>
        </w:rPr>
        <w:t>C. Then 80μl of each sample loaded into the lower septum of separate Genechip cartridges (Affymetrix) as shown in Figure 2.2, while a tip was placed in the other septum to allow venting. Tough spots were put over the Septa to prevent leaking and the cartridges incubated at 45</w:t>
      </w:r>
      <w:r w:rsidR="008E7B3A" w:rsidRPr="008E7B3A">
        <w:rPr>
          <w:rFonts w:ascii="Calibri" w:eastAsia="ＭＳ Ｐゴシック" w:hAnsi="Calibri" w:cs="Times New Roman"/>
          <w:vertAlign w:val="superscript"/>
        </w:rPr>
        <w:t>o</w:t>
      </w:r>
      <w:r w:rsidR="008E7B3A" w:rsidRPr="008E7B3A">
        <w:rPr>
          <w:rFonts w:ascii="Calibri" w:eastAsia="ＭＳ Ｐゴシック" w:hAnsi="Calibri" w:cs="Times New Roman"/>
        </w:rPr>
        <w:t>C in the hybridisation oven on rotation (60rpm) for 16hrs.</w:t>
      </w:r>
    </w:p>
    <w:p w14:paraId="13E7CC6D" w14:textId="7EBD8FD2" w:rsidR="00A373B1" w:rsidRDefault="00A373B1" w:rsidP="008E7B3A">
      <w:pPr>
        <w:spacing w:line="360" w:lineRule="auto"/>
        <w:jc w:val="both"/>
        <w:rPr>
          <w:rFonts w:ascii="Calibri" w:eastAsia="ＭＳ Ｐゴシック" w:hAnsi="Calibri" w:cs="Times New Roman"/>
        </w:rPr>
      </w:pPr>
    </w:p>
    <w:p w14:paraId="0AF9528F" w14:textId="39516AB8" w:rsidR="008E7B3A" w:rsidRPr="00C1559D" w:rsidRDefault="008E7B3A" w:rsidP="008E7B3A">
      <w:pPr>
        <w:spacing w:line="360" w:lineRule="auto"/>
        <w:jc w:val="both"/>
        <w:rPr>
          <w:rFonts w:ascii="Calibri" w:eastAsia="ＭＳ Ｐゴシック" w:hAnsi="Calibri" w:cs="Times New Roman"/>
        </w:rPr>
      </w:pPr>
      <w:r w:rsidRPr="008E7B3A">
        <w:rPr>
          <w:rFonts w:ascii="Calibri" w:eastAsia="ＭＳ Ｐゴシック" w:hAnsi="Calibri" w:cs="Times New Roman"/>
          <w:b/>
        </w:rPr>
        <w:t>Figure 2.2 Affymetrix Genechip Cartridge diagram, showing where the hybridisation mix should be added.</w:t>
      </w:r>
    </w:p>
    <w:p w14:paraId="19E0E908" w14:textId="77777777" w:rsidR="008E7B3A" w:rsidRPr="008E7B3A" w:rsidRDefault="008E7B3A" w:rsidP="008E7B3A">
      <w:pPr>
        <w:spacing w:line="360" w:lineRule="auto"/>
        <w:jc w:val="both"/>
        <w:rPr>
          <w:rFonts w:ascii="Calibri" w:eastAsia="ＭＳ Ｐゴシック" w:hAnsi="Calibri" w:cs="Times New Roman"/>
          <w:b/>
        </w:rPr>
      </w:pPr>
    </w:p>
    <w:p w14:paraId="7D89988E" w14:textId="2A2AAD59" w:rsidR="00E6223C" w:rsidRDefault="008E7B3A" w:rsidP="00E6223C">
      <w:pPr>
        <w:widowControl w:val="0"/>
        <w:autoSpaceDE w:val="0"/>
        <w:autoSpaceDN w:val="0"/>
        <w:adjustRightInd w:val="0"/>
        <w:spacing w:after="240" w:line="360" w:lineRule="auto"/>
        <w:jc w:val="both"/>
        <w:rPr>
          <w:rFonts w:ascii="Calibri" w:eastAsia="ＭＳ Ｐゴシック" w:hAnsi="Calibri" w:cs="Times"/>
          <w:lang w:val="en-US"/>
        </w:rPr>
      </w:pPr>
      <w:r w:rsidRPr="008E7B3A">
        <w:rPr>
          <w:rFonts w:ascii="Calibri" w:eastAsia="ＭＳ Ｐゴシック" w:hAnsi="Calibri" w:cs="Times New Roman"/>
        </w:rPr>
        <w:t xml:space="preserve">The next day the hybridisation mix was </w:t>
      </w:r>
      <w:r w:rsidR="00DC426C">
        <w:rPr>
          <w:rFonts w:ascii="Calibri" w:eastAsia="ＭＳ Ｐゴシック" w:hAnsi="Calibri" w:cs="Times New Roman"/>
        </w:rPr>
        <w:t>removed from</w:t>
      </w:r>
      <w:r w:rsidRPr="008E7B3A">
        <w:rPr>
          <w:rFonts w:ascii="Calibri" w:eastAsia="ＭＳ Ｐゴシック" w:hAnsi="Calibri" w:cs="Times New Roman"/>
        </w:rPr>
        <w:t xml:space="preserve"> the cartridges and the Genechip Hybridisation, Wash and Stain kit (Affymetrix) was then used to wash and stain the arrays with streptavidin-phycoerythrin, using a Fluidics Station 450 and a specified fluidics protocol (</w:t>
      </w:r>
      <w:r w:rsidRPr="008E7B3A">
        <w:rPr>
          <w:rFonts w:ascii="Calibri" w:eastAsia="ＭＳ Ｐゴシック" w:hAnsi="Calibri" w:cs="Times"/>
          <w:lang w:val="en-US"/>
        </w:rPr>
        <w:t xml:space="preserve">FS450_0007). Once stained, the cartridges were scanned on a Genechip 3000 using Affymetrix Command Console software and the data </w:t>
      </w:r>
      <w:r w:rsidR="00CF5335">
        <w:rPr>
          <w:rFonts w:ascii="Calibri" w:eastAsia="ＭＳ Ｐゴシック" w:hAnsi="Calibri" w:cs="Times"/>
          <w:lang w:val="en-US"/>
        </w:rPr>
        <w:t>was exported</w:t>
      </w:r>
      <w:r w:rsidRPr="008E7B3A">
        <w:rPr>
          <w:rFonts w:ascii="Calibri" w:eastAsia="ＭＳ Ｐゴシック" w:hAnsi="Calibri" w:cs="Times"/>
          <w:lang w:val="en-US"/>
        </w:rPr>
        <w:t xml:space="preserve">. The data was analysed using Expression Console and Transcriptome Analysis Console software. Here each array is </w:t>
      </w:r>
      <w:r w:rsidR="00DC426C">
        <w:rPr>
          <w:rFonts w:ascii="Calibri" w:eastAsia="ＭＳ Ｐゴシック" w:hAnsi="Calibri" w:cs="Times"/>
          <w:lang w:val="en-US"/>
        </w:rPr>
        <w:t>checked against</w:t>
      </w:r>
      <w:r w:rsidRPr="008E7B3A">
        <w:rPr>
          <w:rFonts w:ascii="Calibri" w:eastAsia="ＭＳ Ｐゴシック" w:hAnsi="Calibri" w:cs="Times"/>
          <w:lang w:val="en-US"/>
        </w:rPr>
        <w:t xml:space="preserve"> a series of quality control metrics such as hybridisation and labeling controls and probe intensities, which are discussed in more detail in the results section. The software calculated fold changes by comparing the control samples and either the </w:t>
      </w:r>
      <w:r w:rsidRPr="008E7B3A">
        <w:rPr>
          <w:rFonts w:ascii="Calibri" w:eastAsia="ＭＳ Ｐゴシック" w:hAnsi="Calibri" w:cs="Times"/>
          <w:i/>
          <w:lang w:val="en-US"/>
        </w:rPr>
        <w:t>SRCAP</w:t>
      </w:r>
      <w:r w:rsidRPr="008E7B3A">
        <w:rPr>
          <w:rFonts w:ascii="Calibri" w:eastAsia="ＭＳ Ｐゴシック" w:hAnsi="Calibri" w:cs="Times"/>
          <w:lang w:val="en-US"/>
        </w:rPr>
        <w:t xml:space="preserve"> over expressed samples or the siRNA </w:t>
      </w:r>
      <w:r w:rsidRPr="008E7B3A">
        <w:rPr>
          <w:rFonts w:ascii="Calibri" w:eastAsia="ＭＳ Ｐゴシック" w:hAnsi="Calibri" w:cs="Times"/>
          <w:i/>
          <w:lang w:val="en-US"/>
        </w:rPr>
        <w:t>SRCAP</w:t>
      </w:r>
      <w:r w:rsidRPr="008E7B3A">
        <w:rPr>
          <w:rFonts w:ascii="Calibri" w:eastAsia="ＭＳ Ｐゴシック" w:hAnsi="Calibri" w:cs="Times"/>
          <w:lang w:val="en-US"/>
        </w:rPr>
        <w:t xml:space="preserve"> samples. These files were exported to Microsoft Excel </w:t>
      </w:r>
      <w:r w:rsidR="00DC426C">
        <w:rPr>
          <w:rFonts w:ascii="Calibri" w:eastAsia="ＭＳ Ｐゴシック" w:hAnsi="Calibri" w:cs="Times"/>
          <w:lang w:val="en-US"/>
        </w:rPr>
        <w:t>for</w:t>
      </w:r>
      <w:r w:rsidRPr="008E7B3A">
        <w:rPr>
          <w:rFonts w:ascii="Calibri" w:eastAsia="ＭＳ Ｐゴシック" w:hAnsi="Calibri" w:cs="Times"/>
          <w:lang w:val="en-US"/>
        </w:rPr>
        <w:t xml:space="preserve"> further analysis </w:t>
      </w:r>
      <w:r w:rsidR="00DC426C">
        <w:rPr>
          <w:rFonts w:ascii="Calibri" w:eastAsia="ＭＳ Ｐゴシック" w:hAnsi="Calibri" w:cs="Times"/>
          <w:lang w:val="en-US"/>
        </w:rPr>
        <w:t>to be carried out</w:t>
      </w:r>
      <w:r w:rsidRPr="008E7B3A">
        <w:rPr>
          <w:rFonts w:ascii="Calibri" w:eastAsia="ＭＳ Ｐゴシック" w:hAnsi="Calibri" w:cs="Times"/>
          <w:lang w:val="en-US"/>
        </w:rPr>
        <w:t xml:space="preserve">. </w:t>
      </w:r>
    </w:p>
    <w:p w14:paraId="21D8C5E9" w14:textId="77777777" w:rsidR="007D5361" w:rsidRDefault="007D5361" w:rsidP="00E6223C">
      <w:pPr>
        <w:widowControl w:val="0"/>
        <w:autoSpaceDE w:val="0"/>
        <w:autoSpaceDN w:val="0"/>
        <w:adjustRightInd w:val="0"/>
        <w:spacing w:after="240" w:line="360" w:lineRule="auto"/>
        <w:jc w:val="both"/>
        <w:rPr>
          <w:rFonts w:ascii="Calibri" w:eastAsia="ＭＳ Ｐゴシック" w:hAnsi="Calibri" w:cs="Times New Roman"/>
          <w:b/>
          <w:color w:val="000000"/>
          <w:sz w:val="28"/>
        </w:rPr>
      </w:pPr>
    </w:p>
    <w:p w14:paraId="47B271E1" w14:textId="079167B6" w:rsidR="008E7B3A" w:rsidRPr="00E6223C" w:rsidRDefault="008E7B3A" w:rsidP="002F41C6">
      <w:pPr>
        <w:pStyle w:val="ListParagraph"/>
        <w:widowControl w:val="0"/>
        <w:numPr>
          <w:ilvl w:val="0"/>
          <w:numId w:val="19"/>
        </w:numPr>
        <w:autoSpaceDE w:val="0"/>
        <w:autoSpaceDN w:val="0"/>
        <w:adjustRightInd w:val="0"/>
        <w:spacing w:after="240" w:line="360" w:lineRule="auto"/>
        <w:jc w:val="both"/>
        <w:rPr>
          <w:rFonts w:ascii="Calibri" w:eastAsia="ＭＳ Ｐゴシック" w:hAnsi="Calibri" w:cs="Times"/>
          <w:lang w:val="en-US"/>
        </w:rPr>
      </w:pPr>
      <w:r w:rsidRPr="00E6223C">
        <w:rPr>
          <w:rFonts w:ascii="Calibri" w:eastAsia="ＭＳ Ｐゴシック" w:hAnsi="Calibri" w:cs="Times New Roman"/>
          <w:bCs/>
          <w:color w:val="000000"/>
          <w:sz w:val="28"/>
          <w:szCs w:val="32"/>
        </w:rPr>
        <w:t>Protein Studies</w:t>
      </w:r>
    </w:p>
    <w:p w14:paraId="23C797E9" w14:textId="77777777" w:rsidR="008E7B3A" w:rsidRPr="008E7B3A" w:rsidRDefault="008E7B3A" w:rsidP="002F41C6">
      <w:pPr>
        <w:numPr>
          <w:ilvl w:val="0"/>
          <w:numId w:val="23"/>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Protein Extraction and Quantification</w:t>
      </w:r>
    </w:p>
    <w:p w14:paraId="3B1B90F3" w14:textId="06AA38FA" w:rsid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Cells were washed in PBS then harvested by addition of 50-150</w:t>
      </w:r>
      <m:oMath>
        <m:r>
          <w:rPr>
            <w:rFonts w:ascii="Cambria Math" w:eastAsia="ＭＳ Ｐゴシック" w:hAnsi="Cambria Math" w:cs="Times New Roman"/>
            <w:lang w:val="en-US"/>
          </w:rPr>
          <m:t>μ</m:t>
        </m:r>
      </m:oMath>
      <w:r w:rsidR="00CF5335">
        <w:rPr>
          <w:rFonts w:ascii="Calibri" w:eastAsia="ＭＳ Ｐゴシック" w:hAnsi="Calibri" w:cs="Times New Roman"/>
          <w:lang w:val="en-US"/>
        </w:rPr>
        <w:t>l of lysis buffer (Table 2.4</w:t>
      </w:r>
      <w:r w:rsidRPr="008E7B3A">
        <w:rPr>
          <w:rFonts w:ascii="Calibri" w:eastAsia="ＭＳ Ｐゴシック" w:hAnsi="Calibri" w:cs="Times New Roman"/>
          <w:lang w:val="en-US"/>
        </w:rPr>
        <w:t>) depending on confluency of the cells,</w:t>
      </w:r>
      <w:r w:rsidR="00DC426C">
        <w:rPr>
          <w:rFonts w:ascii="Calibri" w:eastAsia="ＭＳ Ｐゴシック" w:hAnsi="Calibri" w:cs="Times New Roman"/>
          <w:lang w:val="en-US"/>
        </w:rPr>
        <w:t xml:space="preserve"> then</w:t>
      </w:r>
      <w:r w:rsidRPr="008E7B3A">
        <w:rPr>
          <w:rFonts w:ascii="Calibri" w:eastAsia="ＭＳ Ｐゴシック" w:hAnsi="Calibri" w:cs="Times New Roman"/>
          <w:lang w:val="en-US"/>
        </w:rPr>
        <w:t xml:space="preserve"> scraped and transferred to an eppendorf to lyse for 30 minutes. The cells were centrifuged at 4</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 xml:space="preserve">C for 15 minutes and the supernatant carefully transferred into a new eppendorf. Protein quantification was determined using a </w:t>
      </w:r>
      <w:r w:rsidR="00A219A0">
        <w:rPr>
          <w:rFonts w:ascii="Calibri" w:eastAsia="ＭＳ Ｐゴシック" w:hAnsi="Calibri" w:cs="Times New Roman"/>
          <w:lang w:val="en-US"/>
        </w:rPr>
        <w:t xml:space="preserve">Bradford Assay </w:t>
      </w:r>
      <w:r w:rsidRPr="008E7B3A">
        <w:rPr>
          <w:rFonts w:ascii="Calibri" w:eastAsia="ＭＳ Ｐゴシック" w:hAnsi="Calibri" w:cs="Times New Roman"/>
          <w:lang w:val="en-US"/>
        </w:rPr>
        <w:t xml:space="preserve">and calculated using the BSA standards </w:t>
      </w:r>
      <w:r w:rsidR="00DC426C">
        <w:rPr>
          <w:rFonts w:ascii="Calibri" w:eastAsia="ＭＳ Ｐゴシック" w:hAnsi="Calibri" w:cs="Times New Roman"/>
          <w:lang w:val="en-US"/>
        </w:rPr>
        <w:t xml:space="preserve">as shown </w:t>
      </w:r>
      <w:r w:rsidRPr="008E7B3A">
        <w:rPr>
          <w:rFonts w:ascii="Calibri" w:eastAsia="ＭＳ Ｐゴシック" w:hAnsi="Calibri" w:cs="Times New Roman"/>
          <w:lang w:val="en-US"/>
        </w:rPr>
        <w:t>in Figure 2.3</w:t>
      </w:r>
      <w:r w:rsidR="00DC426C">
        <w:rPr>
          <w:rFonts w:ascii="Calibri" w:eastAsia="ＭＳ Ｐゴシック" w:hAnsi="Calibri" w:cs="Times New Roman"/>
          <w:lang w:val="en-US"/>
        </w:rPr>
        <w:t>,</w:t>
      </w:r>
      <w:r w:rsidRPr="008E7B3A">
        <w:rPr>
          <w:rFonts w:ascii="Calibri" w:eastAsia="ＭＳ Ｐゴシック" w:hAnsi="Calibri" w:cs="Times New Roman"/>
          <w:lang w:val="en-US"/>
        </w:rPr>
        <w:t xml:space="preserve"> where y=</w:t>
      </w:r>
      <w:proofErr w:type="spellStart"/>
      <w:r w:rsidRPr="008E7B3A">
        <w:rPr>
          <w:rFonts w:ascii="Calibri" w:eastAsia="ＭＳ Ｐゴシック" w:hAnsi="Calibri" w:cs="Times New Roman"/>
          <w:lang w:val="en-US"/>
        </w:rPr>
        <w:t>mx+c</w:t>
      </w:r>
      <w:proofErr w:type="spellEnd"/>
      <w:r w:rsidRPr="008E7B3A">
        <w:rPr>
          <w:rFonts w:ascii="Calibri" w:eastAsia="ＭＳ Ｐゴシック" w:hAnsi="Calibri" w:cs="Times New Roman"/>
          <w:lang w:val="en-US"/>
        </w:rPr>
        <w:t xml:space="preserve"> (m=gradient, c=y axis intercept which was set at 0). This was </w:t>
      </w:r>
      <w:r w:rsidR="00DC426C">
        <w:rPr>
          <w:rFonts w:ascii="Calibri" w:eastAsia="ＭＳ Ｐゴシック" w:hAnsi="Calibri" w:cs="Times New Roman"/>
          <w:lang w:val="en-US"/>
        </w:rPr>
        <w:t>carried out</w:t>
      </w:r>
      <w:r w:rsidRPr="008E7B3A">
        <w:rPr>
          <w:rFonts w:ascii="Calibri" w:eastAsia="ＭＳ Ｐゴシック" w:hAnsi="Calibri" w:cs="Times New Roman"/>
          <w:lang w:val="en-US"/>
        </w:rPr>
        <w:t xml:space="preserve"> by adding 200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 xml:space="preserve">l of Protein Assay Dye Reagent to a 1:40 dilution of sample and the concentration </w:t>
      </w:r>
      <w:r w:rsidR="00DC426C">
        <w:rPr>
          <w:rFonts w:ascii="Calibri" w:eastAsia="ＭＳ Ｐゴシック" w:hAnsi="Calibri" w:cs="Times New Roman"/>
          <w:lang w:val="en-US"/>
        </w:rPr>
        <w:t xml:space="preserve">determined </w:t>
      </w:r>
      <w:r w:rsidRPr="008E7B3A">
        <w:rPr>
          <w:rFonts w:ascii="Calibri" w:eastAsia="ＭＳ Ｐゴシック" w:hAnsi="Calibri" w:cs="Times New Roman"/>
          <w:lang w:val="en-US"/>
        </w:rPr>
        <w:t>at 595nm optical density. 4x LDS sample buffer with 1</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4mM DTT in every 100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l of loading buffer was added to samples and they were boiled at 95</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C for 5mins before being stored in the -80</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 xml:space="preserve">C freezer ready for analysis. </w:t>
      </w:r>
    </w:p>
    <w:p w14:paraId="3FF48FAC" w14:textId="77777777" w:rsidR="007D5361" w:rsidRDefault="007D5361" w:rsidP="008E7B3A">
      <w:pPr>
        <w:spacing w:line="360" w:lineRule="auto"/>
        <w:jc w:val="both"/>
        <w:rPr>
          <w:rFonts w:ascii="Calibri" w:eastAsia="ＭＳ Ｐゴシック" w:hAnsi="Calibri" w:cs="Times New Roman"/>
          <w:lang w:val="en-US"/>
        </w:rPr>
      </w:pPr>
    </w:p>
    <w:p w14:paraId="24388517" w14:textId="77777777" w:rsidR="007D5361" w:rsidRDefault="007D5361" w:rsidP="008E7B3A">
      <w:pPr>
        <w:spacing w:line="360" w:lineRule="auto"/>
        <w:jc w:val="both"/>
        <w:rPr>
          <w:rFonts w:ascii="Calibri" w:eastAsia="ＭＳ Ｐゴシック" w:hAnsi="Calibri" w:cs="Times New Roman"/>
          <w:lang w:val="en-US"/>
        </w:rPr>
      </w:pPr>
    </w:p>
    <w:p w14:paraId="27568166" w14:textId="77777777" w:rsidR="007D5361" w:rsidRDefault="007D5361" w:rsidP="008E7B3A">
      <w:pPr>
        <w:spacing w:line="360" w:lineRule="auto"/>
        <w:jc w:val="both"/>
        <w:rPr>
          <w:rFonts w:ascii="Calibri" w:eastAsia="ＭＳ Ｐゴシック" w:hAnsi="Calibri" w:cs="Times New Roman"/>
          <w:lang w:val="en-US"/>
        </w:rPr>
      </w:pPr>
    </w:p>
    <w:p w14:paraId="3CAEE8D1" w14:textId="77777777" w:rsidR="007D5361" w:rsidRDefault="007D5361" w:rsidP="008E7B3A">
      <w:pPr>
        <w:spacing w:line="360" w:lineRule="auto"/>
        <w:jc w:val="both"/>
        <w:rPr>
          <w:rFonts w:ascii="Calibri" w:eastAsia="ＭＳ Ｐゴシック" w:hAnsi="Calibri" w:cs="Times New Roman"/>
          <w:lang w:val="en-US"/>
        </w:rPr>
      </w:pPr>
    </w:p>
    <w:p w14:paraId="1D266DB3" w14:textId="77777777" w:rsidR="007D5361" w:rsidRDefault="007D5361" w:rsidP="008E7B3A">
      <w:pPr>
        <w:spacing w:line="360" w:lineRule="auto"/>
        <w:jc w:val="both"/>
        <w:rPr>
          <w:rFonts w:ascii="Calibri" w:eastAsia="ＭＳ Ｐゴシック" w:hAnsi="Calibri" w:cs="Times New Roman"/>
          <w:lang w:val="en-US"/>
        </w:rPr>
      </w:pPr>
    </w:p>
    <w:p w14:paraId="664B2259" w14:textId="77777777" w:rsidR="007D5361" w:rsidRDefault="007D5361" w:rsidP="008E7B3A">
      <w:pPr>
        <w:spacing w:line="360" w:lineRule="auto"/>
        <w:jc w:val="both"/>
        <w:rPr>
          <w:rFonts w:ascii="Calibri" w:eastAsia="ＭＳ Ｐゴシック" w:hAnsi="Calibri" w:cs="Times New Roman"/>
          <w:lang w:val="en-US"/>
        </w:rPr>
      </w:pPr>
    </w:p>
    <w:p w14:paraId="06E888E7" w14:textId="77777777" w:rsidR="007D5361" w:rsidRPr="008E7B3A" w:rsidRDefault="007D5361" w:rsidP="008E7B3A">
      <w:pPr>
        <w:spacing w:line="360" w:lineRule="auto"/>
        <w:jc w:val="both"/>
        <w:rPr>
          <w:rFonts w:ascii="Calibri" w:eastAsia="ＭＳ Ｐゴシック" w:hAnsi="Calibri" w:cs="Times New Roman"/>
          <w:lang w:val="en-US"/>
        </w:rPr>
      </w:pPr>
    </w:p>
    <w:tbl>
      <w:tblPr>
        <w:tblStyle w:val="TableGrid"/>
        <w:tblpPr w:leftFromText="180" w:rightFromText="180" w:vertAnchor="text" w:horzAnchor="page" w:tblpX="2377" w:tblpY="335"/>
        <w:tblW w:w="0" w:type="auto"/>
        <w:tblLayout w:type="fixed"/>
        <w:tblLook w:val="04A0" w:firstRow="1" w:lastRow="0" w:firstColumn="1" w:lastColumn="0" w:noHBand="0" w:noVBand="1"/>
      </w:tblPr>
      <w:tblGrid>
        <w:gridCol w:w="4087"/>
        <w:gridCol w:w="1020"/>
        <w:gridCol w:w="1886"/>
        <w:gridCol w:w="1563"/>
      </w:tblGrid>
      <w:tr w:rsidR="008E7B3A" w:rsidRPr="008E7B3A" w14:paraId="63DCB6B1" w14:textId="77777777" w:rsidTr="008E7B3A">
        <w:tc>
          <w:tcPr>
            <w:tcW w:w="4087" w:type="dxa"/>
            <w:shd w:val="clear" w:color="auto" w:fill="000000"/>
          </w:tcPr>
          <w:p w14:paraId="2B9482CF" w14:textId="77777777" w:rsidR="008E7B3A" w:rsidRPr="008E7B3A" w:rsidRDefault="008E7B3A" w:rsidP="008E7B3A">
            <w:pPr>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Reagent</w:t>
            </w:r>
          </w:p>
        </w:tc>
        <w:tc>
          <w:tcPr>
            <w:tcW w:w="1020" w:type="dxa"/>
            <w:shd w:val="clear" w:color="auto" w:fill="000000"/>
          </w:tcPr>
          <w:p w14:paraId="7B6B1271" w14:textId="77777777" w:rsidR="008E7B3A" w:rsidRPr="008E7B3A" w:rsidRDefault="008E7B3A" w:rsidP="008E7B3A">
            <w:pPr>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Stock</w:t>
            </w:r>
          </w:p>
        </w:tc>
        <w:tc>
          <w:tcPr>
            <w:tcW w:w="1886" w:type="dxa"/>
            <w:shd w:val="clear" w:color="auto" w:fill="000000"/>
          </w:tcPr>
          <w:p w14:paraId="55AF71AF" w14:textId="77777777" w:rsidR="008E7B3A" w:rsidRPr="008E7B3A" w:rsidRDefault="008E7B3A" w:rsidP="008E7B3A">
            <w:pPr>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Amount for 5ml</w:t>
            </w:r>
          </w:p>
        </w:tc>
        <w:tc>
          <w:tcPr>
            <w:tcW w:w="1563" w:type="dxa"/>
            <w:shd w:val="clear" w:color="auto" w:fill="000000"/>
          </w:tcPr>
          <w:p w14:paraId="46A9317F" w14:textId="77777777" w:rsidR="008E7B3A" w:rsidRPr="008E7B3A" w:rsidRDefault="008E7B3A" w:rsidP="008E7B3A">
            <w:pPr>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Company</w:t>
            </w:r>
          </w:p>
        </w:tc>
      </w:tr>
      <w:tr w:rsidR="008E7B3A" w:rsidRPr="008E7B3A" w14:paraId="6A3D55C2" w14:textId="77777777" w:rsidTr="008E7B3A">
        <w:tc>
          <w:tcPr>
            <w:tcW w:w="4087" w:type="dxa"/>
            <w:shd w:val="clear" w:color="auto" w:fill="D9D9D9"/>
          </w:tcPr>
          <w:p w14:paraId="2559912C"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50mM Tris pH 8.0</w:t>
            </w:r>
          </w:p>
        </w:tc>
        <w:tc>
          <w:tcPr>
            <w:tcW w:w="1020" w:type="dxa"/>
          </w:tcPr>
          <w:p w14:paraId="78231BE6"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1M</w:t>
            </w:r>
          </w:p>
        </w:tc>
        <w:tc>
          <w:tcPr>
            <w:tcW w:w="1886" w:type="dxa"/>
          </w:tcPr>
          <w:p w14:paraId="75F23B5D"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250</w:t>
            </w:r>
            <m:oMath>
              <m:r>
                <w:rPr>
                  <w:rFonts w:ascii="Cambria Math" w:eastAsia="ＭＳ Ｐゴシック" w:hAnsi="Cambria Math" w:cs="Times New Roman"/>
                </w:rPr>
                <m:t>μ</m:t>
              </m:r>
            </m:oMath>
            <w:r w:rsidRPr="008E7B3A">
              <w:rPr>
                <w:rFonts w:ascii="Calibri" w:eastAsia="ＭＳ Ｐゴシック" w:hAnsi="Calibri" w:cs="Times New Roman"/>
              </w:rPr>
              <w:t>l</w:t>
            </w:r>
          </w:p>
        </w:tc>
        <w:tc>
          <w:tcPr>
            <w:tcW w:w="1563" w:type="dxa"/>
          </w:tcPr>
          <w:p w14:paraId="68DC65E1"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Fisher</w:t>
            </w:r>
          </w:p>
        </w:tc>
      </w:tr>
      <w:tr w:rsidR="008E7B3A" w:rsidRPr="008E7B3A" w14:paraId="6FD23011" w14:textId="77777777" w:rsidTr="008E7B3A">
        <w:tc>
          <w:tcPr>
            <w:tcW w:w="4087" w:type="dxa"/>
            <w:shd w:val="clear" w:color="auto" w:fill="D9D9D9"/>
          </w:tcPr>
          <w:p w14:paraId="4E0FD854"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200mM NaCl</w:t>
            </w:r>
          </w:p>
        </w:tc>
        <w:tc>
          <w:tcPr>
            <w:tcW w:w="1020" w:type="dxa"/>
          </w:tcPr>
          <w:p w14:paraId="50EAFB16"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5M</w:t>
            </w:r>
          </w:p>
        </w:tc>
        <w:tc>
          <w:tcPr>
            <w:tcW w:w="1886" w:type="dxa"/>
          </w:tcPr>
          <w:p w14:paraId="61AF5C66"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200</w:t>
            </w:r>
            <m:oMath>
              <m:r>
                <w:rPr>
                  <w:rFonts w:ascii="Cambria Math" w:eastAsia="ＭＳ Ｐゴシック" w:hAnsi="Cambria Math" w:cs="Times New Roman"/>
                </w:rPr>
                <m:t>μ</m:t>
              </m:r>
            </m:oMath>
            <w:r w:rsidRPr="008E7B3A">
              <w:rPr>
                <w:rFonts w:ascii="Calibri" w:eastAsia="ＭＳ Ｐゴシック" w:hAnsi="Calibri" w:cs="Times New Roman"/>
              </w:rPr>
              <w:t>l</w:t>
            </w:r>
          </w:p>
        </w:tc>
        <w:tc>
          <w:tcPr>
            <w:tcW w:w="1563" w:type="dxa"/>
          </w:tcPr>
          <w:p w14:paraId="1F7893FE"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Fisher</w:t>
            </w:r>
          </w:p>
        </w:tc>
      </w:tr>
      <w:tr w:rsidR="008E7B3A" w:rsidRPr="008E7B3A" w14:paraId="0EC1D135" w14:textId="77777777" w:rsidTr="008E7B3A">
        <w:tc>
          <w:tcPr>
            <w:tcW w:w="4087" w:type="dxa"/>
            <w:shd w:val="clear" w:color="auto" w:fill="D9D9D9"/>
          </w:tcPr>
          <w:p w14:paraId="6D8AF03D"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 Triton X-100</w:t>
            </w:r>
          </w:p>
        </w:tc>
        <w:tc>
          <w:tcPr>
            <w:tcW w:w="1020" w:type="dxa"/>
          </w:tcPr>
          <w:p w14:paraId="062F3BF1"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100%</w:t>
            </w:r>
          </w:p>
        </w:tc>
        <w:tc>
          <w:tcPr>
            <w:tcW w:w="1886" w:type="dxa"/>
          </w:tcPr>
          <w:p w14:paraId="5D1B2FB1"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50</w:t>
            </w:r>
            <m:oMath>
              <m:r>
                <w:rPr>
                  <w:rFonts w:ascii="Cambria Math" w:eastAsia="ＭＳ Ｐゴシック" w:hAnsi="Cambria Math" w:cs="Times New Roman"/>
                </w:rPr>
                <m:t>μ</m:t>
              </m:r>
            </m:oMath>
            <w:r w:rsidRPr="008E7B3A">
              <w:rPr>
                <w:rFonts w:ascii="Calibri" w:eastAsia="ＭＳ Ｐゴシック" w:hAnsi="Calibri" w:cs="Times New Roman"/>
              </w:rPr>
              <w:t>l</w:t>
            </w:r>
          </w:p>
        </w:tc>
        <w:tc>
          <w:tcPr>
            <w:tcW w:w="1563" w:type="dxa"/>
          </w:tcPr>
          <w:p w14:paraId="77017A68"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Sigma</w:t>
            </w:r>
          </w:p>
        </w:tc>
      </w:tr>
      <w:tr w:rsidR="008E7B3A" w:rsidRPr="008E7B3A" w14:paraId="23B62D1D" w14:textId="77777777" w:rsidTr="008E7B3A">
        <w:tc>
          <w:tcPr>
            <w:tcW w:w="4087" w:type="dxa"/>
            <w:shd w:val="clear" w:color="auto" w:fill="D9D9D9"/>
          </w:tcPr>
          <w:p w14:paraId="3C83A79C"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1mM DTT</w:t>
            </w:r>
          </w:p>
        </w:tc>
        <w:tc>
          <w:tcPr>
            <w:tcW w:w="1020" w:type="dxa"/>
          </w:tcPr>
          <w:p w14:paraId="21C1DED8"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1M</w:t>
            </w:r>
          </w:p>
        </w:tc>
        <w:tc>
          <w:tcPr>
            <w:tcW w:w="1886" w:type="dxa"/>
          </w:tcPr>
          <w:p w14:paraId="258ECFC6"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5</w:t>
            </w:r>
            <m:oMath>
              <m:r>
                <w:rPr>
                  <w:rFonts w:ascii="Cambria Math" w:eastAsia="ＭＳ Ｐゴシック" w:hAnsi="Cambria Math" w:cs="Times New Roman"/>
                </w:rPr>
                <m:t>μ</m:t>
              </m:r>
            </m:oMath>
            <w:r w:rsidRPr="008E7B3A">
              <w:rPr>
                <w:rFonts w:ascii="Calibri" w:eastAsia="ＭＳ Ｐゴシック" w:hAnsi="Calibri" w:cs="Times New Roman"/>
              </w:rPr>
              <w:t>l</w:t>
            </w:r>
          </w:p>
        </w:tc>
        <w:tc>
          <w:tcPr>
            <w:tcW w:w="1563" w:type="dxa"/>
          </w:tcPr>
          <w:p w14:paraId="72C5A775"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Sigma</w:t>
            </w:r>
          </w:p>
        </w:tc>
      </w:tr>
      <w:tr w:rsidR="008E7B3A" w:rsidRPr="008E7B3A" w14:paraId="7882972C" w14:textId="77777777" w:rsidTr="008E7B3A">
        <w:tc>
          <w:tcPr>
            <w:tcW w:w="4087" w:type="dxa"/>
            <w:shd w:val="clear" w:color="auto" w:fill="D9D9D9"/>
          </w:tcPr>
          <w:p w14:paraId="1EED83E2"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1mM EDTA</w:t>
            </w:r>
          </w:p>
        </w:tc>
        <w:tc>
          <w:tcPr>
            <w:tcW w:w="1020" w:type="dxa"/>
          </w:tcPr>
          <w:p w14:paraId="18E9407B"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500mM</w:t>
            </w:r>
          </w:p>
        </w:tc>
        <w:tc>
          <w:tcPr>
            <w:tcW w:w="1886" w:type="dxa"/>
          </w:tcPr>
          <w:p w14:paraId="475B7E2F"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10</w:t>
            </w:r>
            <m:oMath>
              <m:r>
                <w:rPr>
                  <w:rFonts w:ascii="Cambria Math" w:eastAsia="ＭＳ Ｐゴシック" w:hAnsi="Cambria Math" w:cs="Times New Roman"/>
                </w:rPr>
                <m:t>μ</m:t>
              </m:r>
            </m:oMath>
            <w:r w:rsidRPr="008E7B3A">
              <w:rPr>
                <w:rFonts w:ascii="Calibri" w:eastAsia="ＭＳ Ｐゴシック" w:hAnsi="Calibri" w:cs="Times New Roman"/>
              </w:rPr>
              <w:t>l</w:t>
            </w:r>
          </w:p>
        </w:tc>
        <w:tc>
          <w:tcPr>
            <w:tcW w:w="1563" w:type="dxa"/>
          </w:tcPr>
          <w:p w14:paraId="1C04A033"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Sigma</w:t>
            </w:r>
          </w:p>
        </w:tc>
      </w:tr>
      <w:tr w:rsidR="008E7B3A" w:rsidRPr="008E7B3A" w14:paraId="3CB9237E" w14:textId="77777777" w:rsidTr="008E7B3A">
        <w:tc>
          <w:tcPr>
            <w:tcW w:w="4087" w:type="dxa"/>
            <w:shd w:val="clear" w:color="auto" w:fill="D9D9D9"/>
          </w:tcPr>
          <w:p w14:paraId="44EE5A3C"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Benzonase</w:t>
            </w:r>
          </w:p>
        </w:tc>
        <w:tc>
          <w:tcPr>
            <w:tcW w:w="1020" w:type="dxa"/>
          </w:tcPr>
          <w:p w14:paraId="07089554"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25U/ml</w:t>
            </w:r>
          </w:p>
        </w:tc>
        <w:tc>
          <w:tcPr>
            <w:tcW w:w="1886" w:type="dxa"/>
          </w:tcPr>
          <w:p w14:paraId="6F556FB6"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10</w:t>
            </w:r>
            <m:oMath>
              <m:r>
                <w:rPr>
                  <w:rFonts w:ascii="Cambria Math" w:eastAsia="ＭＳ Ｐゴシック" w:hAnsi="Cambria Math" w:cs="Times New Roman"/>
                </w:rPr>
                <m:t>μ</m:t>
              </m:r>
            </m:oMath>
            <w:r w:rsidRPr="008E7B3A">
              <w:rPr>
                <w:rFonts w:ascii="Calibri" w:eastAsia="ＭＳ Ｐゴシック" w:hAnsi="Calibri" w:cs="Times New Roman"/>
              </w:rPr>
              <w:t>l</w:t>
            </w:r>
          </w:p>
        </w:tc>
        <w:tc>
          <w:tcPr>
            <w:tcW w:w="1563" w:type="dxa"/>
          </w:tcPr>
          <w:p w14:paraId="3BAB7BCC" w14:textId="77777777" w:rsidR="008E7B3A" w:rsidRPr="008E7B3A" w:rsidRDefault="008E7B3A" w:rsidP="008E7B3A">
            <w:pPr>
              <w:spacing w:line="276" w:lineRule="auto"/>
              <w:jc w:val="both"/>
              <w:rPr>
                <w:rFonts w:ascii="Calibri" w:eastAsia="ＭＳ Ｐゴシック" w:hAnsi="Calibri" w:cs="Times New Roman"/>
              </w:rPr>
            </w:pPr>
            <w:proofErr w:type="spellStart"/>
            <w:r w:rsidRPr="008E7B3A">
              <w:rPr>
                <w:rFonts w:ascii="Calibri" w:eastAsia="ＭＳ Ｐゴシック" w:hAnsi="Calibri" w:cs="Times New Roman"/>
              </w:rPr>
              <w:t>Novagen</w:t>
            </w:r>
            <w:proofErr w:type="spellEnd"/>
          </w:p>
        </w:tc>
      </w:tr>
      <w:tr w:rsidR="008E7B3A" w:rsidRPr="008E7B3A" w14:paraId="4638274E" w14:textId="77777777" w:rsidTr="008E7B3A">
        <w:tc>
          <w:tcPr>
            <w:tcW w:w="4087" w:type="dxa"/>
            <w:shd w:val="clear" w:color="auto" w:fill="D9D9D9"/>
          </w:tcPr>
          <w:p w14:paraId="25935F35"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PIB</w:t>
            </w:r>
          </w:p>
        </w:tc>
        <w:tc>
          <w:tcPr>
            <w:tcW w:w="1020" w:type="dxa"/>
          </w:tcPr>
          <w:p w14:paraId="21B84434"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10x</w:t>
            </w:r>
          </w:p>
        </w:tc>
        <w:tc>
          <w:tcPr>
            <w:tcW w:w="1886" w:type="dxa"/>
          </w:tcPr>
          <w:p w14:paraId="351D5176"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500</w:t>
            </w:r>
            <m:oMath>
              <m:r>
                <w:rPr>
                  <w:rFonts w:ascii="Cambria Math" w:eastAsia="ＭＳ Ｐゴシック" w:hAnsi="Cambria Math" w:cs="Times New Roman"/>
                </w:rPr>
                <m:t>μ</m:t>
              </m:r>
            </m:oMath>
            <w:r w:rsidRPr="008E7B3A">
              <w:rPr>
                <w:rFonts w:ascii="Calibri" w:eastAsia="ＭＳ Ｐゴシック" w:hAnsi="Calibri" w:cs="Times New Roman"/>
              </w:rPr>
              <w:t>l</w:t>
            </w:r>
          </w:p>
        </w:tc>
        <w:tc>
          <w:tcPr>
            <w:tcW w:w="1563" w:type="dxa"/>
          </w:tcPr>
          <w:p w14:paraId="40CAFC26"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Sigma</w:t>
            </w:r>
          </w:p>
        </w:tc>
      </w:tr>
      <w:tr w:rsidR="008E7B3A" w:rsidRPr="008E7B3A" w14:paraId="7FD67822" w14:textId="77777777" w:rsidTr="008E7B3A">
        <w:tc>
          <w:tcPr>
            <w:tcW w:w="4087" w:type="dxa"/>
            <w:shd w:val="clear" w:color="auto" w:fill="D9D9D9"/>
          </w:tcPr>
          <w:p w14:paraId="7348AB95" w14:textId="77777777" w:rsidR="008E7B3A" w:rsidRPr="008E7B3A" w:rsidRDefault="008E7B3A" w:rsidP="008E7B3A">
            <w:pPr>
              <w:spacing w:line="276" w:lineRule="auto"/>
              <w:jc w:val="both"/>
              <w:rPr>
                <w:rFonts w:ascii="Calibri" w:eastAsia="ＭＳ Ｐゴシック" w:hAnsi="Calibri" w:cs="Times New Roman"/>
              </w:rPr>
            </w:pPr>
            <w:proofErr w:type="spellStart"/>
            <w:r w:rsidRPr="008E7B3A">
              <w:rPr>
                <w:rFonts w:ascii="Calibri" w:eastAsia="ＭＳ Ｐゴシック" w:hAnsi="Calibri" w:cs="Times New Roman"/>
              </w:rPr>
              <w:t>Phos</w:t>
            </w:r>
            <w:proofErr w:type="spellEnd"/>
            <w:r w:rsidRPr="008E7B3A">
              <w:rPr>
                <w:rFonts w:ascii="Calibri" w:eastAsia="ＭＳ Ｐゴシック" w:hAnsi="Calibri" w:cs="Times New Roman"/>
              </w:rPr>
              <w:t xml:space="preserve">. Inhibitors </w:t>
            </w:r>
          </w:p>
        </w:tc>
        <w:tc>
          <w:tcPr>
            <w:tcW w:w="1020" w:type="dxa"/>
          </w:tcPr>
          <w:p w14:paraId="45EB6193"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100x</w:t>
            </w:r>
          </w:p>
        </w:tc>
        <w:tc>
          <w:tcPr>
            <w:tcW w:w="1886" w:type="dxa"/>
          </w:tcPr>
          <w:p w14:paraId="720B1459"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50</w:t>
            </w:r>
            <m:oMath>
              <m:r>
                <w:rPr>
                  <w:rFonts w:ascii="Cambria Math" w:eastAsia="ＭＳ Ｐゴシック" w:hAnsi="Cambria Math" w:cs="Times New Roman"/>
                </w:rPr>
                <m:t>μ</m:t>
              </m:r>
            </m:oMath>
            <w:r w:rsidRPr="008E7B3A">
              <w:rPr>
                <w:rFonts w:ascii="Calibri" w:eastAsia="ＭＳ Ｐゴシック" w:hAnsi="Calibri" w:cs="Times New Roman"/>
              </w:rPr>
              <w:t>l</w:t>
            </w:r>
          </w:p>
        </w:tc>
        <w:tc>
          <w:tcPr>
            <w:tcW w:w="1563" w:type="dxa"/>
          </w:tcPr>
          <w:p w14:paraId="2E189345"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Sigma</w:t>
            </w:r>
          </w:p>
        </w:tc>
      </w:tr>
      <w:tr w:rsidR="008E7B3A" w:rsidRPr="008E7B3A" w14:paraId="137EC6DD" w14:textId="77777777" w:rsidTr="008E7B3A">
        <w:tc>
          <w:tcPr>
            <w:tcW w:w="4087" w:type="dxa"/>
            <w:shd w:val="clear" w:color="auto" w:fill="D9D9D9"/>
          </w:tcPr>
          <w:p w14:paraId="61CBA7C9" w14:textId="77777777" w:rsidR="008E7B3A" w:rsidRPr="008E7B3A" w:rsidRDefault="008E7B3A" w:rsidP="008E7B3A">
            <w:pPr>
              <w:spacing w:line="276" w:lineRule="auto"/>
              <w:jc w:val="both"/>
              <w:rPr>
                <w:rFonts w:ascii="Calibri" w:eastAsia="ＭＳ Ｐゴシック" w:hAnsi="Calibri" w:cs="Times New Roman"/>
              </w:rPr>
            </w:pPr>
            <w:proofErr w:type="gramStart"/>
            <w:r w:rsidRPr="008E7B3A">
              <w:rPr>
                <w:rFonts w:ascii="Calibri" w:eastAsia="ＭＳ Ｐゴシック" w:hAnsi="Calibri" w:cs="Times New Roman"/>
              </w:rPr>
              <w:t>ddH</w:t>
            </w:r>
            <w:r w:rsidRPr="008E7B3A">
              <w:rPr>
                <w:rFonts w:ascii="Calibri" w:eastAsia="ＭＳ Ｐゴシック" w:hAnsi="Calibri" w:cs="Times New Roman"/>
                <w:vertAlign w:val="superscript"/>
              </w:rPr>
              <w:t>2</w:t>
            </w:r>
            <w:r w:rsidRPr="008E7B3A">
              <w:rPr>
                <w:rFonts w:ascii="Calibri" w:eastAsia="ＭＳ Ｐゴシック" w:hAnsi="Calibri" w:cs="Times New Roman"/>
              </w:rPr>
              <w:t>O</w:t>
            </w:r>
            <w:proofErr w:type="gramEnd"/>
          </w:p>
        </w:tc>
        <w:tc>
          <w:tcPr>
            <w:tcW w:w="1020" w:type="dxa"/>
          </w:tcPr>
          <w:p w14:paraId="5CF0B88A"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w:t>
            </w:r>
          </w:p>
        </w:tc>
        <w:tc>
          <w:tcPr>
            <w:tcW w:w="1886" w:type="dxa"/>
          </w:tcPr>
          <w:p w14:paraId="19E45CE7"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3.97ml</w:t>
            </w:r>
          </w:p>
        </w:tc>
        <w:tc>
          <w:tcPr>
            <w:tcW w:w="1563" w:type="dxa"/>
          </w:tcPr>
          <w:p w14:paraId="68CCCA6E" w14:textId="77777777" w:rsidR="008E7B3A" w:rsidRPr="008E7B3A" w:rsidRDefault="008E7B3A" w:rsidP="008E7B3A">
            <w:pPr>
              <w:spacing w:line="276" w:lineRule="auto"/>
              <w:jc w:val="both"/>
              <w:rPr>
                <w:rFonts w:ascii="Calibri" w:eastAsia="ＭＳ Ｐゴシック" w:hAnsi="Calibri" w:cs="Times New Roman"/>
              </w:rPr>
            </w:pPr>
            <w:r w:rsidRPr="008E7B3A">
              <w:rPr>
                <w:rFonts w:ascii="Calibri" w:eastAsia="ＭＳ Ｐゴシック" w:hAnsi="Calibri" w:cs="Times New Roman"/>
              </w:rPr>
              <w:t>-</w:t>
            </w:r>
          </w:p>
        </w:tc>
      </w:tr>
    </w:tbl>
    <w:p w14:paraId="019FCB27" w14:textId="142D4AC3" w:rsidR="008E7B3A" w:rsidRPr="008E7B3A" w:rsidRDefault="008E7B3A" w:rsidP="008E7B3A">
      <w:pPr>
        <w:rPr>
          <w:rFonts w:ascii="Calibri" w:eastAsia="ＭＳ Ｐゴシック" w:hAnsi="Calibri" w:cs="Times New Roman"/>
        </w:rPr>
      </w:pPr>
    </w:p>
    <w:p w14:paraId="6A4159DA" w14:textId="78278AE1" w:rsidR="008E7B3A" w:rsidRPr="008E7B3A" w:rsidRDefault="00CF5335" w:rsidP="008E7B3A">
      <w:pPr>
        <w:rPr>
          <w:rFonts w:ascii="Calibri" w:eastAsia="ＭＳ Ｐゴシック" w:hAnsi="Calibri" w:cs="Times New Roman"/>
          <w:lang w:val="en-US"/>
        </w:rPr>
      </w:pPr>
      <w:r>
        <w:rPr>
          <w:rFonts w:ascii="Calibri" w:eastAsia="ＭＳ Ｐゴシック" w:hAnsi="Calibri" w:cs="Times New Roman"/>
          <w:b/>
        </w:rPr>
        <w:t>Table 2.4</w:t>
      </w:r>
      <w:r w:rsidR="008E7B3A" w:rsidRPr="008E7B3A">
        <w:rPr>
          <w:rFonts w:ascii="Calibri" w:eastAsia="ＭＳ Ｐゴシック" w:hAnsi="Calibri" w:cs="Times New Roman"/>
          <w:b/>
        </w:rPr>
        <w:t xml:space="preserve"> Lysis Buffer for extraction of protein </w:t>
      </w:r>
    </w:p>
    <w:p w14:paraId="6AFAFBD0" w14:textId="77777777" w:rsidR="008E7B3A" w:rsidRPr="008E7B3A" w:rsidRDefault="008E7B3A" w:rsidP="008E7B3A">
      <w:pPr>
        <w:spacing w:line="276" w:lineRule="auto"/>
        <w:jc w:val="both"/>
        <w:rPr>
          <w:rFonts w:ascii="Calibri" w:eastAsia="ＭＳ Ｐゴシック" w:hAnsi="Calibri" w:cs="Times New Roman"/>
          <w:b/>
          <w:noProof/>
          <w:lang w:val="en-US"/>
        </w:rPr>
      </w:pPr>
    </w:p>
    <w:p w14:paraId="69EA9C44" w14:textId="02700918" w:rsidR="00E6223C" w:rsidRDefault="009931EF" w:rsidP="008E7B3A">
      <w:pPr>
        <w:spacing w:line="276" w:lineRule="auto"/>
        <w:jc w:val="both"/>
        <w:rPr>
          <w:rFonts w:ascii="Calibri" w:eastAsia="ＭＳ Ｐゴシック" w:hAnsi="Calibri" w:cs="Times New Roman"/>
          <w:b/>
          <w:noProof/>
          <w:lang w:val="en-US"/>
        </w:rPr>
      </w:pPr>
      <w:r w:rsidRPr="008E7B3A">
        <w:rPr>
          <w:rFonts w:ascii="Calibri" w:eastAsia="ＭＳ Ｐゴシック" w:hAnsi="Calibri" w:cs="Times New Roman"/>
          <w:noProof/>
          <w:lang w:val="en-US"/>
        </w:rPr>
        <w:drawing>
          <wp:anchor distT="0" distB="0" distL="114300" distR="114300" simplePos="0" relativeHeight="252042240" behindDoc="0" locked="0" layoutInCell="1" allowOverlap="1" wp14:anchorId="658B26E9" wp14:editId="1F1986B5">
            <wp:simplePos x="0" y="0"/>
            <wp:positionH relativeFrom="column">
              <wp:posOffset>0</wp:posOffset>
            </wp:positionH>
            <wp:positionV relativeFrom="paragraph">
              <wp:posOffset>149860</wp:posOffset>
            </wp:positionV>
            <wp:extent cx="5274310" cy="3272155"/>
            <wp:effectExtent l="0" t="0" r="8890" b="4445"/>
            <wp:wrapSquare wrapText="bothSides"/>
            <wp:docPr id="299" name="Chart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399B59CB" w14:textId="16E24B50" w:rsidR="008E7B3A" w:rsidRPr="008E7B3A" w:rsidRDefault="008E7B3A" w:rsidP="008E7B3A">
      <w:pPr>
        <w:spacing w:line="276" w:lineRule="auto"/>
        <w:jc w:val="both"/>
        <w:rPr>
          <w:rFonts w:ascii="Calibri" w:eastAsia="ＭＳ Ｐゴシック" w:hAnsi="Calibri" w:cs="Times New Roman"/>
          <w:b/>
          <w:noProof/>
          <w:lang w:val="en-US"/>
        </w:rPr>
      </w:pPr>
      <w:r w:rsidRPr="008E7B3A">
        <w:rPr>
          <w:rFonts w:ascii="Calibri" w:eastAsia="ＭＳ Ｐゴシック" w:hAnsi="Calibri" w:cs="Times New Roman"/>
          <w:b/>
          <w:noProof/>
          <w:lang w:val="en-US"/>
        </w:rPr>
        <w:t xml:space="preserve">Figure 2.3 BSA standard curve allowing for calculation of protein concentration </w:t>
      </w:r>
    </w:p>
    <w:p w14:paraId="357FE3EE" w14:textId="77777777" w:rsidR="008E7B3A" w:rsidRPr="008E7B3A" w:rsidRDefault="008E7B3A" w:rsidP="00A373B1">
      <w:pPr>
        <w:spacing w:line="360" w:lineRule="auto"/>
        <w:jc w:val="both"/>
        <w:rPr>
          <w:rFonts w:ascii="Calibri" w:eastAsia="ＭＳ Ｐゴシック" w:hAnsi="Calibri" w:cs="Times New Roman"/>
          <w:b/>
          <w:i/>
          <w:lang w:val="en-US"/>
        </w:rPr>
      </w:pPr>
    </w:p>
    <w:p w14:paraId="0657E294" w14:textId="77777777" w:rsidR="008E7B3A" w:rsidRPr="008E7B3A" w:rsidRDefault="008E7B3A" w:rsidP="002F41C6">
      <w:pPr>
        <w:numPr>
          <w:ilvl w:val="0"/>
          <w:numId w:val="23"/>
        </w:numPr>
        <w:spacing w:line="360" w:lineRule="auto"/>
        <w:jc w:val="both"/>
        <w:rPr>
          <w:rFonts w:ascii="Calibri" w:eastAsia="ＭＳ Ｐゴシック" w:hAnsi="Calibri" w:cs="Times New Roman"/>
          <w:b/>
          <w:i/>
          <w:lang w:val="en-US"/>
        </w:rPr>
      </w:pPr>
      <w:r w:rsidRPr="008E7B3A">
        <w:rPr>
          <w:rFonts w:ascii="Calibri" w:eastAsia="ＭＳ Ｐゴシック" w:hAnsi="Calibri" w:cs="Times New Roman"/>
          <w:b/>
          <w:i/>
          <w:lang w:val="en-US"/>
        </w:rPr>
        <w:t>SDS-PAGE and Western Blotting</w:t>
      </w:r>
    </w:p>
    <w:p w14:paraId="749BF552" w14:textId="18BC8FA7" w:rsidR="008E7B3A" w:rsidRPr="008E7B3A" w:rsidRDefault="008E7B3A" w:rsidP="008E7B3A">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Between 20-50</w:t>
      </w:r>
      <m:oMath>
        <m:r>
          <w:rPr>
            <w:rFonts w:ascii="Cambria Math" w:eastAsia="ＭＳ Ｐゴシック" w:hAnsi="Cambria Math" w:cs="Times New Roman"/>
            <w:lang w:val="en-US"/>
          </w:rPr>
          <m:t>μ</m:t>
        </m:r>
      </m:oMath>
      <w:r w:rsidRPr="008E7B3A">
        <w:rPr>
          <w:rFonts w:ascii="Calibri" w:eastAsia="ＭＳ Ｐゴシック" w:hAnsi="Calibri" w:cs="Times New Roman"/>
          <w:lang w:val="en-US"/>
        </w:rPr>
        <w:t>g (depend</w:t>
      </w:r>
      <w:r w:rsidR="00DC426C">
        <w:rPr>
          <w:rFonts w:ascii="Calibri" w:eastAsia="ＭＳ Ｐゴシック" w:hAnsi="Calibri" w:cs="Times New Roman"/>
          <w:lang w:val="en-US"/>
        </w:rPr>
        <w:t>ing on protein being analysed)</w:t>
      </w:r>
      <w:r w:rsidRPr="008E7B3A">
        <w:rPr>
          <w:rFonts w:ascii="Calibri" w:eastAsia="ＭＳ Ｐゴシック" w:hAnsi="Calibri" w:cs="Times New Roman"/>
          <w:lang w:val="en-US"/>
        </w:rPr>
        <w:t xml:space="preserve"> of each protein sample was separated on a 4%</w:t>
      </w:r>
      <w:r w:rsidR="00DC426C">
        <w:rPr>
          <w:rFonts w:ascii="Calibri" w:eastAsia="ＭＳ Ｐゴシック" w:hAnsi="Calibri" w:cs="Times New Roman"/>
          <w:lang w:val="en-US"/>
        </w:rPr>
        <w:t xml:space="preserve">, 10 well, </w:t>
      </w:r>
      <w:r w:rsidRPr="008E7B3A">
        <w:rPr>
          <w:rFonts w:ascii="Calibri" w:eastAsia="ＭＳ Ｐゴシック" w:hAnsi="Calibri" w:cs="Times New Roman"/>
          <w:lang w:val="en-US"/>
        </w:rPr>
        <w:t>precast gel (</w:t>
      </w:r>
      <w:proofErr w:type="spellStart"/>
      <w:r w:rsidRPr="008E7B3A">
        <w:rPr>
          <w:rFonts w:ascii="Calibri" w:eastAsia="ＭＳ Ｐゴシック" w:hAnsi="Calibri" w:cs="Times New Roman"/>
          <w:lang w:val="en-US"/>
        </w:rPr>
        <w:t>No</w:t>
      </w:r>
      <w:r w:rsidR="00DC426C">
        <w:rPr>
          <w:rFonts w:ascii="Calibri" w:eastAsia="ＭＳ Ｐゴシック" w:hAnsi="Calibri" w:cs="Times New Roman"/>
          <w:lang w:val="en-US"/>
        </w:rPr>
        <w:t>vex</w:t>
      </w:r>
      <w:proofErr w:type="spellEnd"/>
      <w:r w:rsidR="00DC426C">
        <w:rPr>
          <w:rFonts w:ascii="Calibri" w:eastAsia="ＭＳ Ｐゴシック" w:hAnsi="Calibri" w:cs="Times New Roman"/>
          <w:lang w:val="en-US"/>
        </w:rPr>
        <w:t>, Life Technologies) with 20</w:t>
      </w:r>
      <w:r w:rsidRPr="008E7B3A">
        <w:rPr>
          <w:rFonts w:ascii="Calibri" w:eastAsia="ＭＳ Ｐゴシック" w:hAnsi="Calibri" w:cs="Times New Roman"/>
          <w:lang w:val="en-US"/>
        </w:rPr>
        <w:t xml:space="preserve">x </w:t>
      </w:r>
      <w:proofErr w:type="spellStart"/>
      <w:r w:rsidRPr="008E7B3A">
        <w:rPr>
          <w:rFonts w:ascii="Calibri" w:eastAsia="ＭＳ Ｐゴシック" w:hAnsi="Calibri" w:cs="Times New Roman"/>
          <w:lang w:val="en-US"/>
        </w:rPr>
        <w:t>Nupage</w:t>
      </w:r>
      <w:proofErr w:type="spellEnd"/>
      <w:r w:rsidRPr="008E7B3A">
        <w:rPr>
          <w:rFonts w:ascii="Calibri" w:eastAsia="ＭＳ Ｐゴシック" w:hAnsi="Calibri" w:cs="Times New Roman"/>
          <w:lang w:val="en-US"/>
        </w:rPr>
        <w:t xml:space="preserve"> running buffer (Invitrogen). For all SDS-PAGE gels the protein standard MW ladder </w:t>
      </w:r>
      <w:proofErr w:type="spellStart"/>
      <w:r w:rsidRPr="008E7B3A">
        <w:rPr>
          <w:rFonts w:ascii="Calibri" w:eastAsia="ＭＳ Ｐゴシック" w:hAnsi="Calibri" w:cs="Times New Roman"/>
          <w:lang w:val="en-US"/>
        </w:rPr>
        <w:t>SeeBlue</w:t>
      </w:r>
      <w:proofErr w:type="spellEnd"/>
      <w:r w:rsidRPr="008E7B3A">
        <w:rPr>
          <w:rFonts w:ascii="Calibri" w:eastAsia="ＭＳ Ｐゴシック" w:hAnsi="Calibri" w:cs="Times New Roman"/>
          <w:lang w:val="en-US"/>
        </w:rPr>
        <w:t xml:space="preserve"> Plus 2 (Invitrogen) was used. The gels were then transferred onto nitrocellulose membrane (GE Healthcare) between </w:t>
      </w:r>
      <w:proofErr w:type="spellStart"/>
      <w:r w:rsidRPr="008E7B3A">
        <w:rPr>
          <w:rFonts w:ascii="Calibri" w:eastAsia="ＭＳ Ｐゴシック" w:hAnsi="Calibri" w:cs="Times New Roman"/>
          <w:lang w:val="en-US"/>
        </w:rPr>
        <w:t>Whatmann</w:t>
      </w:r>
      <w:proofErr w:type="spellEnd"/>
      <w:r w:rsidRPr="008E7B3A">
        <w:rPr>
          <w:rFonts w:ascii="Calibri" w:eastAsia="ＭＳ Ｐゴシック" w:hAnsi="Calibri" w:cs="Times New Roman"/>
          <w:lang w:val="en-US"/>
        </w:rPr>
        <w:t xml:space="preserve"> paper, with 20x </w:t>
      </w:r>
      <w:proofErr w:type="spellStart"/>
      <w:r w:rsidRPr="008E7B3A">
        <w:rPr>
          <w:rFonts w:ascii="Calibri" w:eastAsia="ＭＳ Ｐゴシック" w:hAnsi="Calibri" w:cs="Times New Roman"/>
          <w:lang w:val="en-US"/>
        </w:rPr>
        <w:t>Nupage</w:t>
      </w:r>
      <w:proofErr w:type="spellEnd"/>
      <w:r w:rsidRPr="008E7B3A">
        <w:rPr>
          <w:rFonts w:ascii="Calibri" w:eastAsia="ＭＳ Ｐゴシック" w:hAnsi="Calibri" w:cs="Times New Roman"/>
          <w:lang w:val="en-US"/>
        </w:rPr>
        <w:t xml:space="preserve"> transfer buffer (</w:t>
      </w:r>
      <w:proofErr w:type="spellStart"/>
      <w:r w:rsidRPr="008E7B3A">
        <w:rPr>
          <w:rFonts w:ascii="Calibri" w:eastAsia="ＭＳ Ｐゴシック" w:hAnsi="Calibri" w:cs="Times New Roman"/>
          <w:lang w:val="en-US"/>
        </w:rPr>
        <w:t>Novex</w:t>
      </w:r>
      <w:proofErr w:type="spellEnd"/>
      <w:r w:rsidRPr="008E7B3A">
        <w:rPr>
          <w:rFonts w:ascii="Calibri" w:eastAsia="ＭＳ Ｐゴシック" w:hAnsi="Calibri" w:cs="Times New Roman"/>
          <w:lang w:val="en-US"/>
        </w:rPr>
        <w:t xml:space="preserve">) and using a </w:t>
      </w:r>
      <w:proofErr w:type="spellStart"/>
      <w:r w:rsidRPr="008E7B3A">
        <w:rPr>
          <w:rFonts w:ascii="Calibri" w:eastAsia="ＭＳ Ｐゴシック" w:hAnsi="Calibri" w:cs="Times New Roman"/>
          <w:lang w:val="en-US"/>
        </w:rPr>
        <w:t>Biorad</w:t>
      </w:r>
      <w:proofErr w:type="spellEnd"/>
      <w:r w:rsidRPr="008E7B3A">
        <w:rPr>
          <w:rFonts w:ascii="Calibri" w:eastAsia="ＭＳ Ｐゴシック" w:hAnsi="Calibri" w:cs="Times New Roman"/>
          <w:lang w:val="en-US"/>
        </w:rPr>
        <w:t xml:space="preserve"> </w:t>
      </w:r>
      <w:proofErr w:type="spellStart"/>
      <w:r w:rsidRPr="008E7B3A">
        <w:rPr>
          <w:rFonts w:ascii="Calibri" w:eastAsia="ＭＳ Ｐゴシック" w:hAnsi="Calibri" w:cs="Times New Roman"/>
          <w:lang w:val="en-US"/>
        </w:rPr>
        <w:t>powerpack</w:t>
      </w:r>
      <w:proofErr w:type="spellEnd"/>
      <w:r w:rsidRPr="008E7B3A">
        <w:rPr>
          <w:rFonts w:ascii="Calibri" w:eastAsia="ＭＳ Ｐゴシック" w:hAnsi="Calibri" w:cs="Times New Roman"/>
          <w:lang w:val="en-US"/>
        </w:rPr>
        <w:t xml:space="preserve"> HC. After transfer, blotting was conducted in 5% milk solution in PBS-T for 1hr with gentle shaking. Primary antibodies were either made up in the 5% milk or 5% Bovine Serum Albumin at concentrations specified in table 2.1.V and were </w:t>
      </w:r>
      <w:r w:rsidR="00DC426C">
        <w:rPr>
          <w:rFonts w:ascii="Calibri" w:eastAsia="ＭＳ Ｐゴシック" w:hAnsi="Calibri" w:cs="Times New Roman"/>
          <w:lang w:val="en-US"/>
        </w:rPr>
        <w:t>incubated with the membrane</w:t>
      </w:r>
      <w:r w:rsidRPr="008E7B3A">
        <w:rPr>
          <w:rFonts w:ascii="Calibri" w:eastAsia="ＭＳ Ｐゴシック" w:hAnsi="Calibri" w:cs="Times New Roman"/>
          <w:lang w:val="en-US"/>
        </w:rPr>
        <w:t xml:space="preserve"> over</w:t>
      </w:r>
      <w:r w:rsidR="00327AA2">
        <w:rPr>
          <w:rFonts w:ascii="Calibri" w:eastAsia="ＭＳ Ｐゴシック" w:hAnsi="Calibri" w:cs="Times New Roman"/>
          <w:lang w:val="en-US"/>
        </w:rPr>
        <w:t xml:space="preserve"> </w:t>
      </w:r>
      <w:r w:rsidRPr="008E7B3A">
        <w:rPr>
          <w:rFonts w:ascii="Calibri" w:eastAsia="ＭＳ Ｐゴシック" w:hAnsi="Calibri" w:cs="Times New Roman"/>
          <w:lang w:val="en-US"/>
        </w:rPr>
        <w:t>night at 4</w:t>
      </w:r>
      <w:r w:rsidRPr="008E7B3A">
        <w:rPr>
          <w:rFonts w:ascii="Calibri" w:eastAsia="ＭＳ Ｐゴシック" w:hAnsi="Calibri" w:cs="Times New Roman"/>
          <w:vertAlign w:val="superscript"/>
          <w:lang w:val="en-US"/>
        </w:rPr>
        <w:t>o</w:t>
      </w:r>
      <w:r w:rsidRPr="008E7B3A">
        <w:rPr>
          <w:rFonts w:ascii="Calibri" w:eastAsia="ＭＳ Ｐゴシック" w:hAnsi="Calibri" w:cs="Times New Roman"/>
          <w:lang w:val="en-US"/>
        </w:rPr>
        <w:t xml:space="preserve">C with shaking. Secondary antibodies were made up in 5% milk and left on the blots for </w:t>
      </w:r>
      <w:proofErr w:type="gramStart"/>
      <w:r w:rsidRPr="008E7B3A">
        <w:rPr>
          <w:rFonts w:ascii="Calibri" w:eastAsia="ＭＳ Ｐゴシック" w:hAnsi="Calibri" w:cs="Times New Roman"/>
          <w:lang w:val="en-US"/>
        </w:rPr>
        <w:t>an</w:t>
      </w:r>
      <w:proofErr w:type="gramEnd"/>
      <w:r w:rsidRPr="008E7B3A">
        <w:rPr>
          <w:rFonts w:ascii="Calibri" w:eastAsia="ＭＳ Ｐゴシック" w:hAnsi="Calibri" w:cs="Times New Roman"/>
          <w:lang w:val="en-US"/>
        </w:rPr>
        <w:t xml:space="preserve"> </w:t>
      </w:r>
      <w:r w:rsidR="00CF0167">
        <w:rPr>
          <w:rFonts w:ascii="Calibri" w:eastAsia="ＭＳ Ｐゴシック" w:hAnsi="Calibri" w:cs="Times New Roman"/>
          <w:lang w:val="en-US"/>
        </w:rPr>
        <w:t>1hr</w:t>
      </w:r>
      <w:r w:rsidRPr="008E7B3A">
        <w:rPr>
          <w:rFonts w:ascii="Calibri" w:eastAsia="ＭＳ Ｐゴシック" w:hAnsi="Calibri" w:cs="Times New Roman"/>
          <w:lang w:val="en-US"/>
        </w:rPr>
        <w:t xml:space="preserve"> at a concentration of 1:1000. </w:t>
      </w:r>
      <w:r w:rsidR="00DC426C">
        <w:rPr>
          <w:rFonts w:ascii="Calibri" w:eastAsia="ＭＳ Ｐゴシック" w:hAnsi="Calibri" w:cs="Times New Roman"/>
          <w:lang w:val="en-US"/>
        </w:rPr>
        <w:t>Protein bands</w:t>
      </w:r>
      <w:r w:rsidRPr="008E7B3A">
        <w:rPr>
          <w:rFonts w:ascii="Calibri" w:eastAsia="ＭＳ Ｐゴシック" w:hAnsi="Calibri" w:cs="Times New Roman"/>
          <w:lang w:val="en-US"/>
        </w:rPr>
        <w:t xml:space="preserve"> were visualized using Pierce ECL western blotting substrate and developed at differing exposure times using a Konica SRX 101A processor and Fuji Medical X-ray film. </w:t>
      </w:r>
    </w:p>
    <w:p w14:paraId="1E1F356A" w14:textId="77777777" w:rsidR="008E7B3A" w:rsidRPr="008E7B3A" w:rsidRDefault="008E7B3A" w:rsidP="008E7B3A">
      <w:pPr>
        <w:spacing w:line="360" w:lineRule="auto"/>
        <w:jc w:val="both"/>
        <w:rPr>
          <w:rFonts w:ascii="Calibri" w:eastAsia="ＭＳ Ｐゴシック" w:hAnsi="Calibri" w:cs="Times New Roman"/>
          <w:lang w:val="en-US"/>
        </w:rPr>
      </w:pPr>
    </w:p>
    <w:p w14:paraId="7111B3A9" w14:textId="0AE288EF" w:rsidR="008E7B3A" w:rsidRDefault="008E7B3A" w:rsidP="00A373B1">
      <w:pPr>
        <w:spacing w:line="360" w:lineRule="auto"/>
        <w:jc w:val="both"/>
        <w:rPr>
          <w:rFonts w:ascii="Calibri" w:eastAsia="ＭＳ Ｐゴシック" w:hAnsi="Calibri" w:cs="Times New Roman"/>
          <w:lang w:val="en-US"/>
        </w:rPr>
      </w:pPr>
      <w:r w:rsidRPr="008E7B3A">
        <w:rPr>
          <w:rFonts w:ascii="Calibri" w:eastAsia="ＭＳ Ｐゴシック" w:hAnsi="Calibri" w:cs="Times New Roman"/>
          <w:lang w:val="en-US"/>
        </w:rPr>
        <w:t>Non-precast SDS-PAGE gels and buf</w:t>
      </w:r>
      <w:r w:rsidR="00CF5335">
        <w:rPr>
          <w:rFonts w:ascii="Calibri" w:eastAsia="ＭＳ Ｐゴシック" w:hAnsi="Calibri" w:cs="Times New Roman"/>
          <w:lang w:val="en-US"/>
        </w:rPr>
        <w:t>fers were also used (Table 2.5</w:t>
      </w:r>
      <w:r w:rsidRPr="008E7B3A">
        <w:rPr>
          <w:rFonts w:ascii="Calibri" w:eastAsia="ＭＳ Ｐゴシック" w:hAnsi="Calibri" w:cs="Times New Roman"/>
          <w:lang w:val="en-US"/>
        </w:rPr>
        <w:t xml:space="preserve">); the same power packs, blocking buffers, ladders and antibodies were used as for precast gels. </w:t>
      </w:r>
    </w:p>
    <w:p w14:paraId="4248EC66" w14:textId="77777777" w:rsidR="00CF5335" w:rsidRPr="00A373B1" w:rsidRDefault="00CF5335" w:rsidP="00A373B1">
      <w:pPr>
        <w:spacing w:line="360" w:lineRule="auto"/>
        <w:jc w:val="both"/>
        <w:rPr>
          <w:rFonts w:ascii="Calibri" w:eastAsia="ＭＳ Ｐゴシック" w:hAnsi="Calibri" w:cs="Times New Roman"/>
          <w:lang w:val="en-US"/>
        </w:rPr>
      </w:pPr>
    </w:p>
    <w:tbl>
      <w:tblPr>
        <w:tblStyle w:val="TableGrid"/>
        <w:tblpPr w:leftFromText="180" w:rightFromText="180" w:vertAnchor="text" w:horzAnchor="page" w:tblpX="2377" w:tblpY="192"/>
        <w:tblW w:w="0" w:type="auto"/>
        <w:tblLook w:val="04A0" w:firstRow="1" w:lastRow="0" w:firstColumn="1" w:lastColumn="0" w:noHBand="0" w:noVBand="1"/>
      </w:tblPr>
      <w:tblGrid>
        <w:gridCol w:w="4258"/>
        <w:gridCol w:w="4258"/>
      </w:tblGrid>
      <w:tr w:rsidR="008E7B3A" w:rsidRPr="008E7B3A" w14:paraId="34643CBF" w14:textId="77777777" w:rsidTr="00C1559D">
        <w:tc>
          <w:tcPr>
            <w:tcW w:w="4258" w:type="dxa"/>
            <w:shd w:val="clear" w:color="auto" w:fill="D9D9D9"/>
          </w:tcPr>
          <w:p w14:paraId="4F26520E"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1L 10x Running Buffer</w:t>
            </w:r>
          </w:p>
        </w:tc>
        <w:tc>
          <w:tcPr>
            <w:tcW w:w="4258" w:type="dxa"/>
          </w:tcPr>
          <w:p w14:paraId="0C26C013"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30.3g Tris base</w:t>
            </w:r>
          </w:p>
          <w:p w14:paraId="45A35C56"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144g Glycine</w:t>
            </w:r>
          </w:p>
          <w:p w14:paraId="271A3B5E"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10g SDS</w:t>
            </w:r>
          </w:p>
        </w:tc>
      </w:tr>
      <w:tr w:rsidR="008E7B3A" w:rsidRPr="008E7B3A" w14:paraId="097D2E9F" w14:textId="77777777" w:rsidTr="00C1559D">
        <w:tc>
          <w:tcPr>
            <w:tcW w:w="4258" w:type="dxa"/>
            <w:shd w:val="clear" w:color="auto" w:fill="D9D9D9"/>
          </w:tcPr>
          <w:p w14:paraId="047B3CB0"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1L 10x Transfer Buffer</w:t>
            </w:r>
          </w:p>
        </w:tc>
        <w:tc>
          <w:tcPr>
            <w:tcW w:w="4258" w:type="dxa"/>
          </w:tcPr>
          <w:p w14:paraId="06D3E27D"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30.3g Tris Base</w:t>
            </w:r>
          </w:p>
          <w:p w14:paraId="09A491E2"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144g Glycine</w:t>
            </w:r>
          </w:p>
        </w:tc>
      </w:tr>
      <w:tr w:rsidR="008E7B3A" w:rsidRPr="008E7B3A" w14:paraId="2400594E" w14:textId="77777777" w:rsidTr="00C1559D">
        <w:tc>
          <w:tcPr>
            <w:tcW w:w="4258" w:type="dxa"/>
            <w:shd w:val="clear" w:color="auto" w:fill="D9D9D9"/>
          </w:tcPr>
          <w:p w14:paraId="227240FC"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1L 1.5M Tris pH8.8</w:t>
            </w:r>
          </w:p>
        </w:tc>
        <w:tc>
          <w:tcPr>
            <w:tcW w:w="4258" w:type="dxa"/>
          </w:tcPr>
          <w:p w14:paraId="1433D85E"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 xml:space="preserve">181.71g Tris, alter pH with concentrated HCL </w:t>
            </w:r>
          </w:p>
        </w:tc>
      </w:tr>
      <w:tr w:rsidR="008E7B3A" w:rsidRPr="008E7B3A" w14:paraId="0CE1921D" w14:textId="77777777" w:rsidTr="00C1559D">
        <w:tc>
          <w:tcPr>
            <w:tcW w:w="4258" w:type="dxa"/>
            <w:shd w:val="clear" w:color="auto" w:fill="D9D9D9"/>
          </w:tcPr>
          <w:p w14:paraId="3C6EBFEE"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8% Separating gel (for 25ml)</w:t>
            </w:r>
          </w:p>
        </w:tc>
        <w:tc>
          <w:tcPr>
            <w:tcW w:w="4258" w:type="dxa"/>
          </w:tcPr>
          <w:p w14:paraId="7FC5E8F2"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11.5ml H</w:t>
            </w:r>
            <w:r w:rsidRPr="008E7B3A">
              <w:rPr>
                <w:rFonts w:ascii="Calibri" w:eastAsia="ＭＳ Ｐゴシック" w:hAnsi="Calibri" w:cs="Times New Roman"/>
                <w:vertAlign w:val="subscript"/>
              </w:rPr>
              <w:t>2</w:t>
            </w:r>
            <w:r w:rsidRPr="008E7B3A">
              <w:rPr>
                <w:rFonts w:ascii="Calibri" w:eastAsia="ＭＳ Ｐゴシック" w:hAnsi="Calibri" w:cs="Times New Roman"/>
              </w:rPr>
              <w:t>O</w:t>
            </w:r>
          </w:p>
          <w:p w14:paraId="668683CC"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6.7</w:t>
            </w:r>
            <m:oMath>
              <m:r>
                <w:rPr>
                  <w:rFonts w:ascii="Cambria Math" w:eastAsia="ＭＳ Ｐゴシック" w:hAnsi="Cambria Math" w:cs="Times New Roman"/>
                </w:rPr>
                <m:t>μ</m:t>
              </m:r>
            </m:oMath>
            <w:r w:rsidRPr="008E7B3A">
              <w:rPr>
                <w:rFonts w:ascii="Calibri" w:eastAsia="ＭＳ Ｐゴシック" w:hAnsi="Calibri" w:cs="Times New Roman"/>
              </w:rPr>
              <w:t xml:space="preserve">l 30% acrylamide mix </w:t>
            </w:r>
          </w:p>
          <w:p w14:paraId="517B1AED"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6.3</w:t>
            </w:r>
            <m:oMath>
              <m:r>
                <w:rPr>
                  <w:rFonts w:ascii="Cambria Math" w:eastAsia="ＭＳ Ｐゴシック" w:hAnsi="Cambria Math" w:cs="Times New Roman"/>
                </w:rPr>
                <m:t>μ</m:t>
              </m:r>
            </m:oMath>
            <w:r w:rsidRPr="008E7B3A">
              <w:rPr>
                <w:rFonts w:ascii="Calibri" w:eastAsia="ＭＳ Ｐゴシック" w:hAnsi="Calibri" w:cs="Times New Roman"/>
              </w:rPr>
              <w:t>l 1.5M Tris pH 8.8</w:t>
            </w:r>
          </w:p>
          <w:p w14:paraId="7AC4CC90"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0.25</w:t>
            </w:r>
            <m:oMath>
              <m:r>
                <w:rPr>
                  <w:rFonts w:ascii="Cambria Math" w:eastAsia="ＭＳ Ｐゴシック" w:hAnsi="Cambria Math" w:cs="Times New Roman"/>
                </w:rPr>
                <m:t>μ</m:t>
              </m:r>
            </m:oMath>
            <w:r w:rsidRPr="008E7B3A">
              <w:rPr>
                <w:rFonts w:ascii="Calibri" w:eastAsia="ＭＳ Ｐゴシック" w:hAnsi="Calibri" w:cs="Times New Roman"/>
              </w:rPr>
              <w:t xml:space="preserve">l 10% SDS </w:t>
            </w:r>
          </w:p>
          <w:p w14:paraId="6AE8A1AD"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0.25</w:t>
            </w:r>
            <m:oMath>
              <m:r>
                <w:rPr>
                  <w:rFonts w:ascii="Cambria Math" w:eastAsia="ＭＳ Ｐゴシック" w:hAnsi="Cambria Math" w:cs="Times New Roman"/>
                </w:rPr>
                <m:t>μ</m:t>
              </m:r>
            </m:oMath>
            <w:r w:rsidRPr="008E7B3A">
              <w:rPr>
                <w:rFonts w:ascii="Calibri" w:eastAsia="ＭＳ Ｐゴシック" w:hAnsi="Calibri" w:cs="Times New Roman"/>
              </w:rPr>
              <w:t>l 10% ammonium persulfate</w:t>
            </w:r>
          </w:p>
          <w:p w14:paraId="798F634E"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0.015</w:t>
            </w:r>
            <m:oMath>
              <m:r>
                <w:rPr>
                  <w:rFonts w:ascii="Cambria Math" w:eastAsia="ＭＳ Ｐゴシック" w:hAnsi="Cambria Math" w:cs="Times New Roman"/>
                </w:rPr>
                <m:t>μ</m:t>
              </m:r>
            </m:oMath>
            <w:r w:rsidRPr="008E7B3A">
              <w:rPr>
                <w:rFonts w:ascii="Calibri" w:eastAsia="ＭＳ Ｐゴシック" w:hAnsi="Calibri" w:cs="Times New Roman"/>
              </w:rPr>
              <w:t xml:space="preserve">l TEMED </w:t>
            </w:r>
          </w:p>
        </w:tc>
      </w:tr>
      <w:tr w:rsidR="008E7B3A" w:rsidRPr="008E7B3A" w14:paraId="759284F4" w14:textId="77777777" w:rsidTr="00C1559D">
        <w:tc>
          <w:tcPr>
            <w:tcW w:w="4258" w:type="dxa"/>
            <w:shd w:val="clear" w:color="auto" w:fill="D9D9D9"/>
          </w:tcPr>
          <w:p w14:paraId="44AF0FDE"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5% Stacking gel (for 10ml)</w:t>
            </w:r>
          </w:p>
        </w:tc>
        <w:tc>
          <w:tcPr>
            <w:tcW w:w="4258" w:type="dxa"/>
          </w:tcPr>
          <w:p w14:paraId="0B008D5F"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6.8ml H</w:t>
            </w:r>
            <w:r w:rsidRPr="008E7B3A">
              <w:rPr>
                <w:rFonts w:ascii="Calibri" w:eastAsia="ＭＳ Ｐゴシック" w:hAnsi="Calibri" w:cs="Times New Roman"/>
                <w:vertAlign w:val="subscript"/>
              </w:rPr>
              <w:t>2</w:t>
            </w:r>
            <w:r w:rsidRPr="008E7B3A">
              <w:rPr>
                <w:rFonts w:ascii="Calibri" w:eastAsia="ＭＳ Ｐゴシック" w:hAnsi="Calibri" w:cs="Times New Roman"/>
              </w:rPr>
              <w:t>0</w:t>
            </w:r>
          </w:p>
          <w:p w14:paraId="2F3C2132"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1.77</w:t>
            </w:r>
            <m:oMath>
              <m:r>
                <w:rPr>
                  <w:rFonts w:ascii="Cambria Math" w:eastAsia="ＭＳ Ｐゴシック" w:hAnsi="Cambria Math" w:cs="Times New Roman"/>
                </w:rPr>
                <m:t>μ</m:t>
              </m:r>
            </m:oMath>
            <w:r w:rsidRPr="008E7B3A">
              <w:rPr>
                <w:rFonts w:ascii="Calibri" w:eastAsia="ＭＳ Ｐゴシック" w:hAnsi="Calibri" w:cs="Times New Roman"/>
              </w:rPr>
              <w:t>l 30% acrylamide mix</w:t>
            </w:r>
          </w:p>
          <w:p w14:paraId="30D25108"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1.25</w:t>
            </w:r>
            <m:oMath>
              <m:r>
                <w:rPr>
                  <w:rFonts w:ascii="Cambria Math" w:eastAsia="ＭＳ Ｐゴシック" w:hAnsi="Cambria Math" w:cs="Times New Roman"/>
                </w:rPr>
                <m:t>μ</m:t>
              </m:r>
            </m:oMath>
            <w:r w:rsidRPr="008E7B3A">
              <w:rPr>
                <w:rFonts w:ascii="Calibri" w:eastAsia="ＭＳ Ｐゴシック" w:hAnsi="Calibri" w:cs="Times New Roman"/>
              </w:rPr>
              <w:t>l 1.0M Tris pH 6.8</w:t>
            </w:r>
          </w:p>
          <w:p w14:paraId="0F7B7FE5"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0.1</w:t>
            </w:r>
            <m:oMath>
              <m:r>
                <w:rPr>
                  <w:rFonts w:ascii="Cambria Math" w:eastAsia="ＭＳ Ｐゴシック" w:hAnsi="Cambria Math" w:cs="Times New Roman"/>
                </w:rPr>
                <m:t>μ</m:t>
              </m:r>
            </m:oMath>
            <w:r w:rsidRPr="008E7B3A">
              <w:rPr>
                <w:rFonts w:ascii="Calibri" w:eastAsia="ＭＳ Ｐゴシック" w:hAnsi="Calibri" w:cs="Times New Roman"/>
              </w:rPr>
              <w:t>l 10% SDS</w:t>
            </w:r>
          </w:p>
          <w:p w14:paraId="0FE61B75"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0.1</w:t>
            </w:r>
            <m:oMath>
              <m:r>
                <w:rPr>
                  <w:rFonts w:ascii="Cambria Math" w:eastAsia="ＭＳ Ｐゴシック" w:hAnsi="Cambria Math" w:cs="Times New Roman"/>
                </w:rPr>
                <m:t>μ</m:t>
              </m:r>
            </m:oMath>
            <w:r w:rsidRPr="008E7B3A">
              <w:rPr>
                <w:rFonts w:ascii="Calibri" w:eastAsia="ＭＳ Ｐゴシック" w:hAnsi="Calibri" w:cs="Times New Roman"/>
              </w:rPr>
              <w:t>l 10% ammonium persulfate</w:t>
            </w:r>
          </w:p>
          <w:p w14:paraId="09B811E0" w14:textId="77777777" w:rsidR="008E7B3A" w:rsidRPr="008E7B3A" w:rsidRDefault="008E7B3A" w:rsidP="00C1559D">
            <w:pPr>
              <w:spacing w:line="276" w:lineRule="auto"/>
              <w:jc w:val="both"/>
              <w:rPr>
                <w:rFonts w:ascii="Calibri" w:eastAsia="ＭＳ Ｐゴシック" w:hAnsi="Calibri" w:cs="Times New Roman"/>
              </w:rPr>
            </w:pPr>
            <w:r w:rsidRPr="008E7B3A">
              <w:rPr>
                <w:rFonts w:ascii="Calibri" w:eastAsia="ＭＳ Ｐゴシック" w:hAnsi="Calibri" w:cs="Times New Roman"/>
              </w:rPr>
              <w:t>0.01</w:t>
            </w:r>
            <m:oMath>
              <m:r>
                <w:rPr>
                  <w:rFonts w:ascii="Cambria Math" w:eastAsia="ＭＳ Ｐゴシック" w:hAnsi="Cambria Math" w:cs="Times New Roman"/>
                </w:rPr>
                <m:t>μ</m:t>
              </m:r>
            </m:oMath>
            <w:r w:rsidRPr="008E7B3A">
              <w:rPr>
                <w:rFonts w:ascii="Calibri" w:eastAsia="ＭＳ Ｐゴシック" w:hAnsi="Calibri" w:cs="Times New Roman"/>
              </w:rPr>
              <w:t>l TEMED</w:t>
            </w:r>
          </w:p>
        </w:tc>
      </w:tr>
    </w:tbl>
    <w:p w14:paraId="62B0886F" w14:textId="17276669" w:rsidR="008E7B3A" w:rsidRDefault="00CF5335" w:rsidP="00C1559D">
      <w:pPr>
        <w:spacing w:line="276" w:lineRule="auto"/>
        <w:jc w:val="both"/>
        <w:rPr>
          <w:rFonts w:ascii="Calibri" w:eastAsia="ＭＳ Ｐゴシック" w:hAnsi="Calibri" w:cs="Times New Roman"/>
          <w:b/>
          <w:lang w:val="en-US"/>
        </w:rPr>
      </w:pPr>
      <w:r>
        <w:rPr>
          <w:rFonts w:ascii="Calibri" w:eastAsia="ＭＳ Ｐゴシック" w:hAnsi="Calibri" w:cs="Times New Roman"/>
          <w:b/>
          <w:lang w:val="en-US"/>
        </w:rPr>
        <w:t>Table 2.5</w:t>
      </w:r>
      <w:r w:rsidR="008E7B3A" w:rsidRPr="008E7B3A">
        <w:rPr>
          <w:rFonts w:ascii="Calibri" w:eastAsia="ＭＳ Ｐゴシック" w:hAnsi="Calibri" w:cs="Times New Roman"/>
          <w:b/>
          <w:lang w:val="en-US"/>
        </w:rPr>
        <w:t xml:space="preserve"> SDS-PAGE buffers </w:t>
      </w:r>
    </w:p>
    <w:p w14:paraId="2FABDEF7" w14:textId="77777777" w:rsidR="00CF5335" w:rsidRPr="00C1559D" w:rsidRDefault="00CF5335" w:rsidP="00C1559D">
      <w:pPr>
        <w:spacing w:line="276" w:lineRule="auto"/>
        <w:jc w:val="both"/>
        <w:rPr>
          <w:rFonts w:ascii="Calibri" w:eastAsia="ＭＳ Ｐゴシック" w:hAnsi="Calibri" w:cs="Times New Roman"/>
          <w:b/>
          <w:lang w:val="en-US"/>
        </w:rPr>
      </w:pPr>
    </w:p>
    <w:p w14:paraId="296EE8A9" w14:textId="77777777" w:rsidR="008E7B3A" w:rsidRPr="008E7B3A" w:rsidRDefault="008E7B3A" w:rsidP="002F41C6">
      <w:pPr>
        <w:numPr>
          <w:ilvl w:val="0"/>
          <w:numId w:val="19"/>
        </w:numPr>
        <w:contextualSpacing/>
        <w:rPr>
          <w:rFonts w:ascii="Calibri" w:eastAsia="ＭＳ Ｐゴシック" w:hAnsi="Calibri" w:cs="Times New Roman"/>
          <w:lang w:val="en-US"/>
        </w:rPr>
      </w:pPr>
      <w:r w:rsidRPr="008E7B3A">
        <w:rPr>
          <w:rFonts w:ascii="Calibri" w:eastAsia="ＭＳ Ｐゴシック" w:hAnsi="Calibri" w:cs="Times New Roman"/>
          <w:color w:val="000000"/>
          <w:sz w:val="28"/>
        </w:rPr>
        <w:t>Functional Assays</w:t>
      </w:r>
    </w:p>
    <w:p w14:paraId="1EE0692C" w14:textId="77777777" w:rsidR="008E7B3A" w:rsidRPr="008E7B3A" w:rsidRDefault="008E7B3A" w:rsidP="008E7B3A">
      <w:pPr>
        <w:tabs>
          <w:tab w:val="left" w:pos="5360"/>
        </w:tabs>
        <w:spacing w:line="360" w:lineRule="auto"/>
        <w:jc w:val="both"/>
        <w:rPr>
          <w:rFonts w:ascii="Calibri" w:eastAsia="ＭＳ Ｐゴシック" w:hAnsi="Calibri" w:cs="Times New Roman"/>
          <w:i/>
        </w:rPr>
      </w:pPr>
    </w:p>
    <w:p w14:paraId="222F854B"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Immunofluorescence studies for DNA damage</w:t>
      </w:r>
    </w:p>
    <w:p w14:paraId="14194C97" w14:textId="64F68B1E"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In order to assess the amount of DNA damage within samples, markers of DNA damage such as </w:t>
      </w:r>
      <m:oMath>
        <m:r>
          <w:rPr>
            <w:rFonts w:ascii="Cambria Math" w:eastAsia="ＭＳ Ｐゴシック" w:hAnsi="Cambria Math" w:cs="Times New Roman"/>
          </w:rPr>
          <m:t>γ</m:t>
        </m:r>
      </m:oMath>
      <w:r w:rsidRPr="008E7B3A">
        <w:rPr>
          <w:rFonts w:ascii="Calibri" w:eastAsia="ＭＳ Ｐゴシック" w:hAnsi="Calibri" w:cs="Times New Roman"/>
        </w:rPr>
        <w:t xml:space="preserve">H2AX and 53BP1 can be detected using immunofluorescent techniques (IF). To do this, media was initially removed from the cell monolayers seeded on coverslips and </w:t>
      </w:r>
      <w:r w:rsidR="00A55523">
        <w:rPr>
          <w:rFonts w:ascii="Calibri" w:eastAsia="ＭＳ Ｐゴシック" w:hAnsi="Calibri" w:cs="Times New Roman"/>
        </w:rPr>
        <w:t xml:space="preserve">the coverslips </w:t>
      </w:r>
      <w:r w:rsidRPr="008E7B3A">
        <w:rPr>
          <w:rFonts w:ascii="Calibri" w:eastAsia="ＭＳ Ｐゴシック" w:hAnsi="Calibri" w:cs="Times New Roman"/>
        </w:rPr>
        <w:t xml:space="preserve">washed in PBS. Then the </w:t>
      </w:r>
      <w:r w:rsidR="00A55523">
        <w:rPr>
          <w:rFonts w:ascii="Calibri" w:eastAsia="ＭＳ Ｐゴシック" w:hAnsi="Calibri" w:cs="Times New Roman"/>
        </w:rPr>
        <w:t xml:space="preserve">cells on the </w:t>
      </w:r>
      <w:r w:rsidRPr="008E7B3A">
        <w:rPr>
          <w:rFonts w:ascii="Calibri" w:eastAsia="ＭＳ Ｐゴシック" w:hAnsi="Calibri" w:cs="Times New Roman"/>
        </w:rPr>
        <w:t>coverslips wer</w:t>
      </w:r>
      <w:r w:rsidR="00C1559D">
        <w:rPr>
          <w:rFonts w:ascii="Calibri" w:eastAsia="ＭＳ Ｐゴシック" w:hAnsi="Calibri" w:cs="Times New Roman"/>
        </w:rPr>
        <w:t xml:space="preserve">e fixed in 4% paraformaldehyde </w:t>
      </w:r>
      <w:r w:rsidRPr="008E7B3A">
        <w:rPr>
          <w:rFonts w:ascii="Calibri" w:eastAsia="ＭＳ Ｐゴシック" w:hAnsi="Calibri" w:cs="Times New Roman"/>
        </w:rPr>
        <w:t>(PFA) for 10mins, washed again and permeabilised using 0.5% Triton X-100 in 3% BSA made up in PBS</w:t>
      </w:r>
      <w:r w:rsidR="00F3730A">
        <w:rPr>
          <w:rFonts w:ascii="Calibri" w:eastAsia="ＭＳ Ｐゴシック" w:hAnsi="Calibri" w:cs="Times New Roman"/>
        </w:rPr>
        <w:t>,</w:t>
      </w:r>
      <w:r w:rsidRPr="008E7B3A">
        <w:rPr>
          <w:rFonts w:ascii="Calibri" w:eastAsia="ＭＳ Ｐゴシック" w:hAnsi="Calibri" w:cs="Times New Roman"/>
        </w:rPr>
        <w:t xml:space="preserve"> for 5mins. After washing again in PBS, primary antibody in 3% BSA was applied for </w:t>
      </w:r>
      <w:proofErr w:type="gramStart"/>
      <w:r w:rsidRPr="008E7B3A">
        <w:rPr>
          <w:rFonts w:ascii="Calibri" w:eastAsia="ＭＳ Ｐゴシック" w:hAnsi="Calibri" w:cs="Times New Roman"/>
        </w:rPr>
        <w:t>an</w:t>
      </w:r>
      <w:proofErr w:type="gramEnd"/>
      <w:r w:rsidRPr="008E7B3A">
        <w:rPr>
          <w:rFonts w:ascii="Calibri" w:eastAsia="ＭＳ Ｐゴシック" w:hAnsi="Calibri" w:cs="Times New Roman"/>
        </w:rPr>
        <w:t xml:space="preserve"> </w:t>
      </w:r>
      <w:r w:rsidR="00CF0167">
        <w:rPr>
          <w:rFonts w:ascii="Calibri" w:eastAsia="ＭＳ Ｐゴシック" w:hAnsi="Calibri" w:cs="Times New Roman"/>
        </w:rPr>
        <w:t>1hr</w:t>
      </w:r>
      <w:r w:rsidRPr="008E7B3A">
        <w:rPr>
          <w:rFonts w:ascii="Calibri" w:eastAsia="ＭＳ Ｐゴシック" w:hAnsi="Calibri" w:cs="Times New Roman"/>
        </w:rPr>
        <w:t xml:space="preserve"> at room temperature. After washing thoroughly again, coverslips were incubated in the secondary antibodies in 3% BSA for 1hr and kept in the dark. These contained 1:1000 Alexa-Fluor 488 goat anti-mouse (green) for </w:t>
      </w:r>
      <m:oMath>
        <m:r>
          <w:rPr>
            <w:rFonts w:ascii="Cambria Math" w:eastAsia="ＭＳ Ｐゴシック" w:hAnsi="Cambria Math" w:cs="Times New Roman"/>
          </w:rPr>
          <m:t>γ</m:t>
        </m:r>
      </m:oMath>
      <w:r w:rsidRPr="008E7B3A">
        <w:rPr>
          <w:rFonts w:ascii="Calibri" w:eastAsia="ＭＳ Ｐゴシック" w:hAnsi="Calibri" w:cs="Times New Roman"/>
        </w:rPr>
        <w:t>H2AX and Alexa-Fluor 594 goat anti-rabbit (red) for 53BP1, plus 1:1000 DAPI DNA fluorescent stain. The coverslips were washed again and mounted using immune-mount (Thermo) to microscope slides. Slides were imaged using velocity software and a Nikon Eclipse TE200 fluorescent microscope with an 80x oil immersion lense and using the FITC, DAPI and Texas Red filters. In order to score the images</w:t>
      </w:r>
      <w:r w:rsidR="00A55523">
        <w:rPr>
          <w:rFonts w:ascii="Calibri" w:eastAsia="ＭＳ Ｐゴシック" w:hAnsi="Calibri" w:cs="Times New Roman"/>
        </w:rPr>
        <w:t>,</w:t>
      </w:r>
      <w:r w:rsidRPr="008E7B3A">
        <w:rPr>
          <w:rFonts w:ascii="Calibri" w:eastAsia="ＭＳ Ｐゴシック" w:hAnsi="Calibri" w:cs="Times New Roman"/>
        </w:rPr>
        <w:t xml:space="preserve"> 100 cells were counted by eye and the number of foci in each of these cells was recorded. The total number of foci per </w:t>
      </w:r>
      <w:r w:rsidR="00A55523">
        <w:rPr>
          <w:rFonts w:ascii="Calibri" w:eastAsia="ＭＳ Ｐゴシック" w:hAnsi="Calibri" w:cs="Times New Roman"/>
        </w:rPr>
        <w:t xml:space="preserve">test </w:t>
      </w:r>
      <w:r w:rsidRPr="008E7B3A">
        <w:rPr>
          <w:rFonts w:ascii="Calibri" w:eastAsia="ＭＳ Ｐゴシック" w:hAnsi="Calibri" w:cs="Times New Roman"/>
        </w:rPr>
        <w:t xml:space="preserve">condition was then divided by 100 to get the average number of foci per cell. </w:t>
      </w:r>
    </w:p>
    <w:p w14:paraId="299BF521" w14:textId="77777777" w:rsidR="008E7B3A" w:rsidRPr="008E7B3A" w:rsidRDefault="008E7B3A" w:rsidP="008E7B3A">
      <w:pPr>
        <w:tabs>
          <w:tab w:val="left" w:pos="5360"/>
        </w:tabs>
        <w:spacing w:line="360" w:lineRule="auto"/>
        <w:jc w:val="both"/>
        <w:rPr>
          <w:rFonts w:ascii="Calibri" w:eastAsia="ＭＳ Ｐゴシック" w:hAnsi="Calibri" w:cs="Times New Roman"/>
        </w:rPr>
      </w:pPr>
    </w:p>
    <w:p w14:paraId="5F17B646"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Immunofluorescence for DNA transfection</w:t>
      </w:r>
    </w:p>
    <w:p w14:paraId="2BB8799E" w14:textId="5C15C09C"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In order to </w:t>
      </w:r>
      <w:r w:rsidR="00872B44">
        <w:rPr>
          <w:rFonts w:ascii="Calibri" w:eastAsia="ＭＳ Ｐゴシック" w:hAnsi="Calibri" w:cs="Times New Roman"/>
        </w:rPr>
        <w:t>determine</w:t>
      </w:r>
      <w:r w:rsidRPr="008E7B3A">
        <w:rPr>
          <w:rFonts w:ascii="Calibri" w:eastAsia="ＭＳ Ｐゴシック" w:hAnsi="Calibri" w:cs="Times New Roman"/>
        </w:rPr>
        <w:t xml:space="preserve"> </w:t>
      </w:r>
      <w:r w:rsidRPr="008E7B3A">
        <w:rPr>
          <w:rFonts w:ascii="Calibri" w:eastAsia="ＭＳ Ｐゴシック" w:hAnsi="Calibri" w:cs="Times New Roman"/>
          <w:i/>
        </w:rPr>
        <w:t>YFP SRCAP</w:t>
      </w:r>
      <w:r w:rsidRPr="008E7B3A">
        <w:rPr>
          <w:rFonts w:ascii="Calibri" w:eastAsia="ＭＳ Ｐゴシック" w:hAnsi="Calibri" w:cs="Times New Roman"/>
        </w:rPr>
        <w:t xml:space="preserve"> </w:t>
      </w:r>
      <w:r w:rsidR="00872B44">
        <w:rPr>
          <w:rFonts w:ascii="Calibri" w:eastAsia="ＭＳ Ｐゴシック" w:hAnsi="Calibri" w:cs="Times New Roman"/>
        </w:rPr>
        <w:t>cellular</w:t>
      </w:r>
      <w:r w:rsidRPr="008E7B3A">
        <w:rPr>
          <w:rFonts w:ascii="Calibri" w:eastAsia="ＭＳ Ｐゴシック" w:hAnsi="Calibri" w:cs="Times New Roman"/>
        </w:rPr>
        <w:t xml:space="preserve"> </w:t>
      </w:r>
      <w:r w:rsidR="00872B44">
        <w:rPr>
          <w:rFonts w:ascii="Calibri" w:eastAsia="ＭＳ Ｐゴシック" w:hAnsi="Calibri" w:cs="Times New Roman"/>
        </w:rPr>
        <w:t xml:space="preserve">localisation, </w:t>
      </w:r>
      <w:r w:rsidRPr="008E7B3A">
        <w:rPr>
          <w:rFonts w:ascii="Calibri" w:eastAsia="ＭＳ Ｐゴシック" w:hAnsi="Calibri" w:cs="Times New Roman"/>
        </w:rPr>
        <w:t xml:space="preserve">transfected cells were stained </w:t>
      </w:r>
      <w:r w:rsidR="00872B44">
        <w:rPr>
          <w:rFonts w:ascii="Calibri" w:eastAsia="ＭＳ Ｐゴシック" w:hAnsi="Calibri" w:cs="Times New Roman"/>
        </w:rPr>
        <w:t xml:space="preserve">for YFP using the immunofluorescence </w:t>
      </w:r>
      <w:r w:rsidRPr="008E7B3A">
        <w:rPr>
          <w:rFonts w:ascii="Calibri" w:eastAsia="ＭＳ Ｐゴシック" w:hAnsi="Calibri" w:cs="Times New Roman"/>
        </w:rPr>
        <w:t xml:space="preserve">protocol as </w:t>
      </w:r>
      <w:r w:rsidR="00872B44">
        <w:rPr>
          <w:rFonts w:ascii="Calibri" w:eastAsia="ＭＳ Ｐゴシック" w:hAnsi="Calibri" w:cs="Times New Roman"/>
        </w:rPr>
        <w:t xml:space="preserve">outlined </w:t>
      </w:r>
      <w:r w:rsidRPr="008E7B3A">
        <w:rPr>
          <w:rFonts w:ascii="Calibri" w:eastAsia="ＭＳ Ｐゴシック" w:hAnsi="Calibri" w:cs="Times New Roman"/>
        </w:rPr>
        <w:t xml:space="preserve">above. The primary antibody was 1:2000 </w:t>
      </w:r>
      <w:proofErr w:type="gramStart"/>
      <w:r w:rsidRPr="008E7B3A">
        <w:rPr>
          <w:rFonts w:ascii="Calibri" w:eastAsia="ＭＳ Ｐゴシック" w:hAnsi="Calibri" w:cs="Times New Roman"/>
        </w:rPr>
        <w:t>anti-GFP</w:t>
      </w:r>
      <w:proofErr w:type="gramEnd"/>
      <w:r w:rsidRPr="008E7B3A">
        <w:rPr>
          <w:rFonts w:ascii="Calibri" w:eastAsia="ＭＳ Ｐゴシック" w:hAnsi="Calibri" w:cs="Times New Roman"/>
        </w:rPr>
        <w:t xml:space="preserve"> (A</w:t>
      </w:r>
      <w:r w:rsidR="00BD65F9">
        <w:rPr>
          <w:rFonts w:ascii="Calibri" w:eastAsia="ＭＳ Ｐゴシック" w:hAnsi="Calibri" w:cs="Times New Roman"/>
        </w:rPr>
        <w:t>bcam). The secondary antibody</w:t>
      </w:r>
      <w:r w:rsidR="00872B44">
        <w:rPr>
          <w:rFonts w:ascii="Calibri" w:eastAsia="ＭＳ Ｐゴシック" w:hAnsi="Calibri" w:cs="Times New Roman"/>
        </w:rPr>
        <w:t xml:space="preserve"> </w:t>
      </w:r>
      <w:r w:rsidR="00A373B1">
        <w:rPr>
          <w:rFonts w:ascii="Calibri" w:eastAsia="ＭＳ Ｐゴシック" w:hAnsi="Calibri" w:cs="Times New Roman"/>
        </w:rPr>
        <w:t>was Alexa-Fluor</w:t>
      </w:r>
      <w:r w:rsidR="00A373B1" w:rsidRPr="00A373B1">
        <w:rPr>
          <w:rFonts w:ascii="Calibri" w:eastAsia="ＭＳ Ｐゴシック" w:hAnsi="Calibri" w:cs="Times New Roman"/>
        </w:rPr>
        <w:t xml:space="preserve"> </w:t>
      </w:r>
      <w:r w:rsidR="00A373B1">
        <w:rPr>
          <w:rFonts w:ascii="Calibri" w:eastAsia="ＭＳ Ｐゴシック" w:hAnsi="Calibri" w:cs="Times New Roman"/>
        </w:rPr>
        <w:t xml:space="preserve">488 </w:t>
      </w:r>
      <w:r w:rsidR="007A3A36">
        <w:rPr>
          <w:rFonts w:ascii="Calibri" w:eastAsia="ＭＳ Ｐゴシック" w:hAnsi="Calibri" w:cs="Times New Roman"/>
        </w:rPr>
        <w:t xml:space="preserve">goat </w:t>
      </w:r>
      <w:r w:rsidR="00A373B1">
        <w:rPr>
          <w:rFonts w:ascii="Calibri" w:eastAsia="ＭＳ Ｐゴシック" w:hAnsi="Calibri" w:cs="Times New Roman"/>
        </w:rPr>
        <w:t>anti-rabbit</w:t>
      </w:r>
      <w:r w:rsidR="007A3A36">
        <w:rPr>
          <w:rFonts w:ascii="Calibri" w:eastAsia="ＭＳ Ｐゴシック" w:hAnsi="Calibri" w:cs="Times New Roman"/>
        </w:rPr>
        <w:t xml:space="preserve"> (green)</w:t>
      </w:r>
      <w:r w:rsidR="00A373B1">
        <w:rPr>
          <w:rFonts w:ascii="Calibri" w:eastAsia="ＭＳ Ｐゴシック" w:hAnsi="Calibri" w:cs="Times New Roman"/>
        </w:rPr>
        <w:t xml:space="preserve">. </w:t>
      </w:r>
    </w:p>
    <w:p w14:paraId="5F1E623C" w14:textId="77777777" w:rsidR="008E7B3A" w:rsidRPr="008E7B3A" w:rsidRDefault="008E7B3A" w:rsidP="008E7B3A">
      <w:pPr>
        <w:tabs>
          <w:tab w:val="left" w:pos="5360"/>
        </w:tabs>
        <w:spacing w:line="360" w:lineRule="auto"/>
        <w:jc w:val="both"/>
        <w:rPr>
          <w:rFonts w:ascii="Calibri" w:eastAsia="ＭＳ Ｐゴシック" w:hAnsi="Calibri" w:cs="Times New Roman"/>
        </w:rPr>
      </w:pPr>
    </w:p>
    <w:p w14:paraId="2BAB8EB6"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Alkaline Comet Assay for DNA Damage</w:t>
      </w:r>
    </w:p>
    <w:p w14:paraId="6F8E99B5" w14:textId="24B3F31C"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This assay uses the principle that DNA containing breaks will migrate out of the supercoiled main DNA head (derived from the permeabilised cell nucleus) when a current is applied</w:t>
      </w:r>
      <w:r w:rsidR="00A55523">
        <w:rPr>
          <w:rFonts w:ascii="Calibri" w:eastAsia="ＭＳ Ｐゴシック" w:hAnsi="Calibri" w:cs="Times New Roman"/>
        </w:rPr>
        <w:t>,</w:t>
      </w:r>
      <w:r w:rsidRPr="008E7B3A">
        <w:rPr>
          <w:rFonts w:ascii="Calibri" w:eastAsia="ＭＳ Ｐゴシック" w:hAnsi="Calibri" w:cs="Times New Roman"/>
        </w:rPr>
        <w:t xml:space="preserve"> and so can be visualised and quantified as a tail extending behind. The </w:t>
      </w:r>
      <w:proofErr w:type="spellStart"/>
      <w:r w:rsidRPr="008E7B3A">
        <w:rPr>
          <w:rFonts w:ascii="Calibri" w:eastAsia="ＭＳ Ｐゴシック" w:hAnsi="Calibri" w:cs="Times New Roman"/>
        </w:rPr>
        <w:t>Trevigen</w:t>
      </w:r>
      <w:proofErr w:type="spellEnd"/>
      <w:r w:rsidRPr="008E7B3A">
        <w:rPr>
          <w:rFonts w:ascii="Calibri" w:eastAsia="ＭＳ Ｐゴシック" w:hAnsi="Calibri" w:cs="Times New Roman"/>
        </w:rPr>
        <w:t xml:space="preserve"> alkaline comet assay protocol was followed </w:t>
      </w:r>
      <w:r w:rsidR="00A55523">
        <w:rPr>
          <w:rFonts w:ascii="Calibri" w:eastAsia="ＭＳ Ｐゴシック" w:hAnsi="Calibri" w:cs="Times New Roman"/>
        </w:rPr>
        <w:t>using</w:t>
      </w:r>
      <w:r w:rsidRPr="008E7B3A">
        <w:rPr>
          <w:rFonts w:ascii="Calibri" w:eastAsia="ＭＳ Ｐゴシック" w:hAnsi="Calibri" w:cs="Times New Roman"/>
        </w:rPr>
        <w:t xml:space="preserve"> the manufacturers instructions. This involves </w:t>
      </w:r>
      <w:r w:rsidR="00A55523">
        <w:rPr>
          <w:rFonts w:ascii="Calibri" w:eastAsia="ＭＳ Ｐゴシック" w:hAnsi="Calibri" w:cs="Times New Roman"/>
        </w:rPr>
        <w:t xml:space="preserve">carefully </w:t>
      </w:r>
      <w:r w:rsidRPr="008E7B3A">
        <w:rPr>
          <w:rFonts w:ascii="Calibri" w:eastAsia="ＭＳ Ｐゴシック" w:hAnsi="Calibri" w:cs="Times New Roman"/>
        </w:rPr>
        <w:t>suspending cells in an agarose gel on comet slides by keeping everything at 37</w:t>
      </w:r>
      <w:r w:rsidRPr="008E7B3A">
        <w:rPr>
          <w:rFonts w:ascii="Calibri" w:eastAsia="ＭＳ Ｐゴシック" w:hAnsi="Calibri" w:cs="Times New Roman"/>
          <w:vertAlign w:val="superscript"/>
        </w:rPr>
        <w:t>o</w:t>
      </w:r>
      <w:r w:rsidRPr="008E7B3A">
        <w:rPr>
          <w:rFonts w:ascii="Calibri" w:eastAsia="ＭＳ Ｐゴシック" w:hAnsi="Calibri" w:cs="Times New Roman"/>
        </w:rPr>
        <w:t xml:space="preserve">C to avoid causing DNA damage. Then </w:t>
      </w:r>
      <w:r w:rsidR="00A55523">
        <w:rPr>
          <w:rFonts w:ascii="Calibri" w:eastAsia="ＭＳ Ｐゴシック" w:hAnsi="Calibri" w:cs="Times New Roman"/>
        </w:rPr>
        <w:t>cells are lysed</w:t>
      </w:r>
      <w:r w:rsidRPr="008E7B3A">
        <w:rPr>
          <w:rFonts w:ascii="Calibri" w:eastAsia="ＭＳ Ｐゴシック" w:hAnsi="Calibri" w:cs="Times New Roman"/>
        </w:rPr>
        <w:t xml:space="preserve"> </w:t>
      </w:r>
      <w:r w:rsidR="00A55523">
        <w:rPr>
          <w:rFonts w:ascii="Calibri" w:eastAsia="ＭＳ Ｐゴシック" w:hAnsi="Calibri" w:cs="Times New Roman"/>
        </w:rPr>
        <w:t>with pre-chilled lysis buffer (</w:t>
      </w:r>
      <w:r w:rsidRPr="008E7B3A">
        <w:rPr>
          <w:rFonts w:ascii="Calibri" w:eastAsia="ＭＳ Ｐゴシック" w:hAnsi="Calibri" w:cs="Times New Roman"/>
        </w:rPr>
        <w:t>provided in the kit</w:t>
      </w:r>
      <w:r w:rsidR="00A55523">
        <w:rPr>
          <w:rFonts w:ascii="Calibri" w:eastAsia="ＭＳ Ｐゴシック" w:hAnsi="Calibri" w:cs="Times New Roman"/>
        </w:rPr>
        <w:t>)</w:t>
      </w:r>
      <w:r w:rsidRPr="008E7B3A">
        <w:rPr>
          <w:rFonts w:ascii="Calibri" w:eastAsia="ＭＳ Ｐゴシック" w:hAnsi="Calibri" w:cs="Times New Roman"/>
        </w:rPr>
        <w:t xml:space="preserve"> for 1hr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 xml:space="preserve">C, in order for them to form nucleoids of supercoiled </w:t>
      </w:r>
      <w:r w:rsidR="00A55523">
        <w:rPr>
          <w:rFonts w:ascii="Calibri" w:eastAsia="ＭＳ Ｐゴシック" w:hAnsi="Calibri" w:cs="Times New Roman"/>
        </w:rPr>
        <w:t xml:space="preserve">DNA </w:t>
      </w:r>
      <w:r w:rsidRPr="008E7B3A">
        <w:rPr>
          <w:rFonts w:ascii="Calibri" w:eastAsia="ＭＳ Ｐゴシック" w:hAnsi="Calibri" w:cs="Times New Roman"/>
        </w:rPr>
        <w:t>loops. The nucleoids were then subjected to an alkaline unwinding solution again for 1hr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and finally a current of 21V for 30mins was applied within an electrophoresis tank, using electrophoresis buffer. Negative DNA migrates towards the positive cathode, however loops that contain single or double DNA strand breaks trail behind th</w:t>
      </w:r>
      <w:r w:rsidR="00A55523">
        <w:rPr>
          <w:rFonts w:ascii="Calibri" w:eastAsia="ＭＳ Ｐゴシック" w:hAnsi="Calibri" w:cs="Times New Roman"/>
        </w:rPr>
        <w:t>e head of the nucleoid, and the</w:t>
      </w:r>
      <w:r w:rsidRPr="008E7B3A">
        <w:rPr>
          <w:rFonts w:ascii="Calibri" w:eastAsia="ＭＳ Ｐゴシック" w:hAnsi="Calibri" w:cs="Times New Roman"/>
        </w:rPr>
        <w:t xml:space="preserve"> length and intensity </w:t>
      </w:r>
      <w:r w:rsidR="00A55523">
        <w:rPr>
          <w:rFonts w:ascii="Calibri" w:eastAsia="ＭＳ Ｐゴシック" w:hAnsi="Calibri" w:cs="Times New Roman"/>
        </w:rPr>
        <w:t xml:space="preserve">of this tail </w:t>
      </w:r>
      <w:r w:rsidRPr="008E7B3A">
        <w:rPr>
          <w:rFonts w:ascii="Calibri" w:eastAsia="ＭＳ Ｐゴシック" w:hAnsi="Calibri" w:cs="Times New Roman"/>
        </w:rPr>
        <w:t>has been extensively verified as a measure of DNA damage. After the slides were washed in water, then 70% ethanol for 5mins each and dried, 100</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SYBR Gold nucleic acid gel staining solution was added to each circle of agarose for 30mins and then poured off and left to dry. 50 cells per condition were imaged </w:t>
      </w:r>
      <w:r w:rsidR="00A55523">
        <w:rPr>
          <w:rFonts w:ascii="Calibri" w:eastAsia="ＭＳ Ｐゴシック" w:hAnsi="Calibri" w:cs="Times New Roman"/>
        </w:rPr>
        <w:t xml:space="preserve">with </w:t>
      </w:r>
      <w:r w:rsidR="00A55523" w:rsidRPr="008E7B3A">
        <w:rPr>
          <w:rFonts w:ascii="Calibri" w:eastAsia="ＭＳ Ｐゴシック" w:hAnsi="Calibri" w:cs="Times New Roman"/>
        </w:rPr>
        <w:t xml:space="preserve">velocity software and a Nikon Eclipse TE200 fluorescent microscope </w:t>
      </w:r>
      <w:r w:rsidRPr="008E7B3A">
        <w:rPr>
          <w:rFonts w:ascii="Calibri" w:eastAsia="ＭＳ Ｐゴシック" w:hAnsi="Calibri" w:cs="Times New Roman"/>
        </w:rPr>
        <w:t xml:space="preserve">using a 20x </w:t>
      </w:r>
      <w:proofErr w:type="spellStart"/>
      <w:r w:rsidRPr="008E7B3A">
        <w:rPr>
          <w:rFonts w:ascii="Calibri" w:eastAsia="ＭＳ Ｐゴシック" w:hAnsi="Calibri" w:cs="Times New Roman"/>
        </w:rPr>
        <w:t>lense</w:t>
      </w:r>
      <w:proofErr w:type="spellEnd"/>
      <w:r w:rsidRPr="008E7B3A">
        <w:rPr>
          <w:rFonts w:ascii="Calibri" w:eastAsia="ＭＳ Ｐゴシック" w:hAnsi="Calibri" w:cs="Times New Roman"/>
        </w:rPr>
        <w:t xml:space="preserve"> and the FITC channel; the images were exported and scored on the </w:t>
      </w:r>
      <w:proofErr w:type="spellStart"/>
      <w:r w:rsidRPr="008E7B3A">
        <w:rPr>
          <w:rFonts w:ascii="Calibri" w:eastAsia="ＭＳ Ｐゴシック" w:hAnsi="Calibri" w:cs="Times New Roman"/>
        </w:rPr>
        <w:t>TriTek</w:t>
      </w:r>
      <w:proofErr w:type="spellEnd"/>
      <w:r w:rsidRPr="008E7B3A">
        <w:rPr>
          <w:rFonts w:ascii="Calibri" w:eastAsia="ＭＳ Ｐゴシック" w:hAnsi="Calibri" w:cs="Times New Roman"/>
        </w:rPr>
        <w:t xml:space="preserve"> </w:t>
      </w:r>
      <w:proofErr w:type="spellStart"/>
      <w:r w:rsidRPr="008E7B3A">
        <w:rPr>
          <w:rFonts w:ascii="Calibri" w:eastAsia="ＭＳ Ｐゴシック" w:hAnsi="Calibri" w:cs="Times New Roman"/>
        </w:rPr>
        <w:t>CometScore</w:t>
      </w:r>
      <w:proofErr w:type="spellEnd"/>
      <w:r w:rsidRPr="008E7B3A">
        <w:rPr>
          <w:rFonts w:ascii="Calibri" w:eastAsia="ＭＳ Ｐゴシック" w:hAnsi="Calibri" w:cs="Times New Roman"/>
        </w:rPr>
        <w:t xml:space="preserve"> software. This involved drawing around each comet and allowing the software to calculate the size, shape and amount of DNA both in the head and tail of each one. Tail moment was used</w:t>
      </w:r>
      <w:r w:rsidR="00A55523">
        <w:rPr>
          <w:rFonts w:ascii="Calibri" w:eastAsia="ＭＳ Ｐゴシック" w:hAnsi="Calibri" w:cs="Times New Roman"/>
        </w:rPr>
        <w:t>,</w:t>
      </w:r>
      <w:r w:rsidRPr="008E7B3A">
        <w:rPr>
          <w:rFonts w:ascii="Calibri" w:eastAsia="ＭＳ Ｐゴシック" w:hAnsi="Calibri" w:cs="Times New Roman"/>
        </w:rPr>
        <w:t xml:space="preserve"> </w:t>
      </w:r>
      <w:r w:rsidR="00A55523">
        <w:rPr>
          <w:rFonts w:ascii="Calibri" w:eastAsia="ＭＳ Ｐゴシック" w:hAnsi="Calibri" w:cs="Times New Roman"/>
        </w:rPr>
        <w:t>as</w:t>
      </w:r>
      <w:r w:rsidRPr="008E7B3A">
        <w:rPr>
          <w:rFonts w:ascii="Calibri" w:eastAsia="ＭＳ Ｐゴシック" w:hAnsi="Calibri" w:cs="Times New Roman"/>
        </w:rPr>
        <w:t xml:space="preserve"> calculat</w:t>
      </w:r>
      <w:r w:rsidR="00A55523">
        <w:rPr>
          <w:rFonts w:ascii="Calibri" w:eastAsia="ＭＳ Ｐゴシック" w:hAnsi="Calibri" w:cs="Times New Roman"/>
        </w:rPr>
        <w:t>ed</w:t>
      </w:r>
      <w:r w:rsidRPr="008E7B3A">
        <w:rPr>
          <w:rFonts w:ascii="Calibri" w:eastAsia="ＭＳ Ｐゴシック" w:hAnsi="Calibri" w:cs="Times New Roman"/>
        </w:rPr>
        <w:t xml:space="preserve"> </w:t>
      </w:r>
      <w:r w:rsidR="00A55523">
        <w:rPr>
          <w:rFonts w:ascii="Calibri" w:eastAsia="ＭＳ Ｐゴシック" w:hAnsi="Calibri" w:cs="Times New Roman"/>
        </w:rPr>
        <w:t xml:space="preserve">by the software, to demonstration the </w:t>
      </w:r>
      <w:r w:rsidRPr="008E7B3A">
        <w:rPr>
          <w:rFonts w:ascii="Calibri" w:eastAsia="ＭＳ Ｐゴシック" w:hAnsi="Calibri" w:cs="Times New Roman"/>
        </w:rPr>
        <w:t>amount of DNA damage as this measurement takes into account the smallest detectable size of DNA based on the tail length and the number of broken pieces as represented by the intensity.</w:t>
      </w:r>
    </w:p>
    <w:p w14:paraId="4CAB9A6E" w14:textId="77777777" w:rsidR="008E7B3A" w:rsidRPr="008E7B3A" w:rsidRDefault="008E7B3A" w:rsidP="008E7B3A">
      <w:pPr>
        <w:tabs>
          <w:tab w:val="left" w:pos="5360"/>
        </w:tabs>
        <w:spacing w:line="360" w:lineRule="auto"/>
        <w:jc w:val="both"/>
        <w:rPr>
          <w:rFonts w:ascii="Calibri" w:eastAsia="ＭＳ Ｐゴシック" w:hAnsi="Calibri" w:cs="Times New Roman"/>
        </w:rPr>
      </w:pPr>
    </w:p>
    <w:p w14:paraId="6E505A88"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Cell Growth</w:t>
      </w:r>
    </w:p>
    <w:p w14:paraId="1BADF4D1" w14:textId="43967F52"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Cells were plated in 6 well plates at a consistent density of 2x10</w:t>
      </w:r>
      <w:r w:rsidRPr="008E7B3A">
        <w:rPr>
          <w:rFonts w:ascii="Calibri" w:eastAsia="ＭＳ Ｐゴシック" w:hAnsi="Calibri" w:cs="Times New Roman"/>
          <w:vertAlign w:val="superscript"/>
        </w:rPr>
        <w:t>5</w:t>
      </w:r>
      <w:r w:rsidR="00A55523">
        <w:rPr>
          <w:rFonts w:ascii="Calibri" w:eastAsia="ＭＳ Ｐゴシック" w:hAnsi="Calibri" w:cs="Times New Roman"/>
          <w:vertAlign w:val="superscript"/>
        </w:rPr>
        <w:t xml:space="preserve"> </w:t>
      </w:r>
      <w:r w:rsidR="00A55523">
        <w:rPr>
          <w:rFonts w:ascii="Calibri" w:eastAsia="ＭＳ Ｐゴシック" w:hAnsi="Calibri" w:cs="Times New Roman"/>
        </w:rPr>
        <w:t>cells/well</w:t>
      </w:r>
      <w:r w:rsidRPr="008E7B3A">
        <w:rPr>
          <w:rFonts w:ascii="Calibri" w:eastAsia="ＭＳ Ｐゴシック" w:hAnsi="Calibri" w:cs="Times New Roman"/>
        </w:rPr>
        <w:t xml:space="preserve">. Every day for 144hrs a plate was </w:t>
      </w:r>
      <w:r w:rsidR="00A55523">
        <w:rPr>
          <w:rFonts w:ascii="Calibri" w:eastAsia="ＭＳ Ｐゴシック" w:hAnsi="Calibri" w:cs="Times New Roman"/>
        </w:rPr>
        <w:t>removed</w:t>
      </w:r>
      <w:r w:rsidRPr="008E7B3A">
        <w:rPr>
          <w:rFonts w:ascii="Calibri" w:eastAsia="ＭＳ Ｐゴシック" w:hAnsi="Calibri" w:cs="Times New Roman"/>
        </w:rPr>
        <w:t xml:space="preserve">, </w:t>
      </w:r>
      <w:r w:rsidR="00A55523">
        <w:rPr>
          <w:rFonts w:ascii="Calibri" w:eastAsia="ＭＳ Ｐゴシック" w:hAnsi="Calibri" w:cs="Times New Roman"/>
        </w:rPr>
        <w:t>and the cells trypsinised and counted. Tryp</w:t>
      </w:r>
      <w:r w:rsidRPr="008E7B3A">
        <w:rPr>
          <w:rFonts w:ascii="Calibri" w:eastAsia="ＭＳ Ｐゴシック" w:hAnsi="Calibri" w:cs="Times New Roman"/>
        </w:rPr>
        <w:t xml:space="preserve">an blue was added at a ratio of 1:1 to an aliquot of each sample and live and dead cells counted manually using a haemocytometer </w:t>
      </w:r>
      <w:r w:rsidR="00A55523">
        <w:rPr>
          <w:rFonts w:ascii="Calibri" w:eastAsia="ＭＳ Ｐゴシック" w:hAnsi="Calibri" w:cs="Times New Roman"/>
        </w:rPr>
        <w:t xml:space="preserve">as described in section 2.2.II.a, </w:t>
      </w:r>
      <w:r w:rsidRPr="008E7B3A">
        <w:rPr>
          <w:rFonts w:ascii="Calibri" w:eastAsia="ＭＳ Ｐゴシック" w:hAnsi="Calibri" w:cs="Times New Roman"/>
        </w:rPr>
        <w:t>with three repeat counts for each well. After the 72hr time point, the cells for the later time points were expanded up to T75 flasks.</w:t>
      </w:r>
    </w:p>
    <w:p w14:paraId="7B95AE7E" w14:textId="77777777" w:rsidR="008E7B3A" w:rsidRPr="008E7B3A" w:rsidRDefault="008E7B3A" w:rsidP="008E7B3A">
      <w:pPr>
        <w:tabs>
          <w:tab w:val="left" w:pos="5360"/>
        </w:tabs>
        <w:spacing w:line="360" w:lineRule="auto"/>
        <w:jc w:val="both"/>
        <w:rPr>
          <w:rFonts w:ascii="Calibri" w:eastAsia="ＭＳ Ｐゴシック" w:hAnsi="Calibri" w:cs="Times New Roman"/>
          <w:i/>
        </w:rPr>
      </w:pPr>
    </w:p>
    <w:p w14:paraId="38541D4C"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Micrococcal Nuclease Assay</w:t>
      </w:r>
    </w:p>
    <w:p w14:paraId="0DF4BA77" w14:textId="19F25B51"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Micrococcal nuclease (MN) is an </w:t>
      </w:r>
      <w:proofErr w:type="spellStart"/>
      <w:r w:rsidRPr="008E7B3A">
        <w:rPr>
          <w:rFonts w:ascii="Calibri" w:eastAsia="ＭＳ Ｐゴシック" w:hAnsi="Calibri" w:cs="Times New Roman"/>
        </w:rPr>
        <w:t>endo</w:t>
      </w:r>
      <w:proofErr w:type="spellEnd"/>
      <w:r w:rsidRPr="008E7B3A">
        <w:rPr>
          <w:rFonts w:ascii="Calibri" w:eastAsia="ＭＳ Ｐゴシック" w:hAnsi="Calibri" w:cs="Times New Roman"/>
        </w:rPr>
        <w:t>-exonuclease that preferentially cuts unobstructed DNA; therefore it will cleave linker DNA between nucleosomes but not the DNA that is wound around them. In order to assess how alteration to the SRCAP gene affects the chromatin architecture</w:t>
      </w:r>
      <w:r w:rsidR="00310BFB">
        <w:rPr>
          <w:rFonts w:ascii="Calibri" w:eastAsia="ＭＳ Ｐゴシック" w:hAnsi="Calibri" w:cs="Times New Roman"/>
        </w:rPr>
        <w:t>,</w:t>
      </w:r>
      <w:r w:rsidRPr="008E7B3A">
        <w:rPr>
          <w:rFonts w:ascii="Calibri" w:eastAsia="ＭＳ Ｐゴシック" w:hAnsi="Calibri" w:cs="Times New Roman"/>
        </w:rPr>
        <w:t xml:space="preserve"> the EZ nucleosomal DNA prep kit (Zymo Research) was used. Cells in six well plates were washed and trypsinised and then subjected to the Micrococcal nuclease kit as per the supplier’s protocol. This included isolating the nuclei through lysis of other components of the cell, then treating for varying lengths of time (from 5-30mins) with micrococcal nuclease. A stop reagent was added at the appropriate time and the nucleosomal DNA purified using the Zymo spin columns included in the kit.  The samples were then quantified using the nanodrop </w:t>
      </w:r>
      <w:r w:rsidR="00310BFB">
        <w:rPr>
          <w:rFonts w:ascii="Calibri" w:eastAsia="ＭＳ Ｐゴシック" w:hAnsi="Calibri" w:cs="Times New Roman"/>
        </w:rPr>
        <w:t xml:space="preserve">spectrophotometer </w:t>
      </w:r>
      <w:r w:rsidRPr="008E7B3A">
        <w:rPr>
          <w:rFonts w:ascii="Calibri" w:eastAsia="ＭＳ Ｐゴシック" w:hAnsi="Calibri" w:cs="Times New Roman"/>
        </w:rPr>
        <w:t>and run on a 1% agarose gel against Hyperladder I and Hyperladder V in order to assess nucleosome pattern and amount of MN digestion.</w:t>
      </w:r>
    </w:p>
    <w:p w14:paraId="00A21025" w14:textId="77777777" w:rsidR="008E7B3A" w:rsidRPr="008E7B3A" w:rsidRDefault="008E7B3A" w:rsidP="008E7B3A">
      <w:pPr>
        <w:tabs>
          <w:tab w:val="left" w:pos="5360"/>
        </w:tabs>
        <w:spacing w:line="360" w:lineRule="auto"/>
        <w:jc w:val="both"/>
        <w:rPr>
          <w:rFonts w:ascii="Calibri" w:eastAsia="ＭＳ Ｐゴシック" w:hAnsi="Calibri" w:cs="Times New Roman"/>
        </w:rPr>
      </w:pPr>
    </w:p>
    <w:p w14:paraId="645215A9" w14:textId="457F349C"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The DNA samples digested with micrococcal nuclease were taken to the Genomics Department within Sheffield Children’s Hospital in order to more accurately quantify amount of digestion. These were analysed on a 2200 Tapestation bioanalyser by Emilie </w:t>
      </w:r>
      <w:proofErr w:type="spellStart"/>
      <w:r w:rsidRPr="008E7B3A">
        <w:rPr>
          <w:rFonts w:ascii="Calibri" w:eastAsia="ＭＳ Ｐゴシック" w:hAnsi="Calibri" w:cs="Times New Roman"/>
        </w:rPr>
        <w:t>Jarratt</w:t>
      </w:r>
      <w:proofErr w:type="spellEnd"/>
      <w:r w:rsidRPr="008E7B3A">
        <w:rPr>
          <w:rFonts w:ascii="Calibri" w:eastAsia="ＭＳ Ｐゴシック" w:hAnsi="Calibri" w:cs="Times New Roman"/>
        </w:rPr>
        <w:t>, using the D1000 screen tape and reagents (Agilent). Following the company’s protocol, 3</w:t>
      </w:r>
      <m:oMath>
        <m:r>
          <w:rPr>
            <w:rFonts w:ascii="Cambria Math" w:eastAsia="ＭＳ Ｐゴシック" w:hAnsi="Cambria Math" w:cs="Times New Roman"/>
          </w:rPr>
          <m:t>μ</m:t>
        </m:r>
      </m:oMath>
      <w:r w:rsidRPr="008E7B3A">
        <w:rPr>
          <w:rFonts w:ascii="Calibri" w:eastAsia="ＭＳ Ｐゴシック" w:hAnsi="Calibri" w:cs="Times New Roman"/>
        </w:rPr>
        <w:t>l of sample buffer was added to 1</w:t>
      </w:r>
      <m:oMath>
        <m:r>
          <w:rPr>
            <w:rFonts w:ascii="Cambria Math" w:eastAsia="ＭＳ Ｐゴシック" w:hAnsi="Cambria Math" w:cs="Times New Roman"/>
          </w:rPr>
          <m:t>μ</m:t>
        </m:r>
      </m:oMath>
      <w:r w:rsidRPr="008E7B3A">
        <w:rPr>
          <w:rFonts w:ascii="Calibri" w:eastAsia="ＭＳ Ｐゴシック" w:hAnsi="Calibri" w:cs="Times New Roman"/>
        </w:rPr>
        <w:t>l of DNA or 1</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ladder within a 96 well plate, vortexed and loaded into the machine. The data was then exported and analysed </w:t>
      </w:r>
      <w:r w:rsidR="00310BFB">
        <w:rPr>
          <w:rFonts w:ascii="Calibri" w:eastAsia="ＭＳ Ｐゴシック" w:hAnsi="Calibri" w:cs="Times New Roman"/>
        </w:rPr>
        <w:t>using</w:t>
      </w:r>
      <w:r w:rsidRPr="008E7B3A">
        <w:rPr>
          <w:rFonts w:ascii="Calibri" w:eastAsia="ＭＳ Ｐゴシック" w:hAnsi="Calibri" w:cs="Times New Roman"/>
        </w:rPr>
        <w:t xml:space="preserve"> the 4200 Tapestation analysis software. Here the software shows electrophoretic traces for each sample and gates were drawn around each peak at set numbers of base pairs to correspond to mono-, di-, tri- and multiple nucleosomes. For each gated peak the software then </w:t>
      </w:r>
      <w:r w:rsidR="00310BFB">
        <w:rPr>
          <w:rFonts w:ascii="Calibri" w:eastAsia="ＭＳ Ｐゴシック" w:hAnsi="Calibri" w:cs="Times New Roman"/>
        </w:rPr>
        <w:t>provides</w:t>
      </w:r>
      <w:r w:rsidRPr="008E7B3A">
        <w:rPr>
          <w:rFonts w:ascii="Calibri" w:eastAsia="ＭＳ Ｐゴシック" w:hAnsi="Calibri" w:cs="Times New Roman"/>
        </w:rPr>
        <w:t xml:space="preserve"> </w:t>
      </w:r>
      <w:r w:rsidR="00310BFB">
        <w:rPr>
          <w:rFonts w:ascii="Calibri" w:eastAsia="ＭＳ Ｐゴシック" w:hAnsi="Calibri" w:cs="Times New Roman"/>
        </w:rPr>
        <w:t xml:space="preserve">the </w:t>
      </w:r>
      <w:r w:rsidRPr="008E7B3A">
        <w:rPr>
          <w:rFonts w:ascii="Calibri" w:eastAsia="ＭＳ Ｐゴシック" w:hAnsi="Calibri" w:cs="Times New Roman"/>
        </w:rPr>
        <w:t xml:space="preserve">DNA content for each peak as a percentage of the total. </w:t>
      </w:r>
    </w:p>
    <w:p w14:paraId="3C15D368" w14:textId="77777777" w:rsidR="008E7B3A" w:rsidRPr="008E7B3A" w:rsidRDefault="008E7B3A" w:rsidP="008E7B3A">
      <w:pPr>
        <w:tabs>
          <w:tab w:val="left" w:pos="5360"/>
        </w:tabs>
        <w:spacing w:line="360" w:lineRule="auto"/>
        <w:jc w:val="both"/>
        <w:rPr>
          <w:rFonts w:ascii="Calibri" w:eastAsia="ＭＳ Ｐゴシック" w:hAnsi="Calibri" w:cs="Times New Roman"/>
        </w:rPr>
      </w:pPr>
    </w:p>
    <w:p w14:paraId="2C5C0803"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Cell cycle analysis by Propidium Iodide staining</w:t>
      </w:r>
    </w:p>
    <w:p w14:paraId="61AC1CA6" w14:textId="65283896"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In order to determine the proportion of cells at each stage of the cell cycle propidium iodide (PI) staining was used, as this </w:t>
      </w:r>
      <w:r w:rsidR="00310BFB">
        <w:rPr>
          <w:rFonts w:ascii="Calibri" w:eastAsia="ＭＳ Ｐゴシック" w:hAnsi="Calibri" w:cs="Times New Roman"/>
        </w:rPr>
        <w:t>binds the DNA</w:t>
      </w:r>
      <w:r w:rsidRPr="008E7B3A">
        <w:rPr>
          <w:rFonts w:ascii="Calibri" w:eastAsia="ＭＳ Ｐゴシック" w:hAnsi="Calibri" w:cs="Times New Roman"/>
        </w:rPr>
        <w:t xml:space="preserve"> present in fixed cells in a stoichiometric manner. Cells seeded on plates were trypsinised and centrifuged (1000rpm for 3mins), along with the media and PBS wash so that no cells were lost. The pellet was resuspended slowly and with gentle agitation in 1ml of 70% ice-cold ethanol in order to fix the cells to allow entry of the </w:t>
      </w:r>
      <w:r w:rsidR="00310BFB">
        <w:rPr>
          <w:rFonts w:ascii="Calibri" w:eastAsia="ＭＳ Ｐゴシック" w:hAnsi="Calibri" w:cs="Times New Roman"/>
        </w:rPr>
        <w:t xml:space="preserve">PI </w:t>
      </w:r>
      <w:r w:rsidRPr="008E7B3A">
        <w:rPr>
          <w:rFonts w:ascii="Calibri" w:eastAsia="ＭＳ Ｐゴシック" w:hAnsi="Calibri" w:cs="Times New Roman"/>
        </w:rPr>
        <w:t>dye. Here the samples could be kept at -20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for up to 2 weeks. The alcohol was removed by centrifugation and the pellet washed in PBS. 5</w:t>
      </w:r>
      <m:oMath>
        <m:r>
          <w:rPr>
            <w:rFonts w:ascii="Cambria Math" w:eastAsia="ＭＳ Ｐゴシック" w:hAnsi="Cambria Math" w:cs="Times New Roman"/>
          </w:rPr>
          <m:t>μ</m:t>
        </m:r>
      </m:oMath>
      <w:r w:rsidRPr="008E7B3A">
        <w:rPr>
          <w:rFonts w:ascii="Calibri" w:eastAsia="ＭＳ Ｐゴシック" w:hAnsi="Calibri" w:cs="Times New Roman"/>
        </w:rPr>
        <w:t>l of RNase A was added for 15 mins to remove any RNA that the PI could bind to.  Finally 400</w:t>
      </w:r>
      <m:oMath>
        <m:r>
          <w:rPr>
            <w:rFonts w:ascii="Cambria Math" w:eastAsia="ＭＳ Ｐゴシック" w:hAnsi="Cambria Math" w:cs="Times New Roman"/>
          </w:rPr>
          <m:t>μ</m:t>
        </m:r>
      </m:oMath>
      <w:r w:rsidRPr="008E7B3A">
        <w:rPr>
          <w:rFonts w:ascii="Calibri" w:eastAsia="ＭＳ Ｐゴシック" w:hAnsi="Calibri" w:cs="Times New Roman"/>
        </w:rPr>
        <w:t>l of 500</w:t>
      </w:r>
      <m:oMath>
        <m:r>
          <w:rPr>
            <w:rFonts w:ascii="Cambria Math" w:eastAsia="ＭＳ Ｐゴシック" w:hAnsi="Cambria Math" w:cs="Times New Roman"/>
          </w:rPr>
          <m:t>μ</m:t>
        </m:r>
      </m:oMath>
      <w:r w:rsidRPr="008E7B3A">
        <w:rPr>
          <w:rFonts w:ascii="Calibri" w:eastAsia="ＭＳ Ｐゴシック" w:hAnsi="Calibri" w:cs="Times New Roman"/>
        </w:rPr>
        <w:t>g/</w:t>
      </w:r>
      <m:oMath>
        <m:r>
          <w:rPr>
            <w:rFonts w:ascii="Cambria Math" w:eastAsia="ＭＳ Ｐゴシック" w:hAnsi="Cambria Math" w:cs="Times New Roman"/>
          </w:rPr>
          <m:t>μ</m:t>
        </m:r>
      </m:oMath>
      <w:r w:rsidRPr="008E7B3A">
        <w:rPr>
          <w:rFonts w:ascii="Calibri" w:eastAsia="ＭＳ Ｐゴシック" w:hAnsi="Calibri" w:cs="Times New Roman"/>
        </w:rPr>
        <w:t>l PI was added and the samples kept at 4</w:t>
      </w:r>
      <w:r w:rsidRPr="008E7B3A">
        <w:rPr>
          <w:rFonts w:ascii="Calibri" w:eastAsia="ＭＳ Ｐゴシック" w:hAnsi="Calibri" w:cs="Times New Roman"/>
          <w:vertAlign w:val="superscript"/>
        </w:rPr>
        <w:t>o</w:t>
      </w:r>
      <w:r w:rsidRPr="008E7B3A">
        <w:rPr>
          <w:rFonts w:ascii="Calibri" w:eastAsia="ＭＳ Ｐゴシック" w:hAnsi="Calibri" w:cs="Times New Roman"/>
        </w:rPr>
        <w:t xml:space="preserve">C for 24hrs. The samples were then analysed using a FACS Calibur machine. The data was analysed using </w:t>
      </w:r>
      <w:proofErr w:type="spellStart"/>
      <w:r w:rsidRPr="008E7B3A">
        <w:rPr>
          <w:rFonts w:ascii="Calibri" w:eastAsia="ＭＳ Ｐゴシック" w:hAnsi="Calibri" w:cs="Times New Roman"/>
        </w:rPr>
        <w:t>FlowJo</w:t>
      </w:r>
      <w:proofErr w:type="spellEnd"/>
      <w:r w:rsidRPr="008E7B3A">
        <w:rPr>
          <w:rFonts w:ascii="Calibri" w:eastAsia="ＭＳ Ｐゴシック" w:hAnsi="Calibri" w:cs="Times New Roman"/>
        </w:rPr>
        <w:t xml:space="preserve"> software; here any doublet cells were gated out, as these would skew the data, because they contain twice the amount of DNA and therefore</w:t>
      </w:r>
      <w:r w:rsidR="00310BFB">
        <w:rPr>
          <w:rFonts w:ascii="Calibri" w:eastAsia="ＭＳ Ｐゴシック" w:hAnsi="Calibri" w:cs="Times New Roman"/>
        </w:rPr>
        <w:t xml:space="preserve"> could</w:t>
      </w:r>
      <w:r w:rsidRPr="008E7B3A">
        <w:rPr>
          <w:rFonts w:ascii="Calibri" w:eastAsia="ＭＳ Ｐゴシック" w:hAnsi="Calibri" w:cs="Times New Roman"/>
        </w:rPr>
        <w:t xml:space="preserve"> be </w:t>
      </w:r>
      <w:r w:rsidR="00310BFB">
        <w:rPr>
          <w:rFonts w:ascii="Calibri" w:eastAsia="ＭＳ Ｐゴシック" w:hAnsi="Calibri" w:cs="Times New Roman"/>
        </w:rPr>
        <w:t xml:space="preserve">incorrectly </w:t>
      </w:r>
      <w:r w:rsidRPr="008E7B3A">
        <w:rPr>
          <w:rFonts w:ascii="Calibri" w:eastAsia="ＭＳ Ｐゴシック" w:hAnsi="Calibri" w:cs="Times New Roman"/>
        </w:rPr>
        <w:t>classed a</w:t>
      </w:r>
      <w:r w:rsidR="00310BFB">
        <w:rPr>
          <w:rFonts w:ascii="Calibri" w:eastAsia="ＭＳ Ｐゴシック" w:hAnsi="Calibri" w:cs="Times New Roman"/>
        </w:rPr>
        <w:t>s</w:t>
      </w:r>
      <w:r w:rsidRPr="008E7B3A">
        <w:rPr>
          <w:rFonts w:ascii="Calibri" w:eastAsia="ＭＳ Ｐゴシック" w:hAnsi="Calibri" w:cs="Times New Roman"/>
        </w:rPr>
        <w:t xml:space="preserve"> G2-M</w:t>
      </w:r>
      <w:r w:rsidR="00310BFB">
        <w:rPr>
          <w:rFonts w:ascii="Calibri" w:eastAsia="ＭＳ Ｐゴシック" w:hAnsi="Calibri" w:cs="Times New Roman"/>
        </w:rPr>
        <w:t xml:space="preserve"> cells</w:t>
      </w:r>
      <w:r w:rsidRPr="008E7B3A">
        <w:rPr>
          <w:rFonts w:ascii="Calibri" w:eastAsia="ＭＳ Ｐゴシック" w:hAnsi="Calibri" w:cs="Times New Roman"/>
        </w:rPr>
        <w:t xml:space="preserve">. The dot plots were converted to histograms and appropriate gates were set to look at the percentage of cells in G1, S, G2-M and Sub G1 phases of the cell cycle. </w:t>
      </w:r>
    </w:p>
    <w:p w14:paraId="22D40A09" w14:textId="77777777" w:rsidR="008E7B3A" w:rsidRPr="008E7B3A" w:rsidRDefault="008E7B3A" w:rsidP="008E7B3A">
      <w:pPr>
        <w:tabs>
          <w:tab w:val="left" w:pos="5360"/>
        </w:tabs>
        <w:spacing w:line="360" w:lineRule="auto"/>
        <w:jc w:val="both"/>
        <w:rPr>
          <w:rFonts w:ascii="Calibri" w:eastAsia="ＭＳ Ｐゴシック" w:hAnsi="Calibri" w:cs="Times New Roman"/>
          <w:b/>
          <w:i/>
        </w:rPr>
      </w:pPr>
    </w:p>
    <w:p w14:paraId="3B91CD2B"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rPr>
      </w:pPr>
      <w:r w:rsidRPr="008E7B3A">
        <w:rPr>
          <w:rFonts w:ascii="Calibri" w:eastAsia="ＭＳ Ｐゴシック" w:hAnsi="Calibri" w:cs="Times New Roman"/>
          <w:b/>
          <w:i/>
        </w:rPr>
        <w:t>Apoptosis analysis by dual propidium iodide and Annexin V staining</w:t>
      </w:r>
    </w:p>
    <w:p w14:paraId="6378B28D" w14:textId="07A62690"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In order to assess cells in early and late apoptosis the cells were dual stained with Annexin V and PI. Live cells with intact</w:t>
      </w:r>
      <w:r w:rsidR="00310BFB">
        <w:rPr>
          <w:rFonts w:ascii="Calibri" w:eastAsia="ＭＳ Ｐゴシック" w:hAnsi="Calibri" w:cs="Times New Roman"/>
        </w:rPr>
        <w:t xml:space="preserve"> membranes exclude the two dyes.</w:t>
      </w:r>
      <w:r w:rsidRPr="008E7B3A">
        <w:rPr>
          <w:rFonts w:ascii="Calibri" w:eastAsia="ＭＳ Ｐゴシック" w:hAnsi="Calibri" w:cs="Times New Roman"/>
        </w:rPr>
        <w:t xml:space="preserve"> </w:t>
      </w:r>
      <w:r w:rsidR="00310BFB">
        <w:rPr>
          <w:rFonts w:ascii="Calibri" w:eastAsia="ＭＳ Ｐゴシック" w:hAnsi="Calibri" w:cs="Times New Roman"/>
        </w:rPr>
        <w:t>However,</w:t>
      </w:r>
      <w:r w:rsidRPr="008E7B3A">
        <w:rPr>
          <w:rFonts w:ascii="Calibri" w:eastAsia="ＭＳ Ｐゴシック" w:hAnsi="Calibri" w:cs="Times New Roman"/>
        </w:rPr>
        <w:t xml:space="preserve"> damaged </w:t>
      </w:r>
      <w:r w:rsidR="00310BFB">
        <w:rPr>
          <w:rFonts w:ascii="Calibri" w:eastAsia="ＭＳ Ｐゴシック" w:hAnsi="Calibri" w:cs="Times New Roman"/>
        </w:rPr>
        <w:t xml:space="preserve">and apoptotic </w:t>
      </w:r>
      <w:r w:rsidRPr="008E7B3A">
        <w:rPr>
          <w:rFonts w:ascii="Calibri" w:eastAsia="ＭＳ Ｐゴシック" w:hAnsi="Calibri" w:cs="Times New Roman"/>
        </w:rPr>
        <w:t xml:space="preserve">cells have permeable membranes which allows PI to enter the cells and intercalate between the base pairs in double stranded DNA, causing fluorescence, which thus represents the percentage of cells in late apoptosis/necrosis. During early apoptosis, phosphatidylserine (PS), usually found on the inner plasma membrane, </w:t>
      </w:r>
      <w:r w:rsidR="00310BFB">
        <w:rPr>
          <w:rFonts w:ascii="Calibri" w:eastAsia="ＭＳ Ｐゴシック" w:hAnsi="Calibri" w:cs="Times New Roman"/>
        </w:rPr>
        <w:t>is</w:t>
      </w:r>
      <w:r w:rsidRPr="008E7B3A">
        <w:rPr>
          <w:rFonts w:ascii="Calibri" w:eastAsia="ＭＳ Ｐゴシック" w:hAnsi="Calibri" w:cs="Times New Roman"/>
        </w:rPr>
        <w:t xml:space="preserve"> relocated to the extracellular membrane to mark cells as targets for phagocytosis. Annexin V, a member of the phospholipid binding protein family, preferentially binds to PS and so distinguishes cells in early apoptosis. Cells seeded on 6 well plates were trypsinised at 24, 48 and 72hrs after siRNA transfection and 1x10</w:t>
      </w:r>
      <w:r w:rsidRPr="008E7B3A">
        <w:rPr>
          <w:rFonts w:ascii="Calibri" w:eastAsia="ＭＳ Ｐゴシック" w:hAnsi="Calibri" w:cs="Times New Roman"/>
          <w:vertAlign w:val="superscript"/>
        </w:rPr>
        <w:t xml:space="preserve">5 </w:t>
      </w:r>
      <w:r w:rsidRPr="008E7B3A">
        <w:rPr>
          <w:rFonts w:ascii="Calibri" w:eastAsia="ＭＳ Ｐゴシック" w:hAnsi="Calibri" w:cs="Times New Roman"/>
        </w:rPr>
        <w:t>cells resuspended in 100</w:t>
      </w:r>
      <m:oMath>
        <m:r>
          <w:rPr>
            <w:rFonts w:ascii="Cambria Math" w:eastAsia="ＭＳ Ｐゴシック" w:hAnsi="Cambria Math" w:cs="Times New Roman"/>
          </w:rPr>
          <m:t>μ</m:t>
        </m:r>
      </m:oMath>
      <w:r w:rsidRPr="008E7B3A">
        <w:rPr>
          <w:rFonts w:ascii="Calibri" w:eastAsia="ＭＳ Ｐゴシック" w:hAnsi="Calibri" w:cs="Times New Roman"/>
        </w:rPr>
        <w:t>l of 1x DNA binding buffer. 5</w:t>
      </w:r>
      <m:oMath>
        <m:r>
          <w:rPr>
            <w:rFonts w:ascii="Cambria Math" w:eastAsia="ＭＳ Ｐゴシック" w:hAnsi="Cambria Math" w:cs="Times New Roman"/>
          </w:rPr>
          <m:t>μ</m:t>
        </m:r>
      </m:oMath>
      <w:r w:rsidRPr="008E7B3A">
        <w:rPr>
          <w:rFonts w:ascii="Calibri" w:eastAsia="ＭＳ Ｐゴシック" w:hAnsi="Calibri" w:cs="Times New Roman"/>
        </w:rPr>
        <w:t>l of Annexin V or PI, or both, were added to each sample and left in the dark for 15mins, a control sample with no dye added was also included. Then 400</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1x binding buffer was added and the samples analysed within </w:t>
      </w:r>
      <w:proofErr w:type="gramStart"/>
      <w:r w:rsidRPr="008E7B3A">
        <w:rPr>
          <w:rFonts w:ascii="Calibri" w:eastAsia="ＭＳ Ｐゴシック" w:hAnsi="Calibri" w:cs="Times New Roman"/>
        </w:rPr>
        <w:t>an</w:t>
      </w:r>
      <w:proofErr w:type="gramEnd"/>
      <w:r w:rsidRPr="008E7B3A">
        <w:rPr>
          <w:rFonts w:ascii="Calibri" w:eastAsia="ＭＳ Ｐゴシック" w:hAnsi="Calibri" w:cs="Times New Roman"/>
        </w:rPr>
        <w:t xml:space="preserve"> </w:t>
      </w:r>
      <w:r w:rsidR="00CF0167">
        <w:rPr>
          <w:rFonts w:ascii="Calibri" w:eastAsia="ＭＳ Ｐゴシック" w:hAnsi="Calibri" w:cs="Times New Roman"/>
        </w:rPr>
        <w:t>1hr</w:t>
      </w:r>
      <w:r w:rsidRPr="008E7B3A">
        <w:rPr>
          <w:rFonts w:ascii="Calibri" w:eastAsia="ＭＳ Ｐゴシック" w:hAnsi="Calibri" w:cs="Times New Roman"/>
        </w:rPr>
        <w:t xml:space="preserve"> on the FACS Calibur flow cytometer. All reagents were from the FITC Annexin V apoptosis detection kit from BD Pharmingen. Data was then exported again to be analysed on Flowjo, dot plots of Annexin V vs. PI were established and gates set for no stain, PI only, Annexin V only and dual stain. Within each gate the percentage of cells was stated.</w:t>
      </w:r>
    </w:p>
    <w:p w14:paraId="2866B373" w14:textId="77777777" w:rsidR="008E7B3A" w:rsidRPr="008E7B3A" w:rsidRDefault="008E7B3A" w:rsidP="008E7B3A">
      <w:pPr>
        <w:tabs>
          <w:tab w:val="left" w:pos="5360"/>
        </w:tabs>
        <w:spacing w:line="360" w:lineRule="auto"/>
        <w:jc w:val="both"/>
        <w:rPr>
          <w:rFonts w:ascii="Calibri" w:eastAsia="ＭＳ Ｐゴシック" w:hAnsi="Calibri" w:cs="Times New Roman"/>
        </w:rPr>
      </w:pPr>
    </w:p>
    <w:p w14:paraId="06FF0FA8"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Phosphorylated H3 flow cytometry for mitotic cells</w:t>
      </w:r>
    </w:p>
    <w:p w14:paraId="168F1BD9" w14:textId="11B0A34F" w:rsidR="008E7B3A" w:rsidRDefault="008E7B3A" w:rsidP="00D82E70">
      <w:pPr>
        <w:tabs>
          <w:tab w:val="left" w:pos="5360"/>
        </w:tabs>
        <w:spacing w:line="360" w:lineRule="auto"/>
        <w:jc w:val="both"/>
        <w:rPr>
          <w:rFonts w:ascii="Calibri" w:eastAsia="ＭＳ Ｐゴシック" w:hAnsi="Calibri" w:cs="Times New Roman"/>
        </w:rPr>
      </w:pPr>
      <w:proofErr w:type="gramStart"/>
      <w:r w:rsidRPr="008E7B3A">
        <w:rPr>
          <w:rFonts w:ascii="Calibri" w:eastAsia="ＭＳ Ｐゴシック" w:hAnsi="Calibri" w:cs="Times New Roman"/>
        </w:rPr>
        <w:t xml:space="preserve">Histone H3 is phosphorylated during mitosis and </w:t>
      </w:r>
      <w:r w:rsidR="00A15583">
        <w:rPr>
          <w:rFonts w:ascii="Calibri" w:eastAsia="ＭＳ Ｐゴシック" w:hAnsi="Calibri" w:cs="Times New Roman"/>
        </w:rPr>
        <w:t xml:space="preserve">the phosphorylated form </w:t>
      </w:r>
      <w:r w:rsidRPr="008E7B3A">
        <w:rPr>
          <w:rFonts w:ascii="Calibri" w:eastAsia="ＭＳ Ｐゴシック" w:hAnsi="Calibri" w:cs="Times New Roman"/>
        </w:rPr>
        <w:t>can be detected by specific antibodies</w:t>
      </w:r>
      <w:proofErr w:type="gramEnd"/>
      <w:r w:rsidRPr="008E7B3A">
        <w:rPr>
          <w:rFonts w:ascii="Calibri" w:eastAsia="ＭＳ Ｐゴシック" w:hAnsi="Calibri" w:cs="Times New Roman"/>
        </w:rPr>
        <w:t xml:space="preserve">, and thus the percentage of M-phase cells can be calculated by flow cytometry. Cells were seeded in 6 well plates, treated with siRNA </w:t>
      </w:r>
      <w:r w:rsidR="00A15583">
        <w:rPr>
          <w:rFonts w:ascii="Calibri" w:eastAsia="ＭＳ Ｐゴシック" w:hAnsi="Calibri" w:cs="Times New Roman"/>
        </w:rPr>
        <w:t>according to</w:t>
      </w:r>
      <w:r w:rsidRPr="008E7B3A">
        <w:rPr>
          <w:rFonts w:ascii="Calibri" w:eastAsia="ＭＳ Ｐゴシック" w:hAnsi="Calibri" w:cs="Times New Roman"/>
        </w:rPr>
        <w:t xml:space="preserve"> the protocol previously mentioned in section 2.2.2.VI and left for 48hrs. The cells were trypsinised, washed in PBS then fixed in 1ml of 70% ethanol and stored at 20</w:t>
      </w:r>
      <w:r w:rsidRPr="008E7B3A">
        <w:rPr>
          <w:rFonts w:ascii="Calibri" w:eastAsia="ＭＳ Ｐゴシック" w:hAnsi="Calibri" w:cs="Times New Roman"/>
          <w:vertAlign w:val="superscript"/>
        </w:rPr>
        <w:t>o</w:t>
      </w:r>
      <w:r w:rsidRPr="008E7B3A">
        <w:rPr>
          <w:rFonts w:ascii="Calibri" w:eastAsia="ＭＳ Ｐゴシック" w:hAnsi="Calibri" w:cs="Times New Roman"/>
        </w:rPr>
        <w:t>C prior to antibody detection (up to a week).  The cell suspension was then centrifuged for 3mins at 1000rpm, washed twice with PBS and left to permeabilise in PBS with 0.5% BSA and 0.25% Triton-X for 15mins on ice. Again this was centrifuged, the supernatant removed, and primary pH3 antibody added at 1:1000 in 100</w:t>
      </w:r>
      <m:oMath>
        <m:r>
          <w:rPr>
            <w:rFonts w:ascii="Cambria Math" w:eastAsia="ＭＳ Ｐゴシック" w:hAnsi="Cambria Math" w:cs="Times New Roman"/>
          </w:rPr>
          <m:t>μ</m:t>
        </m:r>
      </m:oMath>
      <w:r w:rsidRPr="008E7B3A">
        <w:rPr>
          <w:rFonts w:ascii="Calibri" w:eastAsia="ＭＳ Ｐゴシック" w:hAnsi="Calibri" w:cs="Times New Roman"/>
        </w:rPr>
        <w:t>l PBS (with 0.5% BSA and</w:t>
      </w:r>
      <w:r w:rsidR="00CF0167">
        <w:rPr>
          <w:rFonts w:ascii="Calibri" w:eastAsia="ＭＳ Ｐゴシック" w:hAnsi="Calibri" w:cs="Times New Roman"/>
        </w:rPr>
        <w:t xml:space="preserve"> 0.25% Triton-X) added for 1h</w:t>
      </w:r>
      <w:r w:rsidRPr="008E7B3A">
        <w:rPr>
          <w:rFonts w:ascii="Calibri" w:eastAsia="ＭＳ Ｐゴシック" w:hAnsi="Calibri" w:cs="Times New Roman"/>
        </w:rPr>
        <w:t>r. The cell pellets were washed twice in PBS and 0.25% Triton-X and then secondary antibody added at 1:100 in 100</w:t>
      </w:r>
      <m:oMath>
        <m:r>
          <w:rPr>
            <w:rFonts w:ascii="Cambria Math" w:eastAsia="ＭＳ Ｐゴシック" w:hAnsi="Cambria Math" w:cs="Times New Roman"/>
          </w:rPr>
          <m:t>μ</m:t>
        </m:r>
      </m:oMath>
      <w:r w:rsidRPr="008E7B3A">
        <w:rPr>
          <w:rFonts w:ascii="Calibri" w:eastAsia="ＭＳ Ｐゴシック" w:hAnsi="Calibri" w:cs="Times New Roman"/>
        </w:rPr>
        <w:t>l of PBS and 1% BSA for 30 minutes in the dark.  Cells were washed once more in PBS then the pellet resuspended in 5</w:t>
      </w:r>
      <m:oMath>
        <m:r>
          <w:rPr>
            <w:rFonts w:ascii="Cambria Math" w:eastAsia="ＭＳ Ｐゴシック" w:hAnsi="Cambria Math" w:cs="Times New Roman"/>
          </w:rPr>
          <m:t>μ</m:t>
        </m:r>
      </m:oMath>
      <w:r w:rsidRPr="008E7B3A">
        <w:rPr>
          <w:rFonts w:ascii="Calibri" w:eastAsia="ＭＳ Ｐゴシック" w:hAnsi="Calibri" w:cs="Times New Roman"/>
        </w:rPr>
        <w:t>l of 1mg/ml RNase A and 400</w:t>
      </w:r>
      <m:oMath>
        <m:r>
          <w:rPr>
            <w:rFonts w:ascii="Cambria Math" w:eastAsia="ＭＳ Ｐゴシック" w:hAnsi="Cambria Math" w:cs="Times New Roman"/>
          </w:rPr>
          <m:t>μ</m:t>
        </m:r>
      </m:oMath>
      <w:r w:rsidRPr="008E7B3A">
        <w:rPr>
          <w:rFonts w:ascii="Calibri" w:eastAsia="ＭＳ Ｐゴシック" w:hAnsi="Calibri" w:cs="Times New Roman"/>
        </w:rPr>
        <w:t>l of 50</w:t>
      </w:r>
      <m:oMath>
        <m:r>
          <w:rPr>
            <w:rFonts w:ascii="Cambria Math" w:eastAsia="ＭＳ Ｐゴシック" w:hAnsi="Cambria Math" w:cs="Times New Roman"/>
          </w:rPr>
          <m:t>μ</m:t>
        </m:r>
      </m:oMath>
      <w:r w:rsidRPr="008E7B3A">
        <w:rPr>
          <w:rFonts w:ascii="Calibri" w:eastAsia="ＭＳ Ｐゴシック" w:hAnsi="Calibri" w:cs="Times New Roman"/>
        </w:rPr>
        <w:t>g/ml PI. This was incubated for approximately 15 minutes before analysis on the FACS Calibur flow cytometer. Dot plots of DNA content (PI) vs. pH3 staining were made on Flowjo and a gate drawn around the population that had shifted upwards from the main population,</w:t>
      </w:r>
      <w:r w:rsidR="00A15583">
        <w:rPr>
          <w:rFonts w:ascii="Calibri" w:eastAsia="ＭＳ Ｐゴシック" w:hAnsi="Calibri" w:cs="Times New Roman"/>
        </w:rPr>
        <w:t xml:space="preserve"> as this indicated pH3 positive cells.</w:t>
      </w:r>
    </w:p>
    <w:p w14:paraId="6F956EA9" w14:textId="77777777" w:rsidR="00CF5335" w:rsidRPr="008E7B3A" w:rsidRDefault="00CF5335" w:rsidP="00D82E70">
      <w:pPr>
        <w:tabs>
          <w:tab w:val="left" w:pos="5360"/>
        </w:tabs>
        <w:spacing w:line="360" w:lineRule="auto"/>
        <w:jc w:val="both"/>
        <w:rPr>
          <w:rFonts w:ascii="Calibri" w:eastAsia="ＭＳ Ｐゴシック" w:hAnsi="Calibri" w:cs="Times New Roman"/>
        </w:rPr>
      </w:pPr>
    </w:p>
    <w:p w14:paraId="0B2C079D"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rPr>
      </w:pPr>
      <w:r w:rsidRPr="008E7B3A">
        <w:rPr>
          <w:rFonts w:ascii="Calibri" w:eastAsia="ＭＳ Ｐゴシック" w:hAnsi="Calibri" w:cs="Times New Roman"/>
          <w:b/>
        </w:rPr>
        <w:t>Click-</w:t>
      </w:r>
      <w:proofErr w:type="spellStart"/>
      <w:r w:rsidRPr="008E7B3A">
        <w:rPr>
          <w:rFonts w:ascii="Calibri" w:eastAsia="ＭＳ Ｐゴシック" w:hAnsi="Calibri" w:cs="Times New Roman"/>
          <w:b/>
        </w:rPr>
        <w:t>iT</w:t>
      </w:r>
      <w:proofErr w:type="spellEnd"/>
      <w:r w:rsidRPr="008E7B3A">
        <w:rPr>
          <w:rFonts w:ascii="Calibri" w:eastAsia="ＭＳ Ｐゴシック" w:hAnsi="Calibri" w:cs="Times New Roman"/>
          <w:b/>
        </w:rPr>
        <w:t xml:space="preserve"> EdU Assay</w:t>
      </w:r>
    </w:p>
    <w:p w14:paraId="332CC9DC" w14:textId="6532924D"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The 5-ethynyl-2’-deoxyuridine (EdU) assay was conducted using the Click-</w:t>
      </w:r>
      <w:proofErr w:type="spellStart"/>
      <w:r w:rsidRPr="008E7B3A">
        <w:rPr>
          <w:rFonts w:ascii="Calibri" w:eastAsia="ＭＳ Ｐゴシック" w:hAnsi="Calibri" w:cs="Times New Roman"/>
        </w:rPr>
        <w:t>iT</w:t>
      </w:r>
      <w:proofErr w:type="spellEnd"/>
      <w:r w:rsidRPr="008E7B3A">
        <w:rPr>
          <w:rFonts w:ascii="Calibri" w:eastAsia="ＭＳ Ｐゴシック" w:hAnsi="Calibri" w:cs="Times New Roman"/>
        </w:rPr>
        <w:t xml:space="preserve"> EdU Alexa Fluor 488 Imaging Kit (Fisher) and following the manufacturer</w:t>
      </w:r>
      <w:r w:rsidR="00D82E70">
        <w:rPr>
          <w:rFonts w:ascii="Calibri" w:eastAsia="ＭＳ Ｐゴシック" w:hAnsi="Calibri" w:cs="Times New Roman"/>
        </w:rPr>
        <w:t>’</w:t>
      </w:r>
      <w:r w:rsidRPr="008E7B3A">
        <w:rPr>
          <w:rFonts w:ascii="Calibri" w:eastAsia="ＭＳ Ｐゴシック" w:hAnsi="Calibri" w:cs="Times New Roman"/>
        </w:rPr>
        <w:t>s protocol. With this assay</w:t>
      </w:r>
      <w:r w:rsidR="00D82E70">
        <w:rPr>
          <w:rFonts w:ascii="Calibri" w:eastAsia="ＭＳ Ｐゴシック" w:hAnsi="Calibri" w:cs="Times New Roman"/>
        </w:rPr>
        <w:t>,</w:t>
      </w:r>
      <w:r w:rsidRPr="008E7B3A">
        <w:rPr>
          <w:rFonts w:ascii="Calibri" w:eastAsia="ＭＳ Ｐゴシック" w:hAnsi="Calibri" w:cs="Times New Roman"/>
        </w:rPr>
        <w:t xml:space="preserve"> the thymidine analogue EdU is incorporated into DNA during active DNA synthesis and </w:t>
      </w:r>
      <w:r w:rsidR="00D82E70">
        <w:rPr>
          <w:rFonts w:ascii="Calibri" w:eastAsia="ＭＳ Ｐゴシック" w:hAnsi="Calibri" w:cs="Times New Roman"/>
        </w:rPr>
        <w:t xml:space="preserve">can be </w:t>
      </w:r>
      <w:r w:rsidRPr="008E7B3A">
        <w:rPr>
          <w:rFonts w:ascii="Calibri" w:eastAsia="ＭＳ Ｐゴシック" w:hAnsi="Calibri" w:cs="Times New Roman"/>
        </w:rPr>
        <w:t>labelled with an Alexa Fluor dye using Click-</w:t>
      </w:r>
      <w:proofErr w:type="spellStart"/>
      <w:r w:rsidRPr="008E7B3A">
        <w:rPr>
          <w:rFonts w:ascii="Calibri" w:eastAsia="ＭＳ Ｐゴシック" w:hAnsi="Calibri" w:cs="Times New Roman"/>
        </w:rPr>
        <w:t>iT</w:t>
      </w:r>
      <w:proofErr w:type="spellEnd"/>
      <w:r w:rsidRPr="008E7B3A">
        <w:rPr>
          <w:rFonts w:ascii="Calibri" w:eastAsia="ＭＳ Ｐゴシック" w:hAnsi="Calibri" w:cs="Times New Roman"/>
        </w:rPr>
        <w:t xml:space="preserve"> chemistry. </w:t>
      </w:r>
      <w:r w:rsidR="00DD7B9D">
        <w:rPr>
          <w:rFonts w:ascii="Calibri" w:eastAsia="ＭＳ Ｐゴシック" w:hAnsi="Calibri" w:cs="Times New Roman"/>
        </w:rPr>
        <w:t>T</w:t>
      </w:r>
      <w:r w:rsidRPr="008E7B3A">
        <w:rPr>
          <w:rFonts w:ascii="Calibri" w:eastAsia="ＭＳ Ｐゴシック" w:hAnsi="Calibri" w:cs="Times New Roman"/>
        </w:rPr>
        <w:t>he EdU contains an alkyne and the Alexa Fluor dye contains an azide, so when combined there is a copper-catalysed covalent reaction between the azide and alkyne allowing for the detection of incorporated EdU. 10</w:t>
      </w:r>
      <m:oMath>
        <m:r>
          <w:rPr>
            <w:rFonts w:ascii="Cambria Math" w:eastAsia="ＭＳ Ｐゴシック" w:hAnsi="Cambria Math" w:cs="Times New Roman"/>
          </w:rPr>
          <m:t>μ</m:t>
        </m:r>
      </m:oMath>
      <w:r w:rsidRPr="008E7B3A">
        <w:rPr>
          <w:rFonts w:ascii="Calibri" w:eastAsia="ＭＳ Ｐゴシック" w:hAnsi="Calibri" w:cs="Times New Roman"/>
        </w:rPr>
        <w:t>l of 10mM EdU was made up to a final concentration of 20</w:t>
      </w:r>
      <m:oMath>
        <m:r>
          <w:rPr>
            <w:rFonts w:ascii="Cambria Math" w:eastAsia="ＭＳ Ｐゴシック" w:hAnsi="Cambria Math" w:cs="Times New Roman"/>
          </w:rPr>
          <m:t>μ</m:t>
        </m:r>
      </m:oMath>
      <w:r w:rsidRPr="008E7B3A">
        <w:rPr>
          <w:rFonts w:ascii="Calibri" w:eastAsia="ＭＳ Ｐゴシック" w:hAnsi="Calibri" w:cs="Times New Roman"/>
        </w:rPr>
        <w:t>M in 5ml 10% FCS DMEM media</w:t>
      </w:r>
      <w:r w:rsidR="00DD7B9D">
        <w:rPr>
          <w:rFonts w:ascii="Calibri" w:eastAsia="ＭＳ Ｐゴシック" w:hAnsi="Calibri" w:cs="Times New Roman"/>
        </w:rPr>
        <w:t>,</w:t>
      </w:r>
      <w:r w:rsidRPr="008E7B3A">
        <w:rPr>
          <w:rFonts w:ascii="Calibri" w:eastAsia="ＭＳ Ｐゴシック" w:hAnsi="Calibri" w:cs="Times New Roman"/>
        </w:rPr>
        <w:t xml:space="preserve"> and 0.5ml EdU media added to 0.5ml normal media on top of already seeded cells on coverslips in a 6 well plate. The cells were then incubated for 20mins to allow the EdU to be incorporated. The media was removed and cells fixed in</w:t>
      </w:r>
      <w:r w:rsidR="00DD7B9D">
        <w:rPr>
          <w:rFonts w:ascii="Calibri" w:eastAsia="ＭＳ Ｐゴシック" w:hAnsi="Calibri" w:cs="Times New Roman"/>
        </w:rPr>
        <w:t xml:space="preserve"> 1ml 4% PFA for 15mins. After</w:t>
      </w:r>
      <w:r w:rsidRPr="008E7B3A">
        <w:rPr>
          <w:rFonts w:ascii="Calibri" w:eastAsia="ＭＳ Ｐゴシック" w:hAnsi="Calibri" w:cs="Times New Roman"/>
        </w:rPr>
        <w:t xml:space="preserve"> washing </w:t>
      </w:r>
      <w:r w:rsidR="00DD7B9D">
        <w:rPr>
          <w:rFonts w:ascii="Calibri" w:eastAsia="ＭＳ Ｐゴシック" w:hAnsi="Calibri" w:cs="Times New Roman"/>
        </w:rPr>
        <w:t xml:space="preserve">twice </w:t>
      </w:r>
      <w:r w:rsidRPr="008E7B3A">
        <w:rPr>
          <w:rFonts w:ascii="Calibri" w:eastAsia="ＭＳ Ｐゴシック" w:hAnsi="Calibri" w:cs="Times New Roman"/>
        </w:rPr>
        <w:t>with 3% BSA in PBS, 0.5% Triton-X 100 in PBS was added for 20mins to permeabilise</w:t>
      </w:r>
      <w:r w:rsidR="00252E52">
        <w:rPr>
          <w:rFonts w:ascii="Calibri" w:eastAsia="ＭＳ Ｐゴシック" w:hAnsi="Calibri" w:cs="Times New Roman"/>
        </w:rPr>
        <w:t xml:space="preserve"> the cells. The cells were then washed twice</w:t>
      </w:r>
      <w:r w:rsidRPr="008E7B3A">
        <w:rPr>
          <w:rFonts w:ascii="Calibri" w:eastAsia="ＭＳ Ｐゴシック" w:hAnsi="Calibri" w:cs="Times New Roman"/>
        </w:rPr>
        <w:t xml:space="preserve"> again and 0.5ml Click-</w:t>
      </w:r>
      <w:proofErr w:type="spellStart"/>
      <w:r w:rsidRPr="008E7B3A">
        <w:rPr>
          <w:rFonts w:ascii="Calibri" w:eastAsia="ＭＳ Ｐゴシック" w:hAnsi="Calibri" w:cs="Times New Roman"/>
        </w:rPr>
        <w:t>iT</w:t>
      </w:r>
      <w:proofErr w:type="spellEnd"/>
      <w:r w:rsidRPr="008E7B3A">
        <w:rPr>
          <w:rFonts w:ascii="Calibri" w:eastAsia="ＭＳ Ｐゴシック" w:hAnsi="Calibri" w:cs="Times New Roman"/>
        </w:rPr>
        <w:t xml:space="preserve"> cocktail ad</w:t>
      </w:r>
      <w:r w:rsidR="00252E52">
        <w:rPr>
          <w:rFonts w:ascii="Calibri" w:eastAsia="ＭＳ Ｐゴシック" w:hAnsi="Calibri" w:cs="Times New Roman"/>
        </w:rPr>
        <w:t>ded for 30mins in the dark;</w:t>
      </w:r>
      <w:r w:rsidRPr="008E7B3A">
        <w:rPr>
          <w:rFonts w:ascii="Calibri" w:eastAsia="ＭＳ Ｐゴシック" w:hAnsi="Calibri" w:cs="Times New Roman"/>
        </w:rPr>
        <w:t xml:space="preserve"> the cocktail included the reagents and quantities in table 2.7.1. After the incubation the cells were washed once and 1X Hoechst (5</w:t>
      </w:r>
      <m:oMath>
        <m:r>
          <w:rPr>
            <w:rFonts w:ascii="Cambria Math" w:eastAsia="ＭＳ Ｐゴシック" w:hAnsi="Cambria Math" w:cs="Times New Roman"/>
          </w:rPr>
          <m:t>μ</m:t>
        </m:r>
      </m:oMath>
      <w:r w:rsidRPr="008E7B3A">
        <w:rPr>
          <w:rFonts w:ascii="Calibri" w:eastAsia="ＭＳ Ｐゴシック" w:hAnsi="Calibri" w:cs="Times New Roman"/>
        </w:rPr>
        <w:t xml:space="preserve">g/ml) </w:t>
      </w:r>
      <w:r w:rsidR="00252E52">
        <w:rPr>
          <w:rFonts w:ascii="Calibri" w:eastAsia="ＭＳ Ｐゴシック" w:hAnsi="Calibri" w:cs="Times New Roman"/>
        </w:rPr>
        <w:t xml:space="preserve">then </w:t>
      </w:r>
      <w:r w:rsidRPr="008E7B3A">
        <w:rPr>
          <w:rFonts w:ascii="Calibri" w:eastAsia="ＭＳ Ｐゴシック" w:hAnsi="Calibri" w:cs="Times New Roman"/>
        </w:rPr>
        <w:t xml:space="preserve">added for 30mins </w:t>
      </w:r>
      <w:r w:rsidR="00252E52">
        <w:rPr>
          <w:rFonts w:ascii="Calibri" w:eastAsia="ＭＳ Ｐゴシック" w:hAnsi="Calibri" w:cs="Times New Roman"/>
        </w:rPr>
        <w:t xml:space="preserve">incubation </w:t>
      </w:r>
      <w:r w:rsidRPr="008E7B3A">
        <w:rPr>
          <w:rFonts w:ascii="Calibri" w:eastAsia="ＭＳ Ｐゴシック" w:hAnsi="Calibri" w:cs="Times New Roman"/>
        </w:rPr>
        <w:t xml:space="preserve">in the dark. Cells were washed a final time before being </w:t>
      </w:r>
      <w:r w:rsidR="00252E52">
        <w:rPr>
          <w:rFonts w:ascii="Calibri" w:eastAsia="ＭＳ Ｐゴシック" w:hAnsi="Calibri" w:cs="Times New Roman"/>
        </w:rPr>
        <w:t>mounted and imaged with the DAPI</w:t>
      </w:r>
      <w:r w:rsidRPr="008E7B3A">
        <w:rPr>
          <w:rFonts w:ascii="Calibri" w:eastAsia="ＭＳ Ｐゴシック" w:hAnsi="Calibri" w:cs="Times New Roman"/>
        </w:rPr>
        <w:t xml:space="preserve"> and FITC channels as per the protocol for immunofluorescence</w:t>
      </w:r>
      <w:r w:rsidR="00252E52">
        <w:rPr>
          <w:rFonts w:ascii="Calibri" w:eastAsia="ＭＳ Ｐゴシック" w:hAnsi="Calibri" w:cs="Times New Roman"/>
        </w:rPr>
        <w:t xml:space="preserve"> (see section 2.2.V.a)</w:t>
      </w:r>
      <w:r w:rsidRPr="008E7B3A">
        <w:rPr>
          <w:rFonts w:ascii="Calibri" w:eastAsia="ＭＳ Ｐゴシック" w:hAnsi="Calibri" w:cs="Times New Roman"/>
        </w:rPr>
        <w:t xml:space="preserve">.  In order to score, 10 images were </w:t>
      </w:r>
      <w:r w:rsidR="00252E52">
        <w:rPr>
          <w:rFonts w:ascii="Calibri" w:eastAsia="ＭＳ Ｐゴシック" w:hAnsi="Calibri" w:cs="Times New Roman"/>
        </w:rPr>
        <w:t>captured</w:t>
      </w:r>
      <w:r w:rsidRPr="008E7B3A">
        <w:rPr>
          <w:rFonts w:ascii="Calibri" w:eastAsia="ＭＳ Ｐゴシック" w:hAnsi="Calibri" w:cs="Times New Roman"/>
        </w:rPr>
        <w:t xml:space="preserve"> per</w:t>
      </w:r>
      <w:r w:rsidR="00252E52">
        <w:rPr>
          <w:rFonts w:ascii="Calibri" w:eastAsia="ＭＳ Ｐゴシック" w:hAnsi="Calibri" w:cs="Times New Roman"/>
        </w:rPr>
        <w:t xml:space="preserve"> test</w:t>
      </w:r>
      <w:r w:rsidRPr="008E7B3A">
        <w:rPr>
          <w:rFonts w:ascii="Calibri" w:eastAsia="ＭＳ Ｐゴシック" w:hAnsi="Calibri" w:cs="Times New Roman"/>
        </w:rPr>
        <w:t xml:space="preserve"> condition, the number of cells cou</w:t>
      </w:r>
      <w:r w:rsidR="00252E52">
        <w:rPr>
          <w:rFonts w:ascii="Calibri" w:eastAsia="ＭＳ Ｐゴシック" w:hAnsi="Calibri" w:cs="Times New Roman"/>
        </w:rPr>
        <w:t>nted using the DAPI</w:t>
      </w:r>
      <w:r w:rsidRPr="008E7B3A">
        <w:rPr>
          <w:rFonts w:ascii="Calibri" w:eastAsia="ＭＳ Ｐゴシック" w:hAnsi="Calibri" w:cs="Times New Roman"/>
        </w:rPr>
        <w:t xml:space="preserve"> filter, then this was switched to FITC and the number of EdU positive cells recorded. The total number of EdU positive cells was then calculated as a percentage of the total number of cells.</w:t>
      </w:r>
    </w:p>
    <w:tbl>
      <w:tblPr>
        <w:tblStyle w:val="TableGrid"/>
        <w:tblpPr w:leftFromText="180" w:rightFromText="180" w:vertAnchor="page" w:horzAnchor="page" w:tblpX="2377" w:tblpY="1441"/>
        <w:tblW w:w="0" w:type="auto"/>
        <w:tblLook w:val="04A0" w:firstRow="1" w:lastRow="0" w:firstColumn="1" w:lastColumn="0" w:noHBand="0" w:noVBand="1"/>
      </w:tblPr>
      <w:tblGrid>
        <w:gridCol w:w="4261"/>
        <w:gridCol w:w="4261"/>
      </w:tblGrid>
      <w:tr w:rsidR="009931EF" w:rsidRPr="008E7B3A" w14:paraId="1F11624B" w14:textId="77777777" w:rsidTr="009931EF">
        <w:tc>
          <w:tcPr>
            <w:tcW w:w="4261" w:type="dxa"/>
            <w:shd w:val="clear" w:color="auto" w:fill="000000"/>
          </w:tcPr>
          <w:p w14:paraId="6D6D29A3" w14:textId="77777777" w:rsidR="009931EF" w:rsidRPr="008E7B3A" w:rsidRDefault="009931EF" w:rsidP="009931EF">
            <w:pPr>
              <w:tabs>
                <w:tab w:val="left" w:pos="5360"/>
              </w:tabs>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Reaction Component</w:t>
            </w:r>
          </w:p>
        </w:tc>
        <w:tc>
          <w:tcPr>
            <w:tcW w:w="4261" w:type="dxa"/>
            <w:shd w:val="clear" w:color="auto" w:fill="000000"/>
          </w:tcPr>
          <w:p w14:paraId="0FE353C5" w14:textId="77777777" w:rsidR="009931EF" w:rsidRPr="008E7B3A" w:rsidRDefault="009931EF" w:rsidP="009931EF">
            <w:pPr>
              <w:tabs>
                <w:tab w:val="left" w:pos="5360"/>
              </w:tabs>
              <w:spacing w:line="276" w:lineRule="auto"/>
              <w:jc w:val="both"/>
              <w:rPr>
                <w:rFonts w:ascii="Calibri" w:eastAsia="ＭＳ Ｐゴシック" w:hAnsi="Calibri" w:cs="Times New Roman"/>
                <w:b/>
                <w:color w:val="FFFFFF"/>
              </w:rPr>
            </w:pPr>
            <w:r w:rsidRPr="008E7B3A">
              <w:rPr>
                <w:rFonts w:ascii="Calibri" w:eastAsia="ＭＳ Ｐゴシック" w:hAnsi="Calibri" w:cs="Times New Roman"/>
                <w:b/>
                <w:color w:val="FFFFFF"/>
              </w:rPr>
              <w:t>Quantity (for 1 coverslip)</w:t>
            </w:r>
          </w:p>
        </w:tc>
      </w:tr>
      <w:tr w:rsidR="009931EF" w:rsidRPr="008E7B3A" w14:paraId="148F19FA" w14:textId="77777777" w:rsidTr="009931EF">
        <w:tc>
          <w:tcPr>
            <w:tcW w:w="4261" w:type="dxa"/>
            <w:shd w:val="clear" w:color="auto" w:fill="D9D9D9"/>
          </w:tcPr>
          <w:p w14:paraId="78F493C9" w14:textId="77777777" w:rsidR="009931EF" w:rsidRPr="008E7B3A" w:rsidRDefault="009931EF" w:rsidP="009931EF">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1x Click-</w:t>
            </w:r>
            <w:proofErr w:type="spellStart"/>
            <w:r w:rsidRPr="008E7B3A">
              <w:rPr>
                <w:rFonts w:ascii="Calibri" w:eastAsia="ＭＳ Ｐゴシック" w:hAnsi="Calibri" w:cs="Times New Roman"/>
              </w:rPr>
              <w:t>iT</w:t>
            </w:r>
            <w:proofErr w:type="spellEnd"/>
            <w:r w:rsidRPr="008E7B3A">
              <w:rPr>
                <w:rFonts w:ascii="Calibri" w:eastAsia="ＭＳ Ｐゴシック" w:hAnsi="Calibri" w:cs="Times New Roman"/>
              </w:rPr>
              <w:t xml:space="preserve"> reaction buffer</w:t>
            </w:r>
          </w:p>
        </w:tc>
        <w:tc>
          <w:tcPr>
            <w:tcW w:w="4261" w:type="dxa"/>
          </w:tcPr>
          <w:p w14:paraId="59D67D3B" w14:textId="77777777" w:rsidR="009931EF" w:rsidRPr="008E7B3A" w:rsidRDefault="009931EF" w:rsidP="009931EF">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430</w:t>
            </w:r>
            <m:oMath>
              <m:r>
                <w:rPr>
                  <w:rFonts w:ascii="Cambria Math" w:eastAsia="ＭＳ Ｐゴシック" w:hAnsi="Cambria Math" w:cs="Times New Roman"/>
                </w:rPr>
                <m:t>μ</m:t>
              </m:r>
            </m:oMath>
            <w:r w:rsidRPr="008E7B3A">
              <w:rPr>
                <w:rFonts w:ascii="Calibri" w:eastAsia="ＭＳ Ｐゴシック" w:hAnsi="Calibri" w:cs="Times New Roman"/>
              </w:rPr>
              <w:t>l</w:t>
            </w:r>
          </w:p>
        </w:tc>
      </w:tr>
      <w:tr w:rsidR="009931EF" w:rsidRPr="008E7B3A" w14:paraId="6C002E27" w14:textId="77777777" w:rsidTr="009931EF">
        <w:tc>
          <w:tcPr>
            <w:tcW w:w="4261" w:type="dxa"/>
            <w:shd w:val="clear" w:color="auto" w:fill="D9D9D9"/>
          </w:tcPr>
          <w:p w14:paraId="50E4419E" w14:textId="77777777" w:rsidR="009931EF" w:rsidRPr="008E7B3A" w:rsidRDefault="009931EF" w:rsidP="009931EF">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CuSO</w:t>
            </w:r>
            <w:r w:rsidRPr="008E7B3A">
              <w:rPr>
                <w:rFonts w:ascii="Calibri" w:eastAsia="ＭＳ Ｐゴシック" w:hAnsi="Calibri" w:cs="Times New Roman"/>
                <w:vertAlign w:val="subscript"/>
              </w:rPr>
              <w:t>4</w:t>
            </w:r>
          </w:p>
        </w:tc>
        <w:tc>
          <w:tcPr>
            <w:tcW w:w="4261" w:type="dxa"/>
          </w:tcPr>
          <w:p w14:paraId="5FB63445" w14:textId="77777777" w:rsidR="009931EF" w:rsidRPr="008E7B3A" w:rsidRDefault="009931EF" w:rsidP="009931EF">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20</w:t>
            </w:r>
            <m:oMath>
              <m:r>
                <w:rPr>
                  <w:rFonts w:ascii="Cambria Math" w:eastAsia="ＭＳ Ｐゴシック" w:hAnsi="Cambria Math" w:cs="Times New Roman"/>
                </w:rPr>
                <m:t>μ</m:t>
              </m:r>
            </m:oMath>
            <w:r w:rsidRPr="008E7B3A">
              <w:rPr>
                <w:rFonts w:ascii="Calibri" w:eastAsia="ＭＳ Ｐゴシック" w:hAnsi="Calibri" w:cs="Times New Roman"/>
              </w:rPr>
              <w:t>l</w:t>
            </w:r>
          </w:p>
        </w:tc>
      </w:tr>
      <w:tr w:rsidR="009931EF" w:rsidRPr="008E7B3A" w14:paraId="75335855" w14:textId="77777777" w:rsidTr="009931EF">
        <w:tc>
          <w:tcPr>
            <w:tcW w:w="4261" w:type="dxa"/>
            <w:shd w:val="clear" w:color="auto" w:fill="D9D9D9"/>
          </w:tcPr>
          <w:p w14:paraId="5DF78E5E" w14:textId="77777777" w:rsidR="009931EF" w:rsidRPr="008E7B3A" w:rsidRDefault="009931EF" w:rsidP="009931EF">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Alexa Fluor azide</w:t>
            </w:r>
          </w:p>
        </w:tc>
        <w:tc>
          <w:tcPr>
            <w:tcW w:w="4261" w:type="dxa"/>
          </w:tcPr>
          <w:p w14:paraId="7D1DA441" w14:textId="77777777" w:rsidR="009931EF" w:rsidRPr="008E7B3A" w:rsidRDefault="009931EF" w:rsidP="009931EF">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1.2</w:t>
            </w:r>
            <m:oMath>
              <m:r>
                <w:rPr>
                  <w:rFonts w:ascii="Cambria Math" w:eastAsia="ＭＳ Ｐゴシック" w:hAnsi="Cambria Math" w:cs="Times New Roman"/>
                </w:rPr>
                <m:t>μ</m:t>
              </m:r>
            </m:oMath>
            <w:r w:rsidRPr="008E7B3A">
              <w:rPr>
                <w:rFonts w:ascii="Calibri" w:eastAsia="ＭＳ Ｐゴシック" w:hAnsi="Calibri" w:cs="Times New Roman"/>
              </w:rPr>
              <w:t>l</w:t>
            </w:r>
          </w:p>
        </w:tc>
      </w:tr>
      <w:tr w:rsidR="009931EF" w:rsidRPr="008E7B3A" w14:paraId="6EDB11F9" w14:textId="77777777" w:rsidTr="009931EF">
        <w:tc>
          <w:tcPr>
            <w:tcW w:w="4261" w:type="dxa"/>
            <w:shd w:val="clear" w:color="auto" w:fill="D9D9D9"/>
          </w:tcPr>
          <w:p w14:paraId="4DD0A57F" w14:textId="77777777" w:rsidR="009931EF" w:rsidRPr="008E7B3A" w:rsidRDefault="009931EF" w:rsidP="009931EF">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Reaction buffer additive</w:t>
            </w:r>
          </w:p>
        </w:tc>
        <w:tc>
          <w:tcPr>
            <w:tcW w:w="4261" w:type="dxa"/>
          </w:tcPr>
          <w:p w14:paraId="5869D346" w14:textId="77777777" w:rsidR="009931EF" w:rsidRPr="008E7B3A" w:rsidRDefault="009931EF" w:rsidP="009931EF">
            <w:pPr>
              <w:tabs>
                <w:tab w:val="left" w:pos="5360"/>
              </w:tabs>
              <w:spacing w:line="276" w:lineRule="auto"/>
              <w:jc w:val="both"/>
              <w:rPr>
                <w:rFonts w:ascii="Calibri" w:eastAsia="ＭＳ Ｐゴシック" w:hAnsi="Calibri" w:cs="Times New Roman"/>
              </w:rPr>
            </w:pPr>
            <w:r w:rsidRPr="008E7B3A">
              <w:rPr>
                <w:rFonts w:ascii="Calibri" w:eastAsia="ＭＳ Ｐゴシック" w:hAnsi="Calibri" w:cs="Times New Roman"/>
              </w:rPr>
              <w:t>50</w:t>
            </w:r>
            <m:oMath>
              <m:r>
                <w:rPr>
                  <w:rFonts w:ascii="Cambria Math" w:eastAsia="ＭＳ Ｐゴシック" w:hAnsi="Cambria Math" w:cs="Times New Roman"/>
                </w:rPr>
                <m:t>μ</m:t>
              </m:r>
            </m:oMath>
            <w:r w:rsidRPr="008E7B3A">
              <w:rPr>
                <w:rFonts w:ascii="Calibri" w:eastAsia="ＭＳ Ｐゴシック" w:hAnsi="Calibri" w:cs="Times New Roman"/>
              </w:rPr>
              <w:t>l</w:t>
            </w:r>
          </w:p>
        </w:tc>
      </w:tr>
    </w:tbl>
    <w:p w14:paraId="736F8EA0" w14:textId="77777777" w:rsidR="00A373B1" w:rsidRDefault="00A373B1" w:rsidP="008E7B3A">
      <w:pPr>
        <w:rPr>
          <w:rFonts w:ascii="Calibri" w:eastAsia="ＭＳ Ｐゴシック" w:hAnsi="Calibri" w:cs="Times New Roman"/>
        </w:rPr>
      </w:pPr>
    </w:p>
    <w:p w14:paraId="2AEBF086" w14:textId="298C3D17" w:rsidR="00C1559D" w:rsidRDefault="00CF5335" w:rsidP="008E7B3A">
      <w:pPr>
        <w:rPr>
          <w:rFonts w:ascii="Calibri" w:eastAsia="ＭＳ Ｐゴシック" w:hAnsi="Calibri" w:cs="Times New Roman"/>
          <w:b/>
        </w:rPr>
      </w:pPr>
      <w:r>
        <w:rPr>
          <w:rFonts w:ascii="Calibri" w:eastAsia="ＭＳ Ｐゴシック" w:hAnsi="Calibri" w:cs="Times New Roman"/>
          <w:b/>
        </w:rPr>
        <w:t>Table 2.6</w:t>
      </w:r>
      <w:r w:rsidR="008E7B3A" w:rsidRPr="008E7B3A">
        <w:rPr>
          <w:rFonts w:ascii="Calibri" w:eastAsia="ＭＳ Ｐゴシック" w:hAnsi="Calibri" w:cs="Times New Roman"/>
          <w:b/>
        </w:rPr>
        <w:t xml:space="preserve"> Reagents used in the Click-</w:t>
      </w:r>
      <w:proofErr w:type="spellStart"/>
      <w:r w:rsidR="008E7B3A" w:rsidRPr="008E7B3A">
        <w:rPr>
          <w:rFonts w:ascii="Calibri" w:eastAsia="ＭＳ Ｐゴシック" w:hAnsi="Calibri" w:cs="Times New Roman"/>
          <w:b/>
        </w:rPr>
        <w:t>iT</w:t>
      </w:r>
      <w:proofErr w:type="spellEnd"/>
      <w:r w:rsidR="008E7B3A" w:rsidRPr="008E7B3A">
        <w:rPr>
          <w:rFonts w:ascii="Calibri" w:eastAsia="ＭＳ Ｐゴシック" w:hAnsi="Calibri" w:cs="Times New Roman"/>
          <w:b/>
        </w:rPr>
        <w:t xml:space="preserve"> cocktail, must be added in the order listed, kept in the dark and used within 15mins</w:t>
      </w:r>
    </w:p>
    <w:p w14:paraId="5A3C1152" w14:textId="77777777" w:rsidR="008D0EE6" w:rsidRDefault="008D0EE6" w:rsidP="00386E21">
      <w:pPr>
        <w:tabs>
          <w:tab w:val="left" w:pos="5360"/>
        </w:tabs>
        <w:spacing w:line="360" w:lineRule="auto"/>
        <w:contextualSpacing/>
        <w:jc w:val="both"/>
        <w:rPr>
          <w:rFonts w:ascii="Calibri" w:eastAsia="ＭＳ Ｐゴシック" w:hAnsi="Calibri" w:cs="Times New Roman"/>
          <w:b/>
          <w:i/>
        </w:rPr>
      </w:pPr>
    </w:p>
    <w:p w14:paraId="4BC2B33D" w14:textId="53DB034C"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 xml:space="preserve">MTT Cytotoxicity </w:t>
      </w:r>
      <w:r w:rsidR="00D82E70">
        <w:rPr>
          <w:rFonts w:ascii="Calibri" w:eastAsia="ＭＳ Ｐゴシック" w:hAnsi="Calibri" w:cs="Times New Roman"/>
          <w:b/>
          <w:i/>
        </w:rPr>
        <w:t>Assay</w:t>
      </w:r>
    </w:p>
    <w:p w14:paraId="076318B6" w14:textId="4E899AE9"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3-(4,5-dimethylthiazol-2-yl)-2,5-diphenyltetrazolium bromide (MTT) is reduced to purple formazan by </w:t>
      </w:r>
      <w:proofErr w:type="gramStart"/>
      <w:r w:rsidRPr="008E7B3A">
        <w:rPr>
          <w:rFonts w:ascii="Calibri" w:eastAsia="ＭＳ Ｐゴシック" w:hAnsi="Calibri" w:cs="Times New Roman"/>
          <w:lang w:val="en-US"/>
        </w:rPr>
        <w:t>NAD(</w:t>
      </w:r>
      <w:proofErr w:type="gramEnd"/>
      <w:r w:rsidRPr="008E7B3A">
        <w:rPr>
          <w:rFonts w:ascii="Calibri" w:eastAsia="ＭＳ Ｐゴシック" w:hAnsi="Calibri" w:cs="Times New Roman"/>
          <w:lang w:val="en-US"/>
        </w:rPr>
        <w:t>P)H-dependent cellular oxidoreductase enzymes in living cells.</w:t>
      </w:r>
      <w:r w:rsidRPr="008E7B3A">
        <w:rPr>
          <w:rFonts w:ascii="Calibri" w:eastAsia="ＭＳ Ｐゴシック" w:hAnsi="Calibri" w:cs="Times New Roman"/>
        </w:rPr>
        <w:t xml:space="preserve"> So </w:t>
      </w:r>
      <w:r w:rsidR="00D82E70">
        <w:rPr>
          <w:rFonts w:ascii="Calibri" w:eastAsia="ＭＳ Ｐゴシック" w:hAnsi="Calibri" w:cs="Times New Roman"/>
        </w:rPr>
        <w:t xml:space="preserve">this reaction </w:t>
      </w:r>
      <w:r w:rsidRPr="008E7B3A">
        <w:rPr>
          <w:rFonts w:ascii="Calibri" w:eastAsia="ＭＳ Ｐゴシック" w:hAnsi="Calibri" w:cs="Times New Roman"/>
        </w:rPr>
        <w:t>can be used to assess the fraction of viable cells within an assay. Cells were seeded in 96 well plates, left to adhere for 24hrs and siRNA or control ad</w:t>
      </w:r>
      <w:r w:rsidR="00D82E70">
        <w:rPr>
          <w:rFonts w:ascii="Calibri" w:eastAsia="ＭＳ Ｐゴシック" w:hAnsi="Calibri" w:cs="Times New Roman"/>
        </w:rPr>
        <w:t>ded as per previous protocol (see se</w:t>
      </w:r>
      <w:r w:rsidR="00CF0167">
        <w:rPr>
          <w:rFonts w:ascii="Calibri" w:eastAsia="ＭＳ Ｐゴシック" w:hAnsi="Calibri" w:cs="Times New Roman"/>
        </w:rPr>
        <w:t>ction 2.2.II.J). 48hrs</w:t>
      </w:r>
      <w:r w:rsidRPr="008E7B3A">
        <w:rPr>
          <w:rFonts w:ascii="Calibri" w:eastAsia="ＭＳ Ｐゴシック" w:hAnsi="Calibri" w:cs="Times New Roman"/>
        </w:rPr>
        <w:t xml:space="preserve"> after transfection</w:t>
      </w:r>
      <w:r w:rsidR="00D82E70">
        <w:rPr>
          <w:rFonts w:ascii="Calibri" w:eastAsia="ＭＳ Ｐゴシック" w:hAnsi="Calibri" w:cs="Times New Roman"/>
        </w:rPr>
        <w:t>, cytotoxic</w:t>
      </w:r>
      <w:r w:rsidRPr="008E7B3A">
        <w:rPr>
          <w:rFonts w:ascii="Calibri" w:eastAsia="ＭＳ Ｐゴシック" w:hAnsi="Calibri" w:cs="Times New Roman"/>
        </w:rPr>
        <w:t xml:space="preserve"> drugs (5-Fluorouracil, Camptothecin or Cisplatin) were added at concentrations stated with</w:t>
      </w:r>
      <w:r w:rsidR="00D82E70">
        <w:rPr>
          <w:rFonts w:ascii="Calibri" w:eastAsia="ＭＳ Ｐゴシック" w:hAnsi="Calibri" w:cs="Times New Roman"/>
        </w:rPr>
        <w:t>in appropriate figure legends. Four</w:t>
      </w:r>
      <w:r w:rsidRPr="008E7B3A">
        <w:rPr>
          <w:rFonts w:ascii="Calibri" w:eastAsia="ＭＳ Ｐゴシック" w:hAnsi="Calibri" w:cs="Times New Roman"/>
        </w:rPr>
        <w:t xml:space="preserve"> days later 50</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3mg/ml MTT solution </w:t>
      </w:r>
      <w:r w:rsidR="00D82E70">
        <w:rPr>
          <w:rFonts w:ascii="Calibri" w:eastAsia="ＭＳ Ｐゴシック" w:hAnsi="Calibri" w:cs="Times New Roman"/>
        </w:rPr>
        <w:t>dissolved</w:t>
      </w:r>
      <w:r w:rsidRPr="008E7B3A">
        <w:rPr>
          <w:rFonts w:ascii="Calibri" w:eastAsia="ＭＳ Ｐゴシック" w:hAnsi="Calibri" w:cs="Times New Roman"/>
        </w:rPr>
        <w:t xml:space="preserve"> in PBS </w:t>
      </w:r>
      <w:r w:rsidR="00CF0167">
        <w:rPr>
          <w:rFonts w:ascii="Calibri" w:eastAsia="ＭＳ Ｐゴシック" w:hAnsi="Calibri" w:cs="Times New Roman"/>
        </w:rPr>
        <w:t>was added to each well for 3h</w:t>
      </w:r>
      <w:r w:rsidRPr="008E7B3A">
        <w:rPr>
          <w:rFonts w:ascii="Calibri" w:eastAsia="ＭＳ Ｐゴシック" w:hAnsi="Calibri" w:cs="Times New Roman"/>
        </w:rPr>
        <w:t xml:space="preserve">rs.  Media and MTT solution was </w:t>
      </w:r>
      <w:r w:rsidR="00D82E70">
        <w:rPr>
          <w:rFonts w:ascii="Calibri" w:eastAsia="ＭＳ Ｐゴシック" w:hAnsi="Calibri" w:cs="Times New Roman"/>
        </w:rPr>
        <w:t>removed</w:t>
      </w:r>
      <w:r w:rsidRPr="008E7B3A">
        <w:rPr>
          <w:rFonts w:ascii="Calibri" w:eastAsia="ＭＳ Ｐゴシック" w:hAnsi="Calibri" w:cs="Times New Roman"/>
        </w:rPr>
        <w:t xml:space="preserve"> and 200</w:t>
      </w:r>
      <m:oMath>
        <m:r>
          <w:rPr>
            <w:rFonts w:ascii="Cambria Math" w:eastAsia="ＭＳ Ｐゴシック" w:hAnsi="Cambria Math" w:cs="Times New Roman"/>
          </w:rPr>
          <m:t>μ</m:t>
        </m:r>
      </m:oMath>
      <w:r w:rsidRPr="008E7B3A">
        <w:rPr>
          <w:rFonts w:ascii="Calibri" w:eastAsia="ＭＳ Ｐゴシック" w:hAnsi="Calibri" w:cs="Times New Roman"/>
        </w:rPr>
        <w:t xml:space="preserve">l of dimethyl sulfoxide (DMSO) added per well in order to dissolve the purple formazan produced. Each well’s optical density (OD) was </w:t>
      </w:r>
      <w:r w:rsidR="00D82E70">
        <w:rPr>
          <w:rFonts w:ascii="Calibri" w:eastAsia="ＭＳ Ｐゴシック" w:hAnsi="Calibri" w:cs="Times New Roman"/>
        </w:rPr>
        <w:t>determined</w:t>
      </w:r>
      <w:r w:rsidRPr="008E7B3A">
        <w:rPr>
          <w:rFonts w:ascii="Calibri" w:eastAsia="ＭＳ Ｐゴシック" w:hAnsi="Calibri" w:cs="Times New Roman"/>
        </w:rPr>
        <w:t xml:space="preserve"> at 540nm and from the OD readings surviving fraction was calculated by dividing the average OD for each concentration by the average OD for 0</w:t>
      </w:r>
      <m:oMath>
        <m:r>
          <w:rPr>
            <w:rFonts w:ascii="Cambria Math" w:eastAsia="ＭＳ Ｐゴシック" w:hAnsi="Cambria Math" w:cs="Times New Roman"/>
          </w:rPr>
          <m:t>μ</m:t>
        </m:r>
      </m:oMath>
      <w:r w:rsidRPr="008E7B3A">
        <w:rPr>
          <w:rFonts w:ascii="Calibri" w:eastAsia="ＭＳ Ｐゴシック" w:hAnsi="Calibri" w:cs="Times New Roman"/>
        </w:rPr>
        <w:t>M, then multiplying by 100.</w:t>
      </w:r>
    </w:p>
    <w:p w14:paraId="7FB7A0A8" w14:textId="77777777" w:rsidR="008E7B3A" w:rsidRPr="008E7B3A" w:rsidRDefault="008E7B3A" w:rsidP="008E7B3A">
      <w:pPr>
        <w:tabs>
          <w:tab w:val="left" w:pos="5360"/>
        </w:tabs>
        <w:spacing w:line="360" w:lineRule="auto"/>
        <w:jc w:val="both"/>
        <w:rPr>
          <w:rFonts w:ascii="Calibri" w:eastAsia="ＭＳ Ｐゴシック" w:hAnsi="Calibri" w:cs="Times New Roman"/>
        </w:rPr>
      </w:pPr>
    </w:p>
    <w:p w14:paraId="429B431E" w14:textId="77777777" w:rsidR="008E7B3A" w:rsidRPr="008E7B3A" w:rsidRDefault="008E7B3A" w:rsidP="002F41C6">
      <w:pPr>
        <w:numPr>
          <w:ilvl w:val="0"/>
          <w:numId w:val="24"/>
        </w:numPr>
        <w:tabs>
          <w:tab w:val="left" w:pos="5360"/>
        </w:tabs>
        <w:spacing w:line="360" w:lineRule="auto"/>
        <w:contextualSpacing/>
        <w:jc w:val="both"/>
        <w:rPr>
          <w:rFonts w:ascii="Calibri" w:eastAsia="ＭＳ Ｐゴシック" w:hAnsi="Calibri" w:cs="Times New Roman"/>
          <w:b/>
          <w:i/>
        </w:rPr>
      </w:pPr>
      <w:r w:rsidRPr="008E7B3A">
        <w:rPr>
          <w:rFonts w:ascii="Calibri" w:eastAsia="ＭＳ Ｐゴシック" w:hAnsi="Calibri" w:cs="Times New Roman"/>
          <w:b/>
          <w:i/>
        </w:rPr>
        <w:t>Clonogenic Survival</w:t>
      </w:r>
    </w:p>
    <w:p w14:paraId="596AB9ED" w14:textId="026C36E9" w:rsidR="008E7B3A" w:rsidRPr="008E7B3A" w:rsidRDefault="008E7B3A" w:rsidP="008E7B3A">
      <w:pPr>
        <w:tabs>
          <w:tab w:val="left" w:pos="5360"/>
        </w:tabs>
        <w:spacing w:line="360" w:lineRule="auto"/>
        <w:jc w:val="both"/>
        <w:rPr>
          <w:rFonts w:ascii="Calibri" w:eastAsia="ＭＳ Ｐゴシック" w:hAnsi="Calibri" w:cs="Times New Roman"/>
        </w:rPr>
      </w:pPr>
      <w:r w:rsidRPr="008E7B3A">
        <w:rPr>
          <w:rFonts w:ascii="Calibri" w:eastAsia="ＭＳ Ｐゴシック" w:hAnsi="Calibri" w:cs="Times New Roman"/>
        </w:rPr>
        <w:t xml:space="preserve">In order to </w:t>
      </w:r>
      <w:r w:rsidR="00D82E70">
        <w:rPr>
          <w:rFonts w:ascii="Calibri" w:eastAsia="ＭＳ Ｐゴシック" w:hAnsi="Calibri" w:cs="Times New Roman"/>
        </w:rPr>
        <w:t>examine</w:t>
      </w:r>
      <w:r w:rsidRPr="008E7B3A">
        <w:rPr>
          <w:rFonts w:ascii="Calibri" w:eastAsia="ＭＳ Ｐゴシック" w:hAnsi="Calibri" w:cs="Times New Roman"/>
        </w:rPr>
        <w:t xml:space="preserve"> how addition of </w:t>
      </w:r>
      <w:r w:rsidR="00D82E70">
        <w:rPr>
          <w:rFonts w:ascii="Calibri" w:eastAsia="ＭＳ Ｐゴシック" w:hAnsi="Calibri" w:cs="Times New Roman"/>
        </w:rPr>
        <w:t xml:space="preserve">cytotoxic </w:t>
      </w:r>
      <w:r w:rsidRPr="008E7B3A">
        <w:rPr>
          <w:rFonts w:ascii="Calibri" w:eastAsia="ＭＳ Ｐゴシック" w:hAnsi="Calibri" w:cs="Times New Roman"/>
        </w:rPr>
        <w:t>drug</w:t>
      </w:r>
      <w:r w:rsidR="00D82E70">
        <w:rPr>
          <w:rFonts w:ascii="Calibri" w:eastAsia="ＭＳ Ｐゴシック" w:hAnsi="Calibri" w:cs="Times New Roman"/>
        </w:rPr>
        <w:t>s</w:t>
      </w:r>
      <w:r w:rsidRPr="008E7B3A">
        <w:rPr>
          <w:rFonts w:ascii="Calibri" w:eastAsia="ＭＳ Ｐゴシック" w:hAnsi="Calibri" w:cs="Times New Roman"/>
        </w:rPr>
        <w:t xml:space="preserve"> to cells affects their ability to form colonies over time, cells were transfected for 48hrs with siRNA or control and then re-plated into 6 well plates at densities of 200 and 2000</w:t>
      </w:r>
      <w:r w:rsidR="00D82E70">
        <w:rPr>
          <w:rFonts w:ascii="Calibri" w:eastAsia="ＭＳ Ｐゴシック" w:hAnsi="Calibri" w:cs="Times New Roman"/>
        </w:rPr>
        <w:t xml:space="preserve"> cells per well</w:t>
      </w:r>
      <w:r w:rsidR="00CF0167">
        <w:rPr>
          <w:rFonts w:ascii="Calibri" w:eastAsia="ＭＳ Ｐゴシック" w:hAnsi="Calibri" w:cs="Times New Roman"/>
        </w:rPr>
        <w:t>. 4hrs</w:t>
      </w:r>
      <w:r w:rsidRPr="008E7B3A">
        <w:rPr>
          <w:rFonts w:ascii="Calibri" w:eastAsia="ＭＳ Ｐゴシック" w:hAnsi="Calibri" w:cs="Times New Roman"/>
        </w:rPr>
        <w:t xml:space="preserve"> later 5-FU or cisplatin at differing concentrations was added for 48hrs. After this time the media was changed to normal 10% FCS DMEM. The plates were then left for 7-10 days for the cells to form colonies. The media was removed from the plates and viable colonies in each well fixed and stained with methylene blue for </w:t>
      </w:r>
      <w:r w:rsidR="00CF0167">
        <w:rPr>
          <w:rFonts w:ascii="Calibri" w:eastAsia="ＭＳ Ｐゴシック" w:hAnsi="Calibri" w:cs="Times New Roman"/>
        </w:rPr>
        <w:t>30mins</w:t>
      </w:r>
      <w:r w:rsidRPr="008E7B3A">
        <w:rPr>
          <w:rFonts w:ascii="Calibri" w:eastAsia="ＭＳ Ｐゴシック" w:hAnsi="Calibri" w:cs="Times New Roman"/>
        </w:rPr>
        <w:t>, this was washed off with tap water and left to dry. Colonies were counted if they contained around 50 cells or more</w:t>
      </w:r>
      <w:r w:rsidR="00D82E70">
        <w:rPr>
          <w:rFonts w:ascii="Calibri" w:eastAsia="ＭＳ Ｐゴシック" w:hAnsi="Calibri" w:cs="Times New Roman"/>
        </w:rPr>
        <w:t>,</w:t>
      </w:r>
      <w:r w:rsidRPr="008E7B3A">
        <w:rPr>
          <w:rFonts w:ascii="Calibri" w:eastAsia="ＭＳ Ｐゴシック" w:hAnsi="Calibri" w:cs="Times New Roman"/>
        </w:rPr>
        <w:t xml:space="preserve"> and surviving fraction calculated depending on plating efficiency. </w:t>
      </w:r>
      <w:r w:rsidR="00D82E70">
        <w:rPr>
          <w:rFonts w:ascii="Calibri" w:eastAsia="ＭＳ Ｐゴシック" w:hAnsi="Calibri" w:cs="Times New Roman"/>
        </w:rPr>
        <w:t xml:space="preserve">The </w:t>
      </w:r>
      <w:r w:rsidRPr="008E7B3A">
        <w:rPr>
          <w:rFonts w:ascii="Calibri" w:eastAsia="ＭＳ Ｐゴシック" w:hAnsi="Calibri" w:cs="Times New Roman"/>
        </w:rPr>
        <w:t xml:space="preserve">average plating efficiency </w:t>
      </w:r>
      <w:r w:rsidR="00D82E70">
        <w:rPr>
          <w:rFonts w:ascii="Calibri" w:eastAsia="ＭＳ Ｐゴシック" w:hAnsi="Calibri" w:cs="Times New Roman"/>
        </w:rPr>
        <w:t xml:space="preserve">was determined </w:t>
      </w:r>
      <w:r w:rsidRPr="008E7B3A">
        <w:rPr>
          <w:rFonts w:ascii="Calibri" w:eastAsia="ＭＳ Ｐゴシック" w:hAnsi="Calibri" w:cs="Times New Roman"/>
        </w:rPr>
        <w:t>at the 0</w:t>
      </w:r>
      <m:oMath>
        <m:r>
          <w:rPr>
            <w:rFonts w:ascii="Cambria Math" w:eastAsia="ＭＳ Ｐゴシック" w:hAnsi="Cambria Math" w:cs="Times New Roman"/>
          </w:rPr>
          <m:t>μ</m:t>
        </m:r>
      </m:oMath>
      <w:r w:rsidRPr="008E7B3A">
        <w:rPr>
          <w:rFonts w:ascii="Calibri" w:eastAsia="ＭＳ Ｐゴシック" w:hAnsi="Calibri" w:cs="Times New Roman"/>
        </w:rPr>
        <w:t xml:space="preserve">M concentration for each condition by dividing the colony count by number of cells plated, then calculating the surviving fraction by </w:t>
      </w:r>
      <w:r w:rsidR="00D82E70">
        <w:rPr>
          <w:rFonts w:ascii="Calibri" w:eastAsia="ＭＳ Ｐゴシック" w:hAnsi="Calibri" w:cs="Times New Roman"/>
        </w:rPr>
        <w:t>calculating:</w:t>
      </w:r>
      <w:r w:rsidRPr="008E7B3A">
        <w:rPr>
          <w:rFonts w:ascii="Calibri" w:eastAsia="ＭＳ Ｐゴシック" w:hAnsi="Calibri" w:cs="Times New Roman"/>
        </w:rPr>
        <w:t xml:space="preserve"> colony count/(200*average plating efficiency).</w:t>
      </w:r>
    </w:p>
    <w:p w14:paraId="32C25266" w14:textId="0902D5F9" w:rsidR="008E7B3A" w:rsidRPr="00A845F0" w:rsidRDefault="008E7B3A" w:rsidP="002F41C6">
      <w:pPr>
        <w:keepNext/>
        <w:keepLines/>
        <w:numPr>
          <w:ilvl w:val="0"/>
          <w:numId w:val="19"/>
        </w:numPr>
        <w:spacing w:before="480" w:line="360" w:lineRule="auto"/>
        <w:outlineLvl w:val="0"/>
        <w:rPr>
          <w:rFonts w:ascii="Calibri" w:eastAsia="ＭＳ Ｐゴシック" w:hAnsi="Calibri" w:cs="Times New Roman"/>
          <w:bCs/>
          <w:color w:val="000000"/>
          <w:sz w:val="28"/>
          <w:szCs w:val="32"/>
        </w:rPr>
      </w:pPr>
      <w:r w:rsidRPr="008E7B3A">
        <w:rPr>
          <w:rFonts w:ascii="Calibri" w:eastAsia="ＭＳ Ｐゴシック" w:hAnsi="Calibri" w:cs="Times New Roman"/>
          <w:bCs/>
          <w:color w:val="000000"/>
          <w:sz w:val="28"/>
          <w:szCs w:val="32"/>
        </w:rPr>
        <w:t>Statistics</w:t>
      </w:r>
    </w:p>
    <w:p w14:paraId="6AF8B7EC" w14:textId="29E7C308" w:rsidR="00D360F5" w:rsidRPr="00B9377B" w:rsidRDefault="008E7B3A" w:rsidP="00A90A86">
      <w:pPr>
        <w:tabs>
          <w:tab w:val="left" w:pos="5360"/>
        </w:tabs>
        <w:spacing w:line="360" w:lineRule="auto"/>
        <w:jc w:val="both"/>
        <w:rPr>
          <w:rFonts w:ascii="Calibri" w:eastAsia="ＭＳ Ｐゴシック" w:hAnsi="Calibri" w:cs="Times New Roman"/>
        </w:rPr>
        <w:sectPr w:rsidR="00D360F5" w:rsidRPr="00B9377B" w:rsidSect="00091260">
          <w:headerReference w:type="default" r:id="rId27"/>
          <w:pgSz w:w="11900" w:h="16840"/>
          <w:pgMar w:top="1440" w:right="1134" w:bottom="1276" w:left="2268" w:header="709" w:footer="709" w:gutter="0"/>
          <w:cols w:space="708"/>
          <w:docGrid w:linePitch="360"/>
        </w:sectPr>
      </w:pPr>
      <w:r w:rsidRPr="00B9377B">
        <w:rPr>
          <w:rFonts w:ascii="Calibri" w:eastAsia="ＭＳ Ｐゴシック" w:hAnsi="Calibri" w:cs="Times New Roman"/>
        </w:rPr>
        <w:t xml:space="preserve">Graphs were generated using the Graphpad Prism 6 software or Microsoft Excel, </w:t>
      </w:r>
      <w:r w:rsidR="00D82E70" w:rsidRPr="00B9377B">
        <w:rPr>
          <w:rFonts w:ascii="Calibri" w:eastAsia="ＭＳ Ｐゴシック" w:hAnsi="Calibri" w:cs="Times New Roman"/>
        </w:rPr>
        <w:t xml:space="preserve">and the </w:t>
      </w:r>
      <w:r w:rsidRPr="00B9377B">
        <w:rPr>
          <w:rFonts w:ascii="Calibri" w:eastAsia="ＭＳ Ｐゴシック" w:hAnsi="Calibri" w:cs="Times New Roman"/>
        </w:rPr>
        <w:t>appropriate statistical tests and graphical representation</w:t>
      </w:r>
      <w:r w:rsidR="00D82E70" w:rsidRPr="00B9377B">
        <w:rPr>
          <w:rFonts w:ascii="Calibri" w:eastAsia="ＭＳ Ｐゴシック" w:hAnsi="Calibri" w:cs="Times New Roman"/>
        </w:rPr>
        <w:t xml:space="preserve"> are</w:t>
      </w:r>
      <w:r w:rsidRPr="00B9377B">
        <w:rPr>
          <w:rFonts w:ascii="Calibri" w:eastAsia="ＭＳ Ｐゴシック" w:hAnsi="Calibri" w:cs="Times New Roman"/>
        </w:rPr>
        <w:t xml:space="preserve"> stated in each figure legend.</w:t>
      </w:r>
      <w:r w:rsidR="00A90A86" w:rsidRPr="00B9377B">
        <w:rPr>
          <w:rFonts w:ascii="Calibri" w:eastAsia="ＭＳ Ｐゴシック" w:hAnsi="Calibri" w:cs="Times New Roman"/>
        </w:rPr>
        <w:t xml:space="preserve"> </w:t>
      </w:r>
      <w:r w:rsidR="008D0881" w:rsidRPr="00B9377B">
        <w:rPr>
          <w:rFonts w:ascii="Calibri" w:eastAsia="ＭＳ Ｐゴシック" w:hAnsi="Calibri" w:cs="Times New Roman"/>
        </w:rPr>
        <w:t>Mann Whitney non-parametric tests were used when two variables needed to be compared for significant differences. Kruskal-Wallis non-parametric tests were used when the experiment had three or more</w:t>
      </w:r>
      <w:r w:rsidR="00B9377B" w:rsidRPr="00B9377B">
        <w:rPr>
          <w:rFonts w:ascii="Calibri" w:eastAsia="ＭＳ Ｐゴシック" w:hAnsi="Calibri" w:cs="Times New Roman"/>
        </w:rPr>
        <w:t xml:space="preserve"> groups; this gave an overall p </w:t>
      </w:r>
      <w:r w:rsidR="008D0881" w:rsidRPr="00B9377B">
        <w:rPr>
          <w:rFonts w:ascii="Calibri" w:eastAsia="ＭＳ Ｐゴシック" w:hAnsi="Calibri" w:cs="Times New Roman"/>
        </w:rPr>
        <w:t>value as to whether any of the data sets varied</w:t>
      </w:r>
      <w:r w:rsidR="00B9377B" w:rsidRPr="00B9377B">
        <w:rPr>
          <w:rFonts w:ascii="Calibri" w:eastAsia="ＭＳ Ｐゴシック" w:hAnsi="Calibri" w:cs="Times New Roman"/>
        </w:rPr>
        <w:t xml:space="preserve"> from each other. Individual multiple comparisons were then assessed using the Kruskal-Wallis test between the </w:t>
      </w:r>
      <w:r w:rsidR="003E1683">
        <w:rPr>
          <w:rFonts w:ascii="Calibri" w:eastAsia="ＭＳ Ｐゴシック" w:hAnsi="Calibri" w:cs="Times New Roman"/>
        </w:rPr>
        <w:t>data sets</w:t>
      </w:r>
      <w:r w:rsidR="00B9377B" w:rsidRPr="00B9377B">
        <w:rPr>
          <w:rFonts w:ascii="Calibri" w:eastAsia="ＭＳ Ｐゴシック" w:hAnsi="Calibri" w:cs="Times New Roman"/>
        </w:rPr>
        <w:t xml:space="preserve"> using an uncorrected Dunn’s correction. This gives an individual exact p value between each pair that was compared for example control vs si6. A significant p value was classified as p</w:t>
      </w:r>
      <w:r w:rsidR="00B9377B" w:rsidRPr="00B9377B">
        <w:rPr>
          <w:rFonts w:ascii="Calibri" w:eastAsia="ＭＳ Ｐゴシック" w:hAnsi="Calibri" w:cs="Times New Roman"/>
          <w:iCs/>
        </w:rPr>
        <w:t>≤0.05</w:t>
      </w:r>
      <w:r w:rsidR="00B9377B">
        <w:rPr>
          <w:rFonts w:ascii="Calibri" w:eastAsia="ＭＳ Ｐゴシック" w:hAnsi="Calibri" w:cs="Times New Roman"/>
          <w:iCs/>
        </w:rPr>
        <w:t>.</w:t>
      </w:r>
      <w:r w:rsidR="00B9377B" w:rsidRPr="00B9377B">
        <w:rPr>
          <w:rFonts w:ascii="Calibri" w:eastAsia="ＭＳ Ｐゴシック" w:hAnsi="Calibri" w:cs="Times New Roman"/>
          <w:iCs/>
        </w:rPr>
        <w:t xml:space="preserve"> </w:t>
      </w:r>
      <w:r w:rsidR="00B9377B" w:rsidRPr="00B9377B">
        <w:rPr>
          <w:rFonts w:ascii="Calibri" w:eastAsia="ＭＳ Ｐゴシック" w:hAnsi="Calibri" w:cs="Times New Roman"/>
        </w:rPr>
        <w:t xml:space="preserve">Linear regression analysis was conducted on cell proliferation data </w:t>
      </w:r>
      <w:r w:rsidR="00B9377B">
        <w:rPr>
          <w:rFonts w:ascii="Calibri" w:eastAsia="ＭＳ Ｐゴシック" w:hAnsi="Calibri" w:cs="Times New Roman"/>
        </w:rPr>
        <w:t xml:space="preserve">in order to compare the slopes of the proliferation graphs. And finally Spearman nonparametric test was used to measure the correlation and direct association between two ranked variables. </w:t>
      </w:r>
    </w:p>
    <w:p w14:paraId="6650EB5E" w14:textId="77777777" w:rsidR="009931EF" w:rsidRDefault="009931EF">
      <w:pPr>
        <w:rPr>
          <w:rFonts w:asciiTheme="majorHAnsi" w:eastAsiaTheme="majorEastAsia" w:hAnsiTheme="majorHAnsi" w:cstheme="majorBidi"/>
          <w:spacing w:val="5"/>
          <w:kern w:val="28"/>
          <w:sz w:val="52"/>
          <w:szCs w:val="52"/>
        </w:rPr>
      </w:pPr>
      <w:r>
        <w:br w:type="page"/>
      </w:r>
    </w:p>
    <w:p w14:paraId="23589B09" w14:textId="654D6CB9" w:rsidR="00091260" w:rsidRPr="00E62282" w:rsidRDefault="00091260" w:rsidP="00091260">
      <w:pPr>
        <w:pStyle w:val="Title"/>
        <w:rPr>
          <w:color w:val="auto"/>
        </w:rPr>
      </w:pPr>
      <w:r>
        <w:rPr>
          <w:color w:val="auto"/>
        </w:rPr>
        <w:t>Chapter 3:</w:t>
      </w:r>
      <w:r w:rsidRPr="00E62282">
        <w:rPr>
          <w:color w:val="auto"/>
        </w:rPr>
        <w:t xml:space="preserve"> </w:t>
      </w:r>
      <w:r w:rsidR="006E0476">
        <w:rPr>
          <w:color w:val="auto"/>
        </w:rPr>
        <w:t>Studying the e</w:t>
      </w:r>
      <w:r>
        <w:rPr>
          <w:color w:val="auto"/>
        </w:rPr>
        <w:t xml:space="preserve">ffects of </w:t>
      </w:r>
      <w:r w:rsidR="006E0476">
        <w:rPr>
          <w:color w:val="auto"/>
        </w:rPr>
        <w:t>SRCAP o</w:t>
      </w:r>
      <w:r w:rsidRPr="00E62282">
        <w:rPr>
          <w:color w:val="auto"/>
        </w:rPr>
        <w:t>ver</w:t>
      </w:r>
      <w:r w:rsidR="00327AA2">
        <w:rPr>
          <w:color w:val="auto"/>
        </w:rPr>
        <w:t>-</w:t>
      </w:r>
      <w:r w:rsidR="006E0476">
        <w:rPr>
          <w:color w:val="auto"/>
        </w:rPr>
        <w:t>e</w:t>
      </w:r>
      <w:r w:rsidRPr="00E62282">
        <w:rPr>
          <w:color w:val="auto"/>
        </w:rPr>
        <w:t xml:space="preserve">xpression </w:t>
      </w:r>
    </w:p>
    <w:p w14:paraId="194064D0" w14:textId="77777777" w:rsidR="00091260" w:rsidRPr="00AA2033" w:rsidRDefault="00091260" w:rsidP="007053FB">
      <w:pPr>
        <w:jc w:val="both"/>
        <w:rPr>
          <w:b/>
          <w:sz w:val="22"/>
          <w:u w:val="single"/>
        </w:rPr>
      </w:pPr>
    </w:p>
    <w:p w14:paraId="56685069" w14:textId="77777777" w:rsidR="00091260" w:rsidRPr="00AA2033" w:rsidRDefault="00091260" w:rsidP="007053FB">
      <w:pPr>
        <w:pStyle w:val="ListParagraph"/>
        <w:numPr>
          <w:ilvl w:val="1"/>
          <w:numId w:val="7"/>
        </w:numPr>
        <w:jc w:val="both"/>
        <w:rPr>
          <w:rFonts w:asciiTheme="majorHAnsi" w:hAnsiTheme="majorHAnsi"/>
        </w:rPr>
      </w:pPr>
      <w:r w:rsidRPr="00AA2033">
        <w:rPr>
          <w:rFonts w:asciiTheme="majorHAnsi" w:hAnsiTheme="majorHAnsi"/>
        </w:rPr>
        <w:t xml:space="preserve"> Introduction</w:t>
      </w:r>
    </w:p>
    <w:p w14:paraId="7AE1A59B" w14:textId="3F299ACA" w:rsidR="00091260" w:rsidRPr="00AA2033" w:rsidRDefault="00091260" w:rsidP="007053FB">
      <w:pPr>
        <w:pStyle w:val="ListParagraph"/>
        <w:numPr>
          <w:ilvl w:val="1"/>
          <w:numId w:val="7"/>
        </w:numPr>
        <w:jc w:val="both"/>
        <w:rPr>
          <w:rFonts w:asciiTheme="majorHAnsi" w:hAnsiTheme="majorHAnsi"/>
        </w:rPr>
      </w:pPr>
      <w:r w:rsidRPr="00AA2033">
        <w:rPr>
          <w:rFonts w:asciiTheme="majorHAnsi" w:hAnsiTheme="majorHAnsi"/>
        </w:rPr>
        <w:t xml:space="preserve"> Transient transfection of </w:t>
      </w:r>
      <w:r w:rsidRPr="00AA2033">
        <w:rPr>
          <w:rFonts w:asciiTheme="majorHAnsi" w:hAnsiTheme="majorHAnsi"/>
          <w:i/>
        </w:rPr>
        <w:t>SRCAP</w:t>
      </w:r>
      <w:r w:rsidR="00327AA2">
        <w:rPr>
          <w:rFonts w:asciiTheme="majorHAnsi" w:hAnsiTheme="majorHAnsi"/>
        </w:rPr>
        <w:t xml:space="preserve"> cDNA shows no over-</w:t>
      </w:r>
      <w:r w:rsidRPr="00AA2033">
        <w:rPr>
          <w:rFonts w:asciiTheme="majorHAnsi" w:hAnsiTheme="majorHAnsi"/>
        </w:rPr>
        <w:t>expression</w:t>
      </w:r>
    </w:p>
    <w:p w14:paraId="3D9B26DE" w14:textId="77777777" w:rsidR="00091260" w:rsidRPr="00AA2033" w:rsidRDefault="00091260" w:rsidP="007053FB">
      <w:pPr>
        <w:pStyle w:val="ListParagraph"/>
        <w:numPr>
          <w:ilvl w:val="1"/>
          <w:numId w:val="7"/>
        </w:numPr>
        <w:jc w:val="both"/>
        <w:rPr>
          <w:rFonts w:asciiTheme="majorHAnsi" w:hAnsiTheme="majorHAnsi"/>
          <w:i/>
        </w:rPr>
      </w:pPr>
      <w:r w:rsidRPr="00AA2033">
        <w:rPr>
          <w:rFonts w:asciiTheme="majorHAnsi" w:hAnsiTheme="majorHAnsi"/>
        </w:rPr>
        <w:t xml:space="preserve"> Mutation of the consensus Kozak sequence results in correct localisation of </w:t>
      </w:r>
      <w:r w:rsidRPr="00AA2033">
        <w:rPr>
          <w:rFonts w:asciiTheme="majorHAnsi" w:hAnsiTheme="majorHAnsi"/>
          <w:i/>
        </w:rPr>
        <w:t>YFP SRCAP</w:t>
      </w:r>
    </w:p>
    <w:p w14:paraId="042EDA5C" w14:textId="1467ECE0" w:rsidR="00091260" w:rsidRPr="00AA2033" w:rsidRDefault="00091260" w:rsidP="007053FB">
      <w:pPr>
        <w:pStyle w:val="ListParagraph"/>
        <w:numPr>
          <w:ilvl w:val="1"/>
          <w:numId w:val="7"/>
        </w:numPr>
        <w:jc w:val="both"/>
        <w:rPr>
          <w:rFonts w:asciiTheme="majorHAnsi" w:hAnsiTheme="majorHAnsi"/>
        </w:rPr>
      </w:pPr>
      <w:r w:rsidRPr="00AA2033">
        <w:rPr>
          <w:rFonts w:asciiTheme="majorHAnsi" w:hAnsiTheme="majorHAnsi"/>
        </w:rPr>
        <w:t xml:space="preserve"> XL10 competent cell </w:t>
      </w:r>
      <w:r w:rsidR="00327AA2">
        <w:rPr>
          <w:rFonts w:asciiTheme="majorHAnsi" w:hAnsiTheme="majorHAnsi"/>
        </w:rPr>
        <w:t>propagation leads to SRCAP over-</w:t>
      </w:r>
      <w:r w:rsidRPr="00AA2033">
        <w:rPr>
          <w:rFonts w:asciiTheme="majorHAnsi" w:hAnsiTheme="majorHAnsi"/>
        </w:rPr>
        <w:t>expression</w:t>
      </w:r>
    </w:p>
    <w:p w14:paraId="147BA862" w14:textId="71F6FC94" w:rsidR="00091260" w:rsidRPr="00AA2033" w:rsidRDefault="00B41C0C" w:rsidP="007053FB">
      <w:pPr>
        <w:pStyle w:val="ListParagraph"/>
        <w:numPr>
          <w:ilvl w:val="1"/>
          <w:numId w:val="7"/>
        </w:numPr>
        <w:jc w:val="both"/>
        <w:rPr>
          <w:rFonts w:asciiTheme="majorHAnsi" w:hAnsiTheme="majorHAnsi"/>
        </w:rPr>
      </w:pPr>
      <w:r>
        <w:rPr>
          <w:rFonts w:asciiTheme="majorHAnsi" w:hAnsiTheme="majorHAnsi"/>
        </w:rPr>
        <w:t xml:space="preserve"> Tetracycline induced Flp-In</w:t>
      </w:r>
      <w:r w:rsidR="00091260" w:rsidRPr="00AA2033">
        <w:rPr>
          <w:rFonts w:asciiTheme="majorHAnsi" w:hAnsiTheme="majorHAnsi"/>
        </w:rPr>
        <w:t xml:space="preserve"> </w:t>
      </w:r>
      <w:r>
        <w:rPr>
          <w:rFonts w:asciiTheme="majorHAnsi" w:hAnsiTheme="majorHAnsi"/>
        </w:rPr>
        <w:t xml:space="preserve">expression </w:t>
      </w:r>
      <w:r w:rsidR="00091260" w:rsidRPr="00AA2033">
        <w:rPr>
          <w:rFonts w:asciiTheme="majorHAnsi" w:hAnsiTheme="majorHAnsi"/>
        </w:rPr>
        <w:t>system shows a small increase in over</w:t>
      </w:r>
      <w:r w:rsidR="00327AA2">
        <w:rPr>
          <w:rFonts w:asciiTheme="majorHAnsi" w:hAnsiTheme="majorHAnsi"/>
        </w:rPr>
        <w:t>-</w:t>
      </w:r>
      <w:r w:rsidR="00091260" w:rsidRPr="00AA2033">
        <w:rPr>
          <w:rFonts w:asciiTheme="majorHAnsi" w:hAnsiTheme="majorHAnsi"/>
        </w:rPr>
        <w:t>expression of SRCAP</w:t>
      </w:r>
    </w:p>
    <w:p w14:paraId="66F76A7A" w14:textId="035D9659" w:rsidR="00091260" w:rsidRPr="00AA2033" w:rsidRDefault="00091260" w:rsidP="007053FB">
      <w:pPr>
        <w:pStyle w:val="ListParagraph"/>
        <w:numPr>
          <w:ilvl w:val="1"/>
          <w:numId w:val="7"/>
        </w:numPr>
        <w:jc w:val="both"/>
        <w:rPr>
          <w:rFonts w:asciiTheme="majorHAnsi" w:hAnsiTheme="majorHAnsi"/>
        </w:rPr>
      </w:pPr>
      <w:r w:rsidRPr="00AA2033">
        <w:rPr>
          <w:rFonts w:asciiTheme="majorHAnsi" w:hAnsiTheme="majorHAnsi"/>
        </w:rPr>
        <w:t xml:space="preserve"> Transient transfection of deactivated CRIPSR/Cas9 as an alternative </w:t>
      </w:r>
      <w:r w:rsidR="00B41C0C">
        <w:rPr>
          <w:rFonts w:asciiTheme="majorHAnsi" w:hAnsiTheme="majorHAnsi"/>
        </w:rPr>
        <w:t>approach</w:t>
      </w:r>
      <w:r w:rsidRPr="00AA2033">
        <w:rPr>
          <w:rFonts w:asciiTheme="majorHAnsi" w:hAnsiTheme="majorHAnsi"/>
        </w:rPr>
        <w:t xml:space="preserve"> to generate </w:t>
      </w:r>
      <w:r w:rsidRPr="00AA2033">
        <w:rPr>
          <w:rFonts w:asciiTheme="majorHAnsi" w:hAnsiTheme="majorHAnsi"/>
          <w:i/>
        </w:rPr>
        <w:t>SRCAP</w:t>
      </w:r>
      <w:r w:rsidR="00327AA2">
        <w:rPr>
          <w:rFonts w:asciiTheme="majorHAnsi" w:hAnsiTheme="majorHAnsi"/>
        </w:rPr>
        <w:t xml:space="preserve"> over-</w:t>
      </w:r>
      <w:r w:rsidRPr="00AA2033">
        <w:rPr>
          <w:rFonts w:asciiTheme="majorHAnsi" w:hAnsiTheme="majorHAnsi"/>
        </w:rPr>
        <w:t>expressing cells</w:t>
      </w:r>
    </w:p>
    <w:p w14:paraId="3CBCB0F9" w14:textId="790A2C87" w:rsidR="00091260" w:rsidRPr="00AA2033" w:rsidRDefault="00091260" w:rsidP="007053FB">
      <w:pPr>
        <w:pStyle w:val="ListParagraph"/>
        <w:numPr>
          <w:ilvl w:val="1"/>
          <w:numId w:val="7"/>
        </w:numPr>
        <w:jc w:val="both"/>
        <w:rPr>
          <w:rFonts w:asciiTheme="majorHAnsi" w:hAnsiTheme="majorHAnsi"/>
        </w:rPr>
      </w:pPr>
      <w:r w:rsidRPr="00AA2033">
        <w:rPr>
          <w:rFonts w:asciiTheme="majorHAnsi" w:hAnsiTheme="majorHAnsi"/>
        </w:rPr>
        <w:t xml:space="preserve">Lentiviral CRISPR/dCas9 utilisation creates viable </w:t>
      </w:r>
      <w:r w:rsidRPr="00AA2033">
        <w:rPr>
          <w:rFonts w:asciiTheme="majorHAnsi" w:hAnsiTheme="majorHAnsi"/>
          <w:i/>
        </w:rPr>
        <w:t>SRCAP</w:t>
      </w:r>
      <w:r w:rsidR="00327AA2">
        <w:rPr>
          <w:rFonts w:asciiTheme="majorHAnsi" w:hAnsiTheme="majorHAnsi"/>
        </w:rPr>
        <w:t xml:space="preserve"> over-</w:t>
      </w:r>
      <w:r w:rsidRPr="00AA2033">
        <w:rPr>
          <w:rFonts w:asciiTheme="majorHAnsi" w:hAnsiTheme="majorHAnsi"/>
        </w:rPr>
        <w:t>expressing clones</w:t>
      </w:r>
    </w:p>
    <w:p w14:paraId="2DDE1474" w14:textId="45E74C40" w:rsidR="00091260" w:rsidRPr="00AA2033" w:rsidRDefault="00091260" w:rsidP="007053FB">
      <w:pPr>
        <w:pStyle w:val="ListParagraph"/>
        <w:numPr>
          <w:ilvl w:val="1"/>
          <w:numId w:val="7"/>
        </w:numPr>
        <w:jc w:val="both"/>
        <w:rPr>
          <w:rFonts w:asciiTheme="majorHAnsi" w:hAnsiTheme="majorHAnsi"/>
        </w:rPr>
      </w:pPr>
      <w:r w:rsidRPr="00AA2033">
        <w:rPr>
          <w:rFonts w:asciiTheme="majorHAnsi" w:hAnsiTheme="majorHAnsi"/>
        </w:rPr>
        <w:t xml:space="preserve">Lentiviral CRISPR/dCas9 </w:t>
      </w:r>
      <w:r w:rsidRPr="00AA2033">
        <w:rPr>
          <w:rFonts w:asciiTheme="majorHAnsi" w:hAnsiTheme="majorHAnsi"/>
          <w:i/>
        </w:rPr>
        <w:t>SRCAP</w:t>
      </w:r>
      <w:r w:rsidR="00327AA2">
        <w:rPr>
          <w:rFonts w:asciiTheme="majorHAnsi" w:hAnsiTheme="majorHAnsi"/>
        </w:rPr>
        <w:t xml:space="preserve"> over-</w:t>
      </w:r>
      <w:r w:rsidRPr="00AA2033">
        <w:rPr>
          <w:rFonts w:asciiTheme="majorHAnsi" w:hAnsiTheme="majorHAnsi"/>
        </w:rPr>
        <w:t>expression alters cellular phenotypes</w:t>
      </w:r>
    </w:p>
    <w:p w14:paraId="3BC3715F" w14:textId="77777777" w:rsidR="00091260" w:rsidRPr="00AA2033" w:rsidRDefault="00091260" w:rsidP="006462F4">
      <w:pPr>
        <w:pStyle w:val="ListParagraph"/>
        <w:numPr>
          <w:ilvl w:val="1"/>
          <w:numId w:val="7"/>
        </w:numPr>
        <w:tabs>
          <w:tab w:val="left" w:pos="426"/>
        </w:tabs>
        <w:ind w:left="284" w:hanging="284"/>
        <w:jc w:val="both"/>
        <w:rPr>
          <w:rFonts w:asciiTheme="majorHAnsi" w:hAnsiTheme="majorHAnsi"/>
        </w:rPr>
      </w:pPr>
      <w:r w:rsidRPr="00AA2033">
        <w:rPr>
          <w:rFonts w:asciiTheme="majorHAnsi" w:hAnsiTheme="majorHAnsi"/>
        </w:rPr>
        <w:t>Lentiviral CRISPR/dCas9 does not show stable expression</w:t>
      </w:r>
    </w:p>
    <w:p w14:paraId="53E10B13" w14:textId="77777777" w:rsidR="00091260" w:rsidRPr="00AA2033" w:rsidRDefault="00091260" w:rsidP="006462F4">
      <w:pPr>
        <w:pStyle w:val="ListParagraph"/>
        <w:numPr>
          <w:ilvl w:val="1"/>
          <w:numId w:val="7"/>
        </w:numPr>
        <w:tabs>
          <w:tab w:val="left" w:pos="567"/>
        </w:tabs>
        <w:jc w:val="both"/>
        <w:rPr>
          <w:rFonts w:asciiTheme="majorHAnsi" w:hAnsiTheme="majorHAnsi"/>
        </w:rPr>
      </w:pPr>
      <w:r w:rsidRPr="00AA2033">
        <w:rPr>
          <w:rFonts w:asciiTheme="majorHAnsi" w:hAnsiTheme="majorHAnsi"/>
        </w:rPr>
        <w:t>Discussion</w:t>
      </w:r>
    </w:p>
    <w:p w14:paraId="7B72AF44" w14:textId="77777777" w:rsidR="00091260" w:rsidRPr="00AA2033" w:rsidRDefault="00091260" w:rsidP="007053FB">
      <w:pPr>
        <w:pStyle w:val="ListParagraph"/>
        <w:numPr>
          <w:ilvl w:val="0"/>
          <w:numId w:val="9"/>
        </w:numPr>
        <w:jc w:val="both"/>
        <w:rPr>
          <w:rFonts w:asciiTheme="majorHAnsi" w:hAnsiTheme="majorHAnsi"/>
          <w:sz w:val="28"/>
          <w:szCs w:val="28"/>
        </w:rPr>
      </w:pPr>
      <w:r w:rsidRPr="00AA2033">
        <w:rPr>
          <w:rFonts w:asciiTheme="majorHAnsi" w:hAnsiTheme="majorHAnsi"/>
        </w:rPr>
        <w:t>Transfection efficiencies and antibodies hindered expression analysis</w:t>
      </w:r>
    </w:p>
    <w:p w14:paraId="79BABBF6" w14:textId="77777777" w:rsidR="00091260" w:rsidRPr="00AA2033" w:rsidRDefault="00091260" w:rsidP="007053FB">
      <w:pPr>
        <w:pStyle w:val="ListParagraph"/>
        <w:numPr>
          <w:ilvl w:val="0"/>
          <w:numId w:val="9"/>
        </w:numPr>
        <w:jc w:val="both"/>
        <w:rPr>
          <w:rFonts w:asciiTheme="majorHAnsi" w:hAnsiTheme="majorHAnsi"/>
          <w:sz w:val="28"/>
          <w:szCs w:val="28"/>
        </w:rPr>
      </w:pPr>
      <w:r w:rsidRPr="003762A9">
        <w:rPr>
          <w:rFonts w:asciiTheme="majorHAnsi" w:hAnsiTheme="majorHAnsi"/>
          <w:i/>
        </w:rPr>
        <w:t>SRCAP</w:t>
      </w:r>
      <w:r>
        <w:rPr>
          <w:rFonts w:asciiTheme="majorHAnsi" w:hAnsiTheme="majorHAnsi"/>
        </w:rPr>
        <w:t xml:space="preserve"> constructs already published</w:t>
      </w:r>
    </w:p>
    <w:p w14:paraId="0BC9BABD" w14:textId="1FD6A6FD" w:rsidR="00091260" w:rsidRDefault="00327AA2" w:rsidP="007053FB">
      <w:pPr>
        <w:pStyle w:val="ListParagraph"/>
        <w:numPr>
          <w:ilvl w:val="0"/>
          <w:numId w:val="9"/>
        </w:numPr>
        <w:jc w:val="both"/>
        <w:rPr>
          <w:rFonts w:asciiTheme="majorHAnsi" w:hAnsiTheme="majorHAnsi"/>
        </w:rPr>
      </w:pPr>
      <w:r>
        <w:rPr>
          <w:rFonts w:asciiTheme="majorHAnsi" w:hAnsiTheme="majorHAnsi"/>
        </w:rPr>
        <w:t>Endogenous over-</w:t>
      </w:r>
      <w:r w:rsidR="00091260" w:rsidRPr="003762A9">
        <w:rPr>
          <w:rFonts w:asciiTheme="majorHAnsi" w:hAnsiTheme="majorHAnsi"/>
        </w:rPr>
        <w:t>expression as an alternative approach</w:t>
      </w:r>
    </w:p>
    <w:p w14:paraId="550DAD90" w14:textId="77777777" w:rsidR="00091260" w:rsidRDefault="00091260" w:rsidP="007053FB">
      <w:pPr>
        <w:pStyle w:val="ListParagraph"/>
        <w:numPr>
          <w:ilvl w:val="0"/>
          <w:numId w:val="9"/>
        </w:numPr>
        <w:jc w:val="both"/>
        <w:rPr>
          <w:rFonts w:asciiTheme="majorHAnsi" w:hAnsiTheme="majorHAnsi"/>
        </w:rPr>
      </w:pPr>
      <w:r>
        <w:rPr>
          <w:rFonts w:asciiTheme="majorHAnsi" w:hAnsiTheme="majorHAnsi"/>
        </w:rPr>
        <w:t>CRISPR/Cas9 Limitations</w:t>
      </w:r>
    </w:p>
    <w:p w14:paraId="08C86367" w14:textId="77777777" w:rsidR="00091260" w:rsidRPr="003762A9" w:rsidRDefault="00091260" w:rsidP="007053FB">
      <w:pPr>
        <w:pStyle w:val="ListParagraph"/>
        <w:numPr>
          <w:ilvl w:val="0"/>
          <w:numId w:val="9"/>
        </w:numPr>
        <w:jc w:val="both"/>
        <w:rPr>
          <w:rFonts w:asciiTheme="majorHAnsi" w:hAnsiTheme="majorHAnsi"/>
        </w:rPr>
      </w:pPr>
      <w:r>
        <w:rPr>
          <w:rFonts w:asciiTheme="majorHAnsi" w:hAnsiTheme="majorHAnsi"/>
        </w:rPr>
        <w:t>Experimental Limitations</w:t>
      </w:r>
    </w:p>
    <w:p w14:paraId="0A9A2416" w14:textId="77777777" w:rsidR="00091260" w:rsidRDefault="00091260" w:rsidP="00E6223C">
      <w:pPr>
        <w:jc w:val="both"/>
        <w:rPr>
          <w:rFonts w:asciiTheme="majorHAnsi" w:hAnsiTheme="majorHAnsi"/>
          <w:sz w:val="28"/>
          <w:szCs w:val="28"/>
          <w:u w:val="single"/>
        </w:rPr>
      </w:pPr>
    </w:p>
    <w:p w14:paraId="56672646" w14:textId="77777777" w:rsidR="00091260" w:rsidRDefault="00091260" w:rsidP="00E6223C">
      <w:pPr>
        <w:jc w:val="both"/>
        <w:rPr>
          <w:rFonts w:asciiTheme="majorHAnsi" w:hAnsiTheme="majorHAnsi"/>
          <w:sz w:val="28"/>
          <w:szCs w:val="28"/>
          <w:u w:val="single"/>
        </w:rPr>
      </w:pPr>
    </w:p>
    <w:p w14:paraId="4E3433CE" w14:textId="77777777" w:rsidR="00091260" w:rsidRDefault="00091260" w:rsidP="00882D7A">
      <w:pPr>
        <w:spacing w:line="360" w:lineRule="auto"/>
        <w:jc w:val="both"/>
        <w:rPr>
          <w:rFonts w:asciiTheme="majorHAnsi" w:hAnsiTheme="majorHAnsi"/>
          <w:sz w:val="28"/>
          <w:szCs w:val="28"/>
          <w:u w:val="single"/>
        </w:rPr>
      </w:pPr>
      <w:r>
        <w:rPr>
          <w:rFonts w:asciiTheme="majorHAnsi" w:hAnsiTheme="majorHAnsi"/>
          <w:sz w:val="28"/>
          <w:szCs w:val="28"/>
          <w:u w:val="single"/>
        </w:rPr>
        <w:t>List of Figures</w:t>
      </w:r>
    </w:p>
    <w:p w14:paraId="0428E91C" w14:textId="55CD4141" w:rsidR="00D42CA7" w:rsidRDefault="00091260" w:rsidP="00882D7A">
      <w:pPr>
        <w:spacing w:line="360" w:lineRule="auto"/>
        <w:jc w:val="both"/>
        <w:rPr>
          <w:rFonts w:asciiTheme="majorHAnsi" w:hAnsiTheme="majorHAnsi"/>
          <w:i/>
        </w:rPr>
      </w:pPr>
      <w:r>
        <w:rPr>
          <w:rFonts w:asciiTheme="majorHAnsi" w:hAnsiTheme="majorHAnsi"/>
          <w:i/>
        </w:rPr>
        <w:t xml:space="preserve">3.1 </w:t>
      </w:r>
      <w:r w:rsidR="00D42CA7">
        <w:rPr>
          <w:rFonts w:asciiTheme="majorHAnsi" w:hAnsiTheme="majorHAnsi"/>
          <w:i/>
        </w:rPr>
        <w:t>SRCAP aberrations within different cancers</w:t>
      </w:r>
    </w:p>
    <w:p w14:paraId="43B440A6" w14:textId="5361556F" w:rsidR="00091260" w:rsidRDefault="00D42CA7" w:rsidP="00882D7A">
      <w:pPr>
        <w:spacing w:line="360" w:lineRule="auto"/>
        <w:jc w:val="both"/>
        <w:rPr>
          <w:rFonts w:asciiTheme="majorHAnsi" w:hAnsiTheme="majorHAnsi"/>
          <w:sz w:val="28"/>
          <w:szCs w:val="28"/>
          <w:u w:val="single"/>
        </w:rPr>
      </w:pPr>
      <w:r>
        <w:rPr>
          <w:rFonts w:asciiTheme="majorHAnsi" w:hAnsiTheme="majorHAnsi"/>
          <w:i/>
        </w:rPr>
        <w:t xml:space="preserve">3.2 </w:t>
      </w:r>
      <w:r w:rsidR="00091260" w:rsidRPr="00C42E9B">
        <w:rPr>
          <w:rFonts w:asciiTheme="majorHAnsi" w:hAnsiTheme="majorHAnsi"/>
          <w:i/>
        </w:rPr>
        <w:t>Deactiva</w:t>
      </w:r>
      <w:r w:rsidR="00327AA2">
        <w:rPr>
          <w:rFonts w:asciiTheme="majorHAnsi" w:hAnsiTheme="majorHAnsi"/>
          <w:i/>
        </w:rPr>
        <w:t>ted CRISPR/Cas9 system for over-</w:t>
      </w:r>
      <w:r w:rsidR="00091260" w:rsidRPr="00C42E9B">
        <w:rPr>
          <w:rFonts w:asciiTheme="majorHAnsi" w:hAnsiTheme="majorHAnsi"/>
          <w:i/>
        </w:rPr>
        <w:t>expression of endogenous genes</w:t>
      </w:r>
    </w:p>
    <w:p w14:paraId="0E03A54A" w14:textId="210C68E9" w:rsidR="00091260" w:rsidRPr="00955099" w:rsidRDefault="00B27EC8" w:rsidP="00882D7A">
      <w:pPr>
        <w:spacing w:line="360" w:lineRule="auto"/>
        <w:jc w:val="both"/>
        <w:rPr>
          <w:rFonts w:asciiTheme="majorHAnsi" w:hAnsiTheme="majorHAnsi"/>
          <w:i/>
        </w:rPr>
      </w:pPr>
      <w:r>
        <w:rPr>
          <w:rFonts w:asciiTheme="majorHAnsi" w:hAnsiTheme="majorHAnsi"/>
          <w:i/>
        </w:rPr>
        <w:t>3.3</w:t>
      </w:r>
      <w:r w:rsidR="00091260" w:rsidRPr="00955099">
        <w:rPr>
          <w:rFonts w:asciiTheme="majorHAnsi" w:hAnsiTheme="majorHAnsi"/>
          <w:i/>
        </w:rPr>
        <w:t xml:space="preserve"> Endogenous levels of SRCAP cannot be visualised by western blotting</w:t>
      </w:r>
    </w:p>
    <w:p w14:paraId="466B9579" w14:textId="3DDD8FC2" w:rsidR="00091260" w:rsidRPr="00955099" w:rsidRDefault="00861277" w:rsidP="00882D7A">
      <w:pPr>
        <w:spacing w:line="360" w:lineRule="auto"/>
        <w:jc w:val="both"/>
        <w:rPr>
          <w:rFonts w:asciiTheme="majorHAnsi" w:hAnsiTheme="majorHAnsi"/>
          <w:i/>
        </w:rPr>
      </w:pPr>
      <w:r>
        <w:rPr>
          <w:rFonts w:asciiTheme="majorHAnsi" w:hAnsiTheme="majorHAnsi"/>
          <w:i/>
        </w:rPr>
        <w:t>3.4</w:t>
      </w:r>
      <w:r w:rsidR="00091260" w:rsidRPr="00955099">
        <w:rPr>
          <w:rFonts w:asciiTheme="majorHAnsi" w:hAnsiTheme="majorHAnsi"/>
          <w:i/>
        </w:rPr>
        <w:t xml:space="preserve"> </w:t>
      </w:r>
      <w:r w:rsidR="00091260" w:rsidRPr="00A2593C">
        <w:rPr>
          <w:rFonts w:asciiTheme="majorHAnsi" w:hAnsiTheme="majorHAnsi"/>
          <w:i/>
        </w:rPr>
        <w:t>Transient transfection of SRCAP shows no detectable expression</w:t>
      </w:r>
    </w:p>
    <w:p w14:paraId="0CE8293A" w14:textId="77777777" w:rsidR="00861277" w:rsidRDefault="00861277" w:rsidP="00882D7A">
      <w:pPr>
        <w:spacing w:line="360" w:lineRule="auto"/>
        <w:jc w:val="both"/>
        <w:rPr>
          <w:rFonts w:asciiTheme="majorHAnsi" w:hAnsiTheme="majorHAnsi"/>
          <w:i/>
          <w:u w:val="single"/>
        </w:rPr>
      </w:pPr>
      <w:r>
        <w:rPr>
          <w:rFonts w:asciiTheme="majorHAnsi" w:hAnsiTheme="majorHAnsi"/>
          <w:i/>
        </w:rPr>
        <w:t>3.5</w:t>
      </w:r>
      <w:r w:rsidR="00091260" w:rsidRPr="00955099">
        <w:rPr>
          <w:rFonts w:asciiTheme="majorHAnsi" w:hAnsiTheme="majorHAnsi"/>
          <w:i/>
        </w:rPr>
        <w:t xml:space="preserve"> YFP SRCAP transfection shows nuclear localisation</w:t>
      </w:r>
      <w:r>
        <w:rPr>
          <w:rFonts w:asciiTheme="majorHAnsi" w:hAnsiTheme="majorHAnsi"/>
          <w:i/>
        </w:rPr>
        <w:t xml:space="preserve"> after Kozak mutation</w:t>
      </w:r>
    </w:p>
    <w:p w14:paraId="73B1328D" w14:textId="35DD60C2" w:rsidR="00091260" w:rsidRPr="00861277" w:rsidRDefault="00091260" w:rsidP="00882D7A">
      <w:pPr>
        <w:spacing w:line="360" w:lineRule="auto"/>
        <w:jc w:val="both"/>
        <w:rPr>
          <w:rFonts w:asciiTheme="majorHAnsi" w:hAnsiTheme="majorHAnsi"/>
          <w:i/>
          <w:u w:val="single"/>
        </w:rPr>
      </w:pPr>
      <w:r w:rsidRPr="00955099">
        <w:rPr>
          <w:rFonts w:asciiTheme="majorHAnsi" w:hAnsiTheme="majorHAnsi"/>
          <w:i/>
        </w:rPr>
        <w:t>3.</w:t>
      </w:r>
      <w:r w:rsidR="00861277">
        <w:rPr>
          <w:rFonts w:asciiTheme="majorHAnsi" w:hAnsiTheme="majorHAnsi"/>
          <w:i/>
        </w:rPr>
        <w:t>6</w:t>
      </w:r>
      <w:r w:rsidRPr="00506BB3">
        <w:rPr>
          <w:rFonts w:asciiTheme="majorHAnsi" w:hAnsiTheme="majorHAnsi"/>
          <w:i/>
        </w:rPr>
        <w:t xml:space="preserve"> Assessment of YFP-SRCAP transfection efficiency using a range of different transfection reagents</w:t>
      </w:r>
    </w:p>
    <w:p w14:paraId="6FED4055" w14:textId="0CAA5580" w:rsidR="00091260" w:rsidRPr="00955099" w:rsidRDefault="00861277" w:rsidP="00882D7A">
      <w:pPr>
        <w:spacing w:line="360" w:lineRule="auto"/>
        <w:jc w:val="both"/>
        <w:rPr>
          <w:rFonts w:asciiTheme="majorHAnsi" w:hAnsiTheme="majorHAnsi"/>
          <w:i/>
        </w:rPr>
      </w:pPr>
      <w:r>
        <w:rPr>
          <w:rFonts w:asciiTheme="majorHAnsi" w:hAnsiTheme="majorHAnsi"/>
          <w:i/>
        </w:rPr>
        <w:t>3.7</w:t>
      </w:r>
      <w:r w:rsidR="00091260" w:rsidRPr="00955099">
        <w:rPr>
          <w:rFonts w:asciiTheme="majorHAnsi" w:hAnsiTheme="majorHAnsi"/>
          <w:i/>
        </w:rPr>
        <w:t xml:space="preserve"> </w:t>
      </w:r>
      <w:r w:rsidR="00091260" w:rsidRPr="00582D40">
        <w:rPr>
          <w:rFonts w:asciiTheme="majorHAnsi" w:hAnsiTheme="majorHAnsi"/>
          <w:i/>
        </w:rPr>
        <w:t>Transfection with mutated SRCAP constructs does not show heightened SRCAP expression</w:t>
      </w:r>
    </w:p>
    <w:p w14:paraId="7BC9F97B" w14:textId="4C99DA4A" w:rsidR="00091260" w:rsidRPr="00955099" w:rsidRDefault="00861277" w:rsidP="00882D7A">
      <w:pPr>
        <w:spacing w:line="360" w:lineRule="auto"/>
        <w:jc w:val="both"/>
        <w:rPr>
          <w:rFonts w:asciiTheme="majorHAnsi" w:hAnsiTheme="majorHAnsi"/>
          <w:i/>
        </w:rPr>
      </w:pPr>
      <w:r>
        <w:rPr>
          <w:rFonts w:asciiTheme="majorHAnsi" w:hAnsiTheme="majorHAnsi"/>
          <w:i/>
        </w:rPr>
        <w:t>3.8</w:t>
      </w:r>
      <w:r w:rsidR="00091260" w:rsidRPr="00955099">
        <w:rPr>
          <w:rFonts w:asciiTheme="majorHAnsi" w:hAnsiTheme="majorHAnsi"/>
          <w:i/>
        </w:rPr>
        <w:t xml:space="preserve"> Protein banding pattern in western blot sample could indicate cleavage of SRCAP</w:t>
      </w:r>
    </w:p>
    <w:p w14:paraId="0E74E696" w14:textId="1765D781" w:rsidR="00091260" w:rsidRPr="00955099" w:rsidRDefault="00861277" w:rsidP="00882D7A">
      <w:pPr>
        <w:spacing w:line="360" w:lineRule="auto"/>
        <w:jc w:val="both"/>
        <w:rPr>
          <w:rFonts w:asciiTheme="majorHAnsi" w:hAnsiTheme="majorHAnsi"/>
          <w:i/>
        </w:rPr>
      </w:pPr>
      <w:r>
        <w:rPr>
          <w:rFonts w:asciiTheme="majorHAnsi" w:hAnsiTheme="majorHAnsi"/>
          <w:i/>
        </w:rPr>
        <w:t>3.9</w:t>
      </w:r>
      <w:r w:rsidR="00091260" w:rsidRPr="00955099">
        <w:rPr>
          <w:rFonts w:asciiTheme="majorHAnsi" w:hAnsiTheme="majorHAnsi"/>
          <w:i/>
        </w:rPr>
        <w:t xml:space="preserve"> XL10 competent cell transformed constructs show SRCAP over</w:t>
      </w:r>
      <w:r w:rsidR="00327AA2">
        <w:rPr>
          <w:rFonts w:asciiTheme="majorHAnsi" w:hAnsiTheme="majorHAnsi"/>
          <w:i/>
        </w:rPr>
        <w:t>-</w:t>
      </w:r>
      <w:r w:rsidR="00091260" w:rsidRPr="00955099">
        <w:rPr>
          <w:rFonts w:asciiTheme="majorHAnsi" w:hAnsiTheme="majorHAnsi"/>
          <w:i/>
        </w:rPr>
        <w:t>expression</w:t>
      </w:r>
    </w:p>
    <w:p w14:paraId="35BEC88F" w14:textId="08F8C4FB" w:rsidR="00091260" w:rsidRPr="00955099" w:rsidRDefault="00B27EC8" w:rsidP="00882D7A">
      <w:pPr>
        <w:spacing w:line="360" w:lineRule="auto"/>
        <w:jc w:val="both"/>
        <w:rPr>
          <w:rFonts w:asciiTheme="majorHAnsi" w:hAnsiTheme="majorHAnsi"/>
          <w:i/>
        </w:rPr>
      </w:pPr>
      <w:r>
        <w:rPr>
          <w:rFonts w:asciiTheme="majorHAnsi" w:hAnsiTheme="majorHAnsi"/>
          <w:i/>
        </w:rPr>
        <w:t>3</w:t>
      </w:r>
      <w:r w:rsidR="00861277">
        <w:rPr>
          <w:rFonts w:asciiTheme="majorHAnsi" w:hAnsiTheme="majorHAnsi"/>
          <w:i/>
        </w:rPr>
        <w:t xml:space="preserve">.10 </w:t>
      </w:r>
      <w:r w:rsidR="00091260" w:rsidRPr="00955099">
        <w:rPr>
          <w:rFonts w:asciiTheme="majorHAnsi" w:hAnsiTheme="majorHAnsi"/>
          <w:i/>
        </w:rPr>
        <w:t>Cell Cycle profiles show increased sub G1 population in transfected samples</w:t>
      </w:r>
    </w:p>
    <w:p w14:paraId="7320D509" w14:textId="39093399" w:rsidR="00091260" w:rsidRDefault="00861277" w:rsidP="00882D7A">
      <w:pPr>
        <w:spacing w:line="360" w:lineRule="auto"/>
        <w:jc w:val="both"/>
        <w:rPr>
          <w:rFonts w:asciiTheme="majorHAnsi" w:hAnsiTheme="majorHAnsi"/>
          <w:i/>
        </w:rPr>
      </w:pPr>
      <w:r>
        <w:rPr>
          <w:rFonts w:asciiTheme="majorHAnsi" w:hAnsiTheme="majorHAnsi"/>
          <w:i/>
        </w:rPr>
        <w:t xml:space="preserve">3.11 </w:t>
      </w:r>
      <w:r w:rsidR="00091260" w:rsidRPr="00955099">
        <w:rPr>
          <w:rFonts w:asciiTheme="majorHAnsi" w:hAnsiTheme="majorHAnsi"/>
          <w:i/>
        </w:rPr>
        <w:t xml:space="preserve">Tetracycline inducible cells show </w:t>
      </w:r>
      <w:r w:rsidR="00B41C0C">
        <w:rPr>
          <w:rFonts w:asciiTheme="majorHAnsi" w:hAnsiTheme="majorHAnsi"/>
          <w:i/>
        </w:rPr>
        <w:t xml:space="preserve">potential </w:t>
      </w:r>
      <w:r w:rsidR="00091260" w:rsidRPr="00955099">
        <w:rPr>
          <w:rFonts w:asciiTheme="majorHAnsi" w:hAnsiTheme="majorHAnsi"/>
          <w:i/>
        </w:rPr>
        <w:t>SRCAP</w:t>
      </w:r>
      <w:r w:rsidR="00091260">
        <w:rPr>
          <w:rFonts w:asciiTheme="majorHAnsi" w:hAnsiTheme="majorHAnsi"/>
          <w:i/>
        </w:rPr>
        <w:t xml:space="preserve"> over</w:t>
      </w:r>
      <w:r w:rsidR="00327AA2">
        <w:rPr>
          <w:rFonts w:asciiTheme="majorHAnsi" w:hAnsiTheme="majorHAnsi"/>
          <w:i/>
        </w:rPr>
        <w:t>-</w:t>
      </w:r>
      <w:r w:rsidR="00091260">
        <w:rPr>
          <w:rFonts w:asciiTheme="majorHAnsi" w:hAnsiTheme="majorHAnsi"/>
          <w:i/>
        </w:rPr>
        <w:t>expression at 72hrs after T</w:t>
      </w:r>
      <w:r w:rsidR="00091260" w:rsidRPr="00955099">
        <w:rPr>
          <w:rFonts w:asciiTheme="majorHAnsi" w:hAnsiTheme="majorHAnsi"/>
          <w:i/>
        </w:rPr>
        <w:t>et addition</w:t>
      </w:r>
    </w:p>
    <w:p w14:paraId="4D99B839" w14:textId="3AB8B8CC" w:rsidR="00091260" w:rsidRPr="00955099" w:rsidRDefault="00861277" w:rsidP="00882D7A">
      <w:pPr>
        <w:spacing w:line="360" w:lineRule="auto"/>
        <w:jc w:val="both"/>
        <w:rPr>
          <w:rFonts w:asciiTheme="majorHAnsi" w:hAnsiTheme="majorHAnsi"/>
          <w:i/>
        </w:rPr>
      </w:pPr>
      <w:r>
        <w:rPr>
          <w:rFonts w:asciiTheme="majorHAnsi" w:hAnsiTheme="majorHAnsi"/>
          <w:i/>
        </w:rPr>
        <w:t xml:space="preserve">3.12 </w:t>
      </w:r>
      <w:r w:rsidR="00327AA2">
        <w:rPr>
          <w:rFonts w:asciiTheme="majorHAnsi" w:hAnsiTheme="majorHAnsi"/>
          <w:i/>
        </w:rPr>
        <w:t>SRCAP over-</w:t>
      </w:r>
      <w:r w:rsidR="00091260" w:rsidRPr="000C1B2E">
        <w:rPr>
          <w:rFonts w:asciiTheme="majorHAnsi" w:hAnsiTheme="majorHAnsi"/>
          <w:i/>
        </w:rPr>
        <w:t xml:space="preserve">expressing cells via Tet-induction shows no difference in DNA damage compared to cells not over expressing the </w:t>
      </w:r>
      <w:r w:rsidR="00B41C0C">
        <w:rPr>
          <w:rFonts w:asciiTheme="majorHAnsi" w:hAnsiTheme="majorHAnsi"/>
          <w:i/>
        </w:rPr>
        <w:t xml:space="preserve">YFP SRCAP </w:t>
      </w:r>
      <w:r w:rsidR="00091260" w:rsidRPr="000C1B2E">
        <w:rPr>
          <w:rFonts w:asciiTheme="majorHAnsi" w:hAnsiTheme="majorHAnsi"/>
          <w:i/>
        </w:rPr>
        <w:t>construct</w:t>
      </w:r>
    </w:p>
    <w:p w14:paraId="1D3D4996" w14:textId="67B14974" w:rsidR="00091260" w:rsidRPr="00955099" w:rsidRDefault="00861277" w:rsidP="00882D7A">
      <w:pPr>
        <w:spacing w:line="360" w:lineRule="auto"/>
        <w:jc w:val="both"/>
        <w:rPr>
          <w:rFonts w:asciiTheme="majorHAnsi" w:hAnsiTheme="majorHAnsi"/>
          <w:i/>
        </w:rPr>
      </w:pPr>
      <w:r>
        <w:rPr>
          <w:rFonts w:asciiTheme="majorHAnsi" w:hAnsiTheme="majorHAnsi"/>
          <w:i/>
        </w:rPr>
        <w:t>3.13</w:t>
      </w:r>
      <w:r w:rsidR="00091260" w:rsidRPr="00955099">
        <w:rPr>
          <w:rFonts w:asciiTheme="majorHAnsi" w:hAnsiTheme="majorHAnsi"/>
          <w:i/>
        </w:rPr>
        <w:t xml:space="preserve"> Transfection with SRCAP CRISPR</w:t>
      </w:r>
      <w:r w:rsidR="00327AA2">
        <w:rPr>
          <w:rFonts w:asciiTheme="majorHAnsi" w:hAnsiTheme="majorHAnsi"/>
          <w:i/>
        </w:rPr>
        <w:t xml:space="preserve"> reagents results in SRCAP over-</w:t>
      </w:r>
      <w:r w:rsidR="00091260" w:rsidRPr="00955099">
        <w:rPr>
          <w:rFonts w:asciiTheme="majorHAnsi" w:hAnsiTheme="majorHAnsi"/>
          <w:i/>
        </w:rPr>
        <w:t>expression</w:t>
      </w:r>
      <w:r w:rsidR="00091260">
        <w:rPr>
          <w:rFonts w:asciiTheme="majorHAnsi" w:hAnsiTheme="majorHAnsi"/>
          <w:i/>
        </w:rPr>
        <w:t xml:space="preserve"> at the mRNA level</w:t>
      </w:r>
    </w:p>
    <w:p w14:paraId="533CC207" w14:textId="34F933EB" w:rsidR="00091260" w:rsidRPr="00955099" w:rsidRDefault="00861277" w:rsidP="00882D7A">
      <w:pPr>
        <w:spacing w:line="360" w:lineRule="auto"/>
        <w:jc w:val="both"/>
        <w:rPr>
          <w:rFonts w:asciiTheme="majorHAnsi" w:hAnsiTheme="majorHAnsi"/>
          <w:i/>
        </w:rPr>
      </w:pPr>
      <w:r>
        <w:rPr>
          <w:rFonts w:asciiTheme="majorHAnsi" w:hAnsiTheme="majorHAnsi"/>
          <w:i/>
        </w:rPr>
        <w:t xml:space="preserve">3.14 </w:t>
      </w:r>
      <w:r w:rsidR="00091260" w:rsidRPr="00955099">
        <w:rPr>
          <w:rFonts w:asciiTheme="majorHAnsi" w:hAnsiTheme="majorHAnsi"/>
          <w:i/>
        </w:rPr>
        <w:t>Transfection with the CRISPR reagents affects cell growth</w:t>
      </w:r>
    </w:p>
    <w:p w14:paraId="5CEC6BC5" w14:textId="3C614CCD" w:rsidR="00091260" w:rsidRPr="00955099" w:rsidRDefault="00861277" w:rsidP="00882D7A">
      <w:pPr>
        <w:spacing w:line="360" w:lineRule="auto"/>
        <w:jc w:val="both"/>
        <w:rPr>
          <w:rFonts w:asciiTheme="majorHAnsi" w:hAnsiTheme="majorHAnsi"/>
          <w:i/>
        </w:rPr>
      </w:pPr>
      <w:r>
        <w:rPr>
          <w:rFonts w:asciiTheme="majorHAnsi" w:hAnsiTheme="majorHAnsi"/>
          <w:i/>
        </w:rPr>
        <w:t>3.15</w:t>
      </w:r>
      <w:r w:rsidR="00091260" w:rsidRPr="00955099">
        <w:rPr>
          <w:rFonts w:asciiTheme="majorHAnsi" w:hAnsiTheme="majorHAnsi"/>
          <w:i/>
        </w:rPr>
        <w:t xml:space="preserve"> New control CRISPR reagent shows the same trend in </w:t>
      </w:r>
      <w:r w:rsidR="00091260">
        <w:rPr>
          <w:rFonts w:asciiTheme="majorHAnsi" w:hAnsiTheme="majorHAnsi"/>
          <w:i/>
        </w:rPr>
        <w:t>reduced</w:t>
      </w:r>
      <w:r w:rsidR="00091260" w:rsidRPr="00955099">
        <w:rPr>
          <w:rFonts w:asciiTheme="majorHAnsi" w:hAnsiTheme="majorHAnsi"/>
          <w:i/>
        </w:rPr>
        <w:t xml:space="preserve"> cell growth</w:t>
      </w:r>
    </w:p>
    <w:p w14:paraId="74EF4D9D" w14:textId="2F380D43" w:rsidR="00091260" w:rsidRPr="00955099" w:rsidRDefault="00861277" w:rsidP="00882D7A">
      <w:pPr>
        <w:spacing w:line="360" w:lineRule="auto"/>
        <w:jc w:val="both"/>
        <w:rPr>
          <w:rFonts w:asciiTheme="majorHAnsi" w:hAnsiTheme="majorHAnsi"/>
          <w:i/>
        </w:rPr>
      </w:pPr>
      <w:r>
        <w:rPr>
          <w:rFonts w:asciiTheme="majorHAnsi" w:hAnsiTheme="majorHAnsi"/>
          <w:i/>
        </w:rPr>
        <w:t>3.16</w:t>
      </w:r>
      <w:r w:rsidR="00327AA2">
        <w:rPr>
          <w:rFonts w:asciiTheme="majorHAnsi" w:hAnsiTheme="majorHAnsi"/>
          <w:i/>
        </w:rPr>
        <w:t xml:space="preserve"> SRCAP over-</w:t>
      </w:r>
      <w:r w:rsidR="00091260" w:rsidRPr="00955099">
        <w:rPr>
          <w:rFonts w:asciiTheme="majorHAnsi" w:hAnsiTheme="majorHAnsi"/>
          <w:i/>
        </w:rPr>
        <w:t>expressing CRISPR clones can be generated in CRC cell lines</w:t>
      </w:r>
    </w:p>
    <w:p w14:paraId="1B817334" w14:textId="376F2432" w:rsidR="00091260" w:rsidRPr="00955099" w:rsidRDefault="00861277" w:rsidP="00882D7A">
      <w:pPr>
        <w:spacing w:line="360" w:lineRule="auto"/>
        <w:jc w:val="both"/>
        <w:rPr>
          <w:rFonts w:asciiTheme="majorHAnsi" w:hAnsiTheme="majorHAnsi"/>
          <w:i/>
        </w:rPr>
      </w:pPr>
      <w:r>
        <w:rPr>
          <w:rFonts w:asciiTheme="majorHAnsi" w:hAnsiTheme="majorHAnsi"/>
          <w:i/>
        </w:rPr>
        <w:t>3.17</w:t>
      </w:r>
      <w:r w:rsidR="00091260" w:rsidRPr="00955099">
        <w:rPr>
          <w:rFonts w:asciiTheme="majorHAnsi" w:hAnsiTheme="majorHAnsi"/>
          <w:i/>
        </w:rPr>
        <w:t xml:space="preserve"> SRCAP CRISPR clones show differing morphologies to parental cells</w:t>
      </w:r>
    </w:p>
    <w:p w14:paraId="502D4C69" w14:textId="7B993044" w:rsidR="00091260" w:rsidRPr="00955099" w:rsidRDefault="00861277" w:rsidP="00882D7A">
      <w:pPr>
        <w:spacing w:line="360" w:lineRule="auto"/>
        <w:jc w:val="both"/>
        <w:rPr>
          <w:rFonts w:asciiTheme="majorHAnsi" w:hAnsiTheme="majorHAnsi"/>
          <w:i/>
        </w:rPr>
      </w:pPr>
      <w:r>
        <w:rPr>
          <w:rFonts w:asciiTheme="majorHAnsi" w:hAnsiTheme="majorHAnsi"/>
          <w:i/>
        </w:rPr>
        <w:t>3.18</w:t>
      </w:r>
      <w:r w:rsidR="00327AA2">
        <w:rPr>
          <w:rFonts w:asciiTheme="majorHAnsi" w:hAnsiTheme="majorHAnsi"/>
          <w:i/>
        </w:rPr>
        <w:t xml:space="preserve"> SRCAP CRISPR over-</w:t>
      </w:r>
      <w:r w:rsidR="00880720">
        <w:rPr>
          <w:rFonts w:asciiTheme="majorHAnsi" w:hAnsiTheme="majorHAnsi"/>
          <w:i/>
        </w:rPr>
        <w:t>expressing cells have</w:t>
      </w:r>
      <w:r w:rsidR="00091260" w:rsidRPr="00955099">
        <w:rPr>
          <w:rFonts w:asciiTheme="majorHAnsi" w:hAnsiTheme="majorHAnsi"/>
          <w:i/>
        </w:rPr>
        <w:t xml:space="preserve"> similar growth rates to control</w:t>
      </w:r>
      <w:r w:rsidR="00880720">
        <w:rPr>
          <w:rFonts w:asciiTheme="majorHAnsi" w:hAnsiTheme="majorHAnsi"/>
          <w:i/>
        </w:rPr>
        <w:t xml:space="preserve"> parental cells</w:t>
      </w:r>
    </w:p>
    <w:p w14:paraId="74D92CA9" w14:textId="3EDD9152" w:rsidR="00091260" w:rsidRPr="00955099" w:rsidRDefault="00861277" w:rsidP="00882D7A">
      <w:pPr>
        <w:spacing w:line="360" w:lineRule="auto"/>
        <w:jc w:val="both"/>
        <w:rPr>
          <w:rFonts w:asciiTheme="majorHAnsi" w:hAnsiTheme="majorHAnsi"/>
          <w:i/>
        </w:rPr>
      </w:pPr>
      <w:r>
        <w:rPr>
          <w:rFonts w:asciiTheme="majorHAnsi" w:hAnsiTheme="majorHAnsi"/>
          <w:i/>
        </w:rPr>
        <w:t>3.19</w:t>
      </w:r>
      <w:r w:rsidR="00091260" w:rsidRPr="00955099">
        <w:rPr>
          <w:rFonts w:asciiTheme="majorHAnsi" w:hAnsiTheme="majorHAnsi"/>
          <w:i/>
        </w:rPr>
        <w:t xml:space="preserve"> DNA damage </w:t>
      </w:r>
      <w:r w:rsidR="00091260">
        <w:rPr>
          <w:rFonts w:asciiTheme="majorHAnsi" w:hAnsiTheme="majorHAnsi"/>
          <w:i/>
        </w:rPr>
        <w:t>is</w:t>
      </w:r>
      <w:r w:rsidR="00091260" w:rsidRPr="00955099">
        <w:rPr>
          <w:rFonts w:asciiTheme="majorHAnsi" w:hAnsiTheme="majorHAnsi"/>
          <w:i/>
        </w:rPr>
        <w:t xml:space="preserve"> increased when SRCAP is over</w:t>
      </w:r>
      <w:r w:rsidR="00327AA2">
        <w:rPr>
          <w:rFonts w:asciiTheme="majorHAnsi" w:hAnsiTheme="majorHAnsi"/>
          <w:i/>
        </w:rPr>
        <w:t>-</w:t>
      </w:r>
      <w:r w:rsidR="00091260" w:rsidRPr="00955099">
        <w:rPr>
          <w:rFonts w:asciiTheme="majorHAnsi" w:hAnsiTheme="majorHAnsi"/>
          <w:i/>
        </w:rPr>
        <w:t>expressed</w:t>
      </w:r>
    </w:p>
    <w:p w14:paraId="4A934B67" w14:textId="224661AF" w:rsidR="00091260" w:rsidRPr="00955099" w:rsidRDefault="00861277" w:rsidP="00882D7A">
      <w:pPr>
        <w:spacing w:line="360" w:lineRule="auto"/>
        <w:jc w:val="both"/>
        <w:rPr>
          <w:rFonts w:asciiTheme="majorHAnsi" w:hAnsiTheme="majorHAnsi"/>
          <w:i/>
        </w:rPr>
      </w:pPr>
      <w:r>
        <w:rPr>
          <w:rFonts w:asciiTheme="majorHAnsi" w:hAnsiTheme="majorHAnsi"/>
          <w:i/>
        </w:rPr>
        <w:t>3.20</w:t>
      </w:r>
      <w:r w:rsidR="00091260" w:rsidRPr="00955099">
        <w:rPr>
          <w:rFonts w:asciiTheme="majorHAnsi" w:hAnsiTheme="majorHAnsi"/>
          <w:i/>
        </w:rPr>
        <w:t xml:space="preserve"> DNA damage visualisation via the comet a</w:t>
      </w:r>
      <w:r w:rsidR="00327AA2">
        <w:rPr>
          <w:rFonts w:asciiTheme="majorHAnsi" w:hAnsiTheme="majorHAnsi"/>
          <w:i/>
        </w:rPr>
        <w:t>ssay is increased in SRCAP over-</w:t>
      </w:r>
      <w:r w:rsidR="00091260" w:rsidRPr="00955099">
        <w:rPr>
          <w:rFonts w:asciiTheme="majorHAnsi" w:hAnsiTheme="majorHAnsi"/>
          <w:i/>
        </w:rPr>
        <w:t>expressing clones</w:t>
      </w:r>
    </w:p>
    <w:p w14:paraId="0FC07993" w14:textId="5D4257B0" w:rsidR="00091260" w:rsidRPr="00955099" w:rsidRDefault="00861277" w:rsidP="00882D7A">
      <w:pPr>
        <w:spacing w:line="360" w:lineRule="auto"/>
        <w:jc w:val="both"/>
        <w:rPr>
          <w:rFonts w:asciiTheme="majorHAnsi" w:hAnsiTheme="majorHAnsi"/>
          <w:i/>
        </w:rPr>
      </w:pPr>
      <w:r>
        <w:rPr>
          <w:rFonts w:asciiTheme="majorHAnsi" w:hAnsiTheme="majorHAnsi"/>
          <w:i/>
        </w:rPr>
        <w:t>3.21</w:t>
      </w:r>
      <w:r w:rsidR="00091260" w:rsidRPr="00955099">
        <w:rPr>
          <w:rFonts w:asciiTheme="majorHAnsi" w:hAnsiTheme="majorHAnsi"/>
          <w:i/>
        </w:rPr>
        <w:t xml:space="preserve"> Nuclear abnormalities aren’t significantly different in SRCAP over expressing clones</w:t>
      </w:r>
    </w:p>
    <w:p w14:paraId="6604B6FF" w14:textId="4D8801A4" w:rsidR="00091260" w:rsidRPr="00861277" w:rsidRDefault="00861277" w:rsidP="00882D7A">
      <w:pPr>
        <w:spacing w:line="360" w:lineRule="auto"/>
        <w:jc w:val="both"/>
        <w:rPr>
          <w:rFonts w:asciiTheme="majorHAnsi" w:hAnsiTheme="majorHAnsi"/>
          <w:i/>
        </w:rPr>
      </w:pPr>
      <w:r>
        <w:rPr>
          <w:rFonts w:asciiTheme="majorHAnsi" w:hAnsiTheme="majorHAnsi"/>
          <w:i/>
        </w:rPr>
        <w:t xml:space="preserve">3.22 </w:t>
      </w:r>
      <w:r w:rsidRPr="00861277">
        <w:rPr>
          <w:rFonts w:asciiTheme="majorHAnsi" w:hAnsiTheme="majorHAnsi"/>
          <w:i/>
        </w:rPr>
        <w:t xml:space="preserve">Cell cycle and apoptotic profiles are unchanged in </w:t>
      </w:r>
      <w:r w:rsidR="00327AA2">
        <w:rPr>
          <w:rFonts w:asciiTheme="majorHAnsi" w:hAnsiTheme="majorHAnsi"/>
          <w:i/>
        </w:rPr>
        <w:t>SRCAP over-</w:t>
      </w:r>
      <w:r w:rsidRPr="00861277">
        <w:rPr>
          <w:rFonts w:asciiTheme="majorHAnsi" w:hAnsiTheme="majorHAnsi"/>
          <w:i/>
        </w:rPr>
        <w:t>expressing cells</w:t>
      </w:r>
    </w:p>
    <w:p w14:paraId="39713642" w14:textId="109F578F" w:rsidR="00091260" w:rsidRPr="00955099" w:rsidRDefault="00F75DC6" w:rsidP="00882D7A">
      <w:pPr>
        <w:spacing w:line="360" w:lineRule="auto"/>
        <w:jc w:val="both"/>
        <w:rPr>
          <w:rFonts w:asciiTheme="majorHAnsi" w:hAnsiTheme="majorHAnsi"/>
          <w:i/>
        </w:rPr>
      </w:pPr>
      <w:r>
        <w:rPr>
          <w:rFonts w:asciiTheme="majorHAnsi" w:hAnsiTheme="majorHAnsi"/>
          <w:i/>
        </w:rPr>
        <w:t>3.23</w:t>
      </w:r>
      <w:r w:rsidR="00091260" w:rsidRPr="00955099">
        <w:rPr>
          <w:rFonts w:asciiTheme="majorHAnsi" w:hAnsiTheme="majorHAnsi"/>
          <w:i/>
        </w:rPr>
        <w:t xml:space="preserve"> Retest of SRCAP expression</w:t>
      </w:r>
      <w:r w:rsidR="00327AA2">
        <w:rPr>
          <w:rFonts w:asciiTheme="majorHAnsi" w:hAnsiTheme="majorHAnsi"/>
          <w:i/>
        </w:rPr>
        <w:t xml:space="preserve"> in CRISPR clones shows no over-</w:t>
      </w:r>
      <w:r w:rsidR="00091260" w:rsidRPr="00955099">
        <w:rPr>
          <w:rFonts w:asciiTheme="majorHAnsi" w:hAnsiTheme="majorHAnsi"/>
          <w:i/>
        </w:rPr>
        <w:t>expression of SRCAP</w:t>
      </w:r>
    </w:p>
    <w:p w14:paraId="473B5885" w14:textId="7F6DAD4D" w:rsidR="00091260" w:rsidRPr="00517BA2" w:rsidRDefault="00F75DC6" w:rsidP="00882D7A">
      <w:pPr>
        <w:spacing w:line="360" w:lineRule="auto"/>
        <w:jc w:val="both"/>
        <w:rPr>
          <w:i/>
        </w:rPr>
      </w:pPr>
      <w:r>
        <w:rPr>
          <w:rFonts w:asciiTheme="majorHAnsi" w:hAnsiTheme="majorHAnsi"/>
          <w:i/>
        </w:rPr>
        <w:t>3.24</w:t>
      </w:r>
      <w:r w:rsidR="00327AA2">
        <w:rPr>
          <w:rFonts w:asciiTheme="majorHAnsi" w:hAnsiTheme="majorHAnsi"/>
          <w:i/>
        </w:rPr>
        <w:t xml:space="preserve"> Lentiviral CRISPR clones over-</w:t>
      </w:r>
      <w:r w:rsidR="00091260" w:rsidRPr="00955099">
        <w:rPr>
          <w:rFonts w:asciiTheme="majorHAnsi" w:hAnsiTheme="majorHAnsi"/>
          <w:i/>
        </w:rPr>
        <w:t>expressing SRCAP are unable to be created</w:t>
      </w:r>
    </w:p>
    <w:p w14:paraId="4ABFB84A" w14:textId="77777777" w:rsidR="00091260" w:rsidRDefault="00091260" w:rsidP="00E6223C">
      <w:pPr>
        <w:jc w:val="both"/>
        <w:rPr>
          <w:rFonts w:asciiTheme="majorHAnsi" w:hAnsiTheme="majorHAnsi"/>
          <w:sz w:val="28"/>
          <w:szCs w:val="28"/>
          <w:u w:val="single"/>
        </w:rPr>
      </w:pPr>
    </w:p>
    <w:p w14:paraId="380DBDC8" w14:textId="77777777" w:rsidR="00091260" w:rsidRDefault="00091260" w:rsidP="00091260">
      <w:pPr>
        <w:rPr>
          <w:rFonts w:asciiTheme="majorHAnsi" w:hAnsiTheme="majorHAnsi"/>
          <w:sz w:val="28"/>
          <w:szCs w:val="28"/>
          <w:u w:val="single"/>
        </w:rPr>
      </w:pPr>
      <w:r>
        <w:rPr>
          <w:rFonts w:asciiTheme="majorHAnsi" w:hAnsiTheme="majorHAnsi"/>
          <w:sz w:val="28"/>
          <w:szCs w:val="28"/>
          <w:u w:val="single"/>
        </w:rPr>
        <w:br w:type="page"/>
      </w:r>
    </w:p>
    <w:p w14:paraId="023685C4" w14:textId="77777777" w:rsidR="00091260" w:rsidRDefault="00091260" w:rsidP="00091260">
      <w:pPr>
        <w:rPr>
          <w:rFonts w:asciiTheme="majorHAnsi" w:hAnsiTheme="majorHAnsi"/>
          <w:sz w:val="28"/>
          <w:szCs w:val="28"/>
          <w:u w:val="single"/>
        </w:rPr>
      </w:pPr>
      <w:r>
        <w:rPr>
          <w:rFonts w:asciiTheme="majorHAnsi" w:hAnsiTheme="majorHAnsi"/>
          <w:sz w:val="28"/>
          <w:szCs w:val="28"/>
          <w:u w:val="single"/>
        </w:rPr>
        <w:t>3.1 Introduction</w:t>
      </w:r>
    </w:p>
    <w:p w14:paraId="00B65718" w14:textId="77777777" w:rsidR="00091260" w:rsidRDefault="00091260" w:rsidP="00091260">
      <w:pPr>
        <w:rPr>
          <w:rFonts w:asciiTheme="majorHAnsi" w:hAnsiTheme="majorHAnsi"/>
          <w:sz w:val="28"/>
          <w:szCs w:val="28"/>
          <w:u w:val="single"/>
        </w:rPr>
      </w:pPr>
    </w:p>
    <w:p w14:paraId="6E37F19C" w14:textId="4CE09C1D" w:rsidR="00091260" w:rsidRDefault="00091260" w:rsidP="00091260">
      <w:pPr>
        <w:spacing w:line="360" w:lineRule="auto"/>
        <w:jc w:val="both"/>
        <w:rPr>
          <w:rFonts w:asciiTheme="majorHAnsi" w:hAnsiTheme="majorHAnsi"/>
        </w:rPr>
      </w:pPr>
      <w:r w:rsidRPr="00161272">
        <w:rPr>
          <w:rFonts w:asciiTheme="majorHAnsi" w:hAnsiTheme="majorHAnsi"/>
          <w:i/>
        </w:rPr>
        <w:t>SRCAP</w:t>
      </w:r>
      <w:r>
        <w:rPr>
          <w:rFonts w:asciiTheme="majorHAnsi" w:hAnsiTheme="majorHAnsi"/>
        </w:rPr>
        <w:t xml:space="preserve"> was found to be amplified within patient CRC tumour samples in a CGH array conducted within the Cox laboratory in the department of Oncology and Metabolism at Sheffield Medical School. Other groups have previousl</w:t>
      </w:r>
      <w:r w:rsidR="00882D7A">
        <w:rPr>
          <w:rFonts w:asciiTheme="majorHAnsi" w:hAnsiTheme="majorHAnsi"/>
        </w:rPr>
        <w:t xml:space="preserve">y corroborated this finding </w:t>
      </w:r>
      <w:r>
        <w:rPr>
          <w:rFonts w:asciiTheme="majorHAnsi" w:hAnsiTheme="majorHAnsi"/>
        </w:rPr>
        <w:t xml:space="preserve">in other cancer types; for example, there was an eight-fold increase in </w:t>
      </w:r>
      <w:r w:rsidRPr="00161272">
        <w:rPr>
          <w:rFonts w:asciiTheme="majorHAnsi" w:hAnsiTheme="majorHAnsi"/>
          <w:i/>
        </w:rPr>
        <w:t>SRCAP</w:t>
      </w:r>
      <w:r w:rsidR="00882D7A">
        <w:rPr>
          <w:rFonts w:asciiTheme="majorHAnsi" w:hAnsiTheme="majorHAnsi"/>
        </w:rPr>
        <w:t xml:space="preserve"> gene expression </w:t>
      </w:r>
      <w:r>
        <w:rPr>
          <w:rFonts w:asciiTheme="majorHAnsi" w:hAnsiTheme="majorHAnsi"/>
        </w:rPr>
        <w:t xml:space="preserve">in malignant ovarian tissue in an expression profile experiment looking for markers for ovarian cancer diagnosis </w:t>
      </w:r>
      <w:r>
        <w:rPr>
          <w:rFonts w:asciiTheme="majorHAnsi" w:hAnsiTheme="majorHAnsi"/>
        </w:rPr>
        <w:fldChar w:fldCharType="begin">
          <w:fldData xml:space="preserve">PEVuZE5vdGU+PENpdGU+PEF1dGhvcj5TYW50aW48L0F1dGhvcj48WWVhcj4yMDA0PC9ZZWFyPjxJ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==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PEVuZE5vdGU+PENpdGU+PEF1dGhvcj5TYW50aW48L0F1dGhvcj48WWVhcj4yMDA0PC9ZZWFyPjxJ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==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(Santin et al., 2004)</w:t>
      </w:r>
      <w:r>
        <w:rPr>
          <w:rFonts w:asciiTheme="majorHAnsi" w:hAnsiTheme="majorHAnsi"/>
        </w:rPr>
        <w:fldChar w:fldCharType="end"/>
      </w:r>
      <w:r>
        <w:rPr>
          <w:rFonts w:asciiTheme="majorHAnsi" w:hAnsiTheme="majorHAnsi"/>
        </w:rPr>
        <w:t xml:space="preserve">. </w:t>
      </w:r>
      <w:r w:rsidRPr="00175E20">
        <w:rPr>
          <w:rFonts w:asciiTheme="majorHAnsi" w:hAnsiTheme="majorHAnsi"/>
          <w:i/>
        </w:rPr>
        <w:t>SRCAP</w:t>
      </w:r>
      <w:r>
        <w:rPr>
          <w:rFonts w:asciiTheme="majorHAnsi" w:hAnsiTheme="majorHAnsi"/>
        </w:rPr>
        <w:t xml:space="preserve"> was also over</w:t>
      </w:r>
      <w:r w:rsidR="00327AA2">
        <w:rPr>
          <w:rFonts w:asciiTheme="majorHAnsi" w:hAnsiTheme="majorHAnsi"/>
        </w:rPr>
        <w:t>-</w:t>
      </w:r>
      <w:r>
        <w:rPr>
          <w:rFonts w:asciiTheme="majorHAnsi" w:hAnsiTheme="majorHAnsi"/>
        </w:rPr>
        <w:t xml:space="preserve">expressed in ductal cell carcinoma of the breast in a gene expression array, compared to disease free mammary epithelium </w:t>
      </w:r>
      <w:r>
        <w:rPr>
          <w:rFonts w:asciiTheme="majorHAnsi" w:hAnsiTheme="majorHAnsi"/>
        </w:rPr>
        <w:fldChar w:fldCharType="begin"/>
      </w:r>
      <w:r>
        <w:rPr>
          <w:rFonts w:asciiTheme="majorHAnsi" w:hAnsiTheme="majorHAnsi"/>
        </w:rPr>
        <w:instrText xml:space="preserve"> ADDIN EN.CITE &lt;EndNote&gt;&lt;Cite&gt;&lt;Author&gt;Zucchi&lt;/Author&gt;&lt;Year&gt;2004&lt;/Year&gt;&lt;IDText&gt;Gene expression profiles of epithelial cells microscopically isolated from a breast-invasive ductal carcinoma and a nodal metastasis&lt;/IDText&gt;&lt;DisplayText&gt;(Zucchi et al., 2004)&lt;/DisplayText&gt;&lt;record&gt;&lt;dates&gt;&lt;pub-dates&gt;&lt;date&gt;Dec&lt;/date&gt;&lt;/pub-dates&gt;&lt;year&gt;2004&lt;/year&gt;&lt;/dates&gt;&lt;keywords&gt;&lt;keyword&gt;Breast&lt;/keyword&gt;&lt;keyword&gt;Breast Neoplasms&lt;/keyword&gt;&lt;keyword&gt;Carcinoma&lt;/keyword&gt;&lt;keyword&gt;DNA, Complementary&lt;/keyword&gt;&lt;keyword&gt;Down-Regulation&lt;/keyword&gt;&lt;keyword&gt;Epithelial Cells&lt;/keyword&gt;&lt;keyword&gt;Epithelium&lt;/keyword&gt;&lt;keyword&gt;Gene Expression Regulation, Neoplastic&lt;/keyword&gt;&lt;keyword&gt;Gene Library&lt;/keyword&gt;&lt;keyword&gt;Humans&lt;/keyword&gt;&lt;keyword&gt;In Situ Hybridization&lt;/keyword&gt;&lt;keyword&gt;Lymphatic Metastasis&lt;/keyword&gt;&lt;keyword&gt;Up-Regulation&lt;/keyword&gt;&lt;/keywords&gt;&lt;urls&gt;&lt;related-urls&gt;&lt;url&gt;https://www.ncbi.nlm.nih.gov/pubmed/15608061&lt;/url&gt;&lt;/related-urls&gt;&lt;/urls&gt;&lt;isbn&gt;0027-8424&lt;/isbn&gt;&lt;custom2&gt;PMC539802&lt;/custom2&gt;&lt;titles&gt;&lt;title&gt;Gene expression profiles of epithelial cells microscopically isolated from a breast-invasive ductal carcinoma and a nodal metastasis&lt;/title&gt;&lt;secondary-title&gt;Proc Natl Acad Sci U S A&lt;/secondary-title&gt;&lt;/titles&gt;&lt;pages&gt;18147-52&lt;/pages&gt;&lt;number&gt;52&lt;/number&gt;&lt;contributors&gt;&lt;authors&gt;&lt;author&gt;Zucchi, I.&lt;/author&gt;&lt;author&gt;Mento, E.&lt;/author&gt;&lt;author&gt;Kuznetsov, V. A.&lt;/author&gt;&lt;author&gt;Scotti, M.&lt;/author&gt;&lt;author&gt;Valsecchi, V.&lt;/author&gt;&lt;author&gt;Simionati, B.&lt;/author&gt;&lt;author&gt;Vicinanza, E.&lt;/author&gt;&lt;author&gt;Valle, G.&lt;/author&gt;&lt;author&gt;Pilotti, S.&lt;/author&gt;&lt;author&gt;Reinbold, R.&lt;/author&gt;&lt;author&gt;Vezzoni, P.&lt;/author&gt;&lt;author&gt;Albertini, A.&lt;/author&gt;&lt;author&gt;Dulbecco, R.&lt;/author&gt;&lt;/authors&gt;&lt;/contributors&gt;&lt;edition&gt;2004/12/17&lt;/edition&gt;&lt;language&gt;eng&lt;/language&gt;&lt;added-date format="utc"&gt;1504260313&lt;/added-date&gt;&lt;ref-type name="Journal Article"&gt;17&lt;/ref-type&gt;&lt;rec-number&gt;252&lt;/rec-number&gt;&lt;last-updated-date format="utc"&gt;1504260313&lt;/last-updated-date&gt;&lt;accession-num&gt;15608061&lt;/accession-num&gt;&lt;electronic-resource-num&gt;10.1073/pnas.0408260101&lt;/electronic-resource-num&gt;&lt;volume&gt;101&lt;/volume&gt;&lt;/record&gt;&lt;/Cite&gt;&lt;/EndNote&gt;</w:instrText>
      </w:r>
      <w:r>
        <w:rPr>
          <w:rFonts w:asciiTheme="majorHAnsi" w:hAnsiTheme="majorHAnsi"/>
        </w:rPr>
        <w:fldChar w:fldCharType="separate"/>
      </w:r>
      <w:r>
        <w:rPr>
          <w:rFonts w:asciiTheme="majorHAnsi" w:hAnsiTheme="majorHAnsi"/>
          <w:noProof/>
        </w:rPr>
        <w:t>(Zucchi et al., 2004)</w:t>
      </w:r>
      <w:r>
        <w:rPr>
          <w:rFonts w:asciiTheme="majorHAnsi" w:hAnsiTheme="majorHAnsi"/>
        </w:rPr>
        <w:fldChar w:fldCharType="end"/>
      </w:r>
      <w:r>
        <w:rPr>
          <w:rFonts w:asciiTheme="majorHAnsi" w:hAnsiTheme="majorHAnsi"/>
        </w:rPr>
        <w:t xml:space="preserve">. However, </w:t>
      </w:r>
      <w:r w:rsidRPr="00175E20">
        <w:rPr>
          <w:rFonts w:asciiTheme="majorHAnsi" w:hAnsiTheme="majorHAnsi"/>
          <w:i/>
        </w:rPr>
        <w:t>SRCAP</w:t>
      </w:r>
      <w:r w:rsidR="00327AA2">
        <w:rPr>
          <w:rFonts w:asciiTheme="majorHAnsi" w:hAnsiTheme="majorHAnsi"/>
        </w:rPr>
        <w:t xml:space="preserve"> over-</w:t>
      </w:r>
      <w:r>
        <w:rPr>
          <w:rFonts w:asciiTheme="majorHAnsi" w:hAnsiTheme="majorHAnsi"/>
        </w:rPr>
        <w:t>expression was not seen in metastati</w:t>
      </w:r>
      <w:r w:rsidR="00882D7A">
        <w:rPr>
          <w:rFonts w:asciiTheme="majorHAnsi" w:hAnsiTheme="majorHAnsi"/>
        </w:rPr>
        <w:t xml:space="preserve">c breast cancer taken from an </w:t>
      </w:r>
      <w:r w:rsidR="00C1559D">
        <w:rPr>
          <w:rFonts w:asciiTheme="majorHAnsi" w:hAnsiTheme="majorHAnsi"/>
        </w:rPr>
        <w:t>axillary</w:t>
      </w:r>
      <w:r>
        <w:rPr>
          <w:rFonts w:asciiTheme="majorHAnsi" w:hAnsiTheme="majorHAnsi"/>
        </w:rPr>
        <w:t xml:space="preserve"> node, and this was a similar pattern for </w:t>
      </w:r>
      <w:r w:rsidR="00327AA2">
        <w:rPr>
          <w:rFonts w:asciiTheme="majorHAnsi" w:hAnsiTheme="majorHAnsi"/>
        </w:rPr>
        <w:t>many other genes that were over-</w:t>
      </w:r>
      <w:r>
        <w:rPr>
          <w:rFonts w:asciiTheme="majorHAnsi" w:hAnsiTheme="majorHAnsi"/>
        </w:rPr>
        <w:t xml:space="preserve">expressed in the ductal cell breast carcinoma sample. In comparison, </w:t>
      </w:r>
      <w:proofErr w:type="spellStart"/>
      <w:r>
        <w:rPr>
          <w:rFonts w:asciiTheme="majorHAnsi" w:hAnsiTheme="majorHAnsi"/>
        </w:rPr>
        <w:t>Zucchi</w:t>
      </w:r>
      <w:proofErr w:type="spellEnd"/>
      <w:r>
        <w:rPr>
          <w:rFonts w:asciiTheme="majorHAnsi" w:hAnsiTheme="majorHAnsi"/>
        </w:rPr>
        <w:t xml:space="preserve"> et al. found that genes down regulated in the ductal cell breast carcinoma sample were also down regulated in the metastatic tumour sample. Therefore, the group hypothesised that genes that were down regulated underpin the basic formation of malignancy, while over</w:t>
      </w:r>
      <w:r w:rsidR="00327AA2">
        <w:rPr>
          <w:rFonts w:asciiTheme="majorHAnsi" w:hAnsiTheme="majorHAnsi"/>
        </w:rPr>
        <w:t>-</w:t>
      </w:r>
      <w:r>
        <w:rPr>
          <w:rFonts w:asciiTheme="majorHAnsi" w:hAnsiTheme="majorHAnsi"/>
        </w:rPr>
        <w:t xml:space="preserve">expressed genes then control the overall evolution and fate of the tumour. Interestingly another study showed that </w:t>
      </w:r>
      <w:r w:rsidRPr="00157C1D">
        <w:rPr>
          <w:rFonts w:asciiTheme="majorHAnsi" w:hAnsiTheme="majorHAnsi"/>
          <w:i/>
        </w:rPr>
        <w:t>SRCAP</w:t>
      </w:r>
      <w:r w:rsidR="00882D7A">
        <w:rPr>
          <w:rFonts w:asciiTheme="majorHAnsi" w:hAnsiTheme="majorHAnsi"/>
        </w:rPr>
        <w:t xml:space="preserve"> was up-</w:t>
      </w:r>
      <w:r>
        <w:rPr>
          <w:rFonts w:asciiTheme="majorHAnsi" w:hAnsiTheme="majorHAnsi"/>
        </w:rPr>
        <w:t xml:space="preserve">regulated in primary prostate cancer samples, however, when assessing metastatic prostate tumour there was a down regulation of </w:t>
      </w:r>
      <w:r w:rsidRPr="00157C1D">
        <w:rPr>
          <w:rFonts w:asciiTheme="majorHAnsi" w:hAnsiTheme="majorHAnsi"/>
          <w:i/>
        </w:rPr>
        <w:t>SRCAP</w:t>
      </w:r>
      <w:r>
        <w:rPr>
          <w:rFonts w:asciiTheme="majorHAnsi" w:hAnsiTheme="majorHAnsi"/>
        </w:rPr>
        <w:t xml:space="preserve"> </w:t>
      </w:r>
      <w:r>
        <w:rPr>
          <w:rFonts w:asciiTheme="majorHAnsi" w:hAnsiTheme="majorHAnsi"/>
        </w:rPr>
        <w:fldChar w:fldCharType="begin">
          <w:fldData xml:space="preserve">PEVuZE5vdGU+PENpdGU+PEF1dGhvcj5CaWFuY28tTWlvdHRvPC9BdXRob3I+PFllYXI+MjAxMDwv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PEVuZE5vdGU+PENpdGU+PEF1dGhvcj5CaWFuY28tTWlvdHRvPC9BdXRob3I+PFllYXI+MjAxMDwv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(Bianco-Miotto et al., 2010)</w:t>
      </w:r>
      <w:r>
        <w:rPr>
          <w:rFonts w:asciiTheme="majorHAnsi" w:hAnsiTheme="majorHAnsi"/>
        </w:rPr>
        <w:fldChar w:fldCharType="end"/>
      </w:r>
      <w:r w:rsidR="00882D7A">
        <w:rPr>
          <w:rFonts w:asciiTheme="majorHAnsi" w:hAnsiTheme="majorHAnsi"/>
        </w:rPr>
        <w:t>. These</w:t>
      </w:r>
      <w:r>
        <w:rPr>
          <w:rFonts w:asciiTheme="majorHAnsi" w:hAnsiTheme="majorHAnsi"/>
        </w:rPr>
        <w:t xml:space="preserve"> two studies </w:t>
      </w:r>
      <w:r w:rsidR="00327AA2">
        <w:rPr>
          <w:rFonts w:asciiTheme="majorHAnsi" w:hAnsiTheme="majorHAnsi"/>
        </w:rPr>
        <w:t>therefore suggest that the over-</w:t>
      </w:r>
      <w:r>
        <w:rPr>
          <w:rFonts w:asciiTheme="majorHAnsi" w:hAnsiTheme="majorHAnsi"/>
        </w:rPr>
        <w:t xml:space="preserve">expression of </w:t>
      </w:r>
      <w:r w:rsidRPr="00157C1D">
        <w:rPr>
          <w:rFonts w:asciiTheme="majorHAnsi" w:hAnsiTheme="majorHAnsi"/>
          <w:i/>
        </w:rPr>
        <w:t>SRCAP</w:t>
      </w:r>
      <w:r>
        <w:rPr>
          <w:rFonts w:asciiTheme="majorHAnsi" w:hAnsiTheme="majorHAnsi"/>
        </w:rPr>
        <w:t xml:space="preserve"> may play an early role in tumourigenesis, but possibly not </w:t>
      </w:r>
      <w:r w:rsidR="00882D7A">
        <w:rPr>
          <w:rFonts w:asciiTheme="majorHAnsi" w:hAnsiTheme="majorHAnsi"/>
        </w:rPr>
        <w:t xml:space="preserve">in </w:t>
      </w:r>
      <w:r>
        <w:rPr>
          <w:rFonts w:asciiTheme="majorHAnsi" w:hAnsiTheme="majorHAnsi"/>
        </w:rPr>
        <w:t xml:space="preserve">progression of more aggressive late stage tumours. </w:t>
      </w:r>
    </w:p>
    <w:p w14:paraId="733CDFDB" w14:textId="77777777" w:rsidR="00091260" w:rsidRDefault="00091260" w:rsidP="00091260">
      <w:pPr>
        <w:spacing w:line="360" w:lineRule="auto"/>
        <w:jc w:val="both"/>
        <w:rPr>
          <w:rFonts w:asciiTheme="majorHAnsi" w:hAnsiTheme="majorHAnsi"/>
        </w:rPr>
      </w:pPr>
    </w:p>
    <w:p w14:paraId="0164BAD7" w14:textId="540863D0" w:rsidR="00091260" w:rsidRDefault="00091260" w:rsidP="00091260">
      <w:pPr>
        <w:spacing w:line="360" w:lineRule="auto"/>
        <w:jc w:val="both"/>
        <w:rPr>
          <w:rFonts w:asciiTheme="majorHAnsi" w:hAnsiTheme="majorHAnsi"/>
        </w:rPr>
      </w:pPr>
      <w:r>
        <w:rPr>
          <w:rFonts w:asciiTheme="majorHAnsi" w:hAnsiTheme="majorHAnsi"/>
        </w:rPr>
        <w:t xml:space="preserve">Although </w:t>
      </w:r>
      <w:r w:rsidRPr="00175E20">
        <w:rPr>
          <w:rFonts w:asciiTheme="majorHAnsi" w:hAnsiTheme="majorHAnsi"/>
          <w:i/>
        </w:rPr>
        <w:t>SRCAP</w:t>
      </w:r>
      <w:r w:rsidR="00327AA2">
        <w:rPr>
          <w:rFonts w:asciiTheme="majorHAnsi" w:hAnsiTheme="majorHAnsi"/>
        </w:rPr>
        <w:t xml:space="preserve"> over-</w:t>
      </w:r>
      <w:r>
        <w:rPr>
          <w:rFonts w:asciiTheme="majorHAnsi" w:hAnsiTheme="majorHAnsi"/>
        </w:rPr>
        <w:t xml:space="preserve">expression had previously been shown in cancers, it wasn’t until </w:t>
      </w:r>
      <w:r w:rsidR="002F38DD">
        <w:rPr>
          <w:rFonts w:asciiTheme="majorHAnsi" w:hAnsiTheme="majorHAnsi"/>
        </w:rPr>
        <w:t>2010 that</w:t>
      </w:r>
      <w:r>
        <w:rPr>
          <w:rFonts w:asciiTheme="majorHAnsi" w:hAnsiTheme="majorHAnsi"/>
        </w:rPr>
        <w:t xml:space="preserve"> it was shown that </w:t>
      </w:r>
      <w:r w:rsidRPr="00276A61">
        <w:rPr>
          <w:rFonts w:asciiTheme="majorHAnsi" w:hAnsiTheme="majorHAnsi"/>
        </w:rPr>
        <w:t>SRCAP</w:t>
      </w:r>
      <w:r>
        <w:rPr>
          <w:rFonts w:asciiTheme="majorHAnsi" w:hAnsiTheme="majorHAnsi"/>
        </w:rPr>
        <w:t xml:space="preserve"> could potentially be a </w:t>
      </w:r>
      <w:r w:rsidR="00882D7A">
        <w:rPr>
          <w:rFonts w:asciiTheme="majorHAnsi" w:hAnsiTheme="majorHAnsi"/>
        </w:rPr>
        <w:t xml:space="preserve">tumour </w:t>
      </w:r>
      <w:r>
        <w:rPr>
          <w:rFonts w:asciiTheme="majorHAnsi" w:hAnsiTheme="majorHAnsi"/>
        </w:rPr>
        <w:t>driver</w:t>
      </w:r>
      <w:r w:rsidR="00A373B1">
        <w:rPr>
          <w:rFonts w:asciiTheme="majorHAnsi" w:hAnsiTheme="majorHAnsi"/>
        </w:rPr>
        <w:t xml:space="preserve"> </w:t>
      </w:r>
      <w:r w:rsidR="002F38DD">
        <w:rPr>
          <w:rFonts w:asciiTheme="majorHAnsi" w:hAnsiTheme="majorHAnsi"/>
        </w:rPr>
        <w:fldChar w:fldCharType="begin">
          <w:fldData xml:space="preserve">PEVuZE5vdGU+PENpdGUgRXhjbHVkZVllYXI9IjEiPjxBdXRob3I+U2x1cGlhbmVrPC9BdXRob3I+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</w:fldData>
        </w:fldChar>
      </w:r>
      <w:r w:rsidR="002F38DD">
        <w:rPr>
          <w:rFonts w:asciiTheme="majorHAnsi" w:hAnsiTheme="majorHAnsi"/>
        </w:rPr>
        <w:instrText xml:space="preserve"> ADDIN EN.CITE </w:instrText>
      </w:r>
      <w:r w:rsidR="002F38DD">
        <w:rPr>
          <w:rFonts w:asciiTheme="majorHAnsi" w:hAnsiTheme="majorHAnsi"/>
        </w:rPr>
        <w:fldChar w:fldCharType="begin">
          <w:fldData xml:space="preserve">PEVuZE5vdGU+PENpdGUgRXhjbHVkZVllYXI9IjEiPjxBdXRob3I+U2x1cGlhbmVrPC9BdXRob3I+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</w:fldData>
        </w:fldChar>
      </w:r>
      <w:r w:rsidR="002F38DD">
        <w:rPr>
          <w:rFonts w:asciiTheme="majorHAnsi" w:hAnsiTheme="majorHAnsi"/>
        </w:rPr>
        <w:instrText xml:space="preserve"> ADDIN EN.CITE.DATA </w:instrText>
      </w:r>
      <w:r w:rsidR="002F38DD">
        <w:rPr>
          <w:rFonts w:asciiTheme="majorHAnsi" w:hAnsiTheme="majorHAnsi"/>
        </w:rPr>
      </w:r>
      <w:r w:rsidR="002F38DD">
        <w:rPr>
          <w:rFonts w:asciiTheme="majorHAnsi" w:hAnsiTheme="majorHAnsi"/>
        </w:rPr>
        <w:fldChar w:fldCharType="end"/>
      </w:r>
      <w:r w:rsidR="002F38DD">
        <w:rPr>
          <w:rFonts w:asciiTheme="majorHAnsi" w:hAnsiTheme="majorHAnsi"/>
        </w:rPr>
      </w:r>
      <w:r w:rsidR="002F38DD">
        <w:rPr>
          <w:rFonts w:asciiTheme="majorHAnsi" w:hAnsiTheme="majorHAnsi"/>
        </w:rPr>
        <w:fldChar w:fldCharType="separate"/>
      </w:r>
      <w:r w:rsidR="002F38DD">
        <w:rPr>
          <w:rFonts w:asciiTheme="majorHAnsi" w:hAnsiTheme="majorHAnsi"/>
          <w:noProof/>
        </w:rPr>
        <w:t>(Slupianek et al.)</w:t>
      </w:r>
      <w:r w:rsidR="002F38DD">
        <w:rPr>
          <w:rFonts w:asciiTheme="majorHAnsi" w:hAnsiTheme="majorHAnsi"/>
        </w:rPr>
        <w:fldChar w:fldCharType="end"/>
      </w:r>
      <w:r w:rsidR="002F38DD">
        <w:rPr>
          <w:rFonts w:asciiTheme="majorHAnsi" w:hAnsiTheme="majorHAnsi"/>
        </w:rPr>
        <w:t>,</w:t>
      </w:r>
      <w:r>
        <w:rPr>
          <w:rFonts w:asciiTheme="majorHAnsi" w:hAnsiTheme="majorHAnsi"/>
        </w:rPr>
        <w:t xml:space="preserve"> by having a pro-proliferative role within androgen-dependent prostate cancer. Slupianek et al. found that the SRCAP protein interacted with the prostate specific antigen (PSA) promoter. PSA is a well-known marker used in the prognosis and treatment response for prostate cancer, and upon SRCAP depletion cellular PSA levels also decreased. In addition, SRCAP depletion within a cell model of prostate cancer resulted in a decrease in cellular proliferation, indicating that SRCAP could play a central role in tumour growth. Although the authors showed that the chromatin </w:t>
      </w:r>
      <w:r w:rsidR="00E82D3B">
        <w:rPr>
          <w:rFonts w:asciiTheme="majorHAnsi" w:hAnsiTheme="majorHAnsi"/>
        </w:rPr>
        <w:t>remodeller</w:t>
      </w:r>
      <w:r>
        <w:rPr>
          <w:rFonts w:asciiTheme="majorHAnsi" w:hAnsiTheme="majorHAnsi"/>
        </w:rPr>
        <w:t xml:space="preserve"> was expressed in both normal prostate tissue as well as tumour tissue by immunohistological staining, they didn’t quantify these levels or investigate </w:t>
      </w:r>
      <w:r w:rsidR="00882D7A">
        <w:rPr>
          <w:rFonts w:asciiTheme="majorHAnsi" w:hAnsiTheme="majorHAnsi"/>
        </w:rPr>
        <w:t>whether</w:t>
      </w:r>
      <w:r>
        <w:rPr>
          <w:rFonts w:asciiTheme="majorHAnsi" w:hAnsiTheme="majorHAnsi"/>
        </w:rPr>
        <w:t xml:space="preserve"> levels differed depending on tumour s</w:t>
      </w:r>
      <w:r w:rsidR="00882D7A">
        <w:rPr>
          <w:rFonts w:asciiTheme="majorHAnsi" w:hAnsiTheme="majorHAnsi"/>
        </w:rPr>
        <w:t>tage. The gene expression array data</w:t>
      </w:r>
      <w:r>
        <w:rPr>
          <w:rFonts w:asciiTheme="majorHAnsi" w:hAnsiTheme="majorHAnsi"/>
        </w:rPr>
        <w:t xml:space="preserve"> from patient tumours plus the pro-proliferative </w:t>
      </w:r>
      <w:r w:rsidRPr="00C424F4">
        <w:rPr>
          <w:rFonts w:asciiTheme="majorHAnsi" w:hAnsiTheme="majorHAnsi"/>
          <w:i/>
        </w:rPr>
        <w:t>in vitro</w:t>
      </w:r>
      <w:r>
        <w:rPr>
          <w:rFonts w:asciiTheme="majorHAnsi" w:hAnsiTheme="majorHAnsi"/>
        </w:rPr>
        <w:t xml:space="preserve"> data by Slupianek et al. hints at a potential role for </w:t>
      </w:r>
      <w:r w:rsidRPr="00276A61">
        <w:rPr>
          <w:rFonts w:asciiTheme="majorHAnsi" w:hAnsiTheme="majorHAnsi"/>
        </w:rPr>
        <w:t>SRCAP</w:t>
      </w:r>
      <w:r>
        <w:rPr>
          <w:rFonts w:asciiTheme="majorHAnsi" w:hAnsiTheme="majorHAnsi"/>
        </w:rPr>
        <w:t xml:space="preserve"> in driving tumour initiation in a number of different cancer types</w:t>
      </w:r>
      <w:r w:rsidR="00882D7A">
        <w:rPr>
          <w:rFonts w:asciiTheme="majorHAnsi" w:hAnsiTheme="majorHAnsi"/>
        </w:rPr>
        <w:t xml:space="preserve">. It has also been observed in TCGA data that SRCAP is mutated in several types of tumour </w:t>
      </w:r>
      <w:r w:rsidR="00B27EC8">
        <w:rPr>
          <w:rFonts w:asciiTheme="majorHAnsi" w:hAnsiTheme="majorHAnsi"/>
        </w:rPr>
        <w:t>(Figure 3.1)</w:t>
      </w:r>
      <w:r>
        <w:rPr>
          <w:rFonts w:asciiTheme="majorHAnsi" w:hAnsiTheme="majorHAnsi"/>
        </w:rPr>
        <w:t xml:space="preserve">. </w:t>
      </w:r>
    </w:p>
    <w:p w14:paraId="1C68AE2D" w14:textId="014005E8" w:rsidR="00443E84" w:rsidRDefault="00FD4F82" w:rsidP="00091260">
      <w:pPr>
        <w:spacing w:line="360" w:lineRule="auto"/>
        <w:jc w:val="both"/>
        <w:rPr>
          <w:rFonts w:asciiTheme="majorHAnsi" w:hAnsiTheme="majorHAnsi"/>
        </w:rPr>
      </w:pPr>
      <w:r>
        <w:rPr>
          <w:rFonts w:asciiTheme="majorHAnsi" w:hAnsiTheme="majorHAnsi"/>
          <w:noProof/>
          <w:lang w:val="en-US"/>
        </w:rPr>
        <w:drawing>
          <wp:anchor distT="0" distB="0" distL="114300" distR="114300" simplePos="0" relativeHeight="252141568" behindDoc="0" locked="0" layoutInCell="1" allowOverlap="1" wp14:anchorId="01275D45" wp14:editId="102F4D42">
            <wp:simplePos x="0" y="0"/>
            <wp:positionH relativeFrom="column">
              <wp:posOffset>685800</wp:posOffset>
            </wp:positionH>
            <wp:positionV relativeFrom="paragraph">
              <wp:posOffset>154305</wp:posOffset>
            </wp:positionV>
            <wp:extent cx="3886200" cy="2690495"/>
            <wp:effectExtent l="0" t="0" r="0" b="1905"/>
            <wp:wrapSquare wrapText="bothSides"/>
            <wp:docPr id="383" name="Picture 383" descr="Macintosh HD:Users:ClairFellows:Desktop:Screen Shot 2017-11-24 at 14.1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11-24 at 14.18.1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86200" cy="2690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EA8F2" w14:textId="5C46B603" w:rsidR="00443E84" w:rsidRDefault="00443E84" w:rsidP="00091260">
      <w:pPr>
        <w:spacing w:line="360" w:lineRule="auto"/>
        <w:jc w:val="both"/>
        <w:rPr>
          <w:rFonts w:asciiTheme="majorHAnsi" w:hAnsiTheme="majorHAnsi"/>
        </w:rPr>
      </w:pPr>
    </w:p>
    <w:p w14:paraId="10607B56" w14:textId="6A43BCF7" w:rsidR="00091260" w:rsidRDefault="00091260" w:rsidP="00091260">
      <w:pPr>
        <w:spacing w:line="360" w:lineRule="auto"/>
        <w:jc w:val="both"/>
        <w:rPr>
          <w:rFonts w:asciiTheme="majorHAnsi" w:hAnsiTheme="majorHAnsi"/>
        </w:rPr>
      </w:pPr>
    </w:p>
    <w:p w14:paraId="04501D8D" w14:textId="77777777" w:rsidR="00FD4F82" w:rsidRDefault="00FD4F82" w:rsidP="00091260">
      <w:pPr>
        <w:spacing w:line="360" w:lineRule="auto"/>
        <w:jc w:val="both"/>
        <w:rPr>
          <w:rFonts w:asciiTheme="majorHAnsi" w:hAnsiTheme="majorHAnsi"/>
        </w:rPr>
      </w:pPr>
    </w:p>
    <w:p w14:paraId="108A5C81" w14:textId="77777777" w:rsidR="00FD4F82" w:rsidRDefault="00FD4F82" w:rsidP="00091260">
      <w:pPr>
        <w:spacing w:line="360" w:lineRule="auto"/>
        <w:jc w:val="both"/>
        <w:rPr>
          <w:rFonts w:asciiTheme="majorHAnsi" w:hAnsiTheme="majorHAnsi"/>
        </w:rPr>
      </w:pPr>
    </w:p>
    <w:p w14:paraId="270B6FC5" w14:textId="77777777" w:rsidR="00FD4F82" w:rsidRDefault="00FD4F82" w:rsidP="00091260">
      <w:pPr>
        <w:spacing w:line="360" w:lineRule="auto"/>
        <w:jc w:val="both"/>
        <w:rPr>
          <w:rFonts w:asciiTheme="majorHAnsi" w:hAnsiTheme="majorHAnsi"/>
        </w:rPr>
      </w:pPr>
    </w:p>
    <w:p w14:paraId="7CCBA72A" w14:textId="77777777" w:rsidR="00FD4F82" w:rsidRDefault="00FD4F82" w:rsidP="00091260">
      <w:pPr>
        <w:spacing w:line="360" w:lineRule="auto"/>
        <w:jc w:val="both"/>
        <w:rPr>
          <w:rFonts w:asciiTheme="majorHAnsi" w:hAnsiTheme="majorHAnsi"/>
        </w:rPr>
      </w:pPr>
    </w:p>
    <w:p w14:paraId="2BD8E4DB" w14:textId="77777777" w:rsidR="00FD4F82" w:rsidRDefault="00FD4F82" w:rsidP="00091260">
      <w:pPr>
        <w:spacing w:line="360" w:lineRule="auto"/>
        <w:jc w:val="both"/>
        <w:rPr>
          <w:rFonts w:asciiTheme="majorHAnsi" w:hAnsiTheme="majorHAnsi"/>
        </w:rPr>
      </w:pPr>
    </w:p>
    <w:p w14:paraId="3AD05CEE" w14:textId="4744ED99" w:rsidR="00FD4F82" w:rsidRDefault="00FD4F82" w:rsidP="00091260">
      <w:pPr>
        <w:spacing w:line="360" w:lineRule="auto"/>
        <w:jc w:val="both"/>
        <w:rPr>
          <w:rFonts w:asciiTheme="majorHAnsi" w:hAnsiTheme="majorHAnsi"/>
        </w:rPr>
      </w:pPr>
      <w:r>
        <w:rPr>
          <w:rFonts w:asciiTheme="majorHAnsi" w:hAnsiTheme="majorHAnsi"/>
          <w:noProof/>
          <w:lang w:val="en-US"/>
        </w:rPr>
        <w:drawing>
          <wp:anchor distT="0" distB="0" distL="114300" distR="114300" simplePos="0" relativeHeight="252142592" behindDoc="0" locked="0" layoutInCell="1" allowOverlap="1" wp14:anchorId="43DFE020" wp14:editId="7531107E">
            <wp:simplePos x="0" y="0"/>
            <wp:positionH relativeFrom="column">
              <wp:posOffset>0</wp:posOffset>
            </wp:positionH>
            <wp:positionV relativeFrom="paragraph">
              <wp:posOffset>588645</wp:posOffset>
            </wp:positionV>
            <wp:extent cx="5395595" cy="1448435"/>
            <wp:effectExtent l="0" t="0" r="0" b="0"/>
            <wp:wrapSquare wrapText="bothSides"/>
            <wp:docPr id="132" name="Picture 132" descr="Macintosh HD:Users:ClairFellows:Desktop:Screen Shot 2017-11-24 at 14.1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11-24 at 14.18.2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5595" cy="1448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BD505" w14:textId="77777777" w:rsidR="00FD4F82" w:rsidRDefault="00FD4F82" w:rsidP="00091260">
      <w:pPr>
        <w:spacing w:line="360" w:lineRule="auto"/>
        <w:jc w:val="both"/>
        <w:rPr>
          <w:rFonts w:asciiTheme="majorHAnsi" w:hAnsiTheme="majorHAnsi"/>
        </w:rPr>
      </w:pPr>
    </w:p>
    <w:p w14:paraId="606852AE" w14:textId="12573DC0" w:rsidR="00091260" w:rsidRDefault="00FD4F82" w:rsidP="00091260">
      <w:pPr>
        <w:spacing w:line="360" w:lineRule="auto"/>
        <w:jc w:val="both"/>
        <w:rPr>
          <w:rFonts w:asciiTheme="majorHAnsi" w:hAnsiTheme="majorHAnsi"/>
        </w:rPr>
      </w:pPr>
      <w:r>
        <w:rPr>
          <w:noProof/>
          <w:lang w:val="en-US"/>
        </w:rPr>
        <mc:AlternateContent>
          <mc:Choice Requires="wps">
            <w:drawing>
              <wp:anchor distT="0" distB="0" distL="114300" distR="114300" simplePos="0" relativeHeight="252140544" behindDoc="0" locked="0" layoutInCell="1" allowOverlap="1" wp14:anchorId="75562C59" wp14:editId="7E2DEB06">
                <wp:simplePos x="0" y="0"/>
                <wp:positionH relativeFrom="column">
                  <wp:posOffset>0</wp:posOffset>
                </wp:positionH>
                <wp:positionV relativeFrom="paragraph">
                  <wp:posOffset>1593215</wp:posOffset>
                </wp:positionV>
                <wp:extent cx="5372100" cy="1143000"/>
                <wp:effectExtent l="0" t="0" r="0" b="0"/>
                <wp:wrapSquare wrapText="bothSides"/>
                <wp:docPr id="379" name="Text Box 379"/>
                <wp:cNvGraphicFramePr/>
                <a:graphic xmlns:a="http://schemas.openxmlformats.org/drawingml/2006/main">
                  <a:graphicData uri="http://schemas.microsoft.com/office/word/2010/wordprocessingShape">
                    <wps:wsp>
                      <wps:cNvSpPr txBox="1"/>
                      <wps:spPr>
                        <a:xfrm>
                          <a:off x="0" y="0"/>
                          <a:ext cx="53721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46A9CE" w14:textId="78678DF7" w:rsidR="00E82D3B" w:rsidRPr="00D42CA7" w:rsidRDefault="00E82D3B" w:rsidP="00D42CA7">
                            <w:pPr>
                              <w:jc w:val="both"/>
                              <w:rPr>
                                <w:b/>
                                <w:sz w:val="22"/>
                                <w:szCs w:val="22"/>
                              </w:rPr>
                            </w:pPr>
                            <w:r w:rsidRPr="00D42CA7">
                              <w:rPr>
                                <w:b/>
                                <w:sz w:val="22"/>
                                <w:szCs w:val="22"/>
                              </w:rPr>
                              <w:t>Figure 3.1 SRCAP aberrations within different cancers</w:t>
                            </w:r>
                          </w:p>
                          <w:p w14:paraId="37BE3C1C" w14:textId="5B987E0F" w:rsidR="00E82D3B" w:rsidRPr="00D42CA7" w:rsidRDefault="00E82D3B" w:rsidP="00D42CA7">
                            <w:pPr>
                              <w:jc w:val="both"/>
                              <w:rPr>
                                <w:sz w:val="22"/>
                                <w:szCs w:val="22"/>
                              </w:rPr>
                            </w:pPr>
                            <w:r w:rsidRPr="00D42CA7">
                              <w:rPr>
                                <w:sz w:val="22"/>
                                <w:szCs w:val="22"/>
                              </w:rPr>
                              <w:t xml:space="preserve">The above graph highlights the number of cases with mutations to SRCAP in data sets from the TCGA bio-portal. This highlights that aberrations to SRCAP have been found within a wide variety of cancers, with CRC having one of the highest frequency of SRCAP mutations at 11.28% (Taken from the TCGA Nov. 2017).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9" o:spid="_x0000_s1034" type="#_x0000_t202" style="position:absolute;left:0;text-align:left;margin-left:0;margin-top:125.45pt;width:423pt;height:90pt;z-index:25214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" filled="f" stroked="f">
                <v:textbox>
                  <w:txbxContent>
                    <w:p w14:paraId="5346A9CE" w14:textId="78678DF7" w:rsidR="000A1E0D" w:rsidRPr="00D42CA7" w:rsidRDefault="000A1E0D" w:rsidP="00D42CA7">
                      <w:pPr>
                        <w:jc w:val="both"/>
                        <w:rPr>
                          <w:b/>
                          <w:sz w:val="22"/>
                          <w:szCs w:val="22"/>
                        </w:rPr>
                      </w:pPr>
                      <w:r w:rsidRPr="00D42CA7">
                        <w:rPr>
                          <w:b/>
                          <w:sz w:val="22"/>
                          <w:szCs w:val="22"/>
                        </w:rPr>
                        <w:t>Figure 3.1 SRCAP aberrations within different cancers</w:t>
                      </w:r>
                    </w:p>
                    <w:p w14:paraId="37BE3C1C" w14:textId="5B987E0F" w:rsidR="000A1E0D" w:rsidRPr="00D42CA7" w:rsidRDefault="000A1E0D" w:rsidP="00D42CA7">
                      <w:pPr>
                        <w:jc w:val="both"/>
                        <w:rPr>
                          <w:sz w:val="22"/>
                          <w:szCs w:val="22"/>
                        </w:rPr>
                      </w:pPr>
                      <w:r w:rsidRPr="00D42CA7">
                        <w:rPr>
                          <w:sz w:val="22"/>
                          <w:szCs w:val="22"/>
                        </w:rPr>
                        <w:t xml:space="preserve">The above graph highlights the number of cases with mutations to SRCAP in data sets from the TCGA bio-portal. This highlights that aberrations to SRCAP have been found within a wide variety of cancers, with CRC having one of the highest frequency of SRCAP mutations at 11.28% (Taken from the TCGA Nov. 2017). </w:t>
                      </w:r>
                    </w:p>
                  </w:txbxContent>
                </v:textbox>
                <w10:wrap type="square"/>
              </v:shape>
            </w:pict>
          </mc:Fallback>
        </mc:AlternateContent>
      </w:r>
      <w:r w:rsidR="00882D7A">
        <w:rPr>
          <w:rFonts w:asciiTheme="majorHAnsi" w:hAnsiTheme="majorHAnsi"/>
        </w:rPr>
        <w:t xml:space="preserve">As mentioned </w:t>
      </w:r>
      <w:r w:rsidR="00091260">
        <w:rPr>
          <w:rFonts w:asciiTheme="majorHAnsi" w:hAnsiTheme="majorHAnsi"/>
        </w:rPr>
        <w:t>in the introduction (section 1.5.IV) it is well known that changes to H2A.Z deposition within the nucleosome have an impact on cancer progression, and therefore aberrations to the protein which catalyses th</w:t>
      </w:r>
      <w:r w:rsidR="00882D7A">
        <w:rPr>
          <w:rFonts w:asciiTheme="majorHAnsi" w:hAnsiTheme="majorHAnsi"/>
        </w:rPr>
        <w:t xml:space="preserve">e H2A-H2B to H2A.Z-H2B exchange; SRCAP, </w:t>
      </w:r>
      <w:r w:rsidR="00091260">
        <w:rPr>
          <w:rFonts w:asciiTheme="majorHAnsi" w:hAnsiTheme="majorHAnsi"/>
        </w:rPr>
        <w:t xml:space="preserve">could also </w:t>
      </w:r>
      <w:r w:rsidR="00882D7A">
        <w:rPr>
          <w:rFonts w:asciiTheme="majorHAnsi" w:hAnsiTheme="majorHAnsi"/>
        </w:rPr>
        <w:t>potentially</w:t>
      </w:r>
      <w:r w:rsidR="00091260">
        <w:rPr>
          <w:rFonts w:asciiTheme="majorHAnsi" w:hAnsiTheme="majorHAnsi"/>
        </w:rPr>
        <w:t xml:space="preserve"> lead to tumour progression. </w:t>
      </w:r>
      <w:r w:rsidR="00091260" w:rsidRPr="0077730F">
        <w:rPr>
          <w:rFonts w:asciiTheme="majorHAnsi" w:hAnsiTheme="majorHAnsi"/>
        </w:rPr>
        <w:t xml:space="preserve">A review by </w:t>
      </w:r>
      <w:r w:rsidR="00091260">
        <w:rPr>
          <w:rFonts w:asciiTheme="majorHAnsi" w:hAnsiTheme="majorHAnsi"/>
        </w:rPr>
        <w:t xml:space="preserve">Rangasamy </w:t>
      </w:r>
      <w:r w:rsidR="00091260">
        <w:rPr>
          <w:rFonts w:asciiTheme="majorHAnsi" w:hAnsiTheme="majorHAnsi"/>
        </w:rPr>
        <w:fldChar w:fldCharType="begin"/>
      </w:r>
      <w:r w:rsidR="00091260">
        <w:rPr>
          <w:rFonts w:asciiTheme="majorHAnsi" w:hAnsiTheme="majorHAnsi"/>
        </w:rPr>
        <w:instrText xml:space="preserve"> ADDIN EN.CITE &lt;EndNote&gt;&lt;Cite ExcludeAuth="1"&gt;&lt;Author&gt;Rangasamy&lt;/Author&gt;&lt;Year&gt;2010&lt;/Year&gt;&lt;IDText&gt;Histone variant H2A.Z can serve as a new target for breast cancer therapy&lt;/IDText&gt;&lt;DisplayText&gt;(2010)&lt;/DisplayText&gt;&lt;record&gt;&lt;keywords&gt;&lt;keyword&gt;Breast Neoplasms&lt;/keyword&gt;&lt;keyword&gt;Chromosome Segregation&lt;/keyword&gt;&lt;keyword&gt;Epigenesis, Genetic&lt;/keyword&gt;&lt;keyword&gt;Female&lt;/keyword&gt;&lt;keyword&gt;Genomic Instability&lt;/keyword&gt;&lt;keyword&gt;Histones&lt;/keyword&gt;&lt;keyword&gt;Humans&lt;/keyword&gt;&lt;keyword&gt;Proto-Oncogene Proteins c-myc&lt;/keyword&gt;&lt;/keywords&gt;&lt;urls&gt;&lt;related-urls&gt;&lt;url&gt;http://www.ncbi.nlm.nih.gov/pubmed/20666725&lt;/url&gt;&lt;/related-urls&gt;&lt;/urls&gt;&lt;isbn&gt;1875-533X&lt;/isbn&gt;&lt;titles&gt;&lt;title&gt;Histone variant H2A.Z can serve as a new target for breast cancer therapy&lt;/title&gt;&lt;secondary-title&gt;Curr Med Chem&lt;/secondary-title&gt;&lt;/titles&gt;&lt;pages&gt;3155-61&lt;/pages&gt;&lt;number&gt;28&lt;/number&gt;&lt;contributors&gt;&lt;authors&gt;&lt;author&gt;Rangasamy, D.&lt;/author&gt;&lt;/authors&gt;&lt;/contributors&gt;&lt;language&gt;eng&lt;/language&gt;&lt;added-date format="utc"&gt;1425998419&lt;/added-date&gt;&lt;ref-type name="Journal Article"&gt;17&lt;/ref-type&gt;&lt;dates&gt;&lt;year&gt;2010&lt;/year&gt;&lt;/dates&gt;&lt;rec-number&gt;88&lt;/rec-number&gt;&lt;last-updated-date format="utc"&gt;1447344248&lt;/last-updated-date&gt;&lt;accession-num&gt;20666725&lt;/accession-num&gt;&lt;volume&gt;17&lt;/volume&gt;&lt;/record&gt;&lt;/Cite&gt;&lt;/EndNote&gt;</w:instrText>
      </w:r>
      <w:r w:rsidR="00091260">
        <w:rPr>
          <w:rFonts w:asciiTheme="majorHAnsi" w:hAnsiTheme="majorHAnsi"/>
        </w:rPr>
        <w:fldChar w:fldCharType="separate"/>
      </w:r>
      <w:r w:rsidR="00091260">
        <w:rPr>
          <w:rFonts w:asciiTheme="majorHAnsi" w:hAnsiTheme="majorHAnsi"/>
          <w:noProof/>
        </w:rPr>
        <w:t>(2010)</w:t>
      </w:r>
      <w:r w:rsidR="00091260">
        <w:rPr>
          <w:rFonts w:asciiTheme="majorHAnsi" w:hAnsiTheme="majorHAnsi"/>
        </w:rPr>
        <w:fldChar w:fldCharType="end"/>
      </w:r>
      <w:r w:rsidR="00091260">
        <w:rPr>
          <w:rFonts w:asciiTheme="majorHAnsi" w:hAnsiTheme="majorHAnsi"/>
        </w:rPr>
        <w:t>,</w:t>
      </w:r>
      <w:r w:rsidR="00091260" w:rsidRPr="0077730F">
        <w:rPr>
          <w:rFonts w:asciiTheme="majorHAnsi" w:hAnsiTheme="majorHAnsi"/>
        </w:rPr>
        <w:t xml:space="preserve"> showed that there is a fine balance required in the levels of the histon</w:t>
      </w:r>
      <w:r w:rsidR="00091260">
        <w:rPr>
          <w:rFonts w:asciiTheme="majorHAnsi" w:hAnsiTheme="majorHAnsi"/>
        </w:rPr>
        <w:t>e variant H2A.</w:t>
      </w:r>
      <w:r w:rsidR="00091260" w:rsidRPr="0077730F">
        <w:rPr>
          <w:rFonts w:asciiTheme="majorHAnsi" w:hAnsiTheme="majorHAnsi"/>
        </w:rPr>
        <w:t xml:space="preserve">Z in order to maintain </w:t>
      </w:r>
      <w:r w:rsidR="00091260">
        <w:rPr>
          <w:rFonts w:asciiTheme="majorHAnsi" w:hAnsiTheme="majorHAnsi"/>
        </w:rPr>
        <w:t>functioning cellular mechanisms</w:t>
      </w:r>
      <w:r w:rsidR="004D0EED">
        <w:rPr>
          <w:rFonts w:asciiTheme="majorHAnsi" w:hAnsiTheme="majorHAnsi"/>
        </w:rPr>
        <w:t>,</w:t>
      </w:r>
      <w:r w:rsidR="00091260">
        <w:rPr>
          <w:rFonts w:asciiTheme="majorHAnsi" w:hAnsiTheme="majorHAnsi"/>
        </w:rPr>
        <w:t xml:space="preserve"> which don’t lead to aberrations to the DNA</w:t>
      </w:r>
      <w:r w:rsidR="00A23FE7">
        <w:rPr>
          <w:rFonts w:asciiTheme="majorHAnsi" w:hAnsiTheme="majorHAnsi"/>
        </w:rPr>
        <w:t>. An up-r</w:t>
      </w:r>
      <w:r w:rsidR="00091260" w:rsidRPr="0077730F">
        <w:rPr>
          <w:rFonts w:asciiTheme="majorHAnsi" w:hAnsiTheme="majorHAnsi"/>
        </w:rPr>
        <w:t xml:space="preserve">egulation </w:t>
      </w:r>
      <w:r w:rsidR="00091260">
        <w:rPr>
          <w:rFonts w:asciiTheme="majorHAnsi" w:hAnsiTheme="majorHAnsi"/>
        </w:rPr>
        <w:t xml:space="preserve">of </w:t>
      </w:r>
      <w:r w:rsidR="00091260" w:rsidRPr="00A23FE7">
        <w:rPr>
          <w:rFonts w:asciiTheme="majorHAnsi" w:hAnsiTheme="majorHAnsi"/>
        </w:rPr>
        <w:t xml:space="preserve">H2A.Z </w:t>
      </w:r>
      <w:r w:rsidR="00091260" w:rsidRPr="0077730F">
        <w:rPr>
          <w:rFonts w:asciiTheme="majorHAnsi" w:hAnsiTheme="majorHAnsi"/>
        </w:rPr>
        <w:t xml:space="preserve">leads to increased cell growth due to </w:t>
      </w:r>
      <w:r w:rsidR="00091260">
        <w:rPr>
          <w:rFonts w:asciiTheme="majorHAnsi" w:hAnsiTheme="majorHAnsi"/>
        </w:rPr>
        <w:t xml:space="preserve">the variant </w:t>
      </w:r>
      <w:r w:rsidR="00091260" w:rsidRPr="0077730F">
        <w:rPr>
          <w:rFonts w:asciiTheme="majorHAnsi" w:hAnsiTheme="majorHAnsi"/>
        </w:rPr>
        <w:t xml:space="preserve">binding to the </w:t>
      </w:r>
      <w:r w:rsidR="00091260" w:rsidRPr="009B6C19">
        <w:rPr>
          <w:rFonts w:asciiTheme="majorHAnsi" w:hAnsiTheme="majorHAnsi"/>
          <w:i/>
        </w:rPr>
        <w:t>p21</w:t>
      </w:r>
      <w:r w:rsidR="00091260" w:rsidRPr="0077730F">
        <w:rPr>
          <w:rFonts w:asciiTheme="majorHAnsi" w:hAnsiTheme="majorHAnsi"/>
        </w:rPr>
        <w:t xml:space="preserve"> promoter and decreasing the expression of p21 (a cell cycle inhibitor)</w:t>
      </w:r>
      <w:r w:rsidR="00A23FE7">
        <w:rPr>
          <w:rFonts w:asciiTheme="majorHAnsi" w:hAnsiTheme="majorHAnsi"/>
        </w:rPr>
        <w:t>,</w:t>
      </w:r>
      <w:r w:rsidR="00091260" w:rsidRPr="0077730F">
        <w:rPr>
          <w:rFonts w:asciiTheme="majorHAnsi" w:hAnsiTheme="majorHAnsi"/>
        </w:rPr>
        <w:t xml:space="preserve"> </w:t>
      </w:r>
      <w:r w:rsidR="00091260">
        <w:rPr>
          <w:rFonts w:asciiTheme="majorHAnsi" w:hAnsiTheme="majorHAnsi"/>
        </w:rPr>
        <w:t xml:space="preserve">which tends </w:t>
      </w:r>
      <w:r w:rsidR="00091260" w:rsidRPr="0077730F">
        <w:rPr>
          <w:rFonts w:asciiTheme="majorHAnsi" w:hAnsiTheme="majorHAnsi"/>
        </w:rPr>
        <w:t>to push the cells through the cell cycle</w:t>
      </w:r>
      <w:r w:rsidR="00A219A0">
        <w:rPr>
          <w:rFonts w:asciiTheme="majorHAnsi" w:hAnsiTheme="majorHAnsi"/>
        </w:rPr>
        <w:t>, by inactivating cyclin-CDK complexes</w:t>
      </w:r>
      <w:r w:rsidR="00091260" w:rsidRPr="0077730F">
        <w:rPr>
          <w:rFonts w:asciiTheme="majorHAnsi" w:hAnsiTheme="majorHAnsi"/>
        </w:rPr>
        <w:t>. In contrast</w:t>
      </w:r>
      <w:r w:rsidR="00091260">
        <w:rPr>
          <w:rFonts w:asciiTheme="majorHAnsi" w:hAnsiTheme="majorHAnsi"/>
        </w:rPr>
        <w:t>,</w:t>
      </w:r>
      <w:r w:rsidR="00091260" w:rsidRPr="0077730F">
        <w:rPr>
          <w:rFonts w:asciiTheme="majorHAnsi" w:hAnsiTheme="majorHAnsi"/>
        </w:rPr>
        <w:t xml:space="preserve"> down regulation </w:t>
      </w:r>
      <w:r w:rsidR="00A23FE7">
        <w:rPr>
          <w:rFonts w:asciiTheme="majorHAnsi" w:hAnsiTheme="majorHAnsi"/>
        </w:rPr>
        <w:t xml:space="preserve">of H2A.Z </w:t>
      </w:r>
      <w:r w:rsidR="00091260" w:rsidRPr="0077730F">
        <w:rPr>
          <w:rFonts w:asciiTheme="majorHAnsi" w:hAnsiTheme="majorHAnsi"/>
        </w:rPr>
        <w:t xml:space="preserve">leads to transcription of </w:t>
      </w:r>
      <w:r w:rsidR="00091260" w:rsidRPr="009B6C19">
        <w:rPr>
          <w:rFonts w:asciiTheme="majorHAnsi" w:hAnsiTheme="majorHAnsi"/>
          <w:i/>
        </w:rPr>
        <w:t>p21</w:t>
      </w:r>
      <w:r w:rsidR="00091260" w:rsidRPr="0077730F">
        <w:rPr>
          <w:rFonts w:asciiTheme="majorHAnsi" w:hAnsiTheme="majorHAnsi"/>
        </w:rPr>
        <w:t xml:space="preserve"> </w:t>
      </w:r>
      <w:r w:rsidR="00091260">
        <w:rPr>
          <w:rFonts w:asciiTheme="majorHAnsi" w:hAnsiTheme="majorHAnsi"/>
        </w:rPr>
        <w:t xml:space="preserve">leading to cellular senescence </w:t>
      </w:r>
      <w:r w:rsidR="00091260">
        <w:rPr>
          <w:rFonts w:asciiTheme="majorHAnsi" w:hAnsiTheme="majorHAnsi"/>
        </w:rPr>
        <w:fldChar w:fldCharType="begin"/>
      </w:r>
      <w:r w:rsidR="00091260">
        <w:rPr>
          <w:rFonts w:asciiTheme="majorHAnsi" w:hAnsiTheme="majorHAnsi"/>
        </w:rPr>
        <w:instrText xml:space="preserve"> ADDIN EN.CITE &lt;EndNote&gt;&lt;Cite&gt;&lt;Author&gt;Gévry&lt;/Author&gt;&lt;Year&gt;2007&lt;/Year&gt;&lt;IDText&gt;p21 transcription is regulated by differential localization of histone H2A.Z&lt;/IDText&gt;&lt;DisplayText&gt;(Gévry et al., 2007)&lt;/DisplayText&gt;&lt;record&gt;&lt;dates&gt;&lt;pub-dates&gt;&lt;date&gt;Aug&lt;/date&gt;&lt;/pub-dates&gt;&lt;year&gt;2007&lt;/year&gt;&lt;/dates&gt;&lt;keywords&gt;&lt;keyword&gt;Amino Acid Sequence&lt;/keyword&gt;&lt;keyword&gt;Base Sequence&lt;/keyword&gt;&lt;keyword&gt;Binding Sites&lt;/keyword&gt;&lt;keyword&gt;Cell Aging&lt;/keyword&gt;&lt;keyword&gt;Cell Line&lt;/keyword&gt;&lt;keyword&gt;Cells, Cultured&lt;/keyword&gt;&lt;keyword&gt;Chromatin&lt;/keyword&gt;&lt;keyword&gt;Cyclin-Dependent Kinase Inhibitor p21&lt;/keyword&gt;&lt;keyword&gt;DNA Damage&lt;/keyword&gt;&lt;keyword&gt;DNA Helicases&lt;/keyword&gt;&lt;keyword&gt;DNA, Complementary&lt;/keyword&gt;&lt;keyword&gt;DNA-Binding Proteins&lt;/keyword&gt;&lt;keyword&gt;Epigenesis, Genetic&lt;/keyword&gt;&lt;keyword&gt;Fibroblasts&lt;/keyword&gt;&lt;keyword&gt;Histone Acetyltransferases&lt;/keyword&gt;&lt;keyword&gt;Histones&lt;/keyword&gt;&lt;keyword&gt;Humans&lt;/keyword&gt;&lt;keyword&gt;Molecular Sequence Data&lt;/keyword&gt;&lt;keyword&gt;Promoter Regions, Genetic&lt;/keyword&gt;&lt;keyword&gt;Proto-Oncogene Proteins c-myc&lt;/keyword&gt;&lt;keyword&gt;Transcription, Genetic&lt;/keyword&gt;&lt;keyword&gt;Tumor Suppressor Protein p53&lt;/keyword&gt;&lt;/keywords&gt;&lt;urls&gt;&lt;related-urls&gt;&lt;url&gt;http://www.ncbi.nlm.nih.gov/pubmed/17671089&lt;/url&gt;&lt;/related-urls&gt;&lt;/urls&gt;&lt;isbn&gt;0890-9369&lt;/isbn&gt;&lt;custom2&gt;PMC1935026&lt;/custom2&gt;&lt;titles&gt;&lt;title&gt;p21 transcription is regulated by differential localization of histone H2A.Z&lt;/title&gt;&lt;secondary-title&gt;Genes Dev&lt;/secondary-title&gt;&lt;/titles&gt;&lt;pages&gt;1869-81&lt;/pages&gt;&lt;number&gt;15&lt;/number&gt;&lt;contributors&gt;&lt;authors&gt;&lt;author&gt;Gévry, N.&lt;/author&gt;&lt;author&gt;Chan, H. M.&lt;/author&gt;&lt;author&gt;Laflamme, L.&lt;/author&gt;&lt;author&gt;Livingston, D. M.&lt;/author&gt;&lt;author&gt;Gaudreau, L.&lt;/author&gt;&lt;/authors&gt;&lt;/contributors&gt;&lt;language&gt;eng&lt;/language&gt;&lt;added-date format="utc"&gt;1425982080&lt;/added-date&gt;&lt;ref-type name="Journal Article"&gt;17&lt;/ref-type&gt;&lt;rec-number&gt;41&lt;/rec-number&gt;&lt;last-updated-date format="utc"&gt;1447343862&lt;/last-updated-date&gt;&lt;accession-num&gt;17671089&lt;/accession-num&gt;&lt;electronic-resource-num&gt;10.1101/gad.1545707&lt;/electronic-resource-num&gt;&lt;volume&gt;21&lt;/volume&gt;&lt;/record&gt;&lt;/Cite&gt;&lt;/EndNote&gt;</w:instrText>
      </w:r>
      <w:r w:rsidR="00091260">
        <w:rPr>
          <w:rFonts w:asciiTheme="majorHAnsi" w:hAnsiTheme="majorHAnsi"/>
        </w:rPr>
        <w:fldChar w:fldCharType="separate"/>
      </w:r>
      <w:r w:rsidR="00091260">
        <w:rPr>
          <w:rFonts w:asciiTheme="majorHAnsi" w:hAnsiTheme="majorHAnsi"/>
          <w:noProof/>
        </w:rPr>
        <w:t>(Gévry et al., 2007)</w:t>
      </w:r>
      <w:r w:rsidR="00091260">
        <w:rPr>
          <w:rFonts w:asciiTheme="majorHAnsi" w:hAnsiTheme="majorHAnsi"/>
        </w:rPr>
        <w:fldChar w:fldCharType="end"/>
      </w:r>
      <w:r w:rsidR="00091260">
        <w:rPr>
          <w:rFonts w:asciiTheme="majorHAnsi" w:hAnsiTheme="majorHAnsi"/>
        </w:rPr>
        <w:t>. Thus highlighting that any variations to SRCAP could in turn cause abnormal distribution of H2A.Z into the nucleosomes and therefore also potentially cause differences in cellular cycling. Given that SRCAP can catalyse the deposition of H2A.Z into the nucleosome, l</w:t>
      </w:r>
      <w:r w:rsidR="00091260" w:rsidRPr="0077730F">
        <w:rPr>
          <w:rFonts w:asciiTheme="majorHAnsi" w:hAnsiTheme="majorHAnsi"/>
        </w:rPr>
        <w:t xml:space="preserve">ow levels of </w:t>
      </w:r>
      <w:r w:rsidR="00091260">
        <w:rPr>
          <w:rFonts w:asciiTheme="majorHAnsi" w:hAnsiTheme="majorHAnsi"/>
        </w:rPr>
        <w:t xml:space="preserve">the chromatin </w:t>
      </w:r>
      <w:r w:rsidR="00E82D3B">
        <w:rPr>
          <w:rFonts w:asciiTheme="majorHAnsi" w:hAnsiTheme="majorHAnsi"/>
        </w:rPr>
        <w:t>remodeller</w:t>
      </w:r>
      <w:r w:rsidR="00091260" w:rsidRPr="0077730F">
        <w:rPr>
          <w:rFonts w:asciiTheme="majorHAnsi" w:hAnsiTheme="majorHAnsi"/>
        </w:rPr>
        <w:t xml:space="preserve"> could </w:t>
      </w:r>
      <w:r w:rsidR="00091260">
        <w:rPr>
          <w:rFonts w:asciiTheme="majorHAnsi" w:hAnsiTheme="majorHAnsi"/>
        </w:rPr>
        <w:t xml:space="preserve">decrease cancer cell’s proliferative nature by also decreasing the levels of H2A.Z at specific promoters such as </w:t>
      </w:r>
      <w:r w:rsidR="00091260" w:rsidRPr="00276A61">
        <w:rPr>
          <w:rFonts w:asciiTheme="majorHAnsi" w:hAnsiTheme="majorHAnsi"/>
          <w:i/>
        </w:rPr>
        <w:t>p21</w:t>
      </w:r>
      <w:r w:rsidR="00091260">
        <w:rPr>
          <w:rFonts w:asciiTheme="majorHAnsi" w:hAnsiTheme="majorHAnsi"/>
        </w:rPr>
        <w:t xml:space="preserve"> and therefore diminishing cells ability to cycle. I</w:t>
      </w:r>
      <w:r w:rsidR="00091260" w:rsidRPr="0077730F">
        <w:rPr>
          <w:rFonts w:asciiTheme="majorHAnsi" w:hAnsiTheme="majorHAnsi"/>
        </w:rPr>
        <w:t>n contrast</w:t>
      </w:r>
      <w:r w:rsidR="00091260">
        <w:rPr>
          <w:rFonts w:asciiTheme="majorHAnsi" w:hAnsiTheme="majorHAnsi"/>
        </w:rPr>
        <w:t>,</w:t>
      </w:r>
      <w:r w:rsidR="00091260" w:rsidRPr="0077730F">
        <w:rPr>
          <w:rFonts w:asciiTheme="majorHAnsi" w:hAnsiTheme="majorHAnsi"/>
        </w:rPr>
        <w:t xml:space="preserve"> high levels </w:t>
      </w:r>
      <w:r w:rsidR="00091260">
        <w:rPr>
          <w:rFonts w:asciiTheme="majorHAnsi" w:hAnsiTheme="majorHAnsi"/>
        </w:rPr>
        <w:t xml:space="preserve">of SRCAP </w:t>
      </w:r>
      <w:r w:rsidR="00091260" w:rsidRPr="0077730F">
        <w:rPr>
          <w:rFonts w:asciiTheme="majorHAnsi" w:hAnsiTheme="majorHAnsi"/>
        </w:rPr>
        <w:t>could increase proliferation and invasiveness</w:t>
      </w:r>
      <w:r w:rsidR="00091260">
        <w:rPr>
          <w:rFonts w:asciiTheme="majorHAnsi" w:hAnsiTheme="majorHAnsi"/>
        </w:rPr>
        <w:t xml:space="preserve"> by increasing the amount of nucleosomes containing H2A.Z and therefore altering transcription levels in favour of tumourigenesis</w:t>
      </w:r>
      <w:r w:rsidR="00091260" w:rsidRPr="0077730F">
        <w:rPr>
          <w:rFonts w:asciiTheme="majorHAnsi" w:hAnsiTheme="majorHAnsi"/>
        </w:rPr>
        <w:t>, making it an interesting gene for investigatio</w:t>
      </w:r>
      <w:r w:rsidR="00091260">
        <w:rPr>
          <w:rFonts w:asciiTheme="majorHAnsi" w:hAnsiTheme="majorHAnsi"/>
        </w:rPr>
        <w:t xml:space="preserve">n with regards to cancer initiation and progression. </w:t>
      </w:r>
    </w:p>
    <w:p w14:paraId="1D38CAA5" w14:textId="77777777" w:rsidR="00091260" w:rsidRDefault="00091260" w:rsidP="00091260">
      <w:pPr>
        <w:spacing w:line="360" w:lineRule="auto"/>
        <w:jc w:val="both"/>
        <w:rPr>
          <w:rFonts w:asciiTheme="majorHAnsi" w:hAnsiTheme="majorHAnsi"/>
        </w:rPr>
      </w:pPr>
    </w:p>
    <w:p w14:paraId="26C2ED9D" w14:textId="199E9645" w:rsidR="00091260" w:rsidRPr="001C54A7" w:rsidRDefault="00091260" w:rsidP="00091260">
      <w:pPr>
        <w:spacing w:line="360" w:lineRule="auto"/>
        <w:jc w:val="both"/>
        <w:rPr>
          <w:rFonts w:asciiTheme="majorHAnsi" w:hAnsiTheme="majorHAnsi"/>
        </w:rPr>
      </w:pPr>
      <w:r>
        <w:rPr>
          <w:rFonts w:asciiTheme="majorHAnsi" w:hAnsiTheme="majorHAnsi"/>
        </w:rPr>
        <w:t>We hypothesise that SRCAP is a potential driver of CRC tumour</w:t>
      </w:r>
      <w:r w:rsidR="00A23FE7">
        <w:rPr>
          <w:rFonts w:asciiTheme="majorHAnsi" w:hAnsiTheme="majorHAnsi"/>
        </w:rPr>
        <w:t>s</w:t>
      </w:r>
      <w:r>
        <w:rPr>
          <w:rFonts w:asciiTheme="majorHAnsi" w:hAnsiTheme="majorHAnsi"/>
        </w:rPr>
        <w:t xml:space="preserve"> and could therefore be a novel therapeutic target. This first results chapter </w:t>
      </w:r>
      <w:r w:rsidR="00A23FE7">
        <w:rPr>
          <w:rFonts w:asciiTheme="majorHAnsi" w:hAnsiTheme="majorHAnsi"/>
        </w:rPr>
        <w:t>describes efforts</w:t>
      </w:r>
      <w:r>
        <w:rPr>
          <w:rFonts w:asciiTheme="majorHAnsi" w:hAnsiTheme="majorHAnsi"/>
        </w:rPr>
        <w:t xml:space="preserve"> to create S</w:t>
      </w:r>
      <w:r w:rsidR="00327AA2">
        <w:rPr>
          <w:rFonts w:asciiTheme="majorHAnsi" w:hAnsiTheme="majorHAnsi"/>
        </w:rPr>
        <w:t>RCAP over-</w:t>
      </w:r>
      <w:r>
        <w:rPr>
          <w:rFonts w:asciiTheme="majorHAnsi" w:hAnsiTheme="majorHAnsi"/>
        </w:rPr>
        <w:t xml:space="preserve">expressing cell lines in order to assess how this affects the cellular phenotype and understand how </w:t>
      </w:r>
      <w:r w:rsidRPr="009B6C19">
        <w:rPr>
          <w:rFonts w:asciiTheme="majorHAnsi" w:hAnsiTheme="majorHAnsi"/>
          <w:i/>
        </w:rPr>
        <w:t>SRCAP</w:t>
      </w:r>
      <w:r>
        <w:rPr>
          <w:rFonts w:asciiTheme="majorHAnsi" w:hAnsiTheme="majorHAnsi"/>
        </w:rPr>
        <w:t xml:space="preserve"> gene amplification may impact on tumour growth and progression. To do this two methods were utilised, firstly the traditional either stable or transient transfection of a tagged vector containing the </w:t>
      </w:r>
      <w:r w:rsidRPr="009B6C19">
        <w:rPr>
          <w:rFonts w:asciiTheme="majorHAnsi" w:hAnsiTheme="majorHAnsi"/>
          <w:i/>
        </w:rPr>
        <w:t>SRCAP</w:t>
      </w:r>
      <w:r>
        <w:rPr>
          <w:rFonts w:asciiTheme="majorHAnsi" w:hAnsiTheme="majorHAnsi"/>
        </w:rPr>
        <w:t xml:space="preserve"> construc</w:t>
      </w:r>
      <w:r w:rsidR="00327AA2">
        <w:rPr>
          <w:rFonts w:asciiTheme="majorHAnsi" w:hAnsiTheme="majorHAnsi"/>
        </w:rPr>
        <w:t>t, in order to exogenously over-</w:t>
      </w:r>
      <w:r>
        <w:rPr>
          <w:rFonts w:asciiTheme="majorHAnsi" w:hAnsiTheme="majorHAnsi"/>
        </w:rPr>
        <w:t>express SRCAP, and secon</w:t>
      </w:r>
      <w:r w:rsidR="00327AA2">
        <w:rPr>
          <w:rFonts w:asciiTheme="majorHAnsi" w:hAnsiTheme="majorHAnsi"/>
        </w:rPr>
        <w:t>darily creating endogenous over-</w:t>
      </w:r>
      <w:r>
        <w:rPr>
          <w:rFonts w:asciiTheme="majorHAnsi" w:hAnsiTheme="majorHAnsi"/>
        </w:rPr>
        <w:t xml:space="preserve">expression via a CRISPR/dCas9 activation system.  </w:t>
      </w:r>
    </w:p>
    <w:p w14:paraId="17756497" w14:textId="77777777" w:rsidR="00B27EC8" w:rsidRDefault="00B27EC8" w:rsidP="00091260">
      <w:pPr>
        <w:spacing w:line="360" w:lineRule="auto"/>
        <w:jc w:val="both"/>
        <w:rPr>
          <w:rFonts w:asciiTheme="majorHAnsi" w:hAnsiTheme="majorHAnsi"/>
        </w:rPr>
      </w:pPr>
    </w:p>
    <w:p w14:paraId="745A2267" w14:textId="7468ADF9" w:rsidR="00091260" w:rsidRDefault="00091260" w:rsidP="00091260">
      <w:pPr>
        <w:spacing w:line="360" w:lineRule="auto"/>
        <w:jc w:val="both"/>
        <w:rPr>
          <w:rFonts w:asciiTheme="majorHAnsi" w:hAnsiTheme="majorHAnsi"/>
        </w:rPr>
      </w:pPr>
      <w:r w:rsidRPr="00177288">
        <w:rPr>
          <w:rFonts w:asciiTheme="majorHAnsi" w:hAnsiTheme="majorHAnsi"/>
        </w:rPr>
        <w:t>The CRISPR/Cas9 (Clustered Regularly Interspaced Short Palindromic Repeats) technology is adapted from the immune response of bacteria, where it is used as a mechanism to detect and degrade foreign material</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&lt;EndNote&gt;&lt;Cite&gt;&lt;Author&gt;Barrangou&lt;/Author&gt;&lt;Year&gt;2007&lt;/Year&gt;&lt;IDText&gt;CRISPR provides acquired resistance against viruses in prokaryotes&lt;/IDText&gt;&lt;DisplayText&gt;(Barrangou et al., 2007)&lt;/DisplayText&gt;&lt;record&gt;&lt;dates&gt;&lt;pub-dates&gt;&lt;date&gt;Mar&lt;/date&gt;&lt;/pub-dates&gt;&lt;year&gt;2007&lt;/year&gt;&lt;/dates&gt;&lt;keywords&gt;&lt;keyword&gt;DNA, Bacterial&lt;/keyword&gt;&lt;keyword&gt;DNA, Intergenic&lt;/keyword&gt;&lt;keyword&gt;Evolution, Molecular&lt;/keyword&gt;&lt;keyword&gt;Genes, Bacterial&lt;/keyword&gt;&lt;keyword&gt;Genome, Viral&lt;/keyword&gt;&lt;keyword&gt;Molecular Sequence Data&lt;/keyword&gt;&lt;keyword&gt;Mutation&lt;/keyword&gt;&lt;keyword&gt;Polymorphism, Single Nucleotide&lt;/keyword&gt;&lt;keyword&gt;Repetitive Sequences, Nucleic Acid&lt;/keyword&gt;&lt;keyword&gt;Streptococcus Phages&lt;/keyword&gt;&lt;keyword&gt;Streptococcus thermophilus&lt;/keyword&gt;&lt;keyword&gt;Viral Plaque Assay&lt;/keyword&gt;&lt;keyword&gt;Virus Replication&lt;/keyword&gt;&lt;/keywords&gt;&lt;urls&gt;&lt;related-urls&gt;&lt;url&gt;https://www.ncbi.nlm.nih.gov/pubmed/17379808&lt;/url&gt;&lt;/related-urls&gt;&lt;/urls&gt;&lt;isbn&gt;1095-9203&lt;/isbn&gt;&lt;titles&gt;&lt;title&gt;CRISPR provides acquired resistance against viruses in prokaryotes&lt;/title&gt;&lt;secondary-title&gt;Science&lt;/secondary-title&gt;&lt;/titles&gt;&lt;pages&gt;1709-12&lt;/pages&gt;&lt;number&gt;5819&lt;/number&gt;&lt;contributors&gt;&lt;authors&gt;&lt;author&gt;Barrangou, R.&lt;/author&gt;&lt;author&gt;Fremaux, C.&lt;/author&gt;&lt;author&gt;Deveau, H.&lt;/author&gt;&lt;author&gt;Richards, M.&lt;/author&gt;&lt;author&gt;Boyaval, P.&lt;/author&gt;&lt;author&gt;Moineau, S.&lt;/author&gt;&lt;author&gt;Romero, D. A.&lt;/author&gt;&lt;author&gt;Horvath, P.&lt;/author&gt;&lt;/authors&gt;&lt;/contributors&gt;&lt;language&gt;eng&lt;/language&gt;&lt;added-date format="utc"&gt;1504534142&lt;/added-date&gt;&lt;ref-type name="Journal Article"&gt;17&lt;/ref-type&gt;&lt;rec-number&gt;255&lt;/rec-number&gt;&lt;last-updated-date format="utc"&gt;1504534142&lt;/last-updated-date&gt;&lt;accession-num&gt;17379808&lt;/accession-num&gt;&lt;electronic-resource-num&gt;10.1126/science.1138140&lt;/electronic-resource-num&gt;&lt;volume&gt;315&lt;/volume&gt;&lt;/record&gt;&lt;/Cite&gt;&lt;/EndNote&gt;</w:instrText>
      </w:r>
      <w:r>
        <w:rPr>
          <w:rFonts w:asciiTheme="majorHAnsi" w:hAnsiTheme="majorHAnsi"/>
        </w:rPr>
        <w:fldChar w:fldCharType="separate"/>
      </w:r>
      <w:r>
        <w:rPr>
          <w:rFonts w:asciiTheme="majorHAnsi" w:hAnsiTheme="majorHAnsi"/>
          <w:noProof/>
        </w:rPr>
        <w:t>(Barrangou et al., 2007)</w:t>
      </w:r>
      <w:r>
        <w:rPr>
          <w:rFonts w:asciiTheme="majorHAnsi" w:hAnsiTheme="majorHAnsi"/>
        </w:rPr>
        <w:fldChar w:fldCharType="end"/>
      </w:r>
      <w:r w:rsidRPr="00177288">
        <w:rPr>
          <w:rFonts w:asciiTheme="majorHAnsi" w:hAnsiTheme="majorHAnsi"/>
        </w:rPr>
        <w:t xml:space="preserve">. When a piece of genetic material foreign to the bacteria is </w:t>
      </w:r>
      <w:r>
        <w:rPr>
          <w:rFonts w:asciiTheme="majorHAnsi" w:hAnsiTheme="majorHAnsi"/>
        </w:rPr>
        <w:t>detected</w:t>
      </w:r>
      <w:r w:rsidRPr="00177288">
        <w:rPr>
          <w:rFonts w:asciiTheme="majorHAnsi" w:hAnsiTheme="majorHAnsi"/>
        </w:rPr>
        <w:t>,</w:t>
      </w:r>
      <w:r>
        <w:rPr>
          <w:rFonts w:asciiTheme="majorHAnsi" w:hAnsiTheme="majorHAnsi"/>
        </w:rPr>
        <w:t xml:space="preserve"> it is integrated into the CRISP</w:t>
      </w:r>
      <w:r w:rsidRPr="00177288">
        <w:rPr>
          <w:rFonts w:asciiTheme="majorHAnsi" w:hAnsiTheme="majorHAnsi"/>
        </w:rPr>
        <w:t xml:space="preserve">R loci, and this sequence is then stored in case of future invasion by the same foreign material. The bacteria can then automatically </w:t>
      </w:r>
      <w:r>
        <w:rPr>
          <w:rFonts w:asciiTheme="majorHAnsi" w:hAnsiTheme="majorHAnsi"/>
        </w:rPr>
        <w:t>detect the invading DNA</w:t>
      </w:r>
      <w:r w:rsidRPr="00177288">
        <w:rPr>
          <w:rFonts w:asciiTheme="majorHAnsi" w:hAnsiTheme="majorHAnsi"/>
        </w:rPr>
        <w:t xml:space="preserve"> and activate CRISPR associated proteins such as the nuclease Cas9</w:t>
      </w:r>
      <w:r>
        <w:rPr>
          <w:rFonts w:asciiTheme="majorHAnsi" w:hAnsiTheme="majorHAnsi"/>
        </w:rPr>
        <w:t xml:space="preserve"> to degrade it through the formation of DSBs </w:t>
      </w:r>
      <w:r>
        <w:rPr>
          <w:rFonts w:asciiTheme="majorHAnsi" w:hAnsiTheme="majorHAnsi"/>
        </w:rPr>
        <w:fldChar w:fldCharType="begin"/>
      </w:r>
      <w:r>
        <w:rPr>
          <w:rFonts w:asciiTheme="majorHAnsi" w:hAnsiTheme="majorHAnsi"/>
        </w:rPr>
        <w:instrText xml:space="preserve"> ADDIN EN.CITE &lt;EndNote&gt;&lt;Cite&gt;&lt;Author&gt;Horvath&lt;/Author&gt;&lt;Year&gt;2010&lt;/Year&gt;&lt;IDText&gt;CRISPR/Cas, the immune system of bacteria and archaea&lt;/IDText&gt;&lt;DisplayText&gt;(Horvath and Barrangou, 2010)&lt;/DisplayText&gt;&lt;record&gt;&lt;dates&gt;&lt;pub-dates&gt;&lt;date&gt;Jan&lt;/date&gt;&lt;/pub-dates&gt;&lt;year&gt;2010&lt;/year&gt;&lt;/dates&gt;&lt;keywords&gt;&lt;keyword&gt;Archaea&lt;/keyword&gt;&lt;keyword&gt;Archaeal Proteins&lt;/keyword&gt;&lt;keyword&gt;Bacteria&lt;/keyword&gt;&lt;keyword&gt;Bacterial Proteins&lt;/keyword&gt;&lt;keyword&gt;Bacteriophages&lt;/keyword&gt;&lt;keyword&gt;Base Sequence&lt;/keyword&gt;&lt;keyword&gt;Conserved Sequence&lt;/keyword&gt;&lt;keyword&gt;Gene Transfer, Horizontal&lt;/keyword&gt;&lt;keyword&gt;Genes, Archaeal&lt;/keyword&gt;&lt;keyword&gt;Genes, Bacterial&lt;/keyword&gt;&lt;keyword&gt;Genetic Loci&lt;/keyword&gt;&lt;keyword&gt;Genome, Archaeal&lt;/keyword&gt;&lt;keyword&gt;Genome, Bacterial&lt;/keyword&gt;&lt;keyword&gt;Genome, Viral&lt;/keyword&gt;&lt;keyword&gt;Mutation&lt;/keyword&gt;&lt;keyword&gt;Plasmids&lt;/keyword&gt;&lt;keyword&gt;RNA Interference&lt;/keyword&gt;&lt;keyword&gt;RNA, Archaeal&lt;/keyword&gt;&lt;keyword&gt;RNA, Bacterial&lt;/keyword&gt;&lt;keyword&gt;Repetitive Sequences, Nucleic Acid&lt;/keyword&gt;&lt;/keywords&gt;&lt;urls&gt;&lt;related-urls&gt;&lt;url&gt;https://www.ncbi.nlm.nih.gov/pubmed/20056882&lt;/url&gt;&lt;/related-urls&gt;&lt;/urls&gt;&lt;isbn&gt;1095-9203&lt;/isbn&gt;&lt;titles&gt;&lt;title&gt;CRISPR/Cas, the immune system of bacteria and archaea&lt;/title&gt;&lt;secondary-title&gt;Science&lt;/secondary-title&gt;&lt;/titles&gt;&lt;pages&gt;167-70&lt;/pages&gt;&lt;number&gt;5962&lt;/number&gt;&lt;contributors&gt;&lt;authors&gt;&lt;author&gt;Horvath, P.&lt;/author&gt;&lt;author&gt;Barrangou, R.&lt;/author&gt;&lt;/authors&gt;&lt;/contributors&gt;&lt;language&gt;eng&lt;/language&gt;&lt;added-date format="utc"&gt;1504534823&lt;/added-date&gt;&lt;ref-type name="Journal Article"&gt;17&lt;/ref-type&gt;&lt;rec-number&gt;257&lt;/rec-number&gt;&lt;last-updated-date format="utc"&gt;1504534823&lt;/last-updated-date&gt;&lt;accession-num&gt;20056882&lt;/accession-num&gt;&lt;electronic-resource-num&gt;10.1126/science.1179555&lt;/electronic-resource-num&gt;&lt;volume&gt;327&lt;/volume&gt;&lt;/record&gt;&lt;/Cite&gt;&lt;/EndNote&gt;</w:instrText>
      </w:r>
      <w:r>
        <w:rPr>
          <w:rFonts w:asciiTheme="majorHAnsi" w:hAnsiTheme="majorHAnsi"/>
        </w:rPr>
        <w:fldChar w:fldCharType="separate"/>
      </w:r>
      <w:r>
        <w:rPr>
          <w:rFonts w:asciiTheme="majorHAnsi" w:hAnsiTheme="majorHAnsi"/>
          <w:noProof/>
        </w:rPr>
        <w:t>(Horvath and Barrangou, 2010)</w:t>
      </w:r>
      <w:r>
        <w:rPr>
          <w:rFonts w:asciiTheme="majorHAnsi" w:hAnsiTheme="majorHAnsi"/>
        </w:rPr>
        <w:fldChar w:fldCharType="end"/>
      </w:r>
      <w:r>
        <w:rPr>
          <w:rFonts w:asciiTheme="majorHAnsi" w:hAnsiTheme="majorHAnsi"/>
        </w:rPr>
        <w:t>.</w:t>
      </w:r>
    </w:p>
    <w:p w14:paraId="620E42D3" w14:textId="77777777" w:rsidR="00A23FE7" w:rsidRPr="00177288" w:rsidRDefault="00A23FE7" w:rsidP="00091260">
      <w:pPr>
        <w:spacing w:line="360" w:lineRule="auto"/>
        <w:jc w:val="both"/>
        <w:rPr>
          <w:rFonts w:asciiTheme="majorHAnsi" w:hAnsiTheme="majorHAnsi"/>
        </w:rPr>
      </w:pPr>
    </w:p>
    <w:p w14:paraId="40E6BBC2" w14:textId="1EA8027B" w:rsidR="00091260" w:rsidRDefault="00091260" w:rsidP="00091260">
      <w:pPr>
        <w:spacing w:line="360" w:lineRule="auto"/>
        <w:jc w:val="both"/>
        <w:rPr>
          <w:rFonts w:asciiTheme="majorHAnsi" w:hAnsiTheme="majorHAnsi"/>
        </w:rPr>
      </w:pPr>
      <w:r w:rsidRPr="00177288">
        <w:rPr>
          <w:rFonts w:asciiTheme="majorHAnsi" w:hAnsiTheme="majorHAnsi"/>
        </w:rPr>
        <w:t xml:space="preserve">This relatively new RNA-guided endonuclease technology </w:t>
      </w:r>
      <w:r>
        <w:rPr>
          <w:rFonts w:asciiTheme="majorHAnsi" w:hAnsiTheme="majorHAnsi"/>
        </w:rPr>
        <w:t xml:space="preserve">started to be used in 2013 </w:t>
      </w:r>
      <w:r w:rsidRPr="00177288">
        <w:rPr>
          <w:rFonts w:asciiTheme="majorHAnsi" w:hAnsiTheme="majorHAnsi"/>
        </w:rPr>
        <w:t>as a way of editing the genome</w:t>
      </w:r>
      <w:r>
        <w:rPr>
          <w:rFonts w:asciiTheme="majorHAnsi" w:hAnsiTheme="majorHAnsi"/>
        </w:rPr>
        <w:t xml:space="preserve"> </w:t>
      </w:r>
      <w:r>
        <w:rPr>
          <w:rFonts w:asciiTheme="majorHAnsi" w:hAnsiTheme="majorHAnsi"/>
        </w:rPr>
        <w:fldChar w:fldCharType="begin">
          <w:fldData xml:space="preserve">PEVuZE5vdGU+PENpdGU+PEF1dGhvcj5CYXNzZXR0PC9BdXRob3I+PFllYXI+MjAxMzwvWWVhcj48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PEVuZE5vdGU+PENpdGU+PEF1dGhvcj5CYXNzZXR0PC9BdXRob3I+PFllYXI+MjAxMzwvWWVhcj48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(Bassett et al., 2013, Cong et al., 2013)</w:t>
      </w:r>
      <w:r>
        <w:rPr>
          <w:rFonts w:asciiTheme="majorHAnsi" w:hAnsiTheme="majorHAnsi"/>
        </w:rPr>
        <w:fldChar w:fldCharType="end"/>
      </w:r>
      <w:r w:rsidRPr="00177288">
        <w:rPr>
          <w:rFonts w:asciiTheme="majorHAnsi" w:hAnsiTheme="majorHAnsi"/>
        </w:rPr>
        <w:t xml:space="preserve">. Usually the system involves transfecting into the cells a guide RNA (gRNA) for the gene of interest and the Cas9 complex. </w:t>
      </w:r>
      <w:r>
        <w:rPr>
          <w:rFonts w:asciiTheme="majorHAnsi" w:hAnsiTheme="majorHAnsi"/>
        </w:rPr>
        <w:t>The gRNA binds to the complimentary DNA of the gene of interest and directs the activity of Cas9. The Cas9 nuclease has two functional domains</w:t>
      </w:r>
      <w:r w:rsidR="00A219A0">
        <w:rPr>
          <w:rFonts w:asciiTheme="majorHAnsi" w:hAnsiTheme="majorHAnsi"/>
        </w:rPr>
        <w:t xml:space="preserve"> (</w:t>
      </w:r>
      <w:proofErr w:type="spellStart"/>
      <w:r w:rsidR="00A219A0">
        <w:rPr>
          <w:rFonts w:asciiTheme="majorHAnsi" w:hAnsiTheme="majorHAnsi"/>
        </w:rPr>
        <w:t>RuvC</w:t>
      </w:r>
      <w:proofErr w:type="spellEnd"/>
      <w:r w:rsidR="00A219A0">
        <w:rPr>
          <w:rFonts w:asciiTheme="majorHAnsi" w:hAnsiTheme="majorHAnsi"/>
        </w:rPr>
        <w:t xml:space="preserve"> and HNH)</w:t>
      </w:r>
      <w:r>
        <w:rPr>
          <w:rFonts w:asciiTheme="majorHAnsi" w:hAnsiTheme="majorHAnsi"/>
        </w:rPr>
        <w:t xml:space="preserve"> which each cut one of the DNA strands </w:t>
      </w:r>
      <w:r w:rsidRPr="00177288">
        <w:rPr>
          <w:rFonts w:asciiTheme="majorHAnsi" w:hAnsiTheme="majorHAnsi"/>
        </w:rPr>
        <w:t>upstream of a protospacer adjacent mot</w:t>
      </w:r>
      <w:r>
        <w:rPr>
          <w:rFonts w:asciiTheme="majorHAnsi" w:hAnsiTheme="majorHAnsi"/>
        </w:rPr>
        <w:t>if (PAM). These double strand breaks are then repaired by non-homologous end joining (NHEJ), this however is error prone and can result in mutations to the DNA such as insertions or deletions</w:t>
      </w:r>
      <w:r w:rsidR="00A23FE7">
        <w:rPr>
          <w:rFonts w:asciiTheme="majorHAnsi" w:hAnsiTheme="majorHAnsi"/>
        </w:rPr>
        <w:t>,</w:t>
      </w:r>
      <w:r>
        <w:rPr>
          <w:rFonts w:asciiTheme="majorHAnsi" w:hAnsiTheme="majorHAnsi"/>
        </w:rPr>
        <w:t xml:space="preserve"> </w:t>
      </w:r>
      <w:r w:rsidR="00A23FE7">
        <w:rPr>
          <w:rFonts w:asciiTheme="majorHAnsi" w:hAnsiTheme="majorHAnsi"/>
        </w:rPr>
        <w:t>which</w:t>
      </w:r>
      <w:r>
        <w:rPr>
          <w:rFonts w:asciiTheme="majorHAnsi" w:hAnsiTheme="majorHAnsi"/>
        </w:rPr>
        <w:t xml:space="preserve"> in turn disrupt the gene expression. These random mutations don’t always produce clones which have the gene knocked down however, so the clones have to be screened experimentally for alterations </w:t>
      </w:r>
      <w:r>
        <w:rPr>
          <w:rFonts w:asciiTheme="majorHAnsi" w:hAnsiTheme="majorHAnsi"/>
        </w:rPr>
        <w:fldChar w:fldCharType="begin">
          <w:fldData xml:space="preserve">PEVuZE5vdGU+PENpdGU+PEF1dGhvcj5Wb2V0czwvQXV0aG9yPjxZZWFyPjIwMTc8L1llYXI+PElE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PEVuZE5vdGU+PENpdGU+PEF1dGhvcj5Wb2V0czwvQXV0aG9yPjxZZWFyPjIwMTc8L1llYXI+PElE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(Voets et al., 2017, Manikoth Ayyathan et al., 2017)</w:t>
      </w:r>
      <w:r>
        <w:rPr>
          <w:rFonts w:asciiTheme="majorHAnsi" w:hAnsiTheme="majorHAnsi"/>
        </w:rPr>
        <w:fldChar w:fldCharType="end"/>
      </w:r>
      <w:r>
        <w:rPr>
          <w:rFonts w:asciiTheme="majorHAnsi" w:hAnsiTheme="majorHAnsi"/>
        </w:rPr>
        <w:t xml:space="preserve">. Alternatively, if the Cas9 is mutated to nick only one strand of the DNA only, the single strand break will preferentially be repaired through homologous directed repair (HDR). Using this method plus an exogenously transfected repair template containing a single nucleotide mutation, a specific edit can be made to the genome </w:t>
      </w:r>
      <w:r>
        <w:rPr>
          <w:rFonts w:asciiTheme="majorHAnsi" w:hAnsiTheme="majorHAnsi"/>
        </w:rPr>
        <w:fldChar w:fldCharType="begin"/>
      </w:r>
      <w:r>
        <w:rPr>
          <w:rFonts w:asciiTheme="majorHAnsi" w:hAnsiTheme="majorHAnsi"/>
        </w:rPr>
        <w:instrText xml:space="preserve"> ADDIN EN.CITE &lt;EndNote&gt;&lt;Cite&gt;&lt;Author&gt;Ran&lt;/Author&gt;&lt;Year&gt;2013&lt;/Year&gt;&lt;IDText&gt;Genome engineering using the CRISPR-Cas9 system&lt;/IDText&gt;&lt;DisplayText&gt;(Ran et al., 2013)&lt;/DisplayText&gt;&lt;record&gt;&lt;dates&gt;&lt;pub-dates&gt;&lt;date&gt;Nov&lt;/date&gt;&lt;/pub-dates&gt;&lt;year&gt;2013&lt;/year&gt;&lt;/dates&gt;&lt;keywords&gt;&lt;keyword&gt;Base Sequence&lt;/keyword&gt;&lt;keyword&gt;Cell Culture Techniques&lt;/keyword&gt;&lt;keyword&gt;Cell Line&lt;/keyword&gt;&lt;keyword&gt;Clustered Regularly Interspaced Short Palindromic Repeats&lt;/keyword&gt;&lt;keyword&gt;DNA End-Joining Repair&lt;/keyword&gt;&lt;keyword&gt;DNA Mutational Analysis&lt;/keyword&gt;&lt;keyword&gt;DNA Repair&lt;/keyword&gt;&lt;keyword&gt;Deoxyribonucleases&lt;/keyword&gt;&lt;keyword&gt;Genetic Engineering&lt;/keyword&gt;&lt;keyword&gt;Genome&lt;/keyword&gt;&lt;keyword&gt;Genotyping Techniques&lt;/keyword&gt;&lt;keyword&gt;HEK293 Cells&lt;/keyword&gt;&lt;keyword&gt;Humans&lt;/keyword&gt;&lt;keyword&gt;Molecular Sequence Data&lt;/keyword&gt;&lt;keyword&gt;Mutagenesis&lt;/keyword&gt;&lt;keyword&gt;Transfection&lt;/keyword&gt;&lt;/keywords&gt;&lt;urls&gt;&lt;related-urls&gt;&lt;url&gt;http://www.ncbi.nlm.nih.gov/pubmed/24157548&lt;/url&gt;&lt;/related-urls&gt;&lt;/urls&gt;&lt;isbn&gt;1750-2799&lt;/isbn&gt;&lt;custom2&gt;PMC3969860&lt;/custom2&gt;&lt;titles&gt;&lt;title&gt;Genome engineering using the CRISPR-Cas9 system&lt;/title&gt;&lt;secondary-title&gt;Nat Protoc&lt;/secondary-title&gt;&lt;/titles&gt;&lt;pages&gt;2281-308&lt;/pages&gt;&lt;number&gt;11&lt;/number&gt;&lt;contributors&gt;&lt;authors&gt;&lt;author&gt;Ran, F. A.&lt;/author&gt;&lt;author&gt;Hsu, P. D.&lt;/author&gt;&lt;author&gt;Wright, J.&lt;/author&gt;&lt;author&gt;Agarwala, V.&lt;/author&gt;&lt;author&gt;Scott, D. A.&lt;/author&gt;&lt;author&gt;Zhang, F.&lt;/author&gt;&lt;/authors&gt;&lt;/contributors&gt;&lt;language&gt;eng&lt;/language&gt;&lt;added-date format="utc"&gt;1428154272&lt;/added-date&gt;&lt;ref-type name="Journal Article"&gt;17&lt;/ref-type&gt;&lt;rec-number&gt;123&lt;/rec-number&gt;&lt;last-updated-date format="utc"&gt;1428154272&lt;/last-updated-date&gt;&lt;accession-num&gt;24157548&lt;/accession-num&gt;&lt;electronic-resource-num&gt;10.1038/nprot.2013.143&lt;/electronic-resource-num&gt;&lt;volume&gt;8&lt;/volume&gt;&lt;/record&gt;&lt;/Cite&gt;&lt;/EndNote&gt;</w:instrText>
      </w:r>
      <w:r>
        <w:rPr>
          <w:rFonts w:asciiTheme="majorHAnsi" w:hAnsiTheme="majorHAnsi"/>
        </w:rPr>
        <w:fldChar w:fldCharType="separate"/>
      </w:r>
      <w:r>
        <w:rPr>
          <w:rFonts w:asciiTheme="majorHAnsi" w:hAnsiTheme="majorHAnsi"/>
          <w:noProof/>
        </w:rPr>
        <w:t>(Ran et al., 2013)</w:t>
      </w:r>
      <w:r>
        <w:rPr>
          <w:rFonts w:asciiTheme="majorHAnsi" w:hAnsiTheme="majorHAnsi"/>
        </w:rPr>
        <w:fldChar w:fldCharType="end"/>
      </w:r>
      <w:r>
        <w:rPr>
          <w:rFonts w:asciiTheme="majorHAnsi" w:hAnsiTheme="majorHAnsi"/>
        </w:rPr>
        <w:t xml:space="preserve">. </w:t>
      </w:r>
    </w:p>
    <w:p w14:paraId="6EBDE282" w14:textId="77777777" w:rsidR="00091260" w:rsidRDefault="00091260" w:rsidP="00091260">
      <w:pPr>
        <w:spacing w:line="360" w:lineRule="auto"/>
        <w:jc w:val="both"/>
        <w:rPr>
          <w:rFonts w:asciiTheme="majorHAnsi" w:hAnsiTheme="majorHAnsi"/>
        </w:rPr>
      </w:pPr>
    </w:p>
    <w:p w14:paraId="05A777B0" w14:textId="4E712FB2" w:rsidR="00091260" w:rsidRPr="008E77B3" w:rsidRDefault="00091260" w:rsidP="00091260">
      <w:pPr>
        <w:spacing w:line="360" w:lineRule="auto"/>
        <w:jc w:val="both"/>
        <w:rPr>
          <w:rFonts w:asciiTheme="majorHAnsi" w:hAnsiTheme="majorHAnsi"/>
          <w:szCs w:val="28"/>
        </w:rPr>
      </w:pPr>
      <w:r w:rsidRPr="00E82D3B">
        <w:rPr>
          <w:rFonts w:asciiTheme="majorHAnsi" w:hAnsiTheme="majorHAnsi"/>
        </w:rPr>
        <w:t>The CRISPR/Cas9 system can also be used in a</w:t>
      </w:r>
      <w:r w:rsidR="00327AA2" w:rsidRPr="00E82D3B">
        <w:rPr>
          <w:rFonts w:asciiTheme="majorHAnsi" w:hAnsiTheme="majorHAnsi"/>
        </w:rPr>
        <w:t xml:space="preserve"> slightly different way to over-</w:t>
      </w:r>
      <w:r w:rsidRPr="00E82D3B">
        <w:rPr>
          <w:rFonts w:asciiTheme="majorHAnsi" w:hAnsiTheme="majorHAnsi"/>
        </w:rPr>
        <w:t xml:space="preserve">express an endogenous gene. Here, along with the gRNA, there is </w:t>
      </w:r>
      <w:r w:rsidR="00386E21" w:rsidRPr="00E82D3B">
        <w:rPr>
          <w:rFonts w:asciiTheme="majorHAnsi" w:hAnsiTheme="majorHAnsi"/>
        </w:rPr>
        <w:t xml:space="preserve">a catalytically dead Cas9 (dCas9). The dCas9 has had 2 amino acids altered within each of its functional nuclease domains </w:t>
      </w:r>
      <w:r w:rsidR="00D64E49" w:rsidRPr="00E82D3B">
        <w:rPr>
          <w:rFonts w:asciiTheme="majorHAnsi" w:hAnsiTheme="majorHAnsi"/>
        </w:rPr>
        <w:t xml:space="preserve">(point mutations D10A and H840A) </w:t>
      </w:r>
      <w:r w:rsidR="00386E21" w:rsidRPr="00E82D3B">
        <w:rPr>
          <w:rFonts w:asciiTheme="majorHAnsi" w:hAnsiTheme="majorHAnsi"/>
        </w:rPr>
        <w:t>in order to render them inactive.</w:t>
      </w:r>
      <w:r w:rsidR="00D64E49" w:rsidRPr="00E82D3B">
        <w:rPr>
          <w:rFonts w:asciiTheme="majorHAnsi" w:hAnsiTheme="majorHAnsi"/>
        </w:rPr>
        <w:t xml:space="preserve"> Although dCas9 lacks nuclease activity, i</w:t>
      </w:r>
      <w:r w:rsidR="00386E21" w:rsidRPr="00E82D3B">
        <w:rPr>
          <w:rFonts w:asciiTheme="majorHAnsi" w:hAnsiTheme="majorHAnsi"/>
        </w:rPr>
        <w:t xml:space="preserve">t </w:t>
      </w:r>
      <w:r w:rsidR="00D64E49" w:rsidRPr="00E82D3B">
        <w:rPr>
          <w:rFonts w:asciiTheme="majorHAnsi" w:hAnsiTheme="majorHAnsi"/>
        </w:rPr>
        <w:t xml:space="preserve">is </w:t>
      </w:r>
      <w:r w:rsidR="00386E21" w:rsidRPr="00E82D3B">
        <w:rPr>
          <w:rFonts w:asciiTheme="majorHAnsi" w:hAnsiTheme="majorHAnsi"/>
        </w:rPr>
        <w:t xml:space="preserve">still </w:t>
      </w:r>
      <w:r w:rsidR="00D64E49" w:rsidRPr="00E82D3B">
        <w:rPr>
          <w:rFonts w:asciiTheme="majorHAnsi" w:hAnsiTheme="majorHAnsi"/>
        </w:rPr>
        <w:t>able to</w:t>
      </w:r>
      <w:r w:rsidR="00386E21" w:rsidRPr="00E82D3B">
        <w:rPr>
          <w:rFonts w:asciiTheme="majorHAnsi" w:hAnsiTheme="majorHAnsi"/>
        </w:rPr>
        <w:t xml:space="preserve"> bind the DNA, directed by the gRNA, but doesn’t cause any DNA breaks. Instead</w:t>
      </w:r>
      <w:r w:rsidR="00D64E49" w:rsidRPr="00E82D3B">
        <w:rPr>
          <w:rFonts w:asciiTheme="majorHAnsi" w:hAnsiTheme="majorHAnsi"/>
        </w:rPr>
        <w:t>,</w:t>
      </w:r>
      <w:r w:rsidR="00386E21" w:rsidRPr="00E82D3B">
        <w:rPr>
          <w:rFonts w:asciiTheme="majorHAnsi" w:hAnsiTheme="majorHAnsi"/>
        </w:rPr>
        <w:t xml:space="preserve"> it</w:t>
      </w:r>
      <w:r w:rsidR="00D64E49" w:rsidRPr="00E82D3B">
        <w:rPr>
          <w:rFonts w:asciiTheme="majorHAnsi" w:hAnsiTheme="majorHAnsi"/>
        </w:rPr>
        <w:t>’s c terminus</w:t>
      </w:r>
      <w:r w:rsidR="00386E21" w:rsidRPr="00E82D3B">
        <w:rPr>
          <w:rFonts w:asciiTheme="majorHAnsi" w:hAnsiTheme="majorHAnsi"/>
        </w:rPr>
        <w:t xml:space="preserve"> is conjugated to a VP64 transcriptional activator, which fuses to regulatory domains </w:t>
      </w:r>
      <w:r w:rsidR="00D64E49" w:rsidRPr="00E82D3B">
        <w:rPr>
          <w:rFonts w:asciiTheme="majorHAnsi" w:hAnsiTheme="majorHAnsi"/>
        </w:rPr>
        <w:t xml:space="preserve">near the promoter of the gene of interest </w:t>
      </w:r>
      <w:r w:rsidR="00386E21" w:rsidRPr="00E82D3B">
        <w:rPr>
          <w:rFonts w:asciiTheme="majorHAnsi" w:hAnsiTheme="majorHAnsi"/>
        </w:rPr>
        <w:t xml:space="preserve">and increases the </w:t>
      </w:r>
      <w:r w:rsidR="00D64E49" w:rsidRPr="00E82D3B">
        <w:rPr>
          <w:rFonts w:asciiTheme="majorHAnsi" w:hAnsiTheme="majorHAnsi"/>
        </w:rPr>
        <w:t xml:space="preserve">recruitment and </w:t>
      </w:r>
      <w:r w:rsidR="00386E21" w:rsidRPr="00E82D3B">
        <w:rPr>
          <w:rFonts w:asciiTheme="majorHAnsi" w:hAnsiTheme="majorHAnsi"/>
        </w:rPr>
        <w:t xml:space="preserve">functioning of RNA polymerase II </w:t>
      </w:r>
      <w:r w:rsidR="00D64E49" w:rsidRPr="00E82D3B">
        <w:rPr>
          <w:rFonts w:asciiTheme="majorHAnsi" w:hAnsiTheme="majorHAnsi"/>
        </w:rPr>
        <w:t xml:space="preserve">and other transcriptional activators </w:t>
      </w:r>
      <w:r w:rsidR="00386E21" w:rsidRPr="00E82D3B">
        <w:rPr>
          <w:rFonts w:asciiTheme="majorHAnsi" w:hAnsiTheme="majorHAnsi"/>
        </w:rPr>
        <w:t xml:space="preserve">to </w:t>
      </w:r>
      <w:r w:rsidR="00D64E49" w:rsidRPr="00E82D3B">
        <w:rPr>
          <w:rFonts w:asciiTheme="majorHAnsi" w:hAnsiTheme="majorHAnsi"/>
        </w:rPr>
        <w:t xml:space="preserve">up regulate transcription </w:t>
      </w:r>
      <w:r w:rsidR="00386E21" w:rsidRPr="00E82D3B">
        <w:rPr>
          <w:rFonts w:asciiTheme="majorHAnsi" w:hAnsiTheme="majorHAnsi"/>
        </w:rPr>
        <w:fldChar w:fldCharType="begin">
          <w:fldData xml:space="preserve">PEVuZE5vdGU+PENpdGU+PEF1dGhvcj5NYWVkZXI8L0F1dGhvcj48WWVhcj4yMDEzPC9ZZWFyPjxJ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</w:fldData>
        </w:fldChar>
      </w:r>
      <w:r w:rsidR="00386E21" w:rsidRPr="00E82D3B">
        <w:rPr>
          <w:rFonts w:asciiTheme="majorHAnsi" w:hAnsiTheme="majorHAnsi"/>
        </w:rPr>
        <w:instrText xml:space="preserve"> ADDIN EN.CITE </w:instrText>
      </w:r>
      <w:r w:rsidR="00386E21" w:rsidRPr="00E82D3B">
        <w:rPr>
          <w:rFonts w:asciiTheme="majorHAnsi" w:hAnsiTheme="majorHAnsi"/>
        </w:rPr>
        <w:fldChar w:fldCharType="begin">
          <w:fldData xml:space="preserve">PEVuZE5vdGU+PENpdGU+PEF1dGhvcj5NYWVkZXI8L0F1dGhvcj48WWVhcj4yMDEzPC9ZZWFyPjxJ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</w:fldData>
        </w:fldChar>
      </w:r>
      <w:r w:rsidR="00386E21" w:rsidRPr="00E82D3B">
        <w:rPr>
          <w:rFonts w:asciiTheme="majorHAnsi" w:hAnsiTheme="majorHAnsi"/>
        </w:rPr>
        <w:instrText xml:space="preserve"> ADDIN EN.CITE.DATA </w:instrText>
      </w:r>
      <w:r w:rsidR="00386E21" w:rsidRPr="00E82D3B">
        <w:rPr>
          <w:rFonts w:asciiTheme="majorHAnsi" w:hAnsiTheme="majorHAnsi"/>
        </w:rPr>
      </w:r>
      <w:r w:rsidR="00386E21" w:rsidRPr="00E82D3B">
        <w:rPr>
          <w:rFonts w:asciiTheme="majorHAnsi" w:hAnsiTheme="majorHAnsi"/>
        </w:rPr>
        <w:fldChar w:fldCharType="end"/>
      </w:r>
      <w:r w:rsidR="00386E21" w:rsidRPr="00E82D3B">
        <w:rPr>
          <w:rFonts w:asciiTheme="majorHAnsi" w:hAnsiTheme="majorHAnsi"/>
        </w:rPr>
      </w:r>
      <w:r w:rsidR="00386E21" w:rsidRPr="00E82D3B">
        <w:rPr>
          <w:rFonts w:asciiTheme="majorHAnsi" w:hAnsiTheme="majorHAnsi"/>
        </w:rPr>
        <w:fldChar w:fldCharType="separate"/>
      </w:r>
      <w:r w:rsidR="00386E21" w:rsidRPr="00E82D3B">
        <w:rPr>
          <w:rFonts w:asciiTheme="majorHAnsi" w:hAnsiTheme="majorHAnsi"/>
          <w:noProof/>
        </w:rPr>
        <w:t>(Maeder et al., 2013, Park et al., 2017)</w:t>
      </w:r>
      <w:r w:rsidR="00386E21" w:rsidRPr="00E82D3B">
        <w:rPr>
          <w:rFonts w:asciiTheme="majorHAnsi" w:hAnsiTheme="majorHAnsi"/>
        </w:rPr>
        <w:fldChar w:fldCharType="end"/>
      </w:r>
      <w:r w:rsidR="00386E21" w:rsidRPr="00E82D3B">
        <w:rPr>
          <w:rFonts w:asciiTheme="majorHAnsi" w:hAnsiTheme="majorHAnsi"/>
        </w:rPr>
        <w:t xml:space="preserve"> (Figure 3.2).</w:t>
      </w:r>
      <w:r w:rsidR="00D64E49">
        <w:rPr>
          <w:rFonts w:asciiTheme="majorHAnsi" w:hAnsiTheme="majorHAnsi"/>
        </w:rPr>
        <w:t xml:space="preserve"> </w:t>
      </w:r>
      <w:r>
        <w:rPr>
          <w:rFonts w:asciiTheme="majorHAnsi" w:hAnsiTheme="majorHAnsi"/>
        </w:rPr>
        <w:t xml:space="preserve"> </w:t>
      </w:r>
    </w:p>
    <w:p w14:paraId="04A74221" w14:textId="7EBBDA5D" w:rsidR="00091260" w:rsidRDefault="00091260" w:rsidP="00091260">
      <w:pPr>
        <w:rPr>
          <w:rFonts w:asciiTheme="majorHAnsi" w:hAnsiTheme="majorHAnsi"/>
          <w:sz w:val="28"/>
          <w:szCs w:val="28"/>
          <w:u w:val="single"/>
        </w:rPr>
      </w:pPr>
    </w:p>
    <w:p w14:paraId="322124C6" w14:textId="59F6B492" w:rsidR="00B27EC8" w:rsidRDefault="00B27EC8" w:rsidP="00091260">
      <w:pPr>
        <w:rPr>
          <w:rFonts w:asciiTheme="majorHAnsi" w:hAnsiTheme="majorHAnsi"/>
          <w:sz w:val="28"/>
          <w:szCs w:val="28"/>
          <w:u w:val="single"/>
        </w:rPr>
      </w:pPr>
    </w:p>
    <w:p w14:paraId="7539972C" w14:textId="501D747F" w:rsidR="00B27EC8" w:rsidRDefault="00D64E49" w:rsidP="00091260">
      <w:pPr>
        <w:rPr>
          <w:rFonts w:asciiTheme="majorHAnsi" w:hAnsiTheme="majorHAnsi"/>
          <w:sz w:val="28"/>
          <w:szCs w:val="28"/>
          <w:u w:val="single"/>
        </w:rPr>
      </w:pPr>
      <w:r>
        <w:rPr>
          <w:noProof/>
          <w:lang w:val="en-US"/>
        </w:rPr>
        <w:drawing>
          <wp:anchor distT="0" distB="0" distL="114300" distR="114300" simplePos="0" relativeHeight="251939840" behindDoc="0" locked="0" layoutInCell="1" allowOverlap="1" wp14:anchorId="2BC0E1D1" wp14:editId="66525290">
            <wp:simplePos x="0" y="0"/>
            <wp:positionH relativeFrom="column">
              <wp:posOffset>-228600</wp:posOffset>
            </wp:positionH>
            <wp:positionV relativeFrom="paragraph">
              <wp:posOffset>114300</wp:posOffset>
            </wp:positionV>
            <wp:extent cx="3674745" cy="2514600"/>
            <wp:effectExtent l="0" t="0" r="8255" b="0"/>
            <wp:wrapSquare wrapText="bothSides"/>
            <wp:docPr id="143" name="Picture 143" descr="Macintosh HD:Users:ClairFellows:Desktop:Screen Shot 2017-08-22 at 11.4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08-22 at 11.43.1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7474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6965DA" w14:textId="6DF84F53" w:rsidR="00B27EC8" w:rsidRDefault="00D64E49" w:rsidP="00091260">
      <w:pPr>
        <w:rPr>
          <w:rFonts w:asciiTheme="majorHAnsi" w:hAnsiTheme="majorHAnsi"/>
          <w:sz w:val="28"/>
          <w:szCs w:val="28"/>
          <w:u w:val="single"/>
        </w:rPr>
      </w:pPr>
      <w:r>
        <w:rPr>
          <w:noProof/>
          <w:lang w:val="en-US"/>
        </w:rPr>
        <mc:AlternateContent>
          <mc:Choice Requires="wps">
            <w:drawing>
              <wp:anchor distT="0" distB="0" distL="114300" distR="114300" simplePos="0" relativeHeight="251940864" behindDoc="0" locked="0" layoutInCell="1" allowOverlap="1" wp14:anchorId="305F8669" wp14:editId="6A08053B">
                <wp:simplePos x="0" y="0"/>
                <wp:positionH relativeFrom="column">
                  <wp:posOffset>-25400</wp:posOffset>
                </wp:positionH>
                <wp:positionV relativeFrom="paragraph">
                  <wp:posOffset>125730</wp:posOffset>
                </wp:positionV>
                <wp:extent cx="2057400" cy="22860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0574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4A91F2" w14:textId="35E85EB5" w:rsidR="00E82D3B" w:rsidRPr="00E82D3B" w:rsidRDefault="00E82D3B" w:rsidP="00091260">
                            <w:pPr>
                              <w:jc w:val="both"/>
                              <w:rPr>
                                <w:b/>
                                <w:i/>
                                <w:sz w:val="22"/>
                              </w:rPr>
                            </w:pPr>
                            <w:r w:rsidRPr="00E82D3B">
                              <w:rPr>
                                <w:b/>
                                <w:i/>
                                <w:sz w:val="22"/>
                              </w:rPr>
                              <w:t xml:space="preserve">Figure 3.2 Deactivated CRISPR/Cas9 </w:t>
                            </w:r>
                            <w:proofErr w:type="gramStart"/>
                            <w:r w:rsidRPr="00E82D3B">
                              <w:rPr>
                                <w:b/>
                                <w:i/>
                                <w:sz w:val="22"/>
                              </w:rPr>
                              <w:t>system</w:t>
                            </w:r>
                            <w:proofErr w:type="gramEnd"/>
                            <w:r w:rsidRPr="00E82D3B">
                              <w:rPr>
                                <w:b/>
                                <w:i/>
                                <w:sz w:val="22"/>
                              </w:rPr>
                              <w:t xml:space="preserve"> for over-expression of endogenous genes. </w:t>
                            </w:r>
                          </w:p>
                          <w:p w14:paraId="30D09E4A" w14:textId="695768D2" w:rsidR="00E82D3B" w:rsidRPr="00FD4F82" w:rsidRDefault="00E82D3B" w:rsidP="00FD4F82">
                            <w:pPr>
                              <w:jc w:val="both"/>
                              <w:rPr>
                                <w:i/>
                                <w:sz w:val="22"/>
                              </w:rPr>
                            </w:pPr>
                            <w:r w:rsidRPr="00E82D3B">
                              <w:rPr>
                                <w:i/>
                                <w:sz w:val="22"/>
                              </w:rPr>
                              <w:t>The transfected deactivated Cas9 (dCas9) binds to the target DNA as directed by gRNA upstream of a PAM sequence. The attached VP64 then up-regulates transcription and recruits RNA polymerase II in order to over-express the gene of interest.</w:t>
                            </w:r>
                            <w:r>
                              <w:rPr>
                                <w:i/>
                                <w:sz w:val="22"/>
                              </w:rPr>
                              <w:t xml:space="preserve"> </w:t>
                            </w:r>
                            <w:r>
                              <w:rPr>
                                <w:b/>
                                <w:i/>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035" type="#_x0000_t202" style="position:absolute;margin-left:-1.95pt;margin-top:9.9pt;width:162pt;height:180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57A9ACAAAW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" filled="f" stroked="f">
                <v:textbox>
                  <w:txbxContent>
                    <w:p w14:paraId="694A91F2" w14:textId="35E85EB5" w:rsidR="00E82D3B" w:rsidRPr="00E82D3B" w:rsidRDefault="00E82D3B" w:rsidP="00091260">
                      <w:pPr>
                        <w:jc w:val="both"/>
                        <w:rPr>
                          <w:b/>
                          <w:i/>
                          <w:sz w:val="22"/>
                        </w:rPr>
                      </w:pPr>
                      <w:r w:rsidRPr="00E82D3B">
                        <w:rPr>
                          <w:b/>
                          <w:i/>
                          <w:sz w:val="22"/>
                        </w:rPr>
                        <w:t xml:space="preserve">Figure 3.2 Deactivated CRISPR/Cas9 </w:t>
                      </w:r>
                      <w:proofErr w:type="gramStart"/>
                      <w:r w:rsidRPr="00E82D3B">
                        <w:rPr>
                          <w:b/>
                          <w:i/>
                          <w:sz w:val="22"/>
                        </w:rPr>
                        <w:t>system</w:t>
                      </w:r>
                      <w:proofErr w:type="gramEnd"/>
                      <w:r w:rsidRPr="00E82D3B">
                        <w:rPr>
                          <w:b/>
                          <w:i/>
                          <w:sz w:val="22"/>
                        </w:rPr>
                        <w:t xml:space="preserve"> for over-expression of endogenous genes. </w:t>
                      </w:r>
                    </w:p>
                    <w:p w14:paraId="30D09E4A" w14:textId="695768D2" w:rsidR="00E82D3B" w:rsidRPr="00FD4F82" w:rsidRDefault="00E82D3B" w:rsidP="00FD4F82">
                      <w:pPr>
                        <w:jc w:val="both"/>
                        <w:rPr>
                          <w:i/>
                          <w:sz w:val="22"/>
                        </w:rPr>
                      </w:pPr>
                      <w:r w:rsidRPr="00E82D3B">
                        <w:rPr>
                          <w:i/>
                          <w:sz w:val="22"/>
                        </w:rPr>
                        <w:t>The transfected deactivated Cas9 (dCas9) binds to the target DNA as directed by gRNA upstream of a PAM sequence. The attached VP64 then up-regulates transcription and recruits RNA polymerase II in order to over-express the gene of interest.</w:t>
                      </w:r>
                      <w:r>
                        <w:rPr>
                          <w:i/>
                          <w:sz w:val="22"/>
                        </w:rPr>
                        <w:t xml:space="preserve"> </w:t>
                      </w:r>
                      <w:r>
                        <w:rPr>
                          <w:b/>
                          <w:i/>
                          <w:sz w:val="22"/>
                        </w:rPr>
                        <w:t xml:space="preserve"> </w:t>
                      </w:r>
                    </w:p>
                  </w:txbxContent>
                </v:textbox>
                <w10:wrap type="square"/>
              </v:shape>
            </w:pict>
          </mc:Fallback>
        </mc:AlternateContent>
      </w:r>
    </w:p>
    <w:p w14:paraId="4CD76DA0" w14:textId="77777777" w:rsidR="00A845F0" w:rsidRDefault="00A845F0" w:rsidP="00091260">
      <w:pPr>
        <w:rPr>
          <w:rFonts w:asciiTheme="majorHAnsi" w:hAnsiTheme="majorHAnsi"/>
          <w:sz w:val="28"/>
          <w:szCs w:val="28"/>
          <w:u w:val="single"/>
        </w:rPr>
      </w:pPr>
    </w:p>
    <w:p w14:paraId="700F8A07" w14:textId="4ED3EE14" w:rsidR="00091260" w:rsidRDefault="00091260" w:rsidP="00091260">
      <w:pPr>
        <w:rPr>
          <w:rFonts w:asciiTheme="majorHAnsi" w:hAnsiTheme="majorHAnsi"/>
          <w:sz w:val="28"/>
          <w:szCs w:val="28"/>
          <w:u w:val="single"/>
        </w:rPr>
      </w:pPr>
      <w:r>
        <w:rPr>
          <w:rFonts w:asciiTheme="majorHAnsi" w:hAnsiTheme="majorHAnsi"/>
          <w:sz w:val="28"/>
          <w:szCs w:val="28"/>
          <w:u w:val="single"/>
        </w:rPr>
        <w:t>3</w:t>
      </w:r>
      <w:r w:rsidRPr="00D16B1A">
        <w:rPr>
          <w:rFonts w:asciiTheme="majorHAnsi" w:hAnsiTheme="majorHAnsi"/>
          <w:sz w:val="28"/>
          <w:szCs w:val="28"/>
          <w:u w:val="single"/>
        </w:rPr>
        <w:t xml:space="preserve">.2 Transient transfection of </w:t>
      </w:r>
      <w:r w:rsidRPr="00276A61">
        <w:rPr>
          <w:rFonts w:asciiTheme="majorHAnsi" w:hAnsiTheme="majorHAnsi"/>
          <w:i/>
          <w:sz w:val="28"/>
          <w:szCs w:val="28"/>
          <w:u w:val="single"/>
        </w:rPr>
        <w:t>SRCAP</w:t>
      </w:r>
      <w:r w:rsidRPr="00D16B1A">
        <w:rPr>
          <w:rFonts w:asciiTheme="majorHAnsi" w:hAnsiTheme="majorHAnsi"/>
          <w:sz w:val="28"/>
          <w:szCs w:val="28"/>
          <w:u w:val="single"/>
        </w:rPr>
        <w:t xml:space="preserve"> cDNA shows no over</w:t>
      </w:r>
      <w:r w:rsidR="00327AA2">
        <w:rPr>
          <w:rFonts w:asciiTheme="majorHAnsi" w:hAnsiTheme="majorHAnsi"/>
          <w:sz w:val="28"/>
          <w:szCs w:val="28"/>
          <w:u w:val="single"/>
        </w:rPr>
        <w:t>-</w:t>
      </w:r>
      <w:r w:rsidRPr="00D16B1A">
        <w:rPr>
          <w:rFonts w:asciiTheme="majorHAnsi" w:hAnsiTheme="majorHAnsi"/>
          <w:sz w:val="28"/>
          <w:szCs w:val="28"/>
          <w:u w:val="single"/>
        </w:rPr>
        <w:t>expression</w:t>
      </w:r>
    </w:p>
    <w:p w14:paraId="1F2F326B" w14:textId="77777777" w:rsidR="00091260" w:rsidRDefault="00091260" w:rsidP="00091260">
      <w:pPr>
        <w:rPr>
          <w:rFonts w:asciiTheme="majorHAnsi" w:hAnsiTheme="majorHAnsi"/>
          <w:sz w:val="28"/>
          <w:szCs w:val="28"/>
          <w:u w:val="single"/>
        </w:rPr>
      </w:pPr>
    </w:p>
    <w:p w14:paraId="70AE00B8" w14:textId="7B6E4AF0" w:rsidR="00091260" w:rsidRDefault="00091260" w:rsidP="00091260">
      <w:pPr>
        <w:spacing w:line="360" w:lineRule="auto"/>
        <w:jc w:val="both"/>
        <w:rPr>
          <w:rFonts w:asciiTheme="majorHAnsi" w:hAnsiTheme="majorHAnsi"/>
        </w:rPr>
      </w:pPr>
      <w:r>
        <w:rPr>
          <w:rFonts w:asciiTheme="majorHAnsi" w:hAnsiTheme="majorHAnsi"/>
        </w:rPr>
        <w:t>Prior to trying to over</w:t>
      </w:r>
      <w:r w:rsidR="00327AA2">
        <w:rPr>
          <w:rFonts w:asciiTheme="majorHAnsi" w:hAnsiTheme="majorHAnsi"/>
        </w:rPr>
        <w:t>-</w:t>
      </w:r>
      <w:r>
        <w:rPr>
          <w:rFonts w:asciiTheme="majorHAnsi" w:hAnsiTheme="majorHAnsi"/>
        </w:rPr>
        <w:t xml:space="preserve">express the gene, two SRCAP antibodies were evaluated for their ability to detect endogenous SRCAP. Unfortunately </w:t>
      </w:r>
      <w:r w:rsidR="00A23FE7">
        <w:rPr>
          <w:rFonts w:asciiTheme="majorHAnsi" w:hAnsiTheme="majorHAnsi"/>
        </w:rPr>
        <w:t xml:space="preserve">good </w:t>
      </w:r>
      <w:r>
        <w:rPr>
          <w:rFonts w:asciiTheme="majorHAnsi" w:hAnsiTheme="majorHAnsi"/>
        </w:rPr>
        <w:t>antibodies for S</w:t>
      </w:r>
      <w:r w:rsidR="00A23FE7">
        <w:rPr>
          <w:rFonts w:asciiTheme="majorHAnsi" w:hAnsiTheme="majorHAnsi"/>
        </w:rPr>
        <w:t>RCAP were not readily available;</w:t>
      </w:r>
      <w:r>
        <w:rPr>
          <w:rFonts w:asciiTheme="majorHAnsi" w:hAnsiTheme="majorHAnsi"/>
        </w:rPr>
        <w:t xml:space="preserve"> one was an untested (“fast track”) antibody from Abcam and the other was from Santa Cruz and previously cited </w:t>
      </w:r>
      <w:r>
        <w:rPr>
          <w:rFonts w:asciiTheme="majorHAnsi" w:hAnsiTheme="majorHAnsi"/>
        </w:rPr>
        <w:fldChar w:fldCharType="begin">
          <w:fldData xml:space="preserve">PEVuZE5vdGU+PENpdGU+PEF1dGhvcj5Jd2FpPC9BdXRob3I+PFllYXI+MjAxMTwvWWVhcj48SURU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PEVuZE5vdGU+PENpdGU+PEF1dGhvcj5Jd2FpPC9BdXRob3I+PFllYXI+MjAxMTwvWWVhcj48SURU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(Iwai et al., 2011)</w:t>
      </w:r>
      <w:r>
        <w:rPr>
          <w:rFonts w:asciiTheme="majorHAnsi" w:hAnsiTheme="majorHAnsi"/>
        </w:rPr>
        <w:fldChar w:fldCharType="end"/>
      </w:r>
      <w:r>
        <w:rPr>
          <w:rFonts w:asciiTheme="majorHAnsi" w:hAnsiTheme="majorHAnsi"/>
        </w:rPr>
        <w:t xml:space="preserve">. Additionally, previous studies have used in house made SRCAP antibodies </w:t>
      </w:r>
      <w:r>
        <w:rPr>
          <w:rFonts w:asciiTheme="majorHAnsi" w:hAnsiTheme="majorHAnsi"/>
        </w:rPr>
        <w:fldChar w:fldCharType="begin">
          <w:fldData xml:space="preserve">PEVuZE5vdGU+PENpdGU+PEF1dGhvcj5SdWhsPC9BdXRob3I+PFllYXI+MjAwNjwvWWVhcj48SURU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PEVuZE5vdGU+PENpdGU+PEF1dGhvcj5SdWhsPC9BdXRob3I+PFllYXI+MjAwNjwvWWVhcj48SURU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(Ruhl et al., 2006, Wong et al., 2007, Dong et al., 2014)</w:t>
      </w:r>
      <w:r>
        <w:rPr>
          <w:rFonts w:asciiTheme="majorHAnsi" w:hAnsiTheme="majorHAnsi"/>
        </w:rPr>
        <w:fldChar w:fldCharType="end"/>
      </w:r>
      <w:r>
        <w:rPr>
          <w:rFonts w:asciiTheme="majorHAnsi" w:hAnsiTheme="majorHAnsi"/>
        </w:rPr>
        <w:t xml:space="preserve">. Multiple requests were made to these research groups to try and acquire some of these antibodies, however, neither group replied to the request for use of the published reagents. After multiple optimisation steps with both </w:t>
      </w:r>
      <w:r w:rsidR="00A23FE7">
        <w:rPr>
          <w:rFonts w:asciiTheme="majorHAnsi" w:hAnsiTheme="majorHAnsi"/>
        </w:rPr>
        <w:t xml:space="preserve">available </w:t>
      </w:r>
      <w:r>
        <w:rPr>
          <w:rFonts w:asciiTheme="majorHAnsi" w:hAnsiTheme="majorHAnsi"/>
        </w:rPr>
        <w:t>antibodies such as: long run times, differing transfer membranes, poured vs. precast gels, the concentration of the antibody and different lysis solutions, endogenous SRCAP could s</w:t>
      </w:r>
      <w:r w:rsidR="00B27EC8">
        <w:rPr>
          <w:rFonts w:asciiTheme="majorHAnsi" w:hAnsiTheme="majorHAnsi"/>
        </w:rPr>
        <w:t>till not be detected (Figure 3.3</w:t>
      </w:r>
      <w:r>
        <w:rPr>
          <w:rFonts w:asciiTheme="majorHAnsi" w:hAnsiTheme="majorHAnsi"/>
        </w:rPr>
        <w:t>). As can be seen in the re</w:t>
      </w:r>
      <w:r w:rsidR="00B27EC8">
        <w:rPr>
          <w:rFonts w:asciiTheme="majorHAnsi" w:hAnsiTheme="majorHAnsi"/>
        </w:rPr>
        <w:t>presentative image in Figure 3.3</w:t>
      </w:r>
      <w:r>
        <w:rPr>
          <w:rFonts w:asciiTheme="majorHAnsi" w:hAnsiTheme="majorHAnsi"/>
        </w:rPr>
        <w:t xml:space="preserve">, a band around the 200kDa mark was the </w:t>
      </w:r>
      <w:r w:rsidR="00A23FE7">
        <w:rPr>
          <w:rFonts w:asciiTheme="majorHAnsi" w:hAnsiTheme="majorHAnsi"/>
        </w:rPr>
        <w:t>largest</w:t>
      </w:r>
      <w:r>
        <w:rPr>
          <w:rFonts w:asciiTheme="majorHAnsi" w:hAnsiTheme="majorHAnsi"/>
        </w:rPr>
        <w:t xml:space="preserve"> detected, but SRCAP is predicted to have a size of </w:t>
      </w:r>
      <w:r w:rsidRPr="00C10748">
        <w:rPr>
          <w:rFonts w:asciiTheme="majorHAnsi" w:hAnsiTheme="majorHAnsi"/>
        </w:rPr>
        <w:t>~</w:t>
      </w:r>
      <w:r>
        <w:rPr>
          <w:rFonts w:asciiTheme="majorHAnsi" w:hAnsiTheme="majorHAnsi"/>
        </w:rPr>
        <w:t>340kDa. Large proteins are often harder to detect on western blots than smaller protein</w:t>
      </w:r>
      <w:r w:rsidR="00A23FE7">
        <w:rPr>
          <w:rFonts w:asciiTheme="majorHAnsi" w:hAnsiTheme="majorHAnsi"/>
        </w:rPr>
        <w:t>s,</w:t>
      </w:r>
      <w:r>
        <w:rPr>
          <w:rFonts w:asciiTheme="majorHAnsi" w:hAnsiTheme="majorHAnsi"/>
        </w:rPr>
        <w:t xml:space="preserve"> and it may also be that endogenous levels are low and/or the purchased antibodies are</w:t>
      </w:r>
      <w:r w:rsidR="00327AA2">
        <w:rPr>
          <w:rFonts w:asciiTheme="majorHAnsi" w:hAnsiTheme="majorHAnsi"/>
        </w:rPr>
        <w:t xml:space="preserve"> only capable of detecting over-</w:t>
      </w:r>
      <w:r>
        <w:rPr>
          <w:rFonts w:asciiTheme="majorHAnsi" w:hAnsiTheme="majorHAnsi"/>
        </w:rPr>
        <w:t xml:space="preserve">expressed/exogenous SRCAP. </w:t>
      </w:r>
    </w:p>
    <w:p w14:paraId="5E5E887B" w14:textId="391F5966" w:rsidR="00091260" w:rsidRDefault="00091260" w:rsidP="00091260">
      <w:pPr>
        <w:rPr>
          <w:rFonts w:asciiTheme="majorHAnsi" w:hAnsiTheme="majorHAnsi"/>
        </w:rPr>
      </w:pPr>
      <w:r w:rsidRPr="00444205">
        <w:rPr>
          <w:rFonts w:asciiTheme="majorHAnsi" w:hAnsiTheme="majorHAnsi"/>
          <w:lang w:val="en-US"/>
        </w:rPr>
        <w:t xml:space="preserve"> </w:t>
      </w:r>
    </w:p>
    <w:p w14:paraId="15BB30E4" w14:textId="77777777" w:rsidR="00B27EC8" w:rsidRDefault="00B27EC8" w:rsidP="00091260">
      <w:pPr>
        <w:spacing w:line="360" w:lineRule="auto"/>
        <w:jc w:val="both"/>
        <w:rPr>
          <w:rFonts w:asciiTheme="majorHAnsi" w:hAnsiTheme="majorHAnsi"/>
        </w:rPr>
      </w:pPr>
    </w:p>
    <w:p w14:paraId="494F4829" w14:textId="28EAC891" w:rsidR="00B27EC8" w:rsidRDefault="00B27EC8" w:rsidP="00091260">
      <w:pPr>
        <w:spacing w:line="360" w:lineRule="auto"/>
        <w:jc w:val="both"/>
        <w:rPr>
          <w:rFonts w:asciiTheme="majorHAnsi" w:hAnsiTheme="majorHAnsi"/>
        </w:rPr>
      </w:pPr>
    </w:p>
    <w:p w14:paraId="0190229E" w14:textId="440F5E7B" w:rsidR="00B27EC8" w:rsidRDefault="00F75DC6" w:rsidP="00091260">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941888" behindDoc="0" locked="0" layoutInCell="1" allowOverlap="1" wp14:anchorId="637AB6EB" wp14:editId="055FB3F3">
                <wp:simplePos x="0" y="0"/>
                <wp:positionH relativeFrom="column">
                  <wp:posOffset>2514600</wp:posOffset>
                </wp:positionH>
                <wp:positionV relativeFrom="paragraph">
                  <wp:posOffset>0</wp:posOffset>
                </wp:positionV>
                <wp:extent cx="2057400" cy="2628900"/>
                <wp:effectExtent l="0" t="0" r="0" b="12700"/>
                <wp:wrapSquare wrapText="bothSides"/>
                <wp:docPr id="146" name="Text Box 146"/>
                <wp:cNvGraphicFramePr/>
                <a:graphic xmlns:a="http://schemas.openxmlformats.org/drawingml/2006/main">
                  <a:graphicData uri="http://schemas.microsoft.com/office/word/2010/wordprocessingShape">
                    <wps:wsp>
                      <wps:cNvSpPr txBox="1"/>
                      <wps:spPr>
                        <a:xfrm>
                          <a:off x="0" y="0"/>
                          <a:ext cx="20574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E3FDC2" w14:textId="0050F431" w:rsidR="00E82D3B" w:rsidRPr="002E39E2" w:rsidRDefault="00E82D3B" w:rsidP="00091260">
                            <w:pPr>
                              <w:jc w:val="both"/>
                              <w:rPr>
                                <w:b/>
                                <w:i/>
                                <w:sz w:val="22"/>
                              </w:rPr>
                            </w:pPr>
                            <w:r w:rsidRPr="002E39E2">
                              <w:rPr>
                                <w:b/>
                                <w:i/>
                                <w:sz w:val="22"/>
                              </w:rPr>
                              <w:t>F</w:t>
                            </w:r>
                            <w:r>
                              <w:rPr>
                                <w:b/>
                                <w:i/>
                                <w:sz w:val="22"/>
                              </w:rPr>
                              <w:t>igure 3.3</w:t>
                            </w:r>
                            <w:r w:rsidRPr="002E39E2">
                              <w:rPr>
                                <w:b/>
                                <w:i/>
                                <w:sz w:val="22"/>
                              </w:rPr>
                              <w:t xml:space="preserve"> Endogenous levels of SRCAP cannot be visualised by western blotting.</w:t>
                            </w:r>
                          </w:p>
                          <w:p w14:paraId="348ACBBA" w14:textId="77777777" w:rsidR="00E82D3B" w:rsidRPr="002E39E2" w:rsidRDefault="00E82D3B" w:rsidP="00091260">
                            <w:pPr>
                              <w:jc w:val="both"/>
                              <w:rPr>
                                <w:i/>
                                <w:sz w:val="22"/>
                              </w:rPr>
                            </w:pPr>
                            <w:r w:rsidRPr="002E39E2">
                              <w:rPr>
                                <w:i/>
                                <w:iCs/>
                                <w:sz w:val="22"/>
                              </w:rPr>
                              <w:t>Using cell lysates from SW480 and SW620 colorectal cancer cell lines, membranes were probed for endogenous SRCAP using 40ng of sample and 1:250 SRCAP antibody from Abcam, with Actin used as a loading control. The largest band detected was below the 250kDa molecular weight marker</w:t>
                            </w:r>
                            <w:r>
                              <w:rPr>
                                <w:i/>
                                <w:iCs/>
                                <w:sz w:val="22"/>
                              </w:rPr>
                              <w:t xml:space="preserve"> as indicated by the red arrow, which is too low to be SRCAP.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o:spid="_x0000_s1036" type="#_x0000_t202" style="position:absolute;left:0;text-align:left;margin-left:198pt;margin-top:0;width:162pt;height:20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" filled="f" stroked="f">
                <v:textbox>
                  <w:txbxContent>
                    <w:p w14:paraId="3BE3FDC2" w14:textId="0050F431" w:rsidR="000A1E0D" w:rsidRPr="002E39E2" w:rsidRDefault="000A1E0D" w:rsidP="00091260">
                      <w:pPr>
                        <w:jc w:val="both"/>
                        <w:rPr>
                          <w:b/>
                          <w:i/>
                          <w:sz w:val="22"/>
                        </w:rPr>
                      </w:pPr>
                      <w:r w:rsidRPr="002E39E2">
                        <w:rPr>
                          <w:b/>
                          <w:i/>
                          <w:sz w:val="22"/>
                        </w:rPr>
                        <w:t>F</w:t>
                      </w:r>
                      <w:r>
                        <w:rPr>
                          <w:b/>
                          <w:i/>
                          <w:sz w:val="22"/>
                        </w:rPr>
                        <w:t>igure 3.3</w:t>
                      </w:r>
                      <w:r w:rsidRPr="002E39E2">
                        <w:rPr>
                          <w:b/>
                          <w:i/>
                          <w:sz w:val="22"/>
                        </w:rPr>
                        <w:t xml:space="preserve"> Endogenous levels of SRCAP cannot be visualised by western blotting.</w:t>
                      </w:r>
                    </w:p>
                    <w:p w14:paraId="348ACBBA" w14:textId="77777777" w:rsidR="000A1E0D" w:rsidRPr="002E39E2" w:rsidRDefault="000A1E0D" w:rsidP="00091260">
                      <w:pPr>
                        <w:jc w:val="both"/>
                        <w:rPr>
                          <w:i/>
                          <w:sz w:val="22"/>
                        </w:rPr>
                      </w:pPr>
                      <w:r w:rsidRPr="002E39E2">
                        <w:rPr>
                          <w:i/>
                          <w:iCs/>
                          <w:sz w:val="22"/>
                        </w:rPr>
                        <w:t>Using cell lysates from SW480 and SW620 colorectal cancer cell lines, membranes were probed for endogenous SRCAP using 40ng of sample and 1:250 SRCAP antibody from Abcam, with Actin used as a loading control. The largest band detected was below the 250kDa molecular weight marker</w:t>
                      </w:r>
                      <w:r>
                        <w:rPr>
                          <w:i/>
                          <w:iCs/>
                          <w:sz w:val="22"/>
                        </w:rPr>
                        <w:t xml:space="preserve"> as indicated by the red arrow, which is too low to be SRCAP.</w:t>
                      </w:r>
                    </w:p>
                  </w:txbxContent>
                </v:textbox>
                <w10:wrap type="square"/>
              </v:shape>
            </w:pict>
          </mc:Fallback>
        </mc:AlternateContent>
      </w:r>
      <w:r w:rsidR="00FD4F82">
        <w:rPr>
          <w:rFonts w:asciiTheme="majorHAnsi" w:hAnsiTheme="majorHAnsi"/>
          <w:noProof/>
          <w:lang w:val="en-US"/>
        </w:rPr>
        <w:drawing>
          <wp:anchor distT="0" distB="0" distL="114300" distR="114300" simplePos="0" relativeHeight="251942912" behindDoc="0" locked="0" layoutInCell="1" allowOverlap="1" wp14:anchorId="1BBE4FEE" wp14:editId="1CA87365">
            <wp:simplePos x="0" y="0"/>
            <wp:positionH relativeFrom="column">
              <wp:posOffset>685800</wp:posOffset>
            </wp:positionH>
            <wp:positionV relativeFrom="paragraph">
              <wp:posOffset>-114300</wp:posOffset>
            </wp:positionV>
            <wp:extent cx="1545590" cy="2628900"/>
            <wp:effectExtent l="0" t="0" r="3810" b="12700"/>
            <wp:wrapSquare wrapText="bothSides"/>
            <wp:docPr id="148" name="Picture 148" descr="Macintosh HD:Users:ClairFellows:Desktop:Screen Shot 2017-11-14 at 14.3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lairFellows:Desktop:Screen Shot 2017-11-14 at 14.37.5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4559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8CB316" w14:textId="77777777" w:rsidR="00B27EC8" w:rsidRDefault="00B27EC8" w:rsidP="00091260">
      <w:pPr>
        <w:spacing w:line="360" w:lineRule="auto"/>
        <w:jc w:val="both"/>
        <w:rPr>
          <w:rFonts w:asciiTheme="majorHAnsi" w:hAnsiTheme="majorHAnsi"/>
        </w:rPr>
      </w:pPr>
    </w:p>
    <w:p w14:paraId="5DBF027F" w14:textId="77777777" w:rsidR="00B27EC8" w:rsidRDefault="00B27EC8" w:rsidP="00091260">
      <w:pPr>
        <w:spacing w:line="360" w:lineRule="auto"/>
        <w:jc w:val="both"/>
        <w:rPr>
          <w:rFonts w:asciiTheme="majorHAnsi" w:hAnsiTheme="majorHAnsi"/>
        </w:rPr>
      </w:pPr>
    </w:p>
    <w:p w14:paraId="03CFADA0" w14:textId="4B954711" w:rsidR="00B27EC8" w:rsidRDefault="00FD4F82" w:rsidP="00091260">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943936" behindDoc="0" locked="0" layoutInCell="1" allowOverlap="1" wp14:anchorId="27BB1DA9" wp14:editId="38D42BFF">
                <wp:simplePos x="0" y="0"/>
                <wp:positionH relativeFrom="column">
                  <wp:posOffset>1828800</wp:posOffset>
                </wp:positionH>
                <wp:positionV relativeFrom="paragraph">
                  <wp:posOffset>77470</wp:posOffset>
                </wp:positionV>
                <wp:extent cx="457200" cy="0"/>
                <wp:effectExtent l="50800" t="101600" r="0" b="127000"/>
                <wp:wrapNone/>
                <wp:docPr id="145" name="Straight Arrow Connector 145"/>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145" o:spid="_x0000_s1026" type="#_x0000_t32" style="position:absolute;margin-left:2in;margin-top:6.1pt;width:36pt;height:0;flip:x;z-index:25194393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" strokecolor="#bc4542 [3045]">
                <v:stroke endarrow="open"/>
              </v:shape>
            </w:pict>
          </mc:Fallback>
        </mc:AlternateContent>
      </w:r>
    </w:p>
    <w:p w14:paraId="51448913" w14:textId="77777777" w:rsidR="00B27EC8" w:rsidRDefault="00B27EC8" w:rsidP="00091260">
      <w:pPr>
        <w:spacing w:line="360" w:lineRule="auto"/>
        <w:jc w:val="both"/>
        <w:rPr>
          <w:rFonts w:asciiTheme="majorHAnsi" w:hAnsiTheme="majorHAnsi"/>
        </w:rPr>
      </w:pPr>
    </w:p>
    <w:p w14:paraId="4D4B6F59" w14:textId="77777777" w:rsidR="00B27EC8" w:rsidRDefault="00B27EC8" w:rsidP="00091260">
      <w:pPr>
        <w:spacing w:line="360" w:lineRule="auto"/>
        <w:jc w:val="both"/>
        <w:rPr>
          <w:rFonts w:asciiTheme="majorHAnsi" w:hAnsiTheme="majorHAnsi"/>
        </w:rPr>
      </w:pPr>
    </w:p>
    <w:p w14:paraId="61FB942E" w14:textId="4E8DE223" w:rsidR="00B27EC8" w:rsidRDefault="00B27EC8" w:rsidP="00091260">
      <w:pPr>
        <w:spacing w:line="360" w:lineRule="auto"/>
        <w:jc w:val="both"/>
        <w:rPr>
          <w:rFonts w:asciiTheme="majorHAnsi" w:hAnsiTheme="majorHAnsi"/>
        </w:rPr>
      </w:pPr>
    </w:p>
    <w:p w14:paraId="0B70834E" w14:textId="77777777" w:rsidR="00B27EC8" w:rsidRDefault="00B27EC8" w:rsidP="00091260">
      <w:pPr>
        <w:spacing w:line="360" w:lineRule="auto"/>
        <w:jc w:val="both"/>
        <w:rPr>
          <w:rFonts w:asciiTheme="majorHAnsi" w:hAnsiTheme="majorHAnsi"/>
        </w:rPr>
      </w:pPr>
    </w:p>
    <w:p w14:paraId="7669EB99" w14:textId="77777777" w:rsidR="00B27EC8" w:rsidRDefault="00B27EC8" w:rsidP="00091260">
      <w:pPr>
        <w:spacing w:line="360" w:lineRule="auto"/>
        <w:jc w:val="both"/>
        <w:rPr>
          <w:rFonts w:asciiTheme="majorHAnsi" w:hAnsiTheme="majorHAnsi"/>
        </w:rPr>
      </w:pPr>
    </w:p>
    <w:p w14:paraId="4C901275" w14:textId="77777777" w:rsidR="00B27EC8" w:rsidRDefault="00B27EC8" w:rsidP="00091260">
      <w:pPr>
        <w:spacing w:line="360" w:lineRule="auto"/>
        <w:jc w:val="both"/>
        <w:rPr>
          <w:rFonts w:asciiTheme="majorHAnsi" w:hAnsiTheme="majorHAnsi"/>
        </w:rPr>
      </w:pPr>
    </w:p>
    <w:p w14:paraId="203BF0B1" w14:textId="55500AA1" w:rsidR="00091260" w:rsidRPr="00E3458A" w:rsidRDefault="00FD4F82" w:rsidP="00B27EC8">
      <w:pPr>
        <w:spacing w:line="360" w:lineRule="auto"/>
        <w:jc w:val="both"/>
        <w:rPr>
          <w:rFonts w:asciiTheme="majorHAnsi" w:hAnsiTheme="majorHAnsi"/>
        </w:rPr>
      </w:pPr>
      <w:r>
        <w:rPr>
          <w:rFonts w:asciiTheme="majorHAnsi" w:hAnsiTheme="majorHAnsi"/>
        </w:rPr>
        <w:t>I</w:t>
      </w:r>
      <w:r w:rsidR="00327AA2">
        <w:rPr>
          <w:rFonts w:asciiTheme="majorHAnsi" w:hAnsiTheme="majorHAnsi"/>
        </w:rPr>
        <w:t>n order to create over-</w:t>
      </w:r>
      <w:r w:rsidR="00091260">
        <w:rPr>
          <w:rFonts w:asciiTheme="majorHAnsi" w:hAnsiTheme="majorHAnsi"/>
        </w:rPr>
        <w:t xml:space="preserve">expressing SRCAP cell lines, </w:t>
      </w:r>
      <w:r w:rsidR="00091260" w:rsidRPr="00A83A99">
        <w:rPr>
          <w:rFonts w:asciiTheme="majorHAnsi" w:hAnsiTheme="majorHAnsi"/>
        </w:rPr>
        <w:t>human</w:t>
      </w:r>
      <w:r w:rsidR="00091260">
        <w:rPr>
          <w:rFonts w:asciiTheme="majorHAnsi" w:hAnsiTheme="majorHAnsi"/>
        </w:rPr>
        <w:t xml:space="preserve"> </w:t>
      </w:r>
      <w:r w:rsidR="00091260" w:rsidRPr="00444205">
        <w:rPr>
          <w:rFonts w:asciiTheme="majorHAnsi" w:hAnsiTheme="majorHAnsi"/>
          <w:i/>
        </w:rPr>
        <w:t>SRCAP</w:t>
      </w:r>
      <w:r w:rsidR="00091260">
        <w:rPr>
          <w:rFonts w:asciiTheme="majorHAnsi" w:hAnsiTheme="majorHAnsi"/>
        </w:rPr>
        <w:t xml:space="preserve"> cDNA (BC172428) was purchased from Dharmacon in the pENTR223.1 vector. Firstly the </w:t>
      </w:r>
      <w:r w:rsidR="00091260" w:rsidRPr="00444205">
        <w:rPr>
          <w:rFonts w:asciiTheme="majorHAnsi" w:hAnsiTheme="majorHAnsi"/>
          <w:i/>
        </w:rPr>
        <w:t>SRCAP</w:t>
      </w:r>
      <w:r w:rsidR="00091260">
        <w:rPr>
          <w:rFonts w:asciiTheme="majorHAnsi" w:hAnsiTheme="majorHAnsi"/>
        </w:rPr>
        <w:t xml:space="preserve"> cDNA bacterial solution provided was grown in spectinomycin selective LB broth over night at 37</w:t>
      </w:r>
      <w:r w:rsidR="00091260" w:rsidRPr="00C17593">
        <w:rPr>
          <w:rFonts w:asciiTheme="majorHAnsi" w:hAnsiTheme="majorHAnsi"/>
          <w:vertAlign w:val="superscript"/>
        </w:rPr>
        <w:t>o</w:t>
      </w:r>
      <w:r w:rsidR="00091260">
        <w:rPr>
          <w:rFonts w:asciiTheme="majorHAnsi" w:hAnsiTheme="majorHAnsi"/>
        </w:rPr>
        <w:t>C and the DNA extracted and purified. This resulted in a low yield of only 38.2ng/</w:t>
      </w:r>
      <w:proofErr w:type="spellStart"/>
      <w:r w:rsidR="00091260">
        <w:rPr>
          <w:rFonts w:ascii="Calibri" w:hAnsi="Calibri"/>
        </w:rPr>
        <w:t>μ</w:t>
      </w:r>
      <w:r w:rsidR="00091260">
        <w:rPr>
          <w:rFonts w:asciiTheme="majorHAnsi" w:hAnsiTheme="majorHAnsi"/>
        </w:rPr>
        <w:t>l</w:t>
      </w:r>
      <w:proofErr w:type="spellEnd"/>
      <w:r w:rsidR="00091260">
        <w:rPr>
          <w:rFonts w:asciiTheme="majorHAnsi" w:hAnsiTheme="majorHAnsi"/>
        </w:rPr>
        <w:t xml:space="preserve"> of plasmid DNA; however, a DNA gel confirmed that the DNA was of the corre</w:t>
      </w:r>
      <w:r w:rsidR="00324DB5">
        <w:rPr>
          <w:rFonts w:asciiTheme="majorHAnsi" w:hAnsiTheme="majorHAnsi"/>
        </w:rPr>
        <w:t>ct size and quantity (</w:t>
      </w:r>
      <w:r w:rsidR="006B7F6C">
        <w:rPr>
          <w:rFonts w:asciiTheme="majorHAnsi" w:hAnsiTheme="majorHAnsi"/>
        </w:rPr>
        <w:t>Figure 3.4a).</w:t>
      </w:r>
      <w:r w:rsidR="00091260">
        <w:rPr>
          <w:rFonts w:asciiTheme="majorHAnsi" w:hAnsiTheme="majorHAnsi"/>
        </w:rPr>
        <w:t xml:space="preserve"> This cDNA </w:t>
      </w:r>
      <w:r w:rsidR="00324DB5">
        <w:rPr>
          <w:rFonts w:asciiTheme="majorHAnsi" w:hAnsiTheme="majorHAnsi"/>
        </w:rPr>
        <w:t xml:space="preserve">was then transformed </w:t>
      </w:r>
      <w:r w:rsidR="00091260">
        <w:rPr>
          <w:rFonts w:asciiTheme="majorHAnsi" w:hAnsiTheme="majorHAnsi"/>
        </w:rPr>
        <w:t>into three destination vectors tagged with YFP, MYC and Flag (full names described in me</w:t>
      </w:r>
      <w:r w:rsidR="00324DB5">
        <w:rPr>
          <w:rFonts w:asciiTheme="majorHAnsi" w:hAnsiTheme="majorHAnsi"/>
        </w:rPr>
        <w:t>thods).</w:t>
      </w:r>
      <w:r w:rsidR="00091260">
        <w:rPr>
          <w:rFonts w:asciiTheme="majorHAnsi" w:hAnsiTheme="majorHAnsi"/>
        </w:rPr>
        <w:t xml:space="preserve"> </w:t>
      </w:r>
      <w:r w:rsidR="00324DB5">
        <w:rPr>
          <w:rFonts w:asciiTheme="majorHAnsi" w:hAnsiTheme="majorHAnsi"/>
        </w:rPr>
        <w:t>The purified vector DNA was</w:t>
      </w:r>
      <w:r w:rsidR="00091260">
        <w:rPr>
          <w:rFonts w:asciiTheme="majorHAnsi" w:hAnsiTheme="majorHAnsi"/>
        </w:rPr>
        <w:t xml:space="preserve"> sent for se</w:t>
      </w:r>
      <w:r w:rsidR="00A23FE7">
        <w:rPr>
          <w:rFonts w:asciiTheme="majorHAnsi" w:hAnsiTheme="majorHAnsi"/>
        </w:rPr>
        <w:t>quencing at the Medical School Core F</w:t>
      </w:r>
      <w:r w:rsidR="00091260">
        <w:rPr>
          <w:rFonts w:asciiTheme="majorHAnsi" w:hAnsiTheme="majorHAnsi"/>
        </w:rPr>
        <w:t xml:space="preserve">acility to check correct start and stop codons were in frame by using the 9427F and 199R primers detailed in the methods section. Each resulting destination vector containing the </w:t>
      </w:r>
      <w:r w:rsidR="00091260" w:rsidRPr="00444205">
        <w:rPr>
          <w:rFonts w:asciiTheme="majorHAnsi" w:hAnsiTheme="majorHAnsi"/>
          <w:i/>
        </w:rPr>
        <w:t>SRCAP</w:t>
      </w:r>
      <w:r w:rsidR="00091260">
        <w:rPr>
          <w:rFonts w:asciiTheme="majorHAnsi" w:hAnsiTheme="majorHAnsi"/>
        </w:rPr>
        <w:t xml:space="preserve"> cDNA was transfected into HCT116 cells for 48hrs before </w:t>
      </w:r>
      <w:r w:rsidR="00A23FE7">
        <w:rPr>
          <w:rFonts w:asciiTheme="majorHAnsi" w:hAnsiTheme="majorHAnsi"/>
        </w:rPr>
        <w:t>the cells were</w:t>
      </w:r>
      <w:r w:rsidR="00091260">
        <w:rPr>
          <w:rFonts w:asciiTheme="majorHAnsi" w:hAnsiTheme="majorHAnsi"/>
        </w:rPr>
        <w:t xml:space="preserve"> lysed</w:t>
      </w:r>
      <w:r w:rsidR="00A23FE7">
        <w:rPr>
          <w:rFonts w:asciiTheme="majorHAnsi" w:hAnsiTheme="majorHAnsi"/>
        </w:rPr>
        <w:t xml:space="preserve"> and then protein was extracted and </w:t>
      </w:r>
      <w:r w:rsidR="00091260">
        <w:rPr>
          <w:rFonts w:asciiTheme="majorHAnsi" w:hAnsiTheme="majorHAnsi"/>
        </w:rPr>
        <w:t xml:space="preserve">purified. SRCAP is known to localise to the nucleus. However, when the </w:t>
      </w:r>
      <w:r w:rsidR="00091260" w:rsidRPr="00276A61">
        <w:rPr>
          <w:rFonts w:asciiTheme="majorHAnsi" w:hAnsiTheme="majorHAnsi"/>
          <w:i/>
        </w:rPr>
        <w:t>YFP SRCAP</w:t>
      </w:r>
      <w:r w:rsidR="00091260">
        <w:rPr>
          <w:rFonts w:asciiTheme="majorHAnsi" w:hAnsiTheme="majorHAnsi"/>
        </w:rPr>
        <w:t xml:space="preserve"> transfected cells were checked for fluorescence, although the cells were expressing YFP, it did not appe</w:t>
      </w:r>
      <w:r w:rsidR="006B7F6C">
        <w:rPr>
          <w:rFonts w:asciiTheme="majorHAnsi" w:hAnsiTheme="majorHAnsi"/>
        </w:rPr>
        <w:t>ar to be nuclear (Figure 3.4b</w:t>
      </w:r>
      <w:r w:rsidR="00091260">
        <w:rPr>
          <w:rFonts w:asciiTheme="majorHAnsi" w:hAnsiTheme="majorHAnsi"/>
        </w:rPr>
        <w:t xml:space="preserve">). </w:t>
      </w:r>
      <w:r w:rsidR="00C059E5">
        <w:rPr>
          <w:rFonts w:asciiTheme="majorHAnsi" w:hAnsiTheme="majorHAnsi"/>
        </w:rPr>
        <w:t xml:space="preserve">Furthermore, there was a </w:t>
      </w:r>
      <w:r w:rsidR="00091260">
        <w:rPr>
          <w:rFonts w:asciiTheme="majorHAnsi" w:hAnsiTheme="majorHAnsi"/>
        </w:rPr>
        <w:t>lack of bands detected in the protein lysates from these cells when probed with MYC, FLAG or GFP antibodies that were well established w</w:t>
      </w:r>
      <w:r w:rsidR="00324DB5">
        <w:rPr>
          <w:rFonts w:asciiTheme="majorHAnsi" w:hAnsiTheme="majorHAnsi"/>
        </w:rPr>
        <w:t>ithin the laboratory (Figure 3.4</w:t>
      </w:r>
      <w:r w:rsidR="006B7F6C">
        <w:rPr>
          <w:rFonts w:asciiTheme="majorHAnsi" w:hAnsiTheme="majorHAnsi"/>
        </w:rPr>
        <w:t>c</w:t>
      </w:r>
      <w:r w:rsidR="00091260">
        <w:rPr>
          <w:rFonts w:asciiTheme="majorHAnsi" w:hAnsiTheme="majorHAnsi"/>
        </w:rPr>
        <w:t>). Although the SRCAP antibodies had so far not detected bands at the correct molecular weight for endogenous protein levels, it was</w:t>
      </w:r>
      <w:r w:rsidR="000A7C31">
        <w:rPr>
          <w:rFonts w:asciiTheme="majorHAnsi" w:hAnsiTheme="majorHAnsi"/>
        </w:rPr>
        <w:t xml:space="preserve"> predicted they might show over-</w:t>
      </w:r>
      <w:r w:rsidR="00091260">
        <w:rPr>
          <w:rFonts w:asciiTheme="majorHAnsi" w:hAnsiTheme="majorHAnsi"/>
        </w:rPr>
        <w:t>expressed SRCAP. However, n</w:t>
      </w:r>
      <w:r w:rsidR="000A7C31">
        <w:rPr>
          <w:rFonts w:asciiTheme="majorHAnsi" w:hAnsiTheme="majorHAnsi"/>
        </w:rPr>
        <w:t>o over-</w:t>
      </w:r>
      <w:r w:rsidR="00091260">
        <w:rPr>
          <w:rFonts w:asciiTheme="majorHAnsi" w:hAnsiTheme="majorHAnsi"/>
        </w:rPr>
        <w:t>expression of SRCAP was observed as the highest band detected in any of the transfected samples wa</w:t>
      </w:r>
      <w:r w:rsidR="00B27EC8">
        <w:rPr>
          <w:rFonts w:asciiTheme="majorHAnsi" w:hAnsiTheme="majorHAnsi"/>
        </w:rPr>
        <w:t xml:space="preserve">s </w:t>
      </w:r>
      <w:r w:rsidR="00324DB5">
        <w:rPr>
          <w:rFonts w:asciiTheme="majorHAnsi" w:hAnsiTheme="majorHAnsi"/>
        </w:rPr>
        <w:t>just below 148 kDa (Figure 3.4</w:t>
      </w:r>
      <w:r w:rsidR="00091260">
        <w:rPr>
          <w:rFonts w:asciiTheme="majorHAnsi" w:hAnsiTheme="majorHAnsi"/>
        </w:rPr>
        <w:t>b</w:t>
      </w:r>
      <w:r w:rsidR="006B7F6C">
        <w:rPr>
          <w:rFonts w:asciiTheme="majorHAnsi" w:hAnsiTheme="majorHAnsi"/>
        </w:rPr>
        <w:t>d</w:t>
      </w:r>
      <w:r w:rsidR="00091260">
        <w:rPr>
          <w:rFonts w:asciiTheme="majorHAnsi" w:hAnsiTheme="majorHAnsi"/>
        </w:rPr>
        <w:t xml:space="preserve">). </w:t>
      </w:r>
    </w:p>
    <w:p w14:paraId="368D6FB2" w14:textId="28088711" w:rsidR="00091260" w:rsidRPr="00A959BE" w:rsidRDefault="00E250C6" w:rsidP="00091260">
      <w:pPr>
        <w:rPr>
          <w:rFonts w:asciiTheme="majorHAnsi" w:hAnsiTheme="majorHAnsi"/>
          <w:sz w:val="28"/>
          <w:szCs w:val="28"/>
          <w:u w:val="single"/>
        </w:rPr>
      </w:pPr>
      <w:r>
        <w:rPr>
          <w:noProof/>
          <w:lang w:val="en-US"/>
        </w:rPr>
        <mc:AlternateContent>
          <mc:Choice Requires="wps">
            <w:drawing>
              <wp:anchor distT="0" distB="0" distL="114300" distR="114300" simplePos="0" relativeHeight="251888640" behindDoc="0" locked="0" layoutInCell="1" allowOverlap="1" wp14:anchorId="6F05C49C" wp14:editId="0584FED7">
                <wp:simplePos x="0" y="0"/>
                <wp:positionH relativeFrom="column">
                  <wp:posOffset>3086100</wp:posOffset>
                </wp:positionH>
                <wp:positionV relativeFrom="paragraph">
                  <wp:posOffset>114300</wp:posOffset>
                </wp:positionV>
                <wp:extent cx="457200" cy="342900"/>
                <wp:effectExtent l="0" t="0" r="0" b="12700"/>
                <wp:wrapSquare wrapText="bothSides"/>
                <wp:docPr id="49" name="Text Box 49"/>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4AADCC" w14:textId="77777777" w:rsidR="00E82D3B" w:rsidRPr="00A959BE" w:rsidRDefault="00E82D3B" w:rsidP="00091260">
                            <w:pPr>
                              <w:rPr>
                                <w:b/>
                              </w:rPr>
                            </w:pPr>
                            <w:proofErr w:type="gramStart"/>
                            <w:r>
                              <w:rPr>
                                <w:b/>
                              </w:rPr>
                              <w:t>b</w:t>
                            </w:r>
                            <w:proofErr w:type="gramEnd"/>
                            <w:r w:rsidRPr="00A959BE">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9" o:spid="_x0000_s1037" type="#_x0000_t202" style="position:absolute;margin-left:243pt;margin-top:9pt;width:36pt;height:27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nZM88CAAAX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" filled="f" stroked="f">
                <v:textbox>
                  <w:txbxContent>
                    <w:p w14:paraId="114AADCC" w14:textId="77777777" w:rsidR="000A1E0D" w:rsidRPr="00A959BE" w:rsidRDefault="000A1E0D" w:rsidP="00091260">
                      <w:pPr>
                        <w:rPr>
                          <w:b/>
                        </w:rPr>
                      </w:pPr>
                      <w:proofErr w:type="gramStart"/>
                      <w:r>
                        <w:rPr>
                          <w:b/>
                        </w:rPr>
                        <w:t>b</w:t>
                      </w:r>
                      <w:proofErr w:type="gramEnd"/>
                      <w:r w:rsidRPr="00A959BE">
                        <w:rPr>
                          <w:b/>
                        </w:rPr>
                        <w:t>.)</w:t>
                      </w:r>
                    </w:p>
                  </w:txbxContent>
                </v:textbox>
                <w10:wrap type="square"/>
              </v:shape>
            </w:pict>
          </mc:Fallback>
        </mc:AlternateContent>
      </w:r>
    </w:p>
    <w:p w14:paraId="6B02DEBF" w14:textId="55B8618C" w:rsidR="00091260" w:rsidRPr="00A959BE" w:rsidRDefault="006B7F6C" w:rsidP="00091260">
      <w:pPr>
        <w:rPr>
          <w:rFonts w:asciiTheme="majorHAnsi" w:hAnsiTheme="majorHAnsi"/>
          <w:sz w:val="28"/>
          <w:szCs w:val="28"/>
          <w:u w:val="single"/>
        </w:rPr>
      </w:pPr>
      <w:r>
        <w:rPr>
          <w:rFonts w:asciiTheme="majorHAnsi" w:hAnsiTheme="majorHAnsi"/>
          <w:noProof/>
          <w:sz w:val="28"/>
          <w:szCs w:val="28"/>
          <w:u w:val="single"/>
          <w:lang w:val="en-US"/>
        </w:rPr>
        <w:drawing>
          <wp:anchor distT="0" distB="0" distL="114300" distR="114300" simplePos="0" relativeHeight="252265472" behindDoc="0" locked="0" layoutInCell="1" allowOverlap="1" wp14:anchorId="046A1615" wp14:editId="1A8517A5">
            <wp:simplePos x="0" y="0"/>
            <wp:positionH relativeFrom="column">
              <wp:posOffset>342900</wp:posOffset>
            </wp:positionH>
            <wp:positionV relativeFrom="paragraph">
              <wp:posOffset>11430</wp:posOffset>
            </wp:positionV>
            <wp:extent cx="2286000" cy="2463800"/>
            <wp:effectExtent l="0" t="0" r="0" b="0"/>
            <wp:wrapSquare wrapText="bothSides"/>
            <wp:docPr id="191" name="Picture 191" descr="Macintosh HD:Users:ClairFellows:Desktop:Screen Shot 2018-04-04 at 16.1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lairFellows:Desktop:Screen Shot 2018-04-04 at 16.10.1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6000" cy="246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260">
        <w:rPr>
          <w:noProof/>
          <w:lang w:val="en-US"/>
        </w:rPr>
        <mc:AlternateContent>
          <mc:Choice Requires="wps">
            <w:drawing>
              <wp:anchor distT="0" distB="0" distL="114300" distR="114300" simplePos="0" relativeHeight="252266496" behindDoc="0" locked="0" layoutInCell="1" allowOverlap="1" wp14:anchorId="05C673CD" wp14:editId="47733B66">
                <wp:simplePos x="0" y="0"/>
                <wp:positionH relativeFrom="column">
                  <wp:posOffset>228600</wp:posOffset>
                </wp:positionH>
                <wp:positionV relativeFrom="paragraph">
                  <wp:posOffset>-114300</wp:posOffset>
                </wp:positionV>
                <wp:extent cx="457200" cy="342900"/>
                <wp:effectExtent l="0" t="0" r="0" b="12700"/>
                <wp:wrapSquare wrapText="bothSides"/>
                <wp:docPr id="50" name="Text Box 50"/>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911C62" w14:textId="77777777" w:rsidR="00E82D3B" w:rsidRPr="00A959BE" w:rsidRDefault="00E82D3B" w:rsidP="00091260">
                            <w:pPr>
                              <w:rPr>
                                <w:b/>
                              </w:rPr>
                            </w:pPr>
                            <w:proofErr w:type="gramStart"/>
                            <w:r w:rsidRPr="00A959BE">
                              <w:rPr>
                                <w:b/>
                              </w:rPr>
                              <w:t>a</w:t>
                            </w:r>
                            <w:proofErr w:type="gramEnd"/>
                            <w:r w:rsidRPr="00A959BE">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 o:spid="_x0000_s1038" type="#_x0000_t202" style="position:absolute;margin-left:18pt;margin-top:-8.95pt;width:36pt;height:27pt;z-index:25226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" filled="f" stroked="f">
                <v:textbox>
                  <w:txbxContent>
                    <w:p w14:paraId="2D911C62" w14:textId="77777777" w:rsidR="000A1E0D" w:rsidRPr="00A959BE" w:rsidRDefault="000A1E0D" w:rsidP="00091260">
                      <w:pPr>
                        <w:rPr>
                          <w:b/>
                        </w:rPr>
                      </w:pPr>
                      <w:proofErr w:type="gramStart"/>
                      <w:r w:rsidRPr="00A959BE">
                        <w:rPr>
                          <w:b/>
                        </w:rPr>
                        <w:t>a</w:t>
                      </w:r>
                      <w:proofErr w:type="gramEnd"/>
                      <w:r w:rsidRPr="00A959BE">
                        <w:rPr>
                          <w:b/>
                        </w:rPr>
                        <w:t>.)</w:t>
                      </w:r>
                    </w:p>
                  </w:txbxContent>
                </v:textbox>
                <w10:wrap type="square"/>
              </v:shape>
            </w:pict>
          </mc:Fallback>
        </mc:AlternateContent>
      </w:r>
    </w:p>
    <w:p w14:paraId="6828327B" w14:textId="2245F8D5" w:rsidR="00091260" w:rsidRPr="00A959BE" w:rsidRDefault="00091260" w:rsidP="00091260">
      <w:pPr>
        <w:rPr>
          <w:rFonts w:asciiTheme="majorHAnsi" w:hAnsiTheme="majorHAnsi"/>
          <w:sz w:val="28"/>
          <w:szCs w:val="28"/>
          <w:u w:val="single"/>
        </w:rPr>
      </w:pPr>
    </w:p>
    <w:p w14:paraId="3CB61EA8" w14:textId="12AA1CCE" w:rsidR="00D01D43" w:rsidRDefault="00E250C6" w:rsidP="00D01D43">
      <w:pPr>
        <w:rPr>
          <w:rFonts w:asciiTheme="majorHAnsi" w:hAnsiTheme="majorHAnsi"/>
          <w:sz w:val="28"/>
          <w:szCs w:val="28"/>
          <w:u w:val="single"/>
        </w:rPr>
      </w:pPr>
      <w:r>
        <w:rPr>
          <w:rFonts w:asciiTheme="majorHAnsi" w:hAnsiTheme="majorHAnsi"/>
          <w:noProof/>
          <w:sz w:val="28"/>
          <w:szCs w:val="28"/>
          <w:u w:val="single"/>
          <w:lang w:val="en-US"/>
        </w:rPr>
        <w:drawing>
          <wp:anchor distT="0" distB="0" distL="114300" distR="114300" simplePos="0" relativeHeight="252271616" behindDoc="0" locked="0" layoutInCell="1" allowOverlap="1" wp14:anchorId="4ABE53B8" wp14:editId="231FC49C">
            <wp:simplePos x="0" y="0"/>
            <wp:positionH relativeFrom="column">
              <wp:posOffset>3086100</wp:posOffset>
            </wp:positionH>
            <wp:positionV relativeFrom="paragraph">
              <wp:posOffset>34925</wp:posOffset>
            </wp:positionV>
            <wp:extent cx="2400300" cy="1584960"/>
            <wp:effectExtent l="0" t="0" r="12700" b="0"/>
            <wp:wrapSquare wrapText="bothSides"/>
            <wp:docPr id="196" name="Picture 196" descr="Macintosh HD:Users:ClairFellows:Desktop:Screen Shot 2018-04-04 at 16.1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ClairFellows:Desktop:Screen Shot 2018-04-04 at 16.18.5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0300" cy="158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E7757" w14:textId="5B241799" w:rsidR="006B7F6C" w:rsidRDefault="00E250C6">
      <w:pPr>
        <w:rPr>
          <w:rFonts w:asciiTheme="majorHAnsi" w:hAnsiTheme="majorHAnsi"/>
          <w:sz w:val="28"/>
          <w:szCs w:val="28"/>
          <w:u w:val="single"/>
        </w:rPr>
      </w:pPr>
      <w:r>
        <w:rPr>
          <w:rFonts w:asciiTheme="majorHAnsi" w:hAnsiTheme="majorHAnsi"/>
          <w:noProof/>
          <w:sz w:val="28"/>
          <w:szCs w:val="28"/>
          <w:u w:val="single"/>
          <w:lang w:val="en-US"/>
        </w:rPr>
        <mc:AlternateContent>
          <mc:Choice Requires="wps">
            <w:drawing>
              <wp:anchor distT="0" distB="0" distL="114300" distR="114300" simplePos="0" relativeHeight="251889664" behindDoc="0" locked="0" layoutInCell="1" allowOverlap="1" wp14:anchorId="30E61179" wp14:editId="18B445C0">
                <wp:simplePos x="0" y="0"/>
                <wp:positionH relativeFrom="column">
                  <wp:posOffset>114300</wp:posOffset>
                </wp:positionH>
                <wp:positionV relativeFrom="paragraph">
                  <wp:posOffset>4846955</wp:posOffset>
                </wp:positionV>
                <wp:extent cx="5372100" cy="2628900"/>
                <wp:effectExtent l="0" t="0" r="0" b="12700"/>
                <wp:wrapSquare wrapText="bothSides"/>
                <wp:docPr id="51" name="Text Box 51"/>
                <wp:cNvGraphicFramePr/>
                <a:graphic xmlns:a="http://schemas.openxmlformats.org/drawingml/2006/main">
                  <a:graphicData uri="http://schemas.microsoft.com/office/word/2010/wordprocessingShape">
                    <wps:wsp>
                      <wps:cNvSpPr txBox="1"/>
                      <wps:spPr>
                        <a:xfrm>
                          <a:off x="0" y="0"/>
                          <a:ext cx="53721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0D2462" w14:textId="3EB8428A" w:rsidR="00E82D3B" w:rsidRDefault="00E82D3B" w:rsidP="00091260">
                            <w:pPr>
                              <w:jc w:val="both"/>
                              <w:rPr>
                                <w:b/>
                                <w:i/>
                                <w:sz w:val="22"/>
                              </w:rPr>
                            </w:pPr>
                            <w:r w:rsidRPr="00A959BE">
                              <w:rPr>
                                <w:b/>
                                <w:i/>
                                <w:sz w:val="22"/>
                              </w:rPr>
                              <w:t>F</w:t>
                            </w:r>
                            <w:r>
                              <w:rPr>
                                <w:b/>
                                <w:i/>
                                <w:sz w:val="22"/>
                              </w:rPr>
                              <w:t>igure 3.4</w:t>
                            </w:r>
                            <w:r w:rsidRPr="00A959BE">
                              <w:rPr>
                                <w:b/>
                                <w:i/>
                                <w:sz w:val="22"/>
                              </w:rPr>
                              <w:t xml:space="preserve"> </w:t>
                            </w:r>
                            <w:r>
                              <w:rPr>
                                <w:b/>
                                <w:i/>
                                <w:sz w:val="22"/>
                              </w:rPr>
                              <w:t>Transient t</w:t>
                            </w:r>
                            <w:r w:rsidRPr="00A959BE">
                              <w:rPr>
                                <w:b/>
                                <w:i/>
                                <w:sz w:val="22"/>
                              </w:rPr>
                              <w:t xml:space="preserve">ransfection </w:t>
                            </w:r>
                            <w:r>
                              <w:rPr>
                                <w:b/>
                                <w:i/>
                                <w:sz w:val="22"/>
                              </w:rPr>
                              <w:t xml:space="preserve">of SRCAP </w:t>
                            </w:r>
                            <w:r w:rsidRPr="00A959BE">
                              <w:rPr>
                                <w:b/>
                                <w:i/>
                                <w:sz w:val="22"/>
                              </w:rPr>
                              <w:t xml:space="preserve">shows no </w:t>
                            </w:r>
                            <w:r>
                              <w:rPr>
                                <w:b/>
                                <w:i/>
                                <w:sz w:val="22"/>
                              </w:rPr>
                              <w:t>detectable expression</w:t>
                            </w:r>
                          </w:p>
                          <w:p w14:paraId="1B53E0B1" w14:textId="03B15627" w:rsidR="00E82D3B" w:rsidRDefault="00E82D3B" w:rsidP="00091260">
                            <w:pPr>
                              <w:jc w:val="both"/>
                              <w:rPr>
                                <w:i/>
                                <w:sz w:val="22"/>
                              </w:rPr>
                            </w:pPr>
                            <w:r>
                              <w:rPr>
                                <w:i/>
                                <w:sz w:val="22"/>
                              </w:rPr>
                              <w:t>a.) 5</w:t>
                            </w:r>
                            <w:r>
                              <w:rPr>
                                <w:rFonts w:ascii="Cambria" w:hAnsi="Cambria"/>
                                <w:i/>
                                <w:sz w:val="22"/>
                              </w:rPr>
                              <w:t>μ</w:t>
                            </w:r>
                            <w:r>
                              <w:rPr>
                                <w:i/>
                                <w:sz w:val="22"/>
                              </w:rPr>
                              <w:t>l of SRCAP DNA in the entry vector at a concentration of 38.2ng/</w:t>
                            </w:r>
                            <w:proofErr w:type="spellStart"/>
                            <w:r>
                              <w:rPr>
                                <w:rFonts w:ascii="Cambria" w:hAnsi="Cambria"/>
                                <w:i/>
                                <w:sz w:val="22"/>
                              </w:rPr>
                              <w:t>μl</w:t>
                            </w:r>
                            <w:proofErr w:type="spellEnd"/>
                            <w:r>
                              <w:rPr>
                                <w:rFonts w:ascii="Cambria" w:hAnsi="Cambria"/>
                                <w:i/>
                                <w:sz w:val="22"/>
                              </w:rPr>
                              <w:t xml:space="preserve"> was run on an agarose gel at 70V for 1.5hrs against Hyperladder I, showing it was of the correct weight and concentration. </w:t>
                            </w:r>
                          </w:p>
                          <w:p w14:paraId="339DEBFD" w14:textId="1D6FD936" w:rsidR="00E82D3B" w:rsidRPr="006B7F6C" w:rsidRDefault="00E82D3B" w:rsidP="00091260">
                            <w:pPr>
                              <w:jc w:val="both"/>
                              <w:rPr>
                                <w:i/>
                                <w:sz w:val="22"/>
                              </w:rPr>
                            </w:pPr>
                            <w:r>
                              <w:rPr>
                                <w:i/>
                                <w:sz w:val="22"/>
                              </w:rPr>
                              <w:t xml:space="preserve">b.) Representative fluorescent images of YFP SRCAP transfected cells showing no nuclear localisation of the YFP. </w:t>
                            </w:r>
                          </w:p>
                          <w:p w14:paraId="173994E7" w14:textId="7F3144EC" w:rsidR="00E82D3B" w:rsidRDefault="00E82D3B" w:rsidP="00091260">
                            <w:pPr>
                              <w:jc w:val="both"/>
                              <w:rPr>
                                <w:rFonts w:ascii="Cambria" w:hAnsi="Cambria"/>
                                <w:i/>
                                <w:sz w:val="22"/>
                              </w:rPr>
                            </w:pPr>
                            <w:r>
                              <w:rPr>
                                <w:i/>
                                <w:sz w:val="22"/>
                              </w:rPr>
                              <w:t>c</w:t>
                            </w:r>
                            <w:r w:rsidRPr="00A959BE">
                              <w:rPr>
                                <w:i/>
                                <w:sz w:val="22"/>
                              </w:rPr>
                              <w:t xml:space="preserve">.) </w:t>
                            </w:r>
                            <w:r>
                              <w:rPr>
                                <w:i/>
                                <w:sz w:val="22"/>
                              </w:rPr>
                              <w:t>Untransfected HCT116 cells (UNT), plus HCT116 cells transfected by Lipofectamine 2000 with either MYC, FLAG or YFP SRCAP constructs were lysed for protein after 48hrs of transfection and 50</w:t>
                            </w:r>
                            <w:r>
                              <w:rPr>
                                <w:rFonts w:ascii="Cambria" w:hAnsi="Cambria"/>
                                <w:i/>
                                <w:sz w:val="22"/>
                              </w:rPr>
                              <w:t xml:space="preserve">ng loaded per sample onto a precast gel. The membranes were probed with either anti-Myc tag, anti-Flag M2 unconjugated or anti-GFP primary antibody No bands were detected at the correct molecular weight in any of the transfected lanes. </w:t>
                            </w:r>
                          </w:p>
                          <w:p w14:paraId="17121878" w14:textId="243EE13F" w:rsidR="00E82D3B" w:rsidRPr="00A959BE" w:rsidRDefault="00E82D3B" w:rsidP="00091260">
                            <w:pPr>
                              <w:jc w:val="both"/>
                              <w:rPr>
                                <w:i/>
                                <w:sz w:val="22"/>
                              </w:rPr>
                            </w:pPr>
                            <w:r>
                              <w:rPr>
                                <w:i/>
                                <w:sz w:val="22"/>
                              </w:rPr>
                              <w:t>d.) The sample lysates as used in a. were also probed for SRCAP using the Abcam antibody at a concentration of 1:500. This however, was on a poured 8% gel. Again no band could be seen which corresponded to the molecular weight of SRCAP at 340kDa.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1" o:spid="_x0000_s1039" type="#_x0000_t202" style="position:absolute;margin-left:9pt;margin-top:381.65pt;width:423pt;height:207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" filled="f" stroked="f">
                <v:textbox>
                  <w:txbxContent>
                    <w:p w14:paraId="540D2462" w14:textId="3EB8428A" w:rsidR="000A1E0D" w:rsidRDefault="000A1E0D" w:rsidP="00091260">
                      <w:pPr>
                        <w:jc w:val="both"/>
                        <w:rPr>
                          <w:b/>
                          <w:i/>
                          <w:sz w:val="22"/>
                        </w:rPr>
                      </w:pPr>
                      <w:r w:rsidRPr="00A959BE">
                        <w:rPr>
                          <w:b/>
                          <w:i/>
                          <w:sz w:val="22"/>
                        </w:rPr>
                        <w:t>F</w:t>
                      </w:r>
                      <w:r>
                        <w:rPr>
                          <w:b/>
                          <w:i/>
                          <w:sz w:val="22"/>
                        </w:rPr>
                        <w:t>igure 3.4</w:t>
                      </w:r>
                      <w:r w:rsidRPr="00A959BE">
                        <w:rPr>
                          <w:b/>
                          <w:i/>
                          <w:sz w:val="22"/>
                        </w:rPr>
                        <w:t xml:space="preserve"> </w:t>
                      </w:r>
                      <w:r>
                        <w:rPr>
                          <w:b/>
                          <w:i/>
                          <w:sz w:val="22"/>
                        </w:rPr>
                        <w:t>Transient t</w:t>
                      </w:r>
                      <w:r w:rsidRPr="00A959BE">
                        <w:rPr>
                          <w:b/>
                          <w:i/>
                          <w:sz w:val="22"/>
                        </w:rPr>
                        <w:t xml:space="preserve">ransfection </w:t>
                      </w:r>
                      <w:r>
                        <w:rPr>
                          <w:b/>
                          <w:i/>
                          <w:sz w:val="22"/>
                        </w:rPr>
                        <w:t xml:space="preserve">of SRCAP </w:t>
                      </w:r>
                      <w:r w:rsidRPr="00A959BE">
                        <w:rPr>
                          <w:b/>
                          <w:i/>
                          <w:sz w:val="22"/>
                        </w:rPr>
                        <w:t xml:space="preserve">shows no </w:t>
                      </w:r>
                      <w:r>
                        <w:rPr>
                          <w:b/>
                          <w:i/>
                          <w:sz w:val="22"/>
                        </w:rPr>
                        <w:t>detectable expression</w:t>
                      </w:r>
                    </w:p>
                    <w:p w14:paraId="1B53E0B1" w14:textId="03B15627" w:rsidR="000A1E0D" w:rsidRDefault="000A1E0D" w:rsidP="00091260">
                      <w:pPr>
                        <w:jc w:val="both"/>
                        <w:rPr>
                          <w:i/>
                          <w:sz w:val="22"/>
                        </w:rPr>
                      </w:pPr>
                      <w:r>
                        <w:rPr>
                          <w:i/>
                          <w:sz w:val="22"/>
                        </w:rPr>
                        <w:t>a.) 5</w:t>
                      </w:r>
                      <w:r>
                        <w:rPr>
                          <w:rFonts w:ascii="Cambria" w:hAnsi="Cambria"/>
                          <w:i/>
                          <w:sz w:val="22"/>
                        </w:rPr>
                        <w:t>μ</w:t>
                      </w:r>
                      <w:r>
                        <w:rPr>
                          <w:i/>
                          <w:sz w:val="22"/>
                        </w:rPr>
                        <w:t>l of SRCAP DNA in the entry vector at a concentration of 38.2ng/</w:t>
                      </w:r>
                      <w:proofErr w:type="spellStart"/>
                      <w:r>
                        <w:rPr>
                          <w:rFonts w:ascii="Cambria" w:hAnsi="Cambria"/>
                          <w:i/>
                          <w:sz w:val="22"/>
                        </w:rPr>
                        <w:t>μl</w:t>
                      </w:r>
                      <w:proofErr w:type="spellEnd"/>
                      <w:r>
                        <w:rPr>
                          <w:rFonts w:ascii="Cambria" w:hAnsi="Cambria"/>
                          <w:i/>
                          <w:sz w:val="22"/>
                        </w:rPr>
                        <w:t xml:space="preserve"> was run on an agarose gel at 70V for 1.5hrs against Hyperladder I, showing it was of the correct weight and concentration. </w:t>
                      </w:r>
                    </w:p>
                    <w:p w14:paraId="339DEBFD" w14:textId="1D6FD936" w:rsidR="000A1E0D" w:rsidRPr="006B7F6C" w:rsidRDefault="000A1E0D" w:rsidP="00091260">
                      <w:pPr>
                        <w:jc w:val="both"/>
                        <w:rPr>
                          <w:i/>
                          <w:sz w:val="22"/>
                        </w:rPr>
                      </w:pPr>
                      <w:r>
                        <w:rPr>
                          <w:i/>
                          <w:sz w:val="22"/>
                        </w:rPr>
                        <w:t xml:space="preserve">b.) Representative fluorescent images of YFP SRCAP transfected cells showing no nuclear localisation of the YFP. </w:t>
                      </w:r>
                    </w:p>
                    <w:p w14:paraId="173994E7" w14:textId="7F3144EC" w:rsidR="000A1E0D" w:rsidRDefault="000A1E0D" w:rsidP="00091260">
                      <w:pPr>
                        <w:jc w:val="both"/>
                        <w:rPr>
                          <w:rFonts w:ascii="Cambria" w:hAnsi="Cambria"/>
                          <w:i/>
                          <w:sz w:val="22"/>
                        </w:rPr>
                      </w:pPr>
                      <w:r>
                        <w:rPr>
                          <w:i/>
                          <w:sz w:val="22"/>
                        </w:rPr>
                        <w:t>c</w:t>
                      </w:r>
                      <w:r w:rsidRPr="00A959BE">
                        <w:rPr>
                          <w:i/>
                          <w:sz w:val="22"/>
                        </w:rPr>
                        <w:t xml:space="preserve">.) </w:t>
                      </w:r>
                      <w:r>
                        <w:rPr>
                          <w:i/>
                          <w:sz w:val="22"/>
                        </w:rPr>
                        <w:t>Untransfected HCT116 cells (UNT), plus HCT116 cells transfected by Lipofectamine 2000 with either MYC, FLAG or YFP SRCAP constructs were lysed for protein after 48hrs of transfection and 50</w:t>
                      </w:r>
                      <w:r>
                        <w:rPr>
                          <w:rFonts w:ascii="Cambria" w:hAnsi="Cambria"/>
                          <w:i/>
                          <w:sz w:val="22"/>
                        </w:rPr>
                        <w:t xml:space="preserve">ng loaded per sample onto a precast gel. The membranes were probed with either anti-Myc tag, anti-Flag M2 unconjugated or anti-GFP primary antibody No bands were detected at the correct molecular weight in any of the transfected lanes. </w:t>
                      </w:r>
                    </w:p>
                    <w:p w14:paraId="17121878" w14:textId="243EE13F" w:rsidR="000A1E0D" w:rsidRPr="00A959BE" w:rsidRDefault="000A1E0D" w:rsidP="00091260">
                      <w:pPr>
                        <w:jc w:val="both"/>
                        <w:rPr>
                          <w:i/>
                          <w:sz w:val="22"/>
                        </w:rPr>
                      </w:pPr>
                      <w:r>
                        <w:rPr>
                          <w:i/>
                          <w:sz w:val="22"/>
                        </w:rPr>
                        <w:t>d.) The sample lysates as used in a. were also probed for SRCAP using the Abcam antibody at a concentration of 1:500. This however, was on a poured 8% gel. Again no band could be seen which corresponded to the molecular weight of SRCAP at 340kDa.</w:t>
                      </w:r>
                    </w:p>
                  </w:txbxContent>
                </v:textbox>
                <w10:wrap type="square"/>
              </v:shape>
            </w:pict>
          </mc:Fallback>
        </mc:AlternateContent>
      </w:r>
      <w:r>
        <w:rPr>
          <w:noProof/>
          <w:lang w:val="en-US"/>
        </w:rPr>
        <w:drawing>
          <wp:anchor distT="0" distB="0" distL="114300" distR="114300" simplePos="0" relativeHeight="251886592" behindDoc="0" locked="0" layoutInCell="1" allowOverlap="1" wp14:anchorId="42D2D9FF" wp14:editId="6349A6BE">
            <wp:simplePos x="0" y="0"/>
            <wp:positionH relativeFrom="column">
              <wp:posOffset>3086100</wp:posOffset>
            </wp:positionH>
            <wp:positionV relativeFrom="paragraph">
              <wp:posOffset>2789555</wp:posOffset>
            </wp:positionV>
            <wp:extent cx="2407285" cy="1740535"/>
            <wp:effectExtent l="0" t="0" r="5715" b="12065"/>
            <wp:wrapTopAndBottom/>
            <wp:docPr id="206" name="Picture 206" descr="Macintosh HD:Users:ClairFellows:Desktop:Screen Shot 2017-08-29 at 13.5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airFellows:Desktop:Screen Shot 2017-08-29 at 13.54.12.png"/>
                    <pic:cNvPicPr>
                      <a:picLocks noChangeAspect="1" noChangeArrowheads="1"/>
                    </pic:cNvPicPr>
                  </pic:nvPicPr>
                  <pic:blipFill>
                    <a:blip r:embed="rId34">
                      <a:extLst>
                        <a:ext uri="{BEBA8EAE-BF5A-486C-A8C5-ECC9F3942E4B}">
                          <a14:imgProps xmlns:a14="http://schemas.microsoft.com/office/drawing/2010/main">
                            <a14:imgLayer r:embed="rId35">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07285"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2268544" behindDoc="0" locked="0" layoutInCell="1" allowOverlap="1" wp14:anchorId="3749A370" wp14:editId="2ABA939E">
                <wp:simplePos x="0" y="0"/>
                <wp:positionH relativeFrom="column">
                  <wp:posOffset>3314700</wp:posOffset>
                </wp:positionH>
                <wp:positionV relativeFrom="paragraph">
                  <wp:posOffset>2332355</wp:posOffset>
                </wp:positionV>
                <wp:extent cx="457200" cy="342900"/>
                <wp:effectExtent l="0" t="0" r="0" b="12700"/>
                <wp:wrapSquare wrapText="bothSides"/>
                <wp:docPr id="192" name="Text Box 192"/>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56B8CF" w14:textId="5C092EB9" w:rsidR="00E82D3B" w:rsidRPr="00A959BE" w:rsidRDefault="00E82D3B" w:rsidP="00E250C6">
                            <w:pPr>
                              <w:rPr>
                                <w:b/>
                              </w:rPr>
                            </w:pPr>
                            <w:proofErr w:type="gramStart"/>
                            <w:r>
                              <w:rPr>
                                <w:b/>
                              </w:rPr>
                              <w:t>d</w:t>
                            </w:r>
                            <w:proofErr w:type="gramEnd"/>
                            <w:r w:rsidRPr="00A959BE">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2" o:spid="_x0000_s1040" type="#_x0000_t202" style="position:absolute;margin-left:261pt;margin-top:183.65pt;width:36pt;height:27pt;z-index:25226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2YVNACAAAZ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" filled="f" stroked="f">
                <v:textbox>
                  <w:txbxContent>
                    <w:p w14:paraId="4956B8CF" w14:textId="5C092EB9" w:rsidR="000A1E0D" w:rsidRPr="00A959BE" w:rsidRDefault="000A1E0D" w:rsidP="00E250C6">
                      <w:pPr>
                        <w:rPr>
                          <w:b/>
                        </w:rPr>
                      </w:pPr>
                      <w:proofErr w:type="gramStart"/>
                      <w:r>
                        <w:rPr>
                          <w:b/>
                        </w:rPr>
                        <w:t>d</w:t>
                      </w:r>
                      <w:proofErr w:type="gramEnd"/>
                      <w:r w:rsidRPr="00A959BE">
                        <w:rPr>
                          <w:b/>
                        </w:rPr>
                        <w:t>.)</w:t>
                      </w:r>
                    </w:p>
                  </w:txbxContent>
                </v:textbox>
                <w10:wrap type="square"/>
              </v:shape>
            </w:pict>
          </mc:Fallback>
        </mc:AlternateContent>
      </w:r>
      <w:r>
        <w:rPr>
          <w:noProof/>
          <w:lang w:val="en-US"/>
        </w:rPr>
        <mc:AlternateContent>
          <mc:Choice Requires="wps">
            <w:drawing>
              <wp:anchor distT="0" distB="0" distL="114300" distR="114300" simplePos="0" relativeHeight="252270592" behindDoc="0" locked="0" layoutInCell="1" allowOverlap="1" wp14:anchorId="003BD9B0" wp14:editId="543A7FE7">
                <wp:simplePos x="0" y="0"/>
                <wp:positionH relativeFrom="column">
                  <wp:posOffset>228600</wp:posOffset>
                </wp:positionH>
                <wp:positionV relativeFrom="paragraph">
                  <wp:posOffset>2332355</wp:posOffset>
                </wp:positionV>
                <wp:extent cx="457200" cy="342900"/>
                <wp:effectExtent l="0" t="0" r="0" b="12700"/>
                <wp:wrapSquare wrapText="bothSides"/>
                <wp:docPr id="194" name="Text Box 194"/>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C27A16" w14:textId="797A974F" w:rsidR="00E82D3B" w:rsidRPr="00A959BE" w:rsidRDefault="00E82D3B" w:rsidP="00E250C6">
                            <w:pPr>
                              <w:rPr>
                                <w:b/>
                              </w:rPr>
                            </w:pPr>
                            <w:proofErr w:type="gramStart"/>
                            <w:r>
                              <w:rPr>
                                <w:b/>
                              </w:rPr>
                              <w:t>c</w:t>
                            </w:r>
                            <w:proofErr w:type="gramEnd"/>
                            <w:r w:rsidRPr="00A959BE">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4" o:spid="_x0000_s1041" type="#_x0000_t202" style="position:absolute;margin-left:18pt;margin-top:183.65pt;width:36pt;height:27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nWgNACAAAZ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" filled="f" stroked="f">
                <v:textbox>
                  <w:txbxContent>
                    <w:p w14:paraId="3EC27A16" w14:textId="797A974F" w:rsidR="000A1E0D" w:rsidRPr="00A959BE" w:rsidRDefault="000A1E0D" w:rsidP="00E250C6">
                      <w:pPr>
                        <w:rPr>
                          <w:b/>
                        </w:rPr>
                      </w:pPr>
                      <w:proofErr w:type="gramStart"/>
                      <w:r>
                        <w:rPr>
                          <w:b/>
                        </w:rPr>
                        <w:t>c</w:t>
                      </w:r>
                      <w:proofErr w:type="gramEnd"/>
                      <w:r w:rsidRPr="00A959BE">
                        <w:rPr>
                          <w:b/>
                        </w:rPr>
                        <w:t>.)</w:t>
                      </w:r>
                    </w:p>
                  </w:txbxContent>
                </v:textbox>
                <w10:wrap type="square"/>
              </v:shape>
            </w:pict>
          </mc:Fallback>
        </mc:AlternateContent>
      </w:r>
      <w:r w:rsidR="006B7F6C">
        <w:rPr>
          <w:rFonts w:asciiTheme="majorHAnsi" w:hAnsiTheme="majorHAnsi"/>
          <w:noProof/>
          <w:lang w:val="en-US"/>
        </w:rPr>
        <w:drawing>
          <wp:anchor distT="0" distB="0" distL="114300" distR="114300" simplePos="0" relativeHeight="251885568" behindDoc="0" locked="0" layoutInCell="1" allowOverlap="1" wp14:anchorId="17B982EC" wp14:editId="4D67D9CB">
            <wp:simplePos x="0" y="0"/>
            <wp:positionH relativeFrom="column">
              <wp:posOffset>114300</wp:posOffset>
            </wp:positionH>
            <wp:positionV relativeFrom="paragraph">
              <wp:posOffset>2332355</wp:posOffset>
            </wp:positionV>
            <wp:extent cx="2879725" cy="2446020"/>
            <wp:effectExtent l="0" t="0" r="0" b="0"/>
            <wp:wrapTopAndBottom/>
            <wp:docPr id="207" name="Picture 207" descr="Macintosh HD:Users:ClairFellows:Desktop:Screen Shot 2017-08-29 at 13.4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irFellows:Desktop:Screen Shot 2017-08-29 at 13.48.1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9725" cy="2446020"/>
                    </a:xfrm>
                    <a:prstGeom prst="rect">
                      <a:avLst/>
                    </a:prstGeom>
                    <a:noFill/>
                    <a:ln>
                      <a:noFill/>
                    </a:ln>
                  </pic:spPr>
                </pic:pic>
              </a:graphicData>
            </a:graphic>
            <wp14:sizeRelH relativeFrom="page">
              <wp14:pctWidth>0</wp14:pctWidth>
            </wp14:sizeRelH>
            <wp14:sizeRelV relativeFrom="page">
              <wp14:pctHeight>0</wp14:pctHeight>
            </wp14:sizeRelV>
          </wp:anchor>
        </w:drawing>
      </w:r>
      <w:r w:rsidR="006B7F6C">
        <w:rPr>
          <w:rFonts w:asciiTheme="majorHAnsi" w:hAnsiTheme="majorHAnsi"/>
          <w:sz w:val="28"/>
          <w:szCs w:val="28"/>
          <w:u w:val="single"/>
        </w:rPr>
        <w:br w:type="page"/>
      </w:r>
    </w:p>
    <w:p w14:paraId="662D4657" w14:textId="09C7A3AA" w:rsidR="00FD4F82" w:rsidRDefault="00091260" w:rsidP="00FD4F82">
      <w:pPr>
        <w:rPr>
          <w:rFonts w:asciiTheme="majorHAnsi" w:hAnsiTheme="majorHAnsi"/>
          <w:i/>
          <w:sz w:val="28"/>
          <w:szCs w:val="28"/>
          <w:u w:val="single"/>
        </w:rPr>
      </w:pPr>
      <w:r>
        <w:rPr>
          <w:rFonts w:asciiTheme="majorHAnsi" w:hAnsiTheme="majorHAnsi"/>
          <w:sz w:val="28"/>
          <w:szCs w:val="28"/>
          <w:u w:val="single"/>
        </w:rPr>
        <w:t>3.3</w:t>
      </w:r>
      <w:r w:rsidRPr="00530877">
        <w:rPr>
          <w:rFonts w:asciiTheme="majorHAnsi" w:hAnsiTheme="majorHAnsi"/>
          <w:sz w:val="28"/>
          <w:szCs w:val="28"/>
          <w:u w:val="single"/>
        </w:rPr>
        <w:t xml:space="preserve"> Mutation of the</w:t>
      </w:r>
      <w:r>
        <w:rPr>
          <w:rFonts w:asciiTheme="majorHAnsi" w:hAnsiTheme="majorHAnsi"/>
          <w:sz w:val="28"/>
          <w:szCs w:val="28"/>
          <w:u w:val="single"/>
        </w:rPr>
        <w:t xml:space="preserve"> consensus K</w:t>
      </w:r>
      <w:r w:rsidRPr="00530877">
        <w:rPr>
          <w:rFonts w:asciiTheme="majorHAnsi" w:hAnsiTheme="majorHAnsi"/>
          <w:sz w:val="28"/>
          <w:szCs w:val="28"/>
          <w:u w:val="single"/>
        </w:rPr>
        <w:t xml:space="preserve">ozak </w:t>
      </w:r>
      <w:r>
        <w:rPr>
          <w:rFonts w:asciiTheme="majorHAnsi" w:hAnsiTheme="majorHAnsi"/>
          <w:sz w:val="28"/>
          <w:szCs w:val="28"/>
          <w:u w:val="single"/>
        </w:rPr>
        <w:t xml:space="preserve">sequence </w:t>
      </w:r>
      <w:r w:rsidRPr="00530877">
        <w:rPr>
          <w:rFonts w:asciiTheme="majorHAnsi" w:hAnsiTheme="majorHAnsi"/>
          <w:sz w:val="28"/>
          <w:szCs w:val="28"/>
          <w:u w:val="single"/>
        </w:rPr>
        <w:t>results in correct localisation</w:t>
      </w:r>
      <w:r>
        <w:rPr>
          <w:rFonts w:asciiTheme="majorHAnsi" w:hAnsiTheme="majorHAnsi"/>
          <w:sz w:val="28"/>
          <w:szCs w:val="28"/>
          <w:u w:val="single"/>
        </w:rPr>
        <w:t xml:space="preserve"> of </w:t>
      </w:r>
      <w:r w:rsidRPr="00276A61">
        <w:rPr>
          <w:rFonts w:asciiTheme="majorHAnsi" w:hAnsiTheme="majorHAnsi"/>
          <w:i/>
          <w:sz w:val="28"/>
          <w:szCs w:val="28"/>
          <w:u w:val="single"/>
        </w:rPr>
        <w:t>YFP SRCAP</w:t>
      </w:r>
    </w:p>
    <w:p w14:paraId="72A8DBAC" w14:textId="77777777" w:rsidR="00FD4F82" w:rsidRDefault="00FD4F82" w:rsidP="00FD4F82">
      <w:pPr>
        <w:spacing w:line="360" w:lineRule="auto"/>
        <w:jc w:val="both"/>
        <w:rPr>
          <w:rFonts w:asciiTheme="majorHAnsi" w:hAnsiTheme="majorHAnsi"/>
        </w:rPr>
      </w:pPr>
    </w:p>
    <w:p w14:paraId="089A3C68" w14:textId="414BF47A" w:rsidR="006B7F6C" w:rsidRDefault="00C059E5" w:rsidP="00091260">
      <w:pPr>
        <w:spacing w:line="360" w:lineRule="auto"/>
        <w:jc w:val="both"/>
        <w:rPr>
          <w:rFonts w:asciiTheme="majorHAnsi" w:hAnsiTheme="majorHAnsi"/>
        </w:rPr>
      </w:pPr>
      <w:r>
        <w:rPr>
          <w:rFonts w:asciiTheme="majorHAnsi" w:hAnsiTheme="majorHAnsi"/>
        </w:rPr>
        <w:t>The</w:t>
      </w:r>
      <w:r w:rsidR="00091260">
        <w:rPr>
          <w:rFonts w:asciiTheme="majorHAnsi" w:hAnsiTheme="majorHAnsi"/>
        </w:rPr>
        <w:t xml:space="preserve"> non-nuclear localisation of </w:t>
      </w:r>
      <w:r w:rsidRPr="00C059E5">
        <w:rPr>
          <w:rFonts w:asciiTheme="majorHAnsi" w:hAnsiTheme="majorHAnsi"/>
        </w:rPr>
        <w:t>YFP</w:t>
      </w:r>
      <w:r w:rsidR="00091260" w:rsidRPr="00276A61">
        <w:rPr>
          <w:rFonts w:asciiTheme="majorHAnsi" w:hAnsiTheme="majorHAnsi"/>
          <w:i/>
        </w:rPr>
        <w:t xml:space="preserve"> </w:t>
      </w:r>
      <w:r w:rsidR="00091260">
        <w:rPr>
          <w:rFonts w:asciiTheme="majorHAnsi" w:hAnsiTheme="majorHAnsi"/>
        </w:rPr>
        <w:t>and the</w:t>
      </w:r>
      <w:r w:rsidR="00A23FE7">
        <w:rPr>
          <w:rFonts w:asciiTheme="majorHAnsi" w:hAnsiTheme="majorHAnsi"/>
        </w:rPr>
        <w:t xml:space="preserve"> inability to show </w:t>
      </w:r>
      <w:r>
        <w:rPr>
          <w:rFonts w:asciiTheme="majorHAnsi" w:hAnsiTheme="majorHAnsi"/>
        </w:rPr>
        <w:t xml:space="preserve">tagged-SRCAP </w:t>
      </w:r>
      <w:r w:rsidR="00A23FE7">
        <w:rPr>
          <w:rFonts w:asciiTheme="majorHAnsi" w:hAnsiTheme="majorHAnsi"/>
        </w:rPr>
        <w:t>protein over-</w:t>
      </w:r>
      <w:r w:rsidR="00091260">
        <w:rPr>
          <w:rFonts w:asciiTheme="majorHAnsi" w:hAnsiTheme="majorHAnsi"/>
        </w:rPr>
        <w:t>expression</w:t>
      </w:r>
      <w:r w:rsidR="00C068D3">
        <w:rPr>
          <w:rFonts w:asciiTheme="majorHAnsi" w:hAnsiTheme="majorHAnsi"/>
        </w:rPr>
        <w:t xml:space="preserve"> suggested</w:t>
      </w:r>
      <w:r>
        <w:rPr>
          <w:rFonts w:asciiTheme="majorHAnsi" w:hAnsiTheme="majorHAnsi"/>
        </w:rPr>
        <w:t xml:space="preserve"> that the YFP </w:t>
      </w:r>
      <w:r w:rsidR="00C068D3">
        <w:rPr>
          <w:rFonts w:asciiTheme="majorHAnsi" w:hAnsiTheme="majorHAnsi"/>
        </w:rPr>
        <w:t>was</w:t>
      </w:r>
      <w:r>
        <w:rPr>
          <w:rFonts w:asciiTheme="majorHAnsi" w:hAnsiTheme="majorHAnsi"/>
        </w:rPr>
        <w:t xml:space="preserve"> being expressed but not the </w:t>
      </w:r>
      <w:r w:rsidR="002A032F">
        <w:rPr>
          <w:rFonts w:asciiTheme="majorHAnsi" w:hAnsiTheme="majorHAnsi"/>
        </w:rPr>
        <w:t>SRCAP portion of the construct</w:t>
      </w:r>
      <w:r w:rsidR="000A7C31">
        <w:rPr>
          <w:rFonts w:asciiTheme="majorHAnsi" w:hAnsiTheme="majorHAnsi"/>
        </w:rPr>
        <w:t>. Therefore t</w:t>
      </w:r>
      <w:r w:rsidR="00091260">
        <w:rPr>
          <w:rFonts w:asciiTheme="majorHAnsi" w:hAnsiTheme="majorHAnsi"/>
        </w:rPr>
        <w:t>he construct sequences were again assessed for sequence int</w:t>
      </w:r>
      <w:r w:rsidR="00A23FE7">
        <w:rPr>
          <w:rFonts w:asciiTheme="majorHAnsi" w:hAnsiTheme="majorHAnsi"/>
        </w:rPr>
        <w:t>egrity, during which a K</w:t>
      </w:r>
      <w:r w:rsidR="00091260">
        <w:rPr>
          <w:rFonts w:asciiTheme="majorHAnsi" w:hAnsiTheme="majorHAnsi"/>
        </w:rPr>
        <w:t>ozak sequence directly before the ATG start site on the provided</w:t>
      </w:r>
      <w:r w:rsidR="00B27EC8">
        <w:rPr>
          <w:rFonts w:asciiTheme="majorHAnsi" w:hAnsiTheme="majorHAnsi"/>
        </w:rPr>
        <w:t xml:space="preserve"> cDNA was discovered</w:t>
      </w:r>
      <w:r w:rsidR="00FD4F82">
        <w:rPr>
          <w:rFonts w:asciiTheme="majorHAnsi" w:hAnsiTheme="majorHAnsi"/>
        </w:rPr>
        <w:t xml:space="preserve"> (Figure 3.5a</w:t>
      </w:r>
      <w:r w:rsidR="00091260">
        <w:rPr>
          <w:rFonts w:asciiTheme="majorHAnsi" w:hAnsiTheme="majorHAnsi"/>
        </w:rPr>
        <w:t xml:space="preserve">). Kozak sequences play a major role in the initiation of translation, whereby they are recognised on mRNA by the ribosome as a start site for </w:t>
      </w:r>
      <w:r w:rsidR="00A23FE7">
        <w:rPr>
          <w:rFonts w:asciiTheme="majorHAnsi" w:hAnsiTheme="majorHAnsi"/>
        </w:rPr>
        <w:t xml:space="preserve">translation of </w:t>
      </w:r>
      <w:r w:rsidR="00091260">
        <w:rPr>
          <w:rFonts w:asciiTheme="majorHAnsi" w:hAnsiTheme="majorHAnsi"/>
        </w:rPr>
        <w:t xml:space="preserve">the protein to begin. However, the destination vectors also have a Kozak sequence just before the tag sequence to allow translation of the N-terminally tagged protein. Therefore when the </w:t>
      </w:r>
      <w:r w:rsidR="00091260" w:rsidRPr="00444205">
        <w:rPr>
          <w:rFonts w:asciiTheme="majorHAnsi" w:hAnsiTheme="majorHAnsi"/>
          <w:i/>
        </w:rPr>
        <w:t>SRCAP</w:t>
      </w:r>
      <w:r w:rsidR="00091260">
        <w:rPr>
          <w:rFonts w:asciiTheme="majorHAnsi" w:hAnsiTheme="majorHAnsi"/>
        </w:rPr>
        <w:t xml:space="preserve"> cDNA was inserted into the destination vectors, resulting translation from the transfected vectors may have initiated from both Kozak sequences and so disrupting the proper protein </w:t>
      </w:r>
      <w:r w:rsidR="00A23FE7">
        <w:rPr>
          <w:rFonts w:asciiTheme="majorHAnsi" w:hAnsiTheme="majorHAnsi"/>
        </w:rPr>
        <w:t>translation</w:t>
      </w:r>
      <w:r w:rsidR="00091260">
        <w:rPr>
          <w:rFonts w:asciiTheme="majorHAnsi" w:hAnsiTheme="majorHAnsi"/>
        </w:rPr>
        <w:t xml:space="preserve">. This may therefore explain why the </w:t>
      </w:r>
      <w:r w:rsidR="00091260" w:rsidRPr="00276A61">
        <w:rPr>
          <w:rFonts w:asciiTheme="majorHAnsi" w:hAnsiTheme="majorHAnsi"/>
          <w:i/>
        </w:rPr>
        <w:t>YFP SRCAP</w:t>
      </w:r>
      <w:r w:rsidR="00091260">
        <w:rPr>
          <w:rFonts w:asciiTheme="majorHAnsi" w:hAnsiTheme="majorHAnsi"/>
        </w:rPr>
        <w:t xml:space="preserve"> construct</w:t>
      </w:r>
      <w:r w:rsidR="00B27EC8">
        <w:rPr>
          <w:rFonts w:asciiTheme="majorHAnsi" w:hAnsiTheme="majorHAnsi"/>
        </w:rPr>
        <w:t>s</w:t>
      </w:r>
      <w:r w:rsidR="00091260">
        <w:rPr>
          <w:rFonts w:asciiTheme="majorHAnsi" w:hAnsiTheme="majorHAnsi"/>
        </w:rPr>
        <w:t xml:space="preserve"> did not exhibit nuclear localisation and why no SRCAP could be detected by western blotting. The Kozak and start site in the Entry, </w:t>
      </w:r>
      <w:r w:rsidR="00091260" w:rsidRPr="00AA2033">
        <w:rPr>
          <w:rFonts w:asciiTheme="majorHAnsi" w:hAnsiTheme="majorHAnsi"/>
          <w:i/>
        </w:rPr>
        <w:t>MYC, FLAG</w:t>
      </w:r>
      <w:r w:rsidR="00091260">
        <w:rPr>
          <w:rFonts w:asciiTheme="majorHAnsi" w:hAnsiTheme="majorHAnsi"/>
        </w:rPr>
        <w:t xml:space="preserve"> and </w:t>
      </w:r>
      <w:r w:rsidR="00091260" w:rsidRPr="00AA2033">
        <w:rPr>
          <w:rFonts w:asciiTheme="majorHAnsi" w:hAnsiTheme="majorHAnsi"/>
          <w:i/>
        </w:rPr>
        <w:t>YFP</w:t>
      </w:r>
      <w:r w:rsidR="00091260">
        <w:rPr>
          <w:rFonts w:asciiTheme="majorHAnsi" w:hAnsiTheme="majorHAnsi"/>
        </w:rPr>
        <w:t xml:space="preserve"> constructs containing </w:t>
      </w:r>
      <w:r w:rsidR="00091260" w:rsidRPr="00444205">
        <w:rPr>
          <w:rFonts w:asciiTheme="majorHAnsi" w:hAnsiTheme="majorHAnsi"/>
          <w:i/>
        </w:rPr>
        <w:t>SRCAP</w:t>
      </w:r>
      <w:r w:rsidR="00091260">
        <w:rPr>
          <w:rFonts w:asciiTheme="majorHAnsi" w:hAnsiTheme="majorHAnsi"/>
        </w:rPr>
        <w:t xml:space="preserve"> cDNA were subsequently mutated using site directed mutagenesis (as described in materials and method section 2.2.I.f). Each of the newly purified DNA extracts was sent for sequencing of the whole gene using the 18 primers described in the methods (section 2.2.I.e). The fully verified constructs were once again transfected and this time the YFP SRCAP construct showed nuclear localisation both with YFP fluorescence alone and when probed with GFP antibody compared to u</w:t>
      </w:r>
      <w:r w:rsidR="00B27EC8">
        <w:rPr>
          <w:rFonts w:asciiTheme="majorHAnsi" w:hAnsiTheme="majorHAnsi"/>
        </w:rPr>
        <w:t>ntransfected sample</w:t>
      </w:r>
      <w:r w:rsidR="00FD4F82">
        <w:rPr>
          <w:rFonts w:asciiTheme="majorHAnsi" w:hAnsiTheme="majorHAnsi"/>
        </w:rPr>
        <w:t>s (Figure 3.5b&amp;c</w:t>
      </w:r>
      <w:r w:rsidR="00091260">
        <w:rPr>
          <w:rFonts w:asciiTheme="majorHAnsi" w:hAnsiTheme="majorHAnsi"/>
        </w:rPr>
        <w:t xml:space="preserve">). However, there was a low rate of transfection efficiency of around 10% when assessed under the microscope. </w:t>
      </w:r>
    </w:p>
    <w:p w14:paraId="1B59061B" w14:textId="797F75B1" w:rsidR="00091260" w:rsidRPr="006B7F6C" w:rsidRDefault="006B7F6C" w:rsidP="006B7F6C">
      <w:pPr>
        <w:rPr>
          <w:rFonts w:asciiTheme="majorHAnsi" w:hAnsiTheme="majorHAnsi"/>
        </w:rPr>
      </w:pPr>
      <w:r>
        <w:rPr>
          <w:rFonts w:asciiTheme="majorHAnsi" w:hAnsiTheme="majorHAnsi"/>
        </w:rPr>
        <w:br w:type="page"/>
      </w:r>
    </w:p>
    <w:p w14:paraId="25978697" w14:textId="754036BE" w:rsidR="00FD4F82" w:rsidRDefault="00327AA2" w:rsidP="00091260">
      <w:pPr>
        <w:spacing w:line="360" w:lineRule="auto"/>
        <w:jc w:val="both"/>
        <w:rPr>
          <w:rFonts w:asciiTheme="majorHAnsi" w:hAnsiTheme="majorHAnsi"/>
          <w:noProof/>
          <w:lang w:val="en-US"/>
        </w:rPr>
      </w:pPr>
      <w:r>
        <w:rPr>
          <w:rFonts w:asciiTheme="majorHAnsi" w:hAnsiTheme="majorHAnsi"/>
          <w:noProof/>
          <w:lang w:val="en-US"/>
        </w:rPr>
        <mc:AlternateContent>
          <mc:Choice Requires="wps">
            <w:drawing>
              <wp:anchor distT="0" distB="0" distL="114300" distR="114300" simplePos="0" relativeHeight="252252160" behindDoc="0" locked="0" layoutInCell="1" allowOverlap="1" wp14:anchorId="700BE1CF" wp14:editId="120608D4">
                <wp:simplePos x="0" y="0"/>
                <wp:positionH relativeFrom="column">
                  <wp:posOffset>2743200</wp:posOffset>
                </wp:positionH>
                <wp:positionV relativeFrom="paragraph">
                  <wp:posOffset>1045210</wp:posOffset>
                </wp:positionV>
                <wp:extent cx="571500" cy="342900"/>
                <wp:effectExtent l="0" t="0" r="0" b="12700"/>
                <wp:wrapSquare wrapText="bothSides"/>
                <wp:docPr id="381" name="Text Box 381"/>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D480D0" w14:textId="48FE8364" w:rsidR="00E82D3B" w:rsidRPr="00FE3DFD" w:rsidRDefault="00E82D3B" w:rsidP="00FD4F82">
                            <w:pPr>
                              <w:rPr>
                                <w:b/>
                              </w:rPr>
                            </w:pPr>
                            <w:proofErr w:type="gramStart"/>
                            <w:r>
                              <w:rPr>
                                <w:b/>
                              </w:rPr>
                              <w:t>c</w:t>
                            </w:r>
                            <w:proofErr w:type="gramEnd"/>
                            <w:r w:rsidRPr="00FE3DFD">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1" o:spid="_x0000_s1042" type="#_x0000_t202" style="position:absolute;left:0;text-align:left;margin-left:3in;margin-top:82.3pt;width:45pt;height:27p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7ZgdMCAAAZ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" filled="f" stroked="f">
                <v:textbox>
                  <w:txbxContent>
                    <w:p w14:paraId="28D480D0" w14:textId="48FE8364" w:rsidR="000A1E0D" w:rsidRPr="00FE3DFD" w:rsidRDefault="000A1E0D" w:rsidP="00FD4F82">
                      <w:pPr>
                        <w:rPr>
                          <w:b/>
                        </w:rPr>
                      </w:pPr>
                      <w:proofErr w:type="gramStart"/>
                      <w:r>
                        <w:rPr>
                          <w:b/>
                        </w:rPr>
                        <w:t>c</w:t>
                      </w:r>
                      <w:proofErr w:type="gramEnd"/>
                      <w:r w:rsidRPr="00FE3DFD">
                        <w:rPr>
                          <w:b/>
                        </w:rPr>
                        <w:t>.)</w:t>
                      </w:r>
                    </w:p>
                  </w:txbxContent>
                </v:textbox>
                <w10:wrap type="square"/>
              </v:shape>
            </w:pict>
          </mc:Fallback>
        </mc:AlternateContent>
      </w:r>
      <w:r>
        <w:rPr>
          <w:rFonts w:asciiTheme="majorHAnsi" w:hAnsiTheme="majorHAnsi"/>
          <w:noProof/>
          <w:lang w:val="en-US"/>
        </w:rPr>
        <w:drawing>
          <wp:anchor distT="0" distB="0" distL="114300" distR="114300" simplePos="0" relativeHeight="251878400" behindDoc="0" locked="0" layoutInCell="1" allowOverlap="1" wp14:anchorId="1B8F4956" wp14:editId="1F607F66">
            <wp:simplePos x="0" y="0"/>
            <wp:positionH relativeFrom="column">
              <wp:posOffset>2971800</wp:posOffset>
            </wp:positionH>
            <wp:positionV relativeFrom="paragraph">
              <wp:posOffset>1159510</wp:posOffset>
            </wp:positionV>
            <wp:extent cx="2400300" cy="1912620"/>
            <wp:effectExtent l="0" t="0" r="12700" b="0"/>
            <wp:wrapTopAndBottom/>
            <wp:docPr id="208" name="Picture 208" descr="Macintosh HD:Users:ClairFellows:Desktop:Screen Shot 2017-08-25 at 16.0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08-25 at 16.01.3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00300"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445" w:rsidRPr="000442D0">
        <w:rPr>
          <w:rFonts w:asciiTheme="majorHAnsi" w:hAnsiTheme="majorHAnsi"/>
          <w:noProof/>
          <w:lang w:val="en-US"/>
        </w:rPr>
        <w:drawing>
          <wp:anchor distT="0" distB="0" distL="114300" distR="114300" simplePos="0" relativeHeight="251890688" behindDoc="0" locked="0" layoutInCell="1" allowOverlap="1" wp14:anchorId="7AA8A541" wp14:editId="60077FA3">
            <wp:simplePos x="0" y="0"/>
            <wp:positionH relativeFrom="column">
              <wp:posOffset>571500</wp:posOffset>
            </wp:positionH>
            <wp:positionV relativeFrom="paragraph">
              <wp:posOffset>346075</wp:posOffset>
            </wp:positionV>
            <wp:extent cx="4533900" cy="635000"/>
            <wp:effectExtent l="0" t="0" r="12700" b="0"/>
            <wp:wrapTopAndBottom/>
            <wp:docPr id="94" name="Picture 3" descr="Screen Shot 2017-08-29 at 14.2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7-08-29 at 14.29.19.png"/>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533900" cy="635000"/>
                    </a:xfrm>
                    <a:prstGeom prst="rect">
                      <a:avLst/>
                    </a:prstGeom>
                  </pic:spPr>
                </pic:pic>
              </a:graphicData>
            </a:graphic>
            <wp14:sizeRelH relativeFrom="page">
              <wp14:pctWidth>0</wp14:pctWidth>
            </wp14:sizeRelH>
            <wp14:sizeRelV relativeFrom="page">
              <wp14:pctHeight>0</wp14:pctHeight>
            </wp14:sizeRelV>
          </wp:anchor>
        </w:drawing>
      </w:r>
      <w:r w:rsidR="00075445">
        <w:rPr>
          <w:rFonts w:asciiTheme="majorHAnsi" w:hAnsiTheme="majorHAnsi"/>
          <w:noProof/>
          <w:lang w:val="en-US"/>
        </w:rPr>
        <mc:AlternateContent>
          <mc:Choice Requires="wps">
            <w:drawing>
              <wp:anchor distT="0" distB="0" distL="114300" distR="114300" simplePos="0" relativeHeight="252251136" behindDoc="0" locked="0" layoutInCell="1" allowOverlap="1" wp14:anchorId="58E006A1" wp14:editId="68D59302">
                <wp:simplePos x="0" y="0"/>
                <wp:positionH relativeFrom="column">
                  <wp:posOffset>114300</wp:posOffset>
                </wp:positionH>
                <wp:positionV relativeFrom="paragraph">
                  <wp:posOffset>1031875</wp:posOffset>
                </wp:positionV>
                <wp:extent cx="571500" cy="342900"/>
                <wp:effectExtent l="0" t="0" r="0" b="12700"/>
                <wp:wrapSquare wrapText="bothSides"/>
                <wp:docPr id="53" name="Text Box 53"/>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F45E5A" w14:textId="77777777" w:rsidR="00E82D3B" w:rsidRPr="00FE3DFD" w:rsidRDefault="00E82D3B" w:rsidP="00091260">
                            <w:pPr>
                              <w:rPr>
                                <w:b/>
                              </w:rPr>
                            </w:pPr>
                            <w:proofErr w:type="gramStart"/>
                            <w:r w:rsidRPr="00E82D3B">
                              <w:rPr>
                                <w:b/>
                              </w:rPr>
                              <w:t>b</w:t>
                            </w:r>
                            <w:proofErr w:type="gramEnd"/>
                            <w:r w:rsidRPr="00E82D3B">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3" o:spid="_x0000_s1043" type="#_x0000_t202" style="position:absolute;left:0;text-align:left;margin-left:9pt;margin-top:81.25pt;width:45pt;height:27pt;z-index:25225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24PNICAAAX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" filled="f" stroked="f">
                <v:textbox>
                  <w:txbxContent>
                    <w:p w14:paraId="60F45E5A" w14:textId="77777777" w:rsidR="00E82D3B" w:rsidRPr="00FE3DFD" w:rsidRDefault="00E82D3B" w:rsidP="00091260">
                      <w:pPr>
                        <w:rPr>
                          <w:b/>
                        </w:rPr>
                      </w:pPr>
                      <w:proofErr w:type="gramStart"/>
                      <w:r w:rsidRPr="00E82D3B">
                        <w:rPr>
                          <w:b/>
                        </w:rPr>
                        <w:t>b</w:t>
                      </w:r>
                      <w:proofErr w:type="gramEnd"/>
                      <w:r w:rsidRPr="00E82D3B">
                        <w:rPr>
                          <w:b/>
                        </w:rPr>
                        <w:t>.)</w:t>
                      </w:r>
                    </w:p>
                  </w:txbxContent>
                </v:textbox>
                <w10:wrap type="square"/>
              </v:shape>
            </w:pict>
          </mc:Fallback>
        </mc:AlternateContent>
      </w:r>
      <w:r w:rsidR="00075445">
        <w:rPr>
          <w:rFonts w:asciiTheme="majorHAnsi" w:hAnsiTheme="majorHAnsi"/>
          <w:noProof/>
          <w:lang w:val="en-US"/>
        </w:rPr>
        <mc:AlternateContent>
          <mc:Choice Requires="wps">
            <w:drawing>
              <wp:anchor distT="0" distB="0" distL="114300" distR="114300" simplePos="0" relativeHeight="252152832" behindDoc="0" locked="0" layoutInCell="1" allowOverlap="1" wp14:anchorId="24CF3FFD" wp14:editId="3A2F509E">
                <wp:simplePos x="0" y="0"/>
                <wp:positionH relativeFrom="column">
                  <wp:posOffset>457200</wp:posOffset>
                </wp:positionH>
                <wp:positionV relativeFrom="paragraph">
                  <wp:posOffset>117475</wp:posOffset>
                </wp:positionV>
                <wp:extent cx="457200" cy="342900"/>
                <wp:effectExtent l="0" t="0" r="0" b="12700"/>
                <wp:wrapSquare wrapText="bothSides"/>
                <wp:docPr id="83" name="Text Box 83"/>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5AB02A" w14:textId="77777777" w:rsidR="00E82D3B" w:rsidRPr="00646711" w:rsidRDefault="00E82D3B" w:rsidP="00091260">
                            <w:pPr>
                              <w:rPr>
                                <w:b/>
                              </w:rPr>
                            </w:pPr>
                            <w:proofErr w:type="gramStart"/>
                            <w:r w:rsidRPr="00646711">
                              <w:rPr>
                                <w:b/>
                              </w:rPr>
                              <w:t>a</w:t>
                            </w:r>
                            <w:proofErr w:type="gramEnd"/>
                            <w:r w:rsidRPr="00646711">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3" o:spid="_x0000_s1044" type="#_x0000_t202" style="position:absolute;left:0;text-align:left;margin-left:36pt;margin-top:9.25pt;width:36pt;height:27pt;z-index:25215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" filled="f" stroked="f">
                <v:textbox>
                  <w:txbxContent>
                    <w:p w14:paraId="0C5AB02A" w14:textId="77777777" w:rsidR="000A1E0D" w:rsidRPr="00646711" w:rsidRDefault="000A1E0D" w:rsidP="00091260">
                      <w:pPr>
                        <w:rPr>
                          <w:b/>
                        </w:rPr>
                      </w:pPr>
                      <w:proofErr w:type="gramStart"/>
                      <w:r w:rsidRPr="00646711">
                        <w:rPr>
                          <w:b/>
                        </w:rPr>
                        <w:t>a</w:t>
                      </w:r>
                      <w:proofErr w:type="gramEnd"/>
                      <w:r w:rsidRPr="00646711">
                        <w:rPr>
                          <w:b/>
                        </w:rPr>
                        <w:t>.)</w:t>
                      </w:r>
                    </w:p>
                  </w:txbxContent>
                </v:textbox>
                <w10:wrap type="square"/>
              </v:shape>
            </w:pict>
          </mc:Fallback>
        </mc:AlternateContent>
      </w:r>
    </w:p>
    <w:p w14:paraId="1E36012F" w14:textId="3B811188" w:rsidR="00075445" w:rsidRDefault="000B73F3" w:rsidP="00091260">
      <w:pPr>
        <w:spacing w:line="360" w:lineRule="auto"/>
        <w:jc w:val="both"/>
        <w:rPr>
          <w:rFonts w:asciiTheme="majorHAnsi" w:hAnsiTheme="majorHAnsi"/>
          <w:noProof/>
          <w:lang w:val="en-US"/>
        </w:rPr>
      </w:pPr>
      <w:r>
        <w:rPr>
          <w:rFonts w:asciiTheme="majorHAnsi" w:hAnsiTheme="majorHAnsi"/>
          <w:noProof/>
          <w:lang w:val="en-US"/>
        </w:rPr>
        <w:drawing>
          <wp:anchor distT="0" distB="0" distL="114300" distR="114300" simplePos="0" relativeHeight="252250112" behindDoc="0" locked="0" layoutInCell="1" allowOverlap="1" wp14:anchorId="16B0BD69" wp14:editId="15B70B99">
            <wp:simplePos x="0" y="0"/>
            <wp:positionH relativeFrom="column">
              <wp:posOffset>-685800</wp:posOffset>
            </wp:positionH>
            <wp:positionV relativeFrom="paragraph">
              <wp:posOffset>930910</wp:posOffset>
            </wp:positionV>
            <wp:extent cx="2733675" cy="1828800"/>
            <wp:effectExtent l="0" t="0" r="9525" b="0"/>
            <wp:wrapTight wrapText="bothSides">
              <wp:wrapPolygon edited="0">
                <wp:start x="0" y="0"/>
                <wp:lineTo x="0" y="21300"/>
                <wp:lineTo x="21475" y="21300"/>
                <wp:lineTo x="21475" y="0"/>
                <wp:lineTo x="0" y="0"/>
              </wp:wrapPolygon>
            </wp:wrapTight>
            <wp:docPr id="5" name="Picture 5" descr="Macintosh HD:Users:ClairFellows:Desktop:Screen Shot 2018-04-04 at 12.1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8-04-04 at 12.13.2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36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7C35">
        <w:rPr>
          <w:rFonts w:asciiTheme="majorHAnsi" w:hAnsiTheme="majorHAnsi"/>
          <w:noProof/>
          <w:lang w:val="en-US"/>
        </w:rPr>
        <mc:AlternateContent>
          <mc:Choice Requires="wps">
            <w:drawing>
              <wp:anchor distT="0" distB="0" distL="114300" distR="114300" simplePos="0" relativeHeight="251876352" behindDoc="0" locked="0" layoutInCell="1" allowOverlap="1" wp14:anchorId="3A27684A" wp14:editId="25848788">
                <wp:simplePos x="0" y="0"/>
                <wp:positionH relativeFrom="column">
                  <wp:posOffset>-800100</wp:posOffset>
                </wp:positionH>
                <wp:positionV relativeFrom="paragraph">
                  <wp:posOffset>2823845</wp:posOffset>
                </wp:positionV>
                <wp:extent cx="5372100" cy="297180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53721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D6A6AC" w14:textId="671BB4E7" w:rsidR="00E82D3B" w:rsidRPr="00604C07" w:rsidRDefault="00E82D3B" w:rsidP="00091260">
                            <w:pPr>
                              <w:jc w:val="both"/>
                              <w:rPr>
                                <w:b/>
                                <w:i/>
                                <w:sz w:val="22"/>
                              </w:rPr>
                            </w:pPr>
                            <w:r w:rsidRPr="00604C07">
                              <w:rPr>
                                <w:b/>
                                <w:i/>
                                <w:sz w:val="22"/>
                              </w:rPr>
                              <w:t>F</w:t>
                            </w:r>
                            <w:r>
                              <w:rPr>
                                <w:b/>
                                <w:i/>
                                <w:sz w:val="22"/>
                              </w:rPr>
                              <w:t xml:space="preserve">igure </w:t>
                            </w:r>
                            <w:proofErr w:type="gramStart"/>
                            <w:r>
                              <w:rPr>
                                <w:b/>
                                <w:i/>
                                <w:sz w:val="22"/>
                              </w:rPr>
                              <w:t>3.5</w:t>
                            </w:r>
                            <w:r w:rsidRPr="00604C07">
                              <w:rPr>
                                <w:b/>
                                <w:i/>
                                <w:sz w:val="22"/>
                              </w:rPr>
                              <w:t xml:space="preserve"> YFP SRCAP transfection</w:t>
                            </w:r>
                            <w:proofErr w:type="gramEnd"/>
                            <w:r w:rsidRPr="00604C07">
                              <w:rPr>
                                <w:b/>
                                <w:i/>
                                <w:sz w:val="22"/>
                              </w:rPr>
                              <w:t xml:space="preserve"> shows nuclear localisation</w:t>
                            </w:r>
                            <w:r>
                              <w:rPr>
                                <w:b/>
                                <w:i/>
                                <w:sz w:val="22"/>
                              </w:rPr>
                              <w:t xml:space="preserve"> after Kozak mutation</w:t>
                            </w:r>
                          </w:p>
                          <w:p w14:paraId="7993EA88" w14:textId="7B39899C" w:rsidR="00E82D3B" w:rsidRDefault="00E82D3B" w:rsidP="00091260">
                            <w:pPr>
                              <w:jc w:val="both"/>
                              <w:rPr>
                                <w:i/>
                                <w:sz w:val="22"/>
                              </w:rPr>
                            </w:pPr>
                            <w:r>
                              <w:rPr>
                                <w:i/>
                                <w:sz w:val="22"/>
                              </w:rPr>
                              <w:t xml:space="preserve">a.) </w:t>
                            </w:r>
                            <w:r w:rsidRPr="000442D0">
                              <w:rPr>
                                <w:i/>
                                <w:sz w:val="22"/>
                              </w:rPr>
                              <w:t xml:space="preserve">The </w:t>
                            </w:r>
                            <w:r>
                              <w:rPr>
                                <w:i/>
                                <w:sz w:val="22"/>
                              </w:rPr>
                              <w:t>commercially sourced</w:t>
                            </w:r>
                            <w:r w:rsidRPr="000442D0">
                              <w:rPr>
                                <w:i/>
                                <w:sz w:val="22"/>
                              </w:rPr>
                              <w:t xml:space="preserve"> SRCAP cDNA </w:t>
                            </w:r>
                            <w:r>
                              <w:rPr>
                                <w:i/>
                                <w:sz w:val="22"/>
                              </w:rPr>
                              <w:t>included</w:t>
                            </w:r>
                            <w:r w:rsidRPr="000442D0">
                              <w:rPr>
                                <w:i/>
                                <w:sz w:val="22"/>
                              </w:rPr>
                              <w:t xml:space="preserve"> an ATG site </w:t>
                            </w:r>
                            <w:r>
                              <w:rPr>
                                <w:i/>
                                <w:sz w:val="22"/>
                              </w:rPr>
                              <w:t>at the start of the gene of interest (GOI); this was preceded by a Kozak and start sequence of CCCACCATG. However, when the SRCAP cDNA was transformed into the destination vectors there was also a kozak sequence before the tag sequence, which meant translation could potentially initiate from two different sites. Proteins produced from the internal Kozak transcript would also lack the N-terminal tags.</w:t>
                            </w:r>
                          </w:p>
                          <w:p w14:paraId="6DC4F570" w14:textId="3D294277" w:rsidR="00E82D3B" w:rsidRDefault="00E82D3B" w:rsidP="00091260">
                            <w:pPr>
                              <w:jc w:val="both"/>
                              <w:rPr>
                                <w:rFonts w:ascii="Cambria" w:hAnsi="Cambria"/>
                                <w:i/>
                                <w:sz w:val="22"/>
                              </w:rPr>
                            </w:pPr>
                            <w:r>
                              <w:rPr>
                                <w:i/>
                                <w:sz w:val="22"/>
                              </w:rPr>
                              <w:t>b.) SW480 cells were transfected with 1</w:t>
                            </w:r>
                            <w:r>
                              <w:rPr>
                                <w:rFonts w:ascii="Cambria" w:hAnsi="Cambria"/>
                                <w:i/>
                                <w:sz w:val="22"/>
                              </w:rPr>
                              <w:t>μg of Kozak mutated YFP SRCAP in a six well plate and the live cells imaged on the microscope. Above are representative light microscope images, FITC images and merged images of cells expressing YFP SRCAP, which appears to be nuclear.</w:t>
                            </w:r>
                          </w:p>
                          <w:p w14:paraId="3808CB8A" w14:textId="44F7E068" w:rsidR="00E82D3B" w:rsidRDefault="00E82D3B" w:rsidP="00091260">
                            <w:pPr>
                              <w:jc w:val="both"/>
                              <w:rPr>
                                <w:i/>
                                <w:sz w:val="22"/>
                              </w:rPr>
                            </w:pPr>
                            <w:r>
                              <w:rPr>
                                <w:i/>
                                <w:sz w:val="22"/>
                              </w:rPr>
                              <w:t xml:space="preserve">c.) </w:t>
                            </w:r>
                            <w:proofErr w:type="gramStart"/>
                            <w:r>
                              <w:rPr>
                                <w:i/>
                                <w:sz w:val="22"/>
                              </w:rPr>
                              <w:t>The</w:t>
                            </w:r>
                            <w:proofErr w:type="gramEnd"/>
                            <w:r>
                              <w:rPr>
                                <w:i/>
                                <w:sz w:val="22"/>
                              </w:rPr>
                              <w:t xml:space="preserve"> same cells in the plates as in a. were fixed and the GFP antibody used to detect YFP SRCAP localisation along with DAPI staining of the nucleus. From the representative images, transfected cells can clearly be seen (as indicated by the white arrow) as fluorescing in the FITC channel in the nucleus compared with the untransfected cells (UNT).</w:t>
                            </w:r>
                          </w:p>
                          <w:p w14:paraId="7EA0EA93" w14:textId="77777777" w:rsidR="00E82D3B" w:rsidRPr="00604C07" w:rsidRDefault="00E82D3B" w:rsidP="00091260">
                            <w:pPr>
                              <w:jc w:val="both"/>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2" o:spid="_x0000_s1045" type="#_x0000_t202" style="position:absolute;left:0;text-align:left;margin-left:-62.95pt;margin-top:222.35pt;width:423pt;height:234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" filled="f" stroked="f">
                <v:textbox>
                  <w:txbxContent>
                    <w:p w14:paraId="48D6A6AC" w14:textId="671BB4E7" w:rsidR="000A1E0D" w:rsidRPr="00604C07" w:rsidRDefault="000A1E0D" w:rsidP="00091260">
                      <w:pPr>
                        <w:jc w:val="both"/>
                        <w:rPr>
                          <w:b/>
                          <w:i/>
                          <w:sz w:val="22"/>
                        </w:rPr>
                      </w:pPr>
                      <w:r w:rsidRPr="00604C07">
                        <w:rPr>
                          <w:b/>
                          <w:i/>
                          <w:sz w:val="22"/>
                        </w:rPr>
                        <w:t>F</w:t>
                      </w:r>
                      <w:r>
                        <w:rPr>
                          <w:b/>
                          <w:i/>
                          <w:sz w:val="22"/>
                        </w:rPr>
                        <w:t xml:space="preserve">igure </w:t>
                      </w:r>
                      <w:proofErr w:type="gramStart"/>
                      <w:r>
                        <w:rPr>
                          <w:b/>
                          <w:i/>
                          <w:sz w:val="22"/>
                        </w:rPr>
                        <w:t>3.5</w:t>
                      </w:r>
                      <w:r w:rsidRPr="00604C07">
                        <w:rPr>
                          <w:b/>
                          <w:i/>
                          <w:sz w:val="22"/>
                        </w:rPr>
                        <w:t xml:space="preserve"> YFP SRCAP transfection</w:t>
                      </w:r>
                      <w:proofErr w:type="gramEnd"/>
                      <w:r w:rsidRPr="00604C07">
                        <w:rPr>
                          <w:b/>
                          <w:i/>
                          <w:sz w:val="22"/>
                        </w:rPr>
                        <w:t xml:space="preserve"> shows nuclear localisation</w:t>
                      </w:r>
                      <w:r>
                        <w:rPr>
                          <w:b/>
                          <w:i/>
                          <w:sz w:val="22"/>
                        </w:rPr>
                        <w:t xml:space="preserve"> after Kozak mutation</w:t>
                      </w:r>
                    </w:p>
                    <w:p w14:paraId="7993EA88" w14:textId="7B39899C" w:rsidR="000A1E0D" w:rsidRDefault="000A1E0D" w:rsidP="00091260">
                      <w:pPr>
                        <w:jc w:val="both"/>
                        <w:rPr>
                          <w:i/>
                          <w:sz w:val="22"/>
                        </w:rPr>
                      </w:pPr>
                      <w:r>
                        <w:rPr>
                          <w:i/>
                          <w:sz w:val="22"/>
                        </w:rPr>
                        <w:t xml:space="preserve">a.) </w:t>
                      </w:r>
                      <w:r w:rsidRPr="000442D0">
                        <w:rPr>
                          <w:i/>
                          <w:sz w:val="22"/>
                        </w:rPr>
                        <w:t xml:space="preserve">The </w:t>
                      </w:r>
                      <w:r>
                        <w:rPr>
                          <w:i/>
                          <w:sz w:val="22"/>
                        </w:rPr>
                        <w:t>commercially sourced</w:t>
                      </w:r>
                      <w:r w:rsidRPr="000442D0">
                        <w:rPr>
                          <w:i/>
                          <w:sz w:val="22"/>
                        </w:rPr>
                        <w:t xml:space="preserve"> SRCAP cDNA </w:t>
                      </w:r>
                      <w:r>
                        <w:rPr>
                          <w:i/>
                          <w:sz w:val="22"/>
                        </w:rPr>
                        <w:t>included</w:t>
                      </w:r>
                      <w:r w:rsidRPr="000442D0">
                        <w:rPr>
                          <w:i/>
                          <w:sz w:val="22"/>
                        </w:rPr>
                        <w:t xml:space="preserve"> an ATG site </w:t>
                      </w:r>
                      <w:r>
                        <w:rPr>
                          <w:i/>
                          <w:sz w:val="22"/>
                        </w:rPr>
                        <w:t>at the start of the gene of interest (GOI); this was preceded by a Kozak and start sequence of CCCACCATG. However, when the SRCAP cDNA was transformed into the destination vectors there was also a kozak sequence before the tag sequence, which meant translation could potentially initiate from two different sites. Proteins produced from the internal Kozak transcript would also lack the N-terminal tags.</w:t>
                      </w:r>
                    </w:p>
                    <w:p w14:paraId="6DC4F570" w14:textId="3D294277" w:rsidR="000A1E0D" w:rsidRDefault="000A1E0D" w:rsidP="00091260">
                      <w:pPr>
                        <w:jc w:val="both"/>
                        <w:rPr>
                          <w:rFonts w:ascii="Cambria" w:hAnsi="Cambria"/>
                          <w:i/>
                          <w:sz w:val="22"/>
                        </w:rPr>
                      </w:pPr>
                      <w:r>
                        <w:rPr>
                          <w:i/>
                          <w:sz w:val="22"/>
                        </w:rPr>
                        <w:t>b.) SW480 cells were transfected with 1</w:t>
                      </w:r>
                      <w:r>
                        <w:rPr>
                          <w:rFonts w:ascii="Cambria" w:hAnsi="Cambria"/>
                          <w:i/>
                          <w:sz w:val="22"/>
                        </w:rPr>
                        <w:t>μg of Kozak mutated YFP SRCAP in a six well plate and the live cells imaged on the microscope. Above are representative light microscope images, FITC images and merged images of cells expressing YFP SRCAP, which appears to be nuclear.</w:t>
                      </w:r>
                    </w:p>
                    <w:p w14:paraId="3808CB8A" w14:textId="44F7E068" w:rsidR="000A1E0D" w:rsidRDefault="000A1E0D" w:rsidP="00091260">
                      <w:pPr>
                        <w:jc w:val="both"/>
                        <w:rPr>
                          <w:i/>
                          <w:sz w:val="22"/>
                        </w:rPr>
                      </w:pPr>
                      <w:r>
                        <w:rPr>
                          <w:i/>
                          <w:sz w:val="22"/>
                        </w:rPr>
                        <w:t xml:space="preserve">c.) </w:t>
                      </w:r>
                      <w:proofErr w:type="gramStart"/>
                      <w:r>
                        <w:rPr>
                          <w:i/>
                          <w:sz w:val="22"/>
                        </w:rPr>
                        <w:t>The</w:t>
                      </w:r>
                      <w:proofErr w:type="gramEnd"/>
                      <w:r>
                        <w:rPr>
                          <w:i/>
                          <w:sz w:val="22"/>
                        </w:rPr>
                        <w:t xml:space="preserve"> same cells in the plates as in a. were fixed and the GFP antibody used to detect YFP SRCAP localisation along with DAPI staining of the nucleus. From the representative images, transfected cells can clearly be seen (as indicated by the white arrow) as fluorescing in the FITC channel in the nucleus compared with the untransfected cells (UNT).</w:t>
                      </w:r>
                    </w:p>
                    <w:p w14:paraId="7EA0EA93" w14:textId="77777777" w:rsidR="000A1E0D" w:rsidRPr="00604C07" w:rsidRDefault="000A1E0D" w:rsidP="00091260">
                      <w:pPr>
                        <w:jc w:val="both"/>
                        <w:rPr>
                          <w:i/>
                          <w:sz w:val="22"/>
                        </w:rPr>
                      </w:pPr>
                    </w:p>
                  </w:txbxContent>
                </v:textbox>
                <w10:wrap type="square"/>
              </v:shape>
            </w:pict>
          </mc:Fallback>
        </mc:AlternateContent>
      </w:r>
      <w:r w:rsidR="00620B68">
        <w:rPr>
          <w:rFonts w:asciiTheme="majorHAnsi" w:hAnsiTheme="majorHAnsi"/>
          <w:noProof/>
          <w:lang w:val="en-US"/>
        </w:rPr>
        <mc:AlternateContent>
          <mc:Choice Requires="wps">
            <w:drawing>
              <wp:anchor distT="0" distB="0" distL="114300" distR="114300" simplePos="0" relativeHeight="252185600" behindDoc="0" locked="0" layoutInCell="1" allowOverlap="1" wp14:anchorId="4A5BC250" wp14:editId="4CE3DB71">
                <wp:simplePos x="0" y="0"/>
                <wp:positionH relativeFrom="column">
                  <wp:posOffset>4000500</wp:posOffset>
                </wp:positionH>
                <wp:positionV relativeFrom="paragraph">
                  <wp:posOffset>2009775</wp:posOffset>
                </wp:positionV>
                <wp:extent cx="228600" cy="228600"/>
                <wp:effectExtent l="76200" t="25400" r="76200" b="101600"/>
                <wp:wrapNone/>
                <wp:docPr id="326" name="Straight Arrow Connector 326"/>
                <wp:cNvGraphicFramePr/>
                <a:graphic xmlns:a="http://schemas.openxmlformats.org/drawingml/2006/main">
                  <a:graphicData uri="http://schemas.microsoft.com/office/word/2010/wordprocessingShape">
                    <wps:wsp>
                      <wps:cNvCnPr/>
                      <wps:spPr>
                        <a:xfrm flipH="1">
                          <a:off x="0" y="0"/>
                          <a:ext cx="228600" cy="228600"/>
                        </a:xfrm>
                        <a:prstGeom prst="straightConnector1">
                          <a:avLst/>
                        </a:prstGeom>
                        <a:ln w="6350" cmpd="sng">
                          <a:solidFill>
                            <a:schemeClr val="bg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id="_x0000_t32" coordsize="21600,21600" o:spt="32" o:oned="t" path="m0,0l21600,21600e" filled="f">
                <v:path arrowok="t" fillok="f" o:connecttype="none"/>
                <o:lock v:ext="edit" shapetype="t"/>
              </v:shapetype>
              <v:shape id="Straight Arrow Connector 326" o:spid="_x0000_s1026" type="#_x0000_t32" style="position:absolute;margin-left:315pt;margin-top:158.25pt;width:18pt;height:18pt;flip:x;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" strokecolor="white [3212]" strokeweight=".5pt">
                <v:stroke endarrow="open"/>
                <v:shadow on="t" opacity="24903f" mv:blur="40000f" origin=",.5" offset="0,20000emu"/>
              </v:shape>
            </w:pict>
          </mc:Fallback>
        </mc:AlternateContent>
      </w:r>
    </w:p>
    <w:p w14:paraId="200C0A05" w14:textId="2517E654" w:rsidR="00091260" w:rsidRDefault="002E7C35" w:rsidP="00091260">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893760" behindDoc="0" locked="0" layoutInCell="1" allowOverlap="1" wp14:anchorId="0B0D0EAC" wp14:editId="06090CA1">
                <wp:simplePos x="0" y="0"/>
                <wp:positionH relativeFrom="column">
                  <wp:posOffset>5029200</wp:posOffset>
                </wp:positionH>
                <wp:positionV relativeFrom="paragraph">
                  <wp:posOffset>6464935</wp:posOffset>
                </wp:positionV>
                <wp:extent cx="914400" cy="571500"/>
                <wp:effectExtent l="0" t="0" r="0" b="12700"/>
                <wp:wrapSquare wrapText="bothSides"/>
                <wp:docPr id="55" name="Text Box 55"/>
                <wp:cNvGraphicFramePr/>
                <a:graphic xmlns:a="http://schemas.openxmlformats.org/drawingml/2006/main">
                  <a:graphicData uri="http://schemas.microsoft.com/office/word/2010/wordprocessingShape">
                    <wps:wsp>
                      <wps:cNvSpPr txBox="1"/>
                      <wps:spPr>
                        <a:xfrm>
                          <a:off x="0" y="0"/>
                          <a:ext cx="9144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54C143" w14:textId="77777777" w:rsidR="00E82D3B" w:rsidRPr="00907B02" w:rsidRDefault="00E82D3B" w:rsidP="00091260">
                            <w:pPr>
                              <w:rPr>
                                <w:b/>
                              </w:rPr>
                            </w:pPr>
                            <w:proofErr w:type="gramStart"/>
                            <w:r w:rsidRPr="00907B02">
                              <w:rPr>
                                <w:b/>
                              </w:rPr>
                              <w:t>n</w:t>
                            </w:r>
                            <w:proofErr w:type="gramEnd"/>
                            <w:r w:rsidRPr="00907B02">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 o:spid="_x0000_s1046" type="#_x0000_t202" style="position:absolute;left:0;text-align:left;margin-left:396pt;margin-top:509.05pt;width:1in;height:4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" filled="f" stroked="f">
                <v:textbox>
                  <w:txbxContent>
                    <w:p w14:paraId="4B54C143" w14:textId="77777777" w:rsidR="000A1E0D" w:rsidRPr="00907B02" w:rsidRDefault="000A1E0D" w:rsidP="00091260">
                      <w:pPr>
                        <w:rPr>
                          <w:b/>
                        </w:rPr>
                      </w:pPr>
                      <w:proofErr w:type="gramStart"/>
                      <w:r w:rsidRPr="00907B02">
                        <w:rPr>
                          <w:b/>
                        </w:rPr>
                        <w:t>n</w:t>
                      </w:r>
                      <w:proofErr w:type="gramEnd"/>
                      <w:r w:rsidRPr="00907B02">
                        <w:rPr>
                          <w:b/>
                        </w:rPr>
                        <w:t>=1</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1873280" behindDoc="0" locked="0" layoutInCell="1" allowOverlap="1" wp14:anchorId="256B355F" wp14:editId="1753D46D">
                <wp:simplePos x="0" y="0"/>
                <wp:positionH relativeFrom="column">
                  <wp:posOffset>0</wp:posOffset>
                </wp:positionH>
                <wp:positionV relativeFrom="paragraph">
                  <wp:posOffset>6693535</wp:posOffset>
                </wp:positionV>
                <wp:extent cx="5600700" cy="1828800"/>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56007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5AC5D1" w14:textId="62926058" w:rsidR="00E82D3B" w:rsidRDefault="00E82D3B" w:rsidP="00327AA2">
                            <w:pPr>
                              <w:tabs>
                                <w:tab w:val="left" w:pos="2268"/>
                              </w:tabs>
                              <w:jc w:val="both"/>
                              <w:rPr>
                                <w:b/>
                                <w:i/>
                                <w:sz w:val="22"/>
                              </w:rPr>
                            </w:pPr>
                            <w:r>
                              <w:rPr>
                                <w:b/>
                                <w:i/>
                                <w:sz w:val="22"/>
                              </w:rPr>
                              <w:t xml:space="preserve">Figure </w:t>
                            </w:r>
                            <w:proofErr w:type="gramStart"/>
                            <w:r>
                              <w:rPr>
                                <w:b/>
                                <w:i/>
                                <w:sz w:val="22"/>
                              </w:rPr>
                              <w:t>3.6 Assessment of YFP SRCAP transfection efficiency using a range of different transfection reagents</w:t>
                            </w:r>
                            <w:proofErr w:type="gramEnd"/>
                            <w:r>
                              <w:rPr>
                                <w:b/>
                                <w:i/>
                                <w:sz w:val="22"/>
                              </w:rPr>
                              <w:t>.</w:t>
                            </w:r>
                          </w:p>
                          <w:p w14:paraId="0D63B593" w14:textId="6C8C7EC2" w:rsidR="00E82D3B" w:rsidRPr="006C554D" w:rsidRDefault="00E82D3B" w:rsidP="00327AA2">
                            <w:pPr>
                              <w:tabs>
                                <w:tab w:val="left" w:pos="2268"/>
                              </w:tabs>
                              <w:jc w:val="both"/>
                              <w:rPr>
                                <w:i/>
                                <w:sz w:val="22"/>
                              </w:rPr>
                            </w:pPr>
                            <w:r>
                              <w:rPr>
                                <w:i/>
                                <w:sz w:val="22"/>
                              </w:rPr>
                              <w:t>SW480 cells were seeded at 200,00 cells per well in a 6 well plate and transfected with 1</w:t>
                            </w:r>
                            <w:r>
                              <w:rPr>
                                <w:rFonts w:ascii="Cambria" w:hAnsi="Cambria"/>
                                <w:i/>
                                <w:sz w:val="22"/>
                              </w:rPr>
                              <w:t>μ</w:t>
                            </w:r>
                            <w:r>
                              <w:rPr>
                                <w:i/>
                                <w:sz w:val="22"/>
                              </w:rPr>
                              <w:t>g of the mutated YFP SRCAP, or ddH</w:t>
                            </w:r>
                            <w:r w:rsidRPr="006C554D">
                              <w:rPr>
                                <w:i/>
                                <w:sz w:val="22"/>
                                <w:vertAlign w:val="subscript"/>
                              </w:rPr>
                              <w:t>2</w:t>
                            </w:r>
                            <w:r>
                              <w:rPr>
                                <w:i/>
                                <w:sz w:val="22"/>
                              </w:rPr>
                              <w:t>O as control, using one of five transfection reagents and following the manufacturers protocol (TRAN= transfected with YFP SRCAP, UNT=mock transfection with ddH</w:t>
                            </w:r>
                            <w:r w:rsidRPr="00564B2B">
                              <w:rPr>
                                <w:i/>
                                <w:sz w:val="22"/>
                                <w:vertAlign w:val="subscript"/>
                              </w:rPr>
                              <w:t>2</w:t>
                            </w:r>
                            <w:r>
                              <w:rPr>
                                <w:i/>
                                <w:sz w:val="22"/>
                              </w:rPr>
                              <w:t xml:space="preserve">0). After 24 and 48hrs samples were trypsinised and washed in PBS before being run on the FACS Calibur flow cytometry machine. Cells were gated depending on whether they showed fluorescence in the FL1 channel and the percentage of cells YFP positive calculated. UNT samples showed less than 1% positive cells, whereas the TRAN samples ranged from 1-15%. Graph shows the percentage of YFP positive cells from one experiment.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47" type="#_x0000_t202" style="position:absolute;left:0;text-align:left;margin-left:0;margin-top:527.05pt;width:441pt;height:2in;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" filled="f" stroked="f">
                <v:textbox>
                  <w:txbxContent>
                    <w:p w14:paraId="385AC5D1" w14:textId="62926058" w:rsidR="000A1E0D" w:rsidRDefault="000A1E0D" w:rsidP="00327AA2">
                      <w:pPr>
                        <w:tabs>
                          <w:tab w:val="left" w:pos="2268"/>
                        </w:tabs>
                        <w:jc w:val="both"/>
                        <w:rPr>
                          <w:b/>
                          <w:i/>
                          <w:sz w:val="22"/>
                        </w:rPr>
                      </w:pPr>
                      <w:r>
                        <w:rPr>
                          <w:b/>
                          <w:i/>
                          <w:sz w:val="22"/>
                        </w:rPr>
                        <w:t xml:space="preserve">Figure </w:t>
                      </w:r>
                      <w:proofErr w:type="gramStart"/>
                      <w:r>
                        <w:rPr>
                          <w:b/>
                          <w:i/>
                          <w:sz w:val="22"/>
                        </w:rPr>
                        <w:t>3.6 Assessment of YFP SRCAP transfection efficiency using a range of different transfection reagents</w:t>
                      </w:r>
                      <w:proofErr w:type="gramEnd"/>
                      <w:r>
                        <w:rPr>
                          <w:b/>
                          <w:i/>
                          <w:sz w:val="22"/>
                        </w:rPr>
                        <w:t>.</w:t>
                      </w:r>
                    </w:p>
                    <w:p w14:paraId="0D63B593" w14:textId="6C8C7EC2" w:rsidR="000A1E0D" w:rsidRPr="006C554D" w:rsidRDefault="000A1E0D" w:rsidP="00327AA2">
                      <w:pPr>
                        <w:tabs>
                          <w:tab w:val="left" w:pos="2268"/>
                        </w:tabs>
                        <w:jc w:val="both"/>
                        <w:rPr>
                          <w:i/>
                          <w:sz w:val="22"/>
                        </w:rPr>
                      </w:pPr>
                      <w:r>
                        <w:rPr>
                          <w:i/>
                          <w:sz w:val="22"/>
                        </w:rPr>
                        <w:t>SW480 cells were seeded at 200,00 cells per well in a 6 well plate and transfected with 1</w:t>
                      </w:r>
                      <w:r>
                        <w:rPr>
                          <w:rFonts w:ascii="Cambria" w:hAnsi="Cambria"/>
                          <w:i/>
                          <w:sz w:val="22"/>
                        </w:rPr>
                        <w:t>μ</w:t>
                      </w:r>
                      <w:r>
                        <w:rPr>
                          <w:i/>
                          <w:sz w:val="22"/>
                        </w:rPr>
                        <w:t>g of the mutated YFP SRCAP, or ddH</w:t>
                      </w:r>
                      <w:r w:rsidRPr="006C554D">
                        <w:rPr>
                          <w:i/>
                          <w:sz w:val="22"/>
                          <w:vertAlign w:val="subscript"/>
                        </w:rPr>
                        <w:t>2</w:t>
                      </w:r>
                      <w:r>
                        <w:rPr>
                          <w:i/>
                          <w:sz w:val="22"/>
                        </w:rPr>
                        <w:t>O as control, using one of five transfection reagents and following the manufacturers protocol (TRAN= transfected with YFP SRCAP, UNT=mock transfection with ddH</w:t>
                      </w:r>
                      <w:r w:rsidRPr="00564B2B">
                        <w:rPr>
                          <w:i/>
                          <w:sz w:val="22"/>
                          <w:vertAlign w:val="subscript"/>
                        </w:rPr>
                        <w:t>2</w:t>
                      </w:r>
                      <w:r>
                        <w:rPr>
                          <w:i/>
                          <w:sz w:val="22"/>
                        </w:rPr>
                        <w:t xml:space="preserve">0). After 24 and 48hrs samples were trypsinised and washed in PBS before being run on the FACS Calibur flow cytometry machine. Cells were gated depending on whether they showed fluorescence in the FL1 channel and the percentage of cells YFP positive calculated. UNT samples showed less than 1% positive cells, whereas the TRAN samples ranged from 1-15%. Graph shows the percentage of YFP positive cells from one experiment. </w:t>
                      </w:r>
                    </w:p>
                  </w:txbxContent>
                </v:textbox>
                <w10:wrap type="square"/>
              </v:shape>
            </w:pict>
          </mc:Fallback>
        </mc:AlternateContent>
      </w:r>
      <w:r w:rsidR="00075445">
        <w:rPr>
          <w:rFonts w:asciiTheme="majorHAnsi" w:hAnsiTheme="majorHAnsi"/>
          <w:noProof/>
          <w:lang w:val="en-US"/>
        </w:rPr>
        <w:drawing>
          <wp:anchor distT="0" distB="0" distL="114300" distR="114300" simplePos="0" relativeHeight="251821056" behindDoc="0" locked="0" layoutInCell="1" allowOverlap="1" wp14:anchorId="72F9680B" wp14:editId="12224717">
            <wp:simplePos x="0" y="0"/>
            <wp:positionH relativeFrom="column">
              <wp:posOffset>-114300</wp:posOffset>
            </wp:positionH>
            <wp:positionV relativeFrom="paragraph">
              <wp:posOffset>4114800</wp:posOffset>
            </wp:positionV>
            <wp:extent cx="5618480" cy="2463800"/>
            <wp:effectExtent l="0" t="0" r="0"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8480" cy="246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260">
        <w:rPr>
          <w:rFonts w:asciiTheme="majorHAnsi" w:hAnsiTheme="majorHAnsi"/>
          <w:noProof/>
          <w:lang w:val="en-US"/>
        </w:rPr>
        <mc:AlternateContent>
          <mc:Choice Requires="wps">
            <w:drawing>
              <wp:anchor distT="0" distB="0" distL="114300" distR="114300" simplePos="0" relativeHeight="251944960" behindDoc="0" locked="0" layoutInCell="1" allowOverlap="1" wp14:anchorId="7D330D4B" wp14:editId="0FB41F2F">
                <wp:simplePos x="0" y="0"/>
                <wp:positionH relativeFrom="column">
                  <wp:posOffset>4572000</wp:posOffset>
                </wp:positionH>
                <wp:positionV relativeFrom="paragraph">
                  <wp:posOffset>1257300</wp:posOffset>
                </wp:positionV>
                <wp:extent cx="228600" cy="228600"/>
                <wp:effectExtent l="50800" t="0" r="25400" b="76200"/>
                <wp:wrapNone/>
                <wp:docPr id="150" name="Straight Arrow Connector 150"/>
                <wp:cNvGraphicFramePr/>
                <a:graphic xmlns:a="http://schemas.openxmlformats.org/drawingml/2006/main">
                  <a:graphicData uri="http://schemas.microsoft.com/office/word/2010/wordprocessingShape">
                    <wps:wsp>
                      <wps:cNvCnPr/>
                      <wps:spPr>
                        <a:xfrm flipH="1">
                          <a:off x="0" y="0"/>
                          <a:ext cx="228600" cy="228600"/>
                        </a:xfrm>
                        <a:prstGeom prst="straightConnector1">
                          <a:avLst/>
                        </a:prstGeom>
                        <a:ln>
                          <a:solidFill>
                            <a:schemeClr val="bg1"/>
                          </a:solidFill>
                          <a:tailEnd type="arrow"/>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 id="Straight Arrow Connector 150" o:spid="_x0000_s1026" type="#_x0000_t32" style="position:absolute;margin-left:5in;margin-top:99pt;width:18pt;height:18pt;flip:x;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" strokecolor="white [3212]">
                <v:stroke endarrow="open"/>
              </v:shape>
            </w:pict>
          </mc:Fallback>
        </mc:AlternateContent>
      </w:r>
      <w:r w:rsidR="00091260">
        <w:rPr>
          <w:rFonts w:asciiTheme="majorHAnsi" w:hAnsiTheme="majorHAnsi"/>
          <w:noProof/>
          <w:lang w:val="en-US"/>
        </w:rPr>
        <w:t>It was felt that the relatively low</w:t>
      </w:r>
      <w:r w:rsidR="00091260">
        <w:rPr>
          <w:rFonts w:asciiTheme="majorHAnsi" w:hAnsiTheme="majorHAnsi"/>
        </w:rPr>
        <w:t xml:space="preserve"> transfection efficiency would be detrimental to future experiments aimed at assessing phenotypes associated with cellular over expression of SRCAP. Therefore, transfection reagents </w:t>
      </w:r>
      <w:r w:rsidR="00A23FE7">
        <w:rPr>
          <w:rFonts w:asciiTheme="majorHAnsi" w:hAnsiTheme="majorHAnsi"/>
        </w:rPr>
        <w:t xml:space="preserve">other than Lipofectamine 2000 </w:t>
      </w:r>
      <w:r w:rsidR="00091260">
        <w:rPr>
          <w:rFonts w:asciiTheme="majorHAnsi" w:hAnsiTheme="majorHAnsi"/>
        </w:rPr>
        <w:t xml:space="preserve">were used in an attempt to increase the number of transfected cells. These were- </w:t>
      </w:r>
      <w:proofErr w:type="spellStart"/>
      <w:r w:rsidR="00091260">
        <w:rPr>
          <w:rFonts w:asciiTheme="majorHAnsi" w:hAnsiTheme="majorHAnsi"/>
        </w:rPr>
        <w:t>Genejuice</w:t>
      </w:r>
      <w:proofErr w:type="spellEnd"/>
      <w:r w:rsidR="00091260">
        <w:rPr>
          <w:rFonts w:asciiTheme="majorHAnsi" w:hAnsiTheme="majorHAnsi"/>
        </w:rPr>
        <w:t>,</w:t>
      </w:r>
      <w:r w:rsidR="00A23FE7">
        <w:rPr>
          <w:rFonts w:asciiTheme="majorHAnsi" w:hAnsiTheme="majorHAnsi"/>
        </w:rPr>
        <w:t xml:space="preserve"> Fugene, LTX, and </w:t>
      </w:r>
      <w:proofErr w:type="spellStart"/>
      <w:r w:rsidR="000B73F3">
        <w:rPr>
          <w:rFonts w:asciiTheme="majorHAnsi" w:hAnsiTheme="majorHAnsi"/>
        </w:rPr>
        <w:t>Mirus</w:t>
      </w:r>
      <w:proofErr w:type="spellEnd"/>
      <w:r w:rsidR="00A23FE7">
        <w:rPr>
          <w:rFonts w:asciiTheme="majorHAnsi" w:hAnsiTheme="majorHAnsi"/>
        </w:rPr>
        <w:t>.</w:t>
      </w:r>
      <w:r w:rsidR="00091260">
        <w:rPr>
          <w:rFonts w:asciiTheme="majorHAnsi" w:hAnsiTheme="majorHAnsi"/>
        </w:rPr>
        <w:t xml:space="preserve"> Cells were transfected with </w:t>
      </w:r>
      <w:r w:rsidR="00091260" w:rsidRPr="00276A61">
        <w:rPr>
          <w:rFonts w:asciiTheme="majorHAnsi" w:hAnsiTheme="majorHAnsi"/>
          <w:i/>
        </w:rPr>
        <w:t xml:space="preserve">YFP SRCAP </w:t>
      </w:r>
      <w:r w:rsidR="00091260">
        <w:rPr>
          <w:rFonts w:asciiTheme="majorHAnsi" w:hAnsiTheme="majorHAnsi"/>
        </w:rPr>
        <w:t>and the percentage of fluorescent cells assessed on the FACS Calibur flow cytometer. After 24hrs of transfection Lipofectamine 2000 was the reagent that gave the highest transfection efficiency along with LTX. At 48hrs LTX and Fugene were the most optimal. However, the maximum amount of cells transfecte</w:t>
      </w:r>
      <w:r w:rsidR="00075445">
        <w:rPr>
          <w:rFonts w:asciiTheme="majorHAnsi" w:hAnsiTheme="majorHAnsi"/>
        </w:rPr>
        <w:t>d was still only 15% (Figure 3.6</w:t>
      </w:r>
      <w:r w:rsidR="00091260">
        <w:rPr>
          <w:rFonts w:asciiTheme="majorHAnsi" w:hAnsiTheme="majorHAnsi"/>
        </w:rPr>
        <w:t>). The low transfection efficiencies may therefore be a result of</w:t>
      </w:r>
      <w:r w:rsidR="00A23FE7">
        <w:rPr>
          <w:rFonts w:asciiTheme="majorHAnsi" w:hAnsiTheme="majorHAnsi"/>
        </w:rPr>
        <w:t xml:space="preserve"> the fact that we are transfecting</w:t>
      </w:r>
      <w:r w:rsidR="00091260">
        <w:rPr>
          <w:rFonts w:asciiTheme="majorHAnsi" w:hAnsiTheme="majorHAnsi"/>
        </w:rPr>
        <w:t xml:space="preserve"> a large construct of 9754 base pairs. Unfortunately the other transfection reagents were samples requested from the companies and so this experiment was only repeated once. However, due to the lack of overt </w:t>
      </w:r>
      <w:r w:rsidR="00A23FE7">
        <w:rPr>
          <w:rFonts w:asciiTheme="majorHAnsi" w:hAnsiTheme="majorHAnsi"/>
        </w:rPr>
        <w:t>improvements</w:t>
      </w:r>
      <w:r w:rsidR="00091260">
        <w:rPr>
          <w:rFonts w:asciiTheme="majorHAnsi" w:hAnsiTheme="majorHAnsi"/>
        </w:rPr>
        <w:t xml:space="preserve"> observed, and reasons of cost, all further experiments continued to use Lipofectamine 2000.</w:t>
      </w:r>
    </w:p>
    <w:p w14:paraId="08E92A0D" w14:textId="458A94D3" w:rsidR="00091260" w:rsidRDefault="00091260" w:rsidP="00091260">
      <w:pPr>
        <w:spacing w:line="360" w:lineRule="auto"/>
        <w:jc w:val="both"/>
        <w:rPr>
          <w:rFonts w:asciiTheme="majorHAnsi" w:hAnsiTheme="majorHAnsi"/>
        </w:rPr>
      </w:pPr>
    </w:p>
    <w:p w14:paraId="73FEEC18" w14:textId="358671B1" w:rsidR="00091260" w:rsidRDefault="00091260" w:rsidP="00091260">
      <w:pPr>
        <w:spacing w:line="360" w:lineRule="auto"/>
        <w:jc w:val="both"/>
        <w:rPr>
          <w:rFonts w:asciiTheme="majorHAnsi" w:hAnsiTheme="majorHAnsi"/>
        </w:rPr>
      </w:pPr>
      <w:r>
        <w:rPr>
          <w:rFonts w:asciiTheme="majorHAnsi" w:hAnsiTheme="majorHAnsi"/>
        </w:rPr>
        <w:t xml:space="preserve">Even though the </w:t>
      </w:r>
      <w:r w:rsidR="00A23FE7">
        <w:rPr>
          <w:rFonts w:asciiTheme="majorHAnsi" w:hAnsiTheme="majorHAnsi"/>
        </w:rPr>
        <w:t xml:space="preserve">new </w:t>
      </w:r>
      <w:r w:rsidRPr="00276A61">
        <w:rPr>
          <w:rFonts w:asciiTheme="majorHAnsi" w:hAnsiTheme="majorHAnsi"/>
          <w:i/>
        </w:rPr>
        <w:t>YFP SRCAP</w:t>
      </w:r>
      <w:r>
        <w:rPr>
          <w:rFonts w:asciiTheme="majorHAnsi" w:hAnsiTheme="majorHAnsi"/>
        </w:rPr>
        <w:t xml:space="preserve"> construct showed nuclear localisation</w:t>
      </w:r>
      <w:r w:rsidR="00A23FE7">
        <w:rPr>
          <w:rFonts w:asciiTheme="majorHAnsi" w:hAnsiTheme="majorHAnsi"/>
        </w:rPr>
        <w:t>,</w:t>
      </w:r>
      <w:r>
        <w:rPr>
          <w:rFonts w:asciiTheme="majorHAnsi" w:hAnsiTheme="majorHAnsi"/>
        </w:rPr>
        <w:t xml:space="preserve"> there was no over</w:t>
      </w:r>
      <w:r w:rsidR="00327AA2">
        <w:rPr>
          <w:rFonts w:asciiTheme="majorHAnsi" w:hAnsiTheme="majorHAnsi"/>
        </w:rPr>
        <w:t>-</w:t>
      </w:r>
      <w:r>
        <w:rPr>
          <w:rFonts w:asciiTheme="majorHAnsi" w:hAnsiTheme="majorHAnsi"/>
        </w:rPr>
        <w:t xml:space="preserve">expression of </w:t>
      </w:r>
      <w:r w:rsidRPr="00276A61">
        <w:rPr>
          <w:rFonts w:asciiTheme="majorHAnsi" w:hAnsiTheme="majorHAnsi"/>
          <w:i/>
        </w:rPr>
        <w:t>SRCAP</w:t>
      </w:r>
      <w:r>
        <w:rPr>
          <w:rFonts w:asciiTheme="majorHAnsi" w:hAnsiTheme="majorHAnsi"/>
        </w:rPr>
        <w:t xml:space="preserve"> mRNA as assessed using a Taqman assay at 48 or 72hrs af</w:t>
      </w:r>
      <w:r w:rsidR="00075445">
        <w:rPr>
          <w:rFonts w:asciiTheme="majorHAnsi" w:hAnsiTheme="majorHAnsi"/>
        </w:rPr>
        <w:t>ter transfection (Figure 3.7</w:t>
      </w:r>
      <w:r>
        <w:rPr>
          <w:rFonts w:asciiTheme="majorHAnsi" w:hAnsiTheme="majorHAnsi"/>
        </w:rPr>
        <w:t>a)</w:t>
      </w:r>
      <w:proofErr w:type="gramStart"/>
      <w:r>
        <w:rPr>
          <w:rFonts w:asciiTheme="majorHAnsi" w:hAnsiTheme="majorHAnsi"/>
        </w:rPr>
        <w:t>.</w:t>
      </w:r>
      <w:proofErr w:type="gramEnd"/>
      <w:r>
        <w:rPr>
          <w:rFonts w:asciiTheme="majorHAnsi" w:hAnsiTheme="majorHAnsi"/>
        </w:rPr>
        <w:t xml:space="preserve"> However, this may be because the transfected population of cells was not large enough to have an affect on the overall </w:t>
      </w:r>
      <w:r w:rsidRPr="00276A61">
        <w:rPr>
          <w:rFonts w:asciiTheme="majorHAnsi" w:hAnsiTheme="majorHAnsi"/>
          <w:i/>
        </w:rPr>
        <w:t>SRCAP</w:t>
      </w:r>
      <w:r>
        <w:rPr>
          <w:rFonts w:asciiTheme="majorHAnsi" w:hAnsiTheme="majorHAnsi"/>
        </w:rPr>
        <w:t xml:space="preserve"> mRNA levels in the collective cell population. </w:t>
      </w:r>
      <w:r w:rsidR="00A23FE7">
        <w:rPr>
          <w:rFonts w:asciiTheme="majorHAnsi" w:hAnsiTheme="majorHAnsi"/>
        </w:rPr>
        <w:t>Western blots did not show over-</w:t>
      </w:r>
      <w:r>
        <w:rPr>
          <w:rFonts w:asciiTheme="majorHAnsi" w:hAnsiTheme="majorHAnsi"/>
        </w:rPr>
        <w:t xml:space="preserve">expression when probing with an SRCAP antibody or with FLAG compared to the untransfected. However, there were two bands higher than 191kDa in the </w:t>
      </w:r>
      <w:r w:rsidRPr="00276A61">
        <w:rPr>
          <w:rFonts w:asciiTheme="majorHAnsi" w:hAnsiTheme="majorHAnsi"/>
          <w:i/>
        </w:rPr>
        <w:t>YFP SRCAP</w:t>
      </w:r>
      <w:r>
        <w:rPr>
          <w:rFonts w:asciiTheme="majorHAnsi" w:hAnsiTheme="majorHAnsi"/>
        </w:rPr>
        <w:t xml:space="preserve"> transfected sample when probed with GFP antibody, which suggests cells could have been expressing YFP-tagge</w:t>
      </w:r>
      <w:r w:rsidR="00075445">
        <w:rPr>
          <w:rFonts w:asciiTheme="majorHAnsi" w:hAnsiTheme="majorHAnsi"/>
        </w:rPr>
        <w:t>d SRCAP (Figure 3.7</w:t>
      </w:r>
      <w:r>
        <w:rPr>
          <w:rFonts w:asciiTheme="majorHAnsi" w:hAnsiTheme="majorHAnsi"/>
        </w:rPr>
        <w:t xml:space="preserve">b &amp;c). </w:t>
      </w:r>
    </w:p>
    <w:p w14:paraId="311EA6E2" w14:textId="01C471F0" w:rsidR="00091260" w:rsidRDefault="00AD6B5F" w:rsidP="00075445">
      <w:pPr>
        <w:rPr>
          <w:rFonts w:asciiTheme="majorHAnsi" w:hAnsiTheme="majorHAnsi"/>
        </w:rPr>
      </w:pPr>
      <w:r>
        <w:rPr>
          <w:rFonts w:asciiTheme="majorHAnsi" w:hAnsiTheme="majorHAnsi"/>
          <w:noProof/>
          <w:lang w:val="en-US"/>
        </w:rPr>
        <w:drawing>
          <wp:anchor distT="0" distB="0" distL="114300" distR="114300" simplePos="0" relativeHeight="252253184" behindDoc="0" locked="0" layoutInCell="1" allowOverlap="1" wp14:anchorId="7574DDDD" wp14:editId="04AD2EB9">
            <wp:simplePos x="0" y="0"/>
            <wp:positionH relativeFrom="column">
              <wp:posOffset>1257300</wp:posOffset>
            </wp:positionH>
            <wp:positionV relativeFrom="paragraph">
              <wp:posOffset>231775</wp:posOffset>
            </wp:positionV>
            <wp:extent cx="2971800" cy="1564005"/>
            <wp:effectExtent l="0" t="0" r="0" b="10795"/>
            <wp:wrapSquare wrapText="bothSides"/>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D65AB2">
        <w:rPr>
          <w:rFonts w:asciiTheme="majorHAnsi" w:hAnsiTheme="majorHAnsi"/>
          <w:noProof/>
          <w:lang w:val="en-US"/>
        </w:rPr>
        <mc:AlternateContent>
          <mc:Choice Requires="wps">
            <w:drawing>
              <wp:anchor distT="0" distB="0" distL="114300" distR="114300" simplePos="0" relativeHeight="251874304" behindDoc="0" locked="0" layoutInCell="1" allowOverlap="1" wp14:anchorId="4AD46846" wp14:editId="630EA659">
                <wp:simplePos x="0" y="0"/>
                <wp:positionH relativeFrom="column">
                  <wp:posOffset>-114300</wp:posOffset>
                </wp:positionH>
                <wp:positionV relativeFrom="paragraph">
                  <wp:posOffset>3724275</wp:posOffset>
                </wp:positionV>
                <wp:extent cx="5715000" cy="2628900"/>
                <wp:effectExtent l="0" t="0" r="0" b="12700"/>
                <wp:wrapSquare wrapText="bothSides"/>
                <wp:docPr id="58" name="Text Box 58"/>
                <wp:cNvGraphicFramePr/>
                <a:graphic xmlns:a="http://schemas.openxmlformats.org/drawingml/2006/main">
                  <a:graphicData uri="http://schemas.microsoft.com/office/word/2010/wordprocessingShape">
                    <wps:wsp>
                      <wps:cNvSpPr txBox="1"/>
                      <wps:spPr>
                        <a:xfrm>
                          <a:off x="0" y="0"/>
                          <a:ext cx="57150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5A8EF8" w14:textId="62A2D753" w:rsidR="00E82D3B" w:rsidRPr="007C0063" w:rsidRDefault="00E82D3B" w:rsidP="00091260">
                            <w:pPr>
                              <w:jc w:val="both"/>
                              <w:rPr>
                                <w:b/>
                                <w:i/>
                                <w:sz w:val="22"/>
                              </w:rPr>
                            </w:pPr>
                            <w:r w:rsidRPr="007C0063">
                              <w:rPr>
                                <w:b/>
                                <w:i/>
                                <w:sz w:val="22"/>
                              </w:rPr>
                              <w:t>F</w:t>
                            </w:r>
                            <w:r>
                              <w:rPr>
                                <w:b/>
                                <w:i/>
                                <w:sz w:val="22"/>
                              </w:rPr>
                              <w:t>igure 3.7</w:t>
                            </w:r>
                            <w:r w:rsidRPr="007C0063">
                              <w:rPr>
                                <w:b/>
                                <w:i/>
                                <w:sz w:val="22"/>
                              </w:rPr>
                              <w:t xml:space="preserve"> Transfection with mutated SRCAP </w:t>
                            </w:r>
                            <w:r>
                              <w:rPr>
                                <w:b/>
                                <w:i/>
                                <w:sz w:val="22"/>
                              </w:rPr>
                              <w:t>constructs does not show heightened SRCAP expression</w:t>
                            </w:r>
                          </w:p>
                          <w:p w14:paraId="3F2B9CA1" w14:textId="5AD5E5C9" w:rsidR="00E82D3B" w:rsidRDefault="00E82D3B" w:rsidP="00091260">
                            <w:pPr>
                              <w:jc w:val="both"/>
                              <w:rPr>
                                <w:rFonts w:ascii="Cambria" w:hAnsi="Cambria"/>
                                <w:i/>
                                <w:sz w:val="22"/>
                              </w:rPr>
                            </w:pPr>
                            <w:r>
                              <w:rPr>
                                <w:i/>
                                <w:sz w:val="22"/>
                              </w:rPr>
                              <w:t>a.) SW480 cells were transfected with 1</w:t>
                            </w:r>
                            <w:r>
                              <w:rPr>
                                <w:rFonts w:ascii="Cambria" w:hAnsi="Cambria"/>
                                <w:i/>
                                <w:sz w:val="22"/>
                              </w:rPr>
                              <w:t>μg of mutated YFP SRCAP construct or ddH</w:t>
                            </w:r>
                            <w:r w:rsidRPr="00071474">
                              <w:rPr>
                                <w:rFonts w:ascii="Cambria" w:hAnsi="Cambria"/>
                                <w:i/>
                                <w:sz w:val="22"/>
                                <w:vertAlign w:val="subscript"/>
                              </w:rPr>
                              <w:t>2</w:t>
                            </w:r>
                            <w:r>
                              <w:rPr>
                                <w:rFonts w:ascii="Cambria" w:hAnsi="Cambria"/>
                                <w:i/>
                                <w:sz w:val="22"/>
                              </w:rPr>
                              <w:t xml:space="preserve">O (Untransfected) for 24 or 48hrs, then lysed to extract RNA and the SRCAP expression assessed via Taqman PCR.  After two repeats there was no significant difference between SRCAP </w:t>
                            </w:r>
                            <w:proofErr w:type="gramStart"/>
                            <w:r>
                              <w:rPr>
                                <w:rFonts w:ascii="Cambria" w:hAnsi="Cambria"/>
                                <w:i/>
                                <w:sz w:val="22"/>
                              </w:rPr>
                              <w:t>expression</w:t>
                            </w:r>
                            <w:proofErr w:type="gramEnd"/>
                            <w:r>
                              <w:rPr>
                                <w:rFonts w:ascii="Cambria" w:hAnsi="Cambria"/>
                                <w:i/>
                                <w:sz w:val="22"/>
                              </w:rPr>
                              <w:t xml:space="preserve"> in YFP SRCAP transfected and untransfected samples when a non-parametric Mann-Whitney test was applied (48hrs- p=0.6667, 72hrs- p=0.6667). The graph shows the median and range from the two repeats (</w:t>
                            </w:r>
                            <w:r>
                              <w:rPr>
                                <w:i/>
                                <w:iCs/>
                                <w:sz w:val="22"/>
                                <w:szCs w:val="22"/>
                              </w:rPr>
                              <w:t>p≤0.05</w:t>
                            </w:r>
                            <w:r>
                              <w:rPr>
                                <w:rFonts w:ascii="Cambria" w:hAnsi="Cambria"/>
                                <w:i/>
                                <w:sz w:val="22"/>
                              </w:rPr>
                              <w:t xml:space="preserve">). </w:t>
                            </w:r>
                          </w:p>
                          <w:p w14:paraId="25EDC098" w14:textId="1E36F8AA" w:rsidR="00E82D3B" w:rsidRPr="00075445" w:rsidRDefault="00E82D3B" w:rsidP="00091260">
                            <w:pPr>
                              <w:jc w:val="both"/>
                              <w:rPr>
                                <w:rFonts w:ascii="Cambria" w:hAnsi="Cambria"/>
                                <w:i/>
                                <w:sz w:val="22"/>
                              </w:rPr>
                            </w:pPr>
                            <w:r>
                              <w:rPr>
                                <w:i/>
                                <w:sz w:val="22"/>
                              </w:rPr>
                              <w:t>b.) SW480 cells were transfected with the mutated YFP or Flag SRCAP construct and lysed for protein 48hrs later. 50</w:t>
                            </w:r>
                            <w:r>
                              <w:rPr>
                                <w:rFonts w:ascii="Cambria" w:hAnsi="Cambria"/>
                                <w:i/>
                                <w:sz w:val="22"/>
                              </w:rPr>
                              <w:t xml:space="preserve">ng of each sample was separated on a precast gel and probed with anti-Flag M2 HRP conjugated or anti-GFP. There were no bands detected at the correct molecular weight in the Flag transfected sample, there were two bands above 191kDa in the YFP SRCAP sample as indicated by the red arrow. The same blot as was probed with GFP antibody was re-blocked and the Santa Cruz SRCAP antibody used at 1:250. There were no bands that indicated over-expression of SRCAP, compared to the untransfected sample (UNT).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8" type="#_x0000_t202" style="position:absolute;margin-left:-8.95pt;margin-top:293.25pt;width:450pt;height:20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" filled="f" stroked="f">
                <v:textbox>
                  <w:txbxContent>
                    <w:p w14:paraId="3A5A8EF8" w14:textId="62A2D753" w:rsidR="000A1E0D" w:rsidRPr="007C0063" w:rsidRDefault="000A1E0D" w:rsidP="00091260">
                      <w:pPr>
                        <w:jc w:val="both"/>
                        <w:rPr>
                          <w:b/>
                          <w:i/>
                          <w:sz w:val="22"/>
                        </w:rPr>
                      </w:pPr>
                      <w:r w:rsidRPr="007C0063">
                        <w:rPr>
                          <w:b/>
                          <w:i/>
                          <w:sz w:val="22"/>
                        </w:rPr>
                        <w:t>F</w:t>
                      </w:r>
                      <w:r>
                        <w:rPr>
                          <w:b/>
                          <w:i/>
                          <w:sz w:val="22"/>
                        </w:rPr>
                        <w:t>igure 3.7</w:t>
                      </w:r>
                      <w:r w:rsidRPr="007C0063">
                        <w:rPr>
                          <w:b/>
                          <w:i/>
                          <w:sz w:val="22"/>
                        </w:rPr>
                        <w:t xml:space="preserve"> Transfection with mutated SRCAP </w:t>
                      </w:r>
                      <w:r>
                        <w:rPr>
                          <w:b/>
                          <w:i/>
                          <w:sz w:val="22"/>
                        </w:rPr>
                        <w:t>constructs does not show heightened SRCAP expression</w:t>
                      </w:r>
                    </w:p>
                    <w:p w14:paraId="3F2B9CA1" w14:textId="5AD5E5C9" w:rsidR="000A1E0D" w:rsidRDefault="000A1E0D" w:rsidP="00091260">
                      <w:pPr>
                        <w:jc w:val="both"/>
                        <w:rPr>
                          <w:rFonts w:ascii="Cambria" w:hAnsi="Cambria"/>
                          <w:i/>
                          <w:sz w:val="22"/>
                        </w:rPr>
                      </w:pPr>
                      <w:r>
                        <w:rPr>
                          <w:i/>
                          <w:sz w:val="22"/>
                        </w:rPr>
                        <w:t>a.) SW480 cells were transfected with 1</w:t>
                      </w:r>
                      <w:r>
                        <w:rPr>
                          <w:rFonts w:ascii="Cambria" w:hAnsi="Cambria"/>
                          <w:i/>
                          <w:sz w:val="22"/>
                        </w:rPr>
                        <w:t>μg of mutated YFP SRCAP construct or ddH</w:t>
                      </w:r>
                      <w:r w:rsidRPr="00071474">
                        <w:rPr>
                          <w:rFonts w:ascii="Cambria" w:hAnsi="Cambria"/>
                          <w:i/>
                          <w:sz w:val="22"/>
                          <w:vertAlign w:val="subscript"/>
                        </w:rPr>
                        <w:t>2</w:t>
                      </w:r>
                      <w:r>
                        <w:rPr>
                          <w:rFonts w:ascii="Cambria" w:hAnsi="Cambria"/>
                          <w:i/>
                          <w:sz w:val="22"/>
                        </w:rPr>
                        <w:t xml:space="preserve">O (Untransfected) for 24 or 48hrs, then lysed to extract RNA and the SRCAP expression assessed via Taqman PCR.  After two repeats there was no significant difference between SRCAP </w:t>
                      </w:r>
                      <w:proofErr w:type="gramStart"/>
                      <w:r>
                        <w:rPr>
                          <w:rFonts w:ascii="Cambria" w:hAnsi="Cambria"/>
                          <w:i/>
                          <w:sz w:val="22"/>
                        </w:rPr>
                        <w:t>expression</w:t>
                      </w:r>
                      <w:proofErr w:type="gramEnd"/>
                      <w:r>
                        <w:rPr>
                          <w:rFonts w:ascii="Cambria" w:hAnsi="Cambria"/>
                          <w:i/>
                          <w:sz w:val="22"/>
                        </w:rPr>
                        <w:t xml:space="preserve"> in YFP SRCAP transfected and untransfected samples when a non-parametric Mann-Whitney test was applied (48hrs- p=0.6667, 72hrs- p=0.6667). The graph shows the median and range from the two repeats (</w:t>
                      </w:r>
                      <w:r>
                        <w:rPr>
                          <w:i/>
                          <w:iCs/>
                          <w:sz w:val="22"/>
                          <w:szCs w:val="22"/>
                        </w:rPr>
                        <w:t>p≤0.05</w:t>
                      </w:r>
                      <w:r>
                        <w:rPr>
                          <w:rFonts w:ascii="Cambria" w:hAnsi="Cambria"/>
                          <w:i/>
                          <w:sz w:val="22"/>
                        </w:rPr>
                        <w:t xml:space="preserve">). </w:t>
                      </w:r>
                    </w:p>
                    <w:p w14:paraId="25EDC098" w14:textId="1E36F8AA" w:rsidR="000A1E0D" w:rsidRPr="00075445" w:rsidRDefault="000A1E0D" w:rsidP="00091260">
                      <w:pPr>
                        <w:jc w:val="both"/>
                        <w:rPr>
                          <w:rFonts w:ascii="Cambria" w:hAnsi="Cambria"/>
                          <w:i/>
                          <w:sz w:val="22"/>
                        </w:rPr>
                      </w:pPr>
                      <w:r>
                        <w:rPr>
                          <w:i/>
                          <w:sz w:val="22"/>
                        </w:rPr>
                        <w:t>b.) SW480 cells were transfected with the mutated YFP or Flag SRCAP construct and lysed for protein 48hrs later. 50</w:t>
                      </w:r>
                      <w:r>
                        <w:rPr>
                          <w:rFonts w:ascii="Cambria" w:hAnsi="Cambria"/>
                          <w:i/>
                          <w:sz w:val="22"/>
                        </w:rPr>
                        <w:t xml:space="preserve">ng of each sample was separated on a precast gel and probed with anti-Flag M2 HRP conjugated or anti-GFP. There were no bands detected at the correct molecular weight in the Flag transfected sample, there were two bands above 191kDa in the YFP SRCAP sample as indicated by the red arrow. The same blot as was probed with GFP antibody was re-blocked and the Santa Cruz SRCAP antibody used at 1:250. There were no bands that indicated over-expression of SRCAP, compared to the untransfected sample (UNT). </w:t>
                      </w:r>
                    </w:p>
                  </w:txbxContent>
                </v:textbox>
                <w10:wrap type="square"/>
              </v:shape>
            </w:pict>
          </mc:Fallback>
        </mc:AlternateContent>
      </w:r>
      <w:r w:rsidR="00075445">
        <w:rPr>
          <w:rFonts w:asciiTheme="majorHAnsi" w:hAnsiTheme="majorHAnsi"/>
          <w:noProof/>
          <w:color w:val="FF0000"/>
          <w:lang w:val="en-US"/>
        </w:rPr>
        <mc:AlternateContent>
          <mc:Choice Requires="wps">
            <w:drawing>
              <wp:anchor distT="0" distB="0" distL="114300" distR="114300" simplePos="0" relativeHeight="251895808" behindDoc="0" locked="0" layoutInCell="1" allowOverlap="1" wp14:anchorId="26515ADF" wp14:editId="6E8A4EDC">
                <wp:simplePos x="0" y="0"/>
                <wp:positionH relativeFrom="column">
                  <wp:posOffset>914400</wp:posOffset>
                </wp:positionH>
                <wp:positionV relativeFrom="paragraph">
                  <wp:posOffset>231775</wp:posOffset>
                </wp:positionV>
                <wp:extent cx="457200" cy="4572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FBA890" w14:textId="77777777" w:rsidR="00E82D3B" w:rsidRPr="00620C8A" w:rsidRDefault="00E82D3B" w:rsidP="00091260">
                            <w:pPr>
                              <w:rPr>
                                <w:b/>
                              </w:rPr>
                            </w:pPr>
                            <w:proofErr w:type="gramStart"/>
                            <w:r w:rsidRPr="00620C8A">
                              <w:rPr>
                                <w:b/>
                              </w:rPr>
                              <w:t>a</w:t>
                            </w:r>
                            <w:proofErr w:type="gramEnd"/>
                            <w:r w:rsidRPr="00620C8A">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7" o:spid="_x0000_s1049" type="#_x0000_t202" style="position:absolute;margin-left:1in;margin-top:18.25pt;width:36pt;height:36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S2HM4CAAAX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" filled="f" stroked="f">
                <v:textbox>
                  <w:txbxContent>
                    <w:p w14:paraId="1DFBA890" w14:textId="77777777" w:rsidR="000A1E0D" w:rsidRPr="00620C8A" w:rsidRDefault="000A1E0D" w:rsidP="00091260">
                      <w:pPr>
                        <w:rPr>
                          <w:b/>
                        </w:rPr>
                      </w:pPr>
                      <w:proofErr w:type="gramStart"/>
                      <w:r w:rsidRPr="00620C8A">
                        <w:rPr>
                          <w:b/>
                        </w:rPr>
                        <w:t>a</w:t>
                      </w:r>
                      <w:proofErr w:type="gramEnd"/>
                      <w:r w:rsidRPr="00620C8A">
                        <w:rPr>
                          <w:b/>
                        </w:rPr>
                        <w:t>.)</w:t>
                      </w:r>
                    </w:p>
                  </w:txbxContent>
                </v:textbox>
                <w10:wrap type="square"/>
              </v:shape>
            </w:pict>
          </mc:Fallback>
        </mc:AlternateContent>
      </w:r>
      <w:r w:rsidR="00075445">
        <w:rPr>
          <w:rFonts w:asciiTheme="majorHAnsi" w:hAnsiTheme="majorHAnsi"/>
          <w:noProof/>
          <w:color w:val="FF0000"/>
          <w:lang w:val="en-US"/>
        </w:rPr>
        <mc:AlternateContent>
          <mc:Choice Requires="wps">
            <w:drawing>
              <wp:anchor distT="0" distB="0" distL="114300" distR="114300" simplePos="0" relativeHeight="251896832" behindDoc="0" locked="0" layoutInCell="1" allowOverlap="1" wp14:anchorId="473D3FB9" wp14:editId="6DE89A00">
                <wp:simplePos x="0" y="0"/>
                <wp:positionH relativeFrom="column">
                  <wp:posOffset>-114300</wp:posOffset>
                </wp:positionH>
                <wp:positionV relativeFrom="paragraph">
                  <wp:posOffset>1717675</wp:posOffset>
                </wp:positionV>
                <wp:extent cx="457200" cy="4572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E3834B" w14:textId="77777777" w:rsidR="00E82D3B" w:rsidRPr="00620C8A" w:rsidRDefault="00E82D3B" w:rsidP="00091260">
                            <w:pPr>
                              <w:rPr>
                                <w:b/>
                              </w:rPr>
                            </w:pPr>
                            <w:proofErr w:type="gramStart"/>
                            <w:r>
                              <w:rPr>
                                <w:b/>
                              </w:rPr>
                              <w:t>b</w:t>
                            </w:r>
                            <w:proofErr w:type="gramEnd"/>
                            <w:r w:rsidRPr="00620C8A">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 o:spid="_x0000_s1050" type="#_x0000_t202" style="position:absolute;margin-left:-8.95pt;margin-top:135.25pt;width:36pt;height:36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" filled="f" stroked="f">
                <v:textbox>
                  <w:txbxContent>
                    <w:p w14:paraId="0DE3834B" w14:textId="77777777" w:rsidR="000A1E0D" w:rsidRPr="00620C8A" w:rsidRDefault="000A1E0D" w:rsidP="00091260">
                      <w:pPr>
                        <w:rPr>
                          <w:b/>
                        </w:rPr>
                      </w:pPr>
                      <w:proofErr w:type="gramStart"/>
                      <w:r>
                        <w:rPr>
                          <w:b/>
                        </w:rPr>
                        <w:t>b</w:t>
                      </w:r>
                      <w:proofErr w:type="gramEnd"/>
                      <w:r w:rsidRPr="00620C8A">
                        <w:rPr>
                          <w:b/>
                        </w:rPr>
                        <w:t>.)</w:t>
                      </w:r>
                    </w:p>
                  </w:txbxContent>
                </v:textbox>
                <w10:wrap type="square"/>
              </v:shape>
            </w:pict>
          </mc:Fallback>
        </mc:AlternateContent>
      </w:r>
      <w:r w:rsidR="00075445">
        <w:rPr>
          <w:rFonts w:asciiTheme="majorHAnsi" w:hAnsiTheme="majorHAnsi"/>
          <w:noProof/>
          <w:lang w:val="en-US"/>
        </w:rPr>
        <w:drawing>
          <wp:anchor distT="0" distB="0" distL="114300" distR="114300" simplePos="0" relativeHeight="251898880" behindDoc="0" locked="0" layoutInCell="1" allowOverlap="1" wp14:anchorId="10DEA4B4" wp14:editId="0E538252">
            <wp:simplePos x="0" y="0"/>
            <wp:positionH relativeFrom="column">
              <wp:posOffset>3657600</wp:posOffset>
            </wp:positionH>
            <wp:positionV relativeFrom="paragraph">
              <wp:posOffset>1831975</wp:posOffset>
            </wp:positionV>
            <wp:extent cx="1840230" cy="1828800"/>
            <wp:effectExtent l="0" t="0" r="0" b="0"/>
            <wp:wrapTopAndBottom/>
            <wp:docPr id="211" name="Picture 211" descr="Macintosh HD:Users:ClairFellows:Desktop:Screen Shot 2017-08-29 at 16.1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lairFellows:Desktop:Screen Shot 2017-08-29 at 16.11.38.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4023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445">
        <w:rPr>
          <w:rFonts w:asciiTheme="majorHAnsi" w:hAnsiTheme="majorHAnsi"/>
          <w:noProof/>
          <w:lang w:val="en-US"/>
        </w:rPr>
        <w:drawing>
          <wp:anchor distT="0" distB="0" distL="114300" distR="114300" simplePos="0" relativeHeight="251894784" behindDoc="0" locked="0" layoutInCell="1" allowOverlap="1" wp14:anchorId="1EC5BBA9" wp14:editId="1D6AA554">
            <wp:simplePos x="0" y="0"/>
            <wp:positionH relativeFrom="column">
              <wp:posOffset>-228600</wp:posOffset>
            </wp:positionH>
            <wp:positionV relativeFrom="paragraph">
              <wp:posOffset>1831975</wp:posOffset>
            </wp:positionV>
            <wp:extent cx="4114800" cy="1924685"/>
            <wp:effectExtent l="0" t="0" r="0" b="5715"/>
            <wp:wrapTopAndBottom/>
            <wp:docPr id="210" name="Picture 210" descr="Macintosh HD:Users:ClairFellows:Desktop:Screen Shot 2017-08-29 at 15.2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irFellows:Desktop:Screen Shot 2017-08-29 at 15.23.5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14800" cy="1924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B5F">
        <w:rPr>
          <w:rFonts w:asciiTheme="majorHAnsi" w:hAnsiTheme="majorHAnsi"/>
        </w:rPr>
        <w:t xml:space="preserve"> </w:t>
      </w:r>
      <w:r w:rsidR="00091260">
        <w:rPr>
          <w:rFonts w:asciiTheme="majorHAnsi" w:hAnsiTheme="majorHAnsi"/>
        </w:rPr>
        <w:br w:type="page"/>
      </w:r>
    </w:p>
    <w:p w14:paraId="7FF4F84D" w14:textId="0B008F52" w:rsidR="00091260" w:rsidRDefault="00091260" w:rsidP="00091260">
      <w:pPr>
        <w:spacing w:line="360" w:lineRule="auto"/>
        <w:jc w:val="both"/>
        <w:rPr>
          <w:rFonts w:asciiTheme="majorHAnsi" w:hAnsiTheme="majorHAnsi"/>
        </w:rPr>
      </w:pPr>
      <w:r>
        <w:rPr>
          <w:rFonts w:asciiTheme="majorHAnsi" w:hAnsiTheme="majorHAnsi"/>
        </w:rPr>
        <w:t>Although high molecular weight bands were seen in th</w:t>
      </w:r>
      <w:r w:rsidR="00075445">
        <w:rPr>
          <w:rFonts w:asciiTheme="majorHAnsi" w:hAnsiTheme="majorHAnsi"/>
        </w:rPr>
        <w:t>e YFP SRCAP lane in figure 3.7</w:t>
      </w:r>
      <w:r>
        <w:rPr>
          <w:rFonts w:asciiTheme="majorHAnsi" w:hAnsiTheme="majorHAnsi"/>
        </w:rPr>
        <w:t>b, when this was repeated in HEK293 cells, there was a new banding pattern in the transfected sample not seen in the untransfected (F</w:t>
      </w:r>
      <w:r w:rsidR="00075445">
        <w:rPr>
          <w:rFonts w:asciiTheme="majorHAnsi" w:hAnsiTheme="majorHAnsi"/>
        </w:rPr>
        <w:t>igure 3.8</w:t>
      </w:r>
      <w:r w:rsidR="00F23A9F">
        <w:rPr>
          <w:rFonts w:asciiTheme="majorHAnsi" w:hAnsiTheme="majorHAnsi"/>
        </w:rPr>
        <w:t>a</w:t>
      </w:r>
      <w:r>
        <w:rPr>
          <w:rFonts w:asciiTheme="majorHAnsi" w:hAnsiTheme="majorHAnsi"/>
        </w:rPr>
        <w:t xml:space="preserve">). </w:t>
      </w:r>
      <w:r w:rsidR="00C974C5">
        <w:rPr>
          <w:rFonts w:asciiTheme="majorHAnsi" w:hAnsiTheme="majorHAnsi"/>
        </w:rPr>
        <w:t xml:space="preserve">These cells were used as they have been highly characterised in this laboratory, and can be easily transfected. </w:t>
      </w:r>
      <w:r>
        <w:rPr>
          <w:rFonts w:asciiTheme="majorHAnsi" w:hAnsiTheme="majorHAnsi"/>
        </w:rPr>
        <w:t xml:space="preserve">However, the </w:t>
      </w:r>
      <w:r w:rsidR="00A23FE7">
        <w:rPr>
          <w:rFonts w:asciiTheme="majorHAnsi" w:hAnsiTheme="majorHAnsi"/>
        </w:rPr>
        <w:t xml:space="preserve">presence of a </w:t>
      </w:r>
      <w:r>
        <w:rPr>
          <w:rFonts w:asciiTheme="majorHAnsi" w:hAnsiTheme="majorHAnsi"/>
        </w:rPr>
        <w:t xml:space="preserve">low MW </w:t>
      </w:r>
      <w:r w:rsidR="00A23FE7">
        <w:rPr>
          <w:rFonts w:asciiTheme="majorHAnsi" w:hAnsiTheme="majorHAnsi"/>
        </w:rPr>
        <w:t xml:space="preserve">band </w:t>
      </w:r>
      <w:r>
        <w:rPr>
          <w:rFonts w:asciiTheme="majorHAnsi" w:hAnsiTheme="majorHAnsi"/>
        </w:rPr>
        <w:t xml:space="preserve">of around 60-80 kDa suggested that the YFP SRCAP protein could be </w:t>
      </w:r>
      <w:r w:rsidR="00A23FE7">
        <w:rPr>
          <w:rFonts w:asciiTheme="majorHAnsi" w:hAnsiTheme="majorHAnsi"/>
        </w:rPr>
        <w:t>being</w:t>
      </w:r>
      <w:r>
        <w:rPr>
          <w:rFonts w:asciiTheme="majorHAnsi" w:hAnsiTheme="majorHAnsi"/>
        </w:rPr>
        <w:t xml:space="preserve"> cleaved at  ~30-50 kDa into the </w:t>
      </w:r>
      <w:r w:rsidRPr="00276A61">
        <w:rPr>
          <w:rFonts w:asciiTheme="majorHAnsi" w:hAnsiTheme="majorHAnsi"/>
          <w:i/>
        </w:rPr>
        <w:t>SRCAP</w:t>
      </w:r>
      <w:r>
        <w:rPr>
          <w:rFonts w:asciiTheme="majorHAnsi" w:hAnsiTheme="majorHAnsi"/>
        </w:rPr>
        <w:t xml:space="preserve"> sequence. Indeed when the </w:t>
      </w:r>
      <w:r w:rsidRPr="00276A61">
        <w:rPr>
          <w:rFonts w:asciiTheme="majorHAnsi" w:hAnsiTheme="majorHAnsi"/>
          <w:i/>
        </w:rPr>
        <w:t>SRCAP</w:t>
      </w:r>
      <w:r>
        <w:rPr>
          <w:rFonts w:asciiTheme="majorHAnsi" w:hAnsiTheme="majorHAnsi"/>
        </w:rPr>
        <w:t xml:space="preserve"> sequence was analysed in the online EXPASY peptide cutter</w:t>
      </w:r>
      <w:r w:rsidR="00C974C5">
        <w:rPr>
          <w:rFonts w:asciiTheme="majorHAnsi" w:hAnsiTheme="majorHAnsi"/>
        </w:rPr>
        <w:t xml:space="preserve"> (</w:t>
      </w:r>
      <w:hyperlink r:id="rId44" w:history="1">
        <w:r w:rsidR="00C974C5" w:rsidRPr="00C974C5">
          <w:rPr>
            <w:rStyle w:val="Hyperlink"/>
            <w:rFonts w:asciiTheme="majorHAnsi" w:hAnsiTheme="majorHAnsi"/>
          </w:rPr>
          <w:t>https://web.expasy.org/peptide_cutter/</w:t>
        </w:r>
      </w:hyperlink>
      <w:r w:rsidR="00C974C5">
        <w:rPr>
          <w:rFonts w:asciiTheme="majorHAnsi" w:hAnsiTheme="majorHAnsi"/>
        </w:rPr>
        <w:t>)</w:t>
      </w:r>
      <w:r>
        <w:rPr>
          <w:rFonts w:asciiTheme="majorHAnsi" w:hAnsiTheme="majorHAnsi"/>
        </w:rPr>
        <w:t xml:space="preserve">, there was a caspase cleavage site at amino acid 471, consistent with a potential 60-80kDa product, supporting the theory that the SRCAP protein maybe being degraded in HEK293 cells. Using the online nuclear localisation sequence (NLS) mapper there was no NLS within the first 471 amino acids. Therefore, cleavage of SRCAP at this specific point does not explain how a nuclear localised YFP-tagged protein was observed. To study this further, </w:t>
      </w:r>
      <w:r w:rsidRPr="00276A61">
        <w:rPr>
          <w:rFonts w:asciiTheme="majorHAnsi" w:hAnsiTheme="majorHAnsi"/>
          <w:i/>
        </w:rPr>
        <w:t>YFP-SRCAP</w:t>
      </w:r>
      <w:r>
        <w:rPr>
          <w:rFonts w:asciiTheme="majorHAnsi" w:hAnsiTheme="majorHAnsi"/>
        </w:rPr>
        <w:t xml:space="preserve"> transfected cells were treated with either a caspase or proteasome inhibitor for 16hrs before lysing a</w:t>
      </w:r>
      <w:r w:rsidR="00327AA2">
        <w:rPr>
          <w:rFonts w:asciiTheme="majorHAnsi" w:hAnsiTheme="majorHAnsi"/>
        </w:rPr>
        <w:t>nd assessing whether SRCAP over-</w:t>
      </w:r>
      <w:r>
        <w:rPr>
          <w:rFonts w:asciiTheme="majorHAnsi" w:hAnsiTheme="majorHAnsi"/>
        </w:rPr>
        <w:t>expression could be detected. However, there was no difference between untransfected samples and transfected whether they had had inhibitor on or not (</w:t>
      </w:r>
      <w:r w:rsidR="00F23A9F">
        <w:rPr>
          <w:rFonts w:asciiTheme="majorHAnsi" w:hAnsiTheme="majorHAnsi"/>
        </w:rPr>
        <w:t>Figure 3.8b</w:t>
      </w:r>
      <w:r>
        <w:rPr>
          <w:rFonts w:asciiTheme="majorHAnsi" w:hAnsiTheme="majorHAnsi"/>
        </w:rPr>
        <w:t>).</w:t>
      </w:r>
    </w:p>
    <w:p w14:paraId="73E697C2" w14:textId="02BC4420" w:rsidR="00091260" w:rsidRDefault="00F23A9F" w:rsidP="00091260">
      <w:pPr>
        <w:spacing w:line="360" w:lineRule="auto"/>
        <w:jc w:val="both"/>
        <w:rPr>
          <w:rFonts w:asciiTheme="majorHAnsi" w:hAnsiTheme="majorHAnsi"/>
        </w:rPr>
      </w:pPr>
      <w:r>
        <w:rPr>
          <w:rFonts w:asciiTheme="majorHAnsi" w:hAnsiTheme="majorHAnsi"/>
          <w:noProof/>
          <w:sz w:val="28"/>
          <w:szCs w:val="28"/>
          <w:u w:val="single"/>
          <w:lang w:val="en-US"/>
        </w:rPr>
        <mc:AlternateContent>
          <mc:Choice Requires="wps">
            <w:drawing>
              <wp:anchor distT="0" distB="0" distL="114300" distR="114300" simplePos="0" relativeHeight="252275712" behindDoc="0" locked="0" layoutInCell="1" allowOverlap="1" wp14:anchorId="7FA0A32A" wp14:editId="6928BFAB">
                <wp:simplePos x="0" y="0"/>
                <wp:positionH relativeFrom="column">
                  <wp:posOffset>2400300</wp:posOffset>
                </wp:positionH>
                <wp:positionV relativeFrom="paragraph">
                  <wp:posOffset>56515</wp:posOffset>
                </wp:positionV>
                <wp:extent cx="457200" cy="457200"/>
                <wp:effectExtent l="0" t="0" r="0" b="0"/>
                <wp:wrapSquare wrapText="bothSides"/>
                <wp:docPr id="199" name="Text Box 199"/>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E870E0" w14:textId="1D6E1682" w:rsidR="00E82D3B" w:rsidRPr="00F23A9F" w:rsidRDefault="00E82D3B" w:rsidP="00F23A9F">
                            <w:pPr>
                              <w:rPr>
                                <w:b/>
                              </w:rPr>
                            </w:pPr>
                            <w:proofErr w:type="gramStart"/>
                            <w:r>
                              <w:rPr>
                                <w:b/>
                              </w:rPr>
                              <w:t>b</w:t>
                            </w:r>
                            <w:proofErr w:type="gramEnd"/>
                            <w:r w:rsidRPr="00F23A9F">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9" o:spid="_x0000_s1051" type="#_x0000_t202" style="position:absolute;left:0;text-align:left;margin-left:189pt;margin-top:4.45pt;width:36pt;height:36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" filled="f" stroked="f">
                <v:textbox>
                  <w:txbxContent>
                    <w:p w14:paraId="50E870E0" w14:textId="1D6E1682" w:rsidR="000A1E0D" w:rsidRPr="00F23A9F" w:rsidRDefault="000A1E0D" w:rsidP="00F23A9F">
                      <w:pPr>
                        <w:rPr>
                          <w:b/>
                        </w:rPr>
                      </w:pPr>
                      <w:proofErr w:type="gramStart"/>
                      <w:r>
                        <w:rPr>
                          <w:b/>
                        </w:rPr>
                        <w:t>b</w:t>
                      </w:r>
                      <w:proofErr w:type="gramEnd"/>
                      <w:r w:rsidRPr="00F23A9F">
                        <w:rPr>
                          <w:b/>
                        </w:rPr>
                        <w:t>.)</w:t>
                      </w:r>
                    </w:p>
                  </w:txbxContent>
                </v:textbox>
                <w10:wrap type="square"/>
              </v:shape>
            </w:pict>
          </mc:Fallback>
        </mc:AlternateContent>
      </w:r>
      <w:r>
        <w:rPr>
          <w:rFonts w:asciiTheme="majorHAnsi" w:hAnsiTheme="majorHAnsi"/>
          <w:noProof/>
          <w:sz w:val="28"/>
          <w:szCs w:val="28"/>
          <w:u w:val="single"/>
          <w:lang w:val="en-US"/>
        </w:rPr>
        <mc:AlternateContent>
          <mc:Choice Requires="wps">
            <w:drawing>
              <wp:anchor distT="0" distB="0" distL="114300" distR="114300" simplePos="0" relativeHeight="252273664" behindDoc="0" locked="0" layoutInCell="1" allowOverlap="1" wp14:anchorId="642F71AE" wp14:editId="0D6AAA9E">
                <wp:simplePos x="0" y="0"/>
                <wp:positionH relativeFrom="column">
                  <wp:posOffset>342900</wp:posOffset>
                </wp:positionH>
                <wp:positionV relativeFrom="paragraph">
                  <wp:posOffset>56515</wp:posOffset>
                </wp:positionV>
                <wp:extent cx="457200" cy="457200"/>
                <wp:effectExtent l="0" t="0" r="0" b="0"/>
                <wp:wrapSquare wrapText="bothSides"/>
                <wp:docPr id="198" name="Text Box 198"/>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8F572C" w14:textId="37C461FA" w:rsidR="00E82D3B" w:rsidRPr="00F23A9F" w:rsidRDefault="00E82D3B">
                            <w:pPr>
                              <w:rPr>
                                <w:b/>
                              </w:rPr>
                            </w:pPr>
                            <w:proofErr w:type="gramStart"/>
                            <w:r w:rsidRPr="00F23A9F">
                              <w:rPr>
                                <w:b/>
                              </w:rPr>
                              <w:t>a</w:t>
                            </w:r>
                            <w:proofErr w:type="gramEnd"/>
                            <w:r w:rsidRPr="00F23A9F">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8" o:spid="_x0000_s1052" type="#_x0000_t202" style="position:absolute;left:0;text-align:left;margin-left:27pt;margin-top:4.45pt;width:36pt;height:36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" filled="f" stroked="f">
                <v:textbox>
                  <w:txbxContent>
                    <w:p w14:paraId="5B8F572C" w14:textId="37C461FA" w:rsidR="000A1E0D" w:rsidRPr="00F23A9F" w:rsidRDefault="000A1E0D">
                      <w:pPr>
                        <w:rPr>
                          <w:b/>
                        </w:rPr>
                      </w:pPr>
                      <w:proofErr w:type="gramStart"/>
                      <w:r w:rsidRPr="00F23A9F">
                        <w:rPr>
                          <w:b/>
                        </w:rPr>
                        <w:t>a</w:t>
                      </w:r>
                      <w:proofErr w:type="gramEnd"/>
                      <w:r w:rsidRPr="00F23A9F">
                        <w:rPr>
                          <w:b/>
                        </w:rPr>
                        <w:t>.)</w:t>
                      </w:r>
                    </w:p>
                  </w:txbxContent>
                </v:textbox>
                <w10:wrap type="square"/>
              </v:shape>
            </w:pict>
          </mc:Fallback>
        </mc:AlternateContent>
      </w:r>
      <w:r>
        <w:rPr>
          <w:rFonts w:asciiTheme="majorHAnsi" w:hAnsiTheme="majorHAnsi"/>
          <w:noProof/>
          <w:sz w:val="28"/>
          <w:szCs w:val="28"/>
          <w:u w:val="single"/>
          <w:lang w:val="en-US"/>
        </w:rPr>
        <w:drawing>
          <wp:anchor distT="0" distB="0" distL="114300" distR="114300" simplePos="0" relativeHeight="252272640" behindDoc="0" locked="0" layoutInCell="1" allowOverlap="1" wp14:anchorId="0FBB8966" wp14:editId="488E2720">
            <wp:simplePos x="0" y="0"/>
            <wp:positionH relativeFrom="column">
              <wp:posOffset>2286000</wp:posOffset>
            </wp:positionH>
            <wp:positionV relativeFrom="paragraph">
              <wp:posOffset>285115</wp:posOffset>
            </wp:positionV>
            <wp:extent cx="2869565" cy="1788160"/>
            <wp:effectExtent l="0" t="0" r="635" b="0"/>
            <wp:wrapSquare wrapText="bothSides"/>
            <wp:docPr id="197" name="Picture 197" descr="Macintosh HD:Users:ClairFellows:Desktop:Screen Shot 2018-04-04 at 16.2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ClairFellows:Desktop:Screen Shot 2018-04-04 at 16.29.3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69565"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szCs w:val="28"/>
          <w:u w:val="single"/>
          <w:lang w:val="en-US"/>
        </w:rPr>
        <w:drawing>
          <wp:anchor distT="0" distB="0" distL="114300" distR="114300" simplePos="0" relativeHeight="251899904" behindDoc="0" locked="0" layoutInCell="1" allowOverlap="1" wp14:anchorId="421A22F1" wp14:editId="0B8E3235">
            <wp:simplePos x="0" y="0"/>
            <wp:positionH relativeFrom="column">
              <wp:posOffset>571500</wp:posOffset>
            </wp:positionH>
            <wp:positionV relativeFrom="paragraph">
              <wp:posOffset>56515</wp:posOffset>
            </wp:positionV>
            <wp:extent cx="1343660" cy="2400300"/>
            <wp:effectExtent l="0" t="0" r="2540" b="12700"/>
            <wp:wrapSquare wrapText="bothSides"/>
            <wp:docPr id="212" name="Picture 212" descr="Macintosh HD:Users:ClairFellows:Desktop:Screen Shot 2017-08-29 at 16.2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lairFellows:Desktop:Screen Shot 2017-08-29 at 16.22.2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4366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8DBFE" w14:textId="3CC27A5C" w:rsidR="00091260" w:rsidRPr="00A56E8D" w:rsidRDefault="00091260" w:rsidP="00091260">
      <w:pPr>
        <w:spacing w:line="360" w:lineRule="auto"/>
        <w:jc w:val="both"/>
        <w:rPr>
          <w:rFonts w:asciiTheme="majorHAnsi" w:hAnsiTheme="majorHAnsi"/>
          <w:sz w:val="28"/>
          <w:szCs w:val="28"/>
          <w:u w:val="single"/>
        </w:rPr>
      </w:pPr>
      <w:r w:rsidRPr="00A56E8D">
        <w:rPr>
          <w:rFonts w:asciiTheme="majorHAnsi" w:hAnsiTheme="majorHAnsi"/>
          <w:sz w:val="28"/>
          <w:szCs w:val="28"/>
          <w:u w:val="single"/>
        </w:rPr>
        <w:t xml:space="preserve"> </w:t>
      </w:r>
    </w:p>
    <w:p w14:paraId="1BFC9C7B" w14:textId="6AD111CA" w:rsidR="00091260" w:rsidRDefault="00091260" w:rsidP="00091260">
      <w:pPr>
        <w:spacing w:line="360" w:lineRule="auto"/>
        <w:jc w:val="both"/>
        <w:rPr>
          <w:rFonts w:asciiTheme="majorHAnsi" w:hAnsiTheme="majorHAnsi"/>
          <w:sz w:val="28"/>
          <w:szCs w:val="28"/>
          <w:u w:val="single"/>
        </w:rPr>
      </w:pPr>
    </w:p>
    <w:p w14:paraId="5B82A2D2" w14:textId="38CA89AC" w:rsidR="00907B02" w:rsidRDefault="00907B02" w:rsidP="00091260">
      <w:pPr>
        <w:spacing w:line="360" w:lineRule="auto"/>
        <w:jc w:val="both"/>
        <w:rPr>
          <w:rFonts w:asciiTheme="majorHAnsi" w:hAnsiTheme="majorHAnsi"/>
          <w:sz w:val="28"/>
          <w:szCs w:val="28"/>
          <w:u w:val="single"/>
        </w:rPr>
      </w:pPr>
    </w:p>
    <w:p w14:paraId="3DAD3439" w14:textId="77777777" w:rsidR="00907B02" w:rsidRDefault="00907B02" w:rsidP="00091260">
      <w:pPr>
        <w:spacing w:line="360" w:lineRule="auto"/>
        <w:jc w:val="both"/>
        <w:rPr>
          <w:rFonts w:asciiTheme="majorHAnsi" w:hAnsiTheme="majorHAnsi"/>
          <w:sz w:val="28"/>
          <w:szCs w:val="28"/>
          <w:u w:val="single"/>
        </w:rPr>
      </w:pPr>
    </w:p>
    <w:p w14:paraId="5DDFEECE" w14:textId="4574271F" w:rsidR="00907B02" w:rsidRDefault="00287694" w:rsidP="00091260">
      <w:pPr>
        <w:spacing w:line="360" w:lineRule="auto"/>
        <w:jc w:val="both"/>
        <w:rPr>
          <w:rFonts w:asciiTheme="majorHAnsi" w:hAnsiTheme="majorHAnsi"/>
          <w:sz w:val="28"/>
          <w:szCs w:val="28"/>
          <w:u w:val="single"/>
        </w:rPr>
      </w:pPr>
      <w:r>
        <w:rPr>
          <w:rFonts w:asciiTheme="majorHAnsi" w:hAnsiTheme="majorHAnsi"/>
          <w:noProof/>
          <w:lang w:val="en-US"/>
        </w:rPr>
        <mc:AlternateContent>
          <mc:Choice Requires="wps">
            <w:drawing>
              <wp:anchor distT="0" distB="0" distL="114300" distR="114300" simplePos="0" relativeHeight="251872256" behindDoc="0" locked="0" layoutInCell="1" allowOverlap="1" wp14:anchorId="4ECCAAE8" wp14:editId="57EB4BA6">
                <wp:simplePos x="0" y="0"/>
                <wp:positionH relativeFrom="column">
                  <wp:posOffset>0</wp:posOffset>
                </wp:positionH>
                <wp:positionV relativeFrom="paragraph">
                  <wp:posOffset>640715</wp:posOffset>
                </wp:positionV>
                <wp:extent cx="5486400" cy="18288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54864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3D4626" w14:textId="41216D90" w:rsidR="00E82D3B" w:rsidRDefault="00E82D3B" w:rsidP="00091260">
                            <w:pPr>
                              <w:jc w:val="both"/>
                              <w:rPr>
                                <w:b/>
                                <w:i/>
                                <w:sz w:val="22"/>
                              </w:rPr>
                            </w:pPr>
                            <w:r w:rsidRPr="00620C8A">
                              <w:rPr>
                                <w:b/>
                                <w:i/>
                                <w:sz w:val="22"/>
                              </w:rPr>
                              <w:t>F</w:t>
                            </w:r>
                            <w:r>
                              <w:rPr>
                                <w:b/>
                                <w:i/>
                                <w:sz w:val="22"/>
                              </w:rPr>
                              <w:t xml:space="preserve">igure 3.8 </w:t>
                            </w:r>
                            <w:r w:rsidRPr="00620C8A">
                              <w:rPr>
                                <w:b/>
                                <w:i/>
                                <w:sz w:val="22"/>
                              </w:rPr>
                              <w:t>Protein banding pattern in western blot sample could indicate cleavage of SRCAP</w:t>
                            </w:r>
                          </w:p>
                          <w:p w14:paraId="49B8E03E" w14:textId="32E58678" w:rsidR="00E82D3B" w:rsidRDefault="00E82D3B" w:rsidP="00091260">
                            <w:pPr>
                              <w:jc w:val="both"/>
                              <w:rPr>
                                <w:i/>
                                <w:sz w:val="22"/>
                              </w:rPr>
                            </w:pPr>
                            <w:r>
                              <w:rPr>
                                <w:i/>
                                <w:sz w:val="22"/>
                              </w:rPr>
                              <w:t>a.) HEK293 cells were transfected with YFP SRCAP for 48hrs or with ddH</w:t>
                            </w:r>
                            <w:r w:rsidRPr="002E7C35">
                              <w:rPr>
                                <w:i/>
                                <w:sz w:val="22"/>
                                <w:vertAlign w:val="subscript"/>
                              </w:rPr>
                              <w:t>2</w:t>
                            </w:r>
                            <w:r>
                              <w:rPr>
                                <w:i/>
                                <w:sz w:val="22"/>
                              </w:rPr>
                              <w:t>O (UNT), lysed for protein and 50ng of each sample loaded onto a precast gel. Anti-GFP was used as the primary antibody. In the YFP transfected sample there were a number of bands just above 64kDa, which were not present in the untransfected sample as indicated by the red arrow.</w:t>
                            </w:r>
                          </w:p>
                          <w:p w14:paraId="16F94086" w14:textId="78C1FF82" w:rsidR="00E82D3B" w:rsidRDefault="00E82D3B" w:rsidP="00091260">
                            <w:pPr>
                              <w:jc w:val="both"/>
                              <w:rPr>
                                <w:i/>
                                <w:sz w:val="22"/>
                              </w:rPr>
                            </w:pPr>
                            <w:r>
                              <w:rPr>
                                <w:i/>
                                <w:sz w:val="22"/>
                              </w:rPr>
                              <w:t>b.) Z-VAD caspase inhibitor or MG-132 proteasome inhibitor (20</w:t>
                            </w:r>
                            <w:r>
                              <w:rPr>
                                <w:rFonts w:ascii="Cambria" w:hAnsi="Cambria"/>
                                <w:i/>
                                <w:sz w:val="22"/>
                              </w:rPr>
                              <w:t xml:space="preserve">μM) </w:t>
                            </w:r>
                            <w:r>
                              <w:rPr>
                                <w:i/>
                                <w:sz w:val="22"/>
                              </w:rPr>
                              <w:t>was added to the media 4hrs after cDNA transfection and left for 16hrs before cells were lysed for protein. 50ng of protein was run on a precast gel and probed for with anti-GFP (1:2000) primary antibody. There was no difference between samples with or without inhibitor addition.</w:t>
                            </w:r>
                          </w:p>
                          <w:p w14:paraId="547F8C75" w14:textId="77777777" w:rsidR="00E82D3B" w:rsidRPr="00620C8A" w:rsidRDefault="00E82D3B" w:rsidP="00091260">
                            <w:pPr>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53" type="#_x0000_t202" style="position:absolute;left:0;text-align:left;margin-left:0;margin-top:50.45pt;width:6in;height:2in;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" filled="f" stroked="f">
                <v:textbox>
                  <w:txbxContent>
                    <w:p w14:paraId="003D4626" w14:textId="41216D90" w:rsidR="000A1E0D" w:rsidRDefault="000A1E0D" w:rsidP="00091260">
                      <w:pPr>
                        <w:jc w:val="both"/>
                        <w:rPr>
                          <w:b/>
                          <w:i/>
                          <w:sz w:val="22"/>
                        </w:rPr>
                      </w:pPr>
                      <w:r w:rsidRPr="00620C8A">
                        <w:rPr>
                          <w:b/>
                          <w:i/>
                          <w:sz w:val="22"/>
                        </w:rPr>
                        <w:t>F</w:t>
                      </w:r>
                      <w:r>
                        <w:rPr>
                          <w:b/>
                          <w:i/>
                          <w:sz w:val="22"/>
                        </w:rPr>
                        <w:t xml:space="preserve">igure 3.8 </w:t>
                      </w:r>
                      <w:r w:rsidRPr="00620C8A">
                        <w:rPr>
                          <w:b/>
                          <w:i/>
                          <w:sz w:val="22"/>
                        </w:rPr>
                        <w:t>Protein banding pattern in western blot sample could indicate cleavage of SRCAP</w:t>
                      </w:r>
                    </w:p>
                    <w:p w14:paraId="49B8E03E" w14:textId="32E58678" w:rsidR="000A1E0D" w:rsidRDefault="000A1E0D" w:rsidP="00091260">
                      <w:pPr>
                        <w:jc w:val="both"/>
                        <w:rPr>
                          <w:i/>
                          <w:sz w:val="22"/>
                        </w:rPr>
                      </w:pPr>
                      <w:r>
                        <w:rPr>
                          <w:i/>
                          <w:sz w:val="22"/>
                        </w:rPr>
                        <w:t>a.) HEK293 cells were transfected with YFP SRCAP for 48hrs or with ddH</w:t>
                      </w:r>
                      <w:r w:rsidRPr="002E7C35">
                        <w:rPr>
                          <w:i/>
                          <w:sz w:val="22"/>
                          <w:vertAlign w:val="subscript"/>
                        </w:rPr>
                        <w:t>2</w:t>
                      </w:r>
                      <w:r>
                        <w:rPr>
                          <w:i/>
                          <w:sz w:val="22"/>
                        </w:rPr>
                        <w:t>O (UNT), lysed for protein and 50ng of each sample loaded onto a precast gel. Anti-GFP was used as the primary antibody. In the YFP transfected sample there were a number of bands just above 64kDa, which were not present in the untransfected sample as indicated by the red arrow.</w:t>
                      </w:r>
                    </w:p>
                    <w:p w14:paraId="16F94086" w14:textId="78C1FF82" w:rsidR="000A1E0D" w:rsidRDefault="000A1E0D" w:rsidP="00091260">
                      <w:pPr>
                        <w:jc w:val="both"/>
                        <w:rPr>
                          <w:i/>
                          <w:sz w:val="22"/>
                        </w:rPr>
                      </w:pPr>
                      <w:r>
                        <w:rPr>
                          <w:i/>
                          <w:sz w:val="22"/>
                        </w:rPr>
                        <w:t>b.) Z-VAD caspase inhibitor or MG-132 proteasome inhibitor (20</w:t>
                      </w:r>
                      <w:r>
                        <w:rPr>
                          <w:rFonts w:ascii="Cambria" w:hAnsi="Cambria"/>
                          <w:i/>
                          <w:sz w:val="22"/>
                        </w:rPr>
                        <w:t xml:space="preserve">μM) </w:t>
                      </w:r>
                      <w:r>
                        <w:rPr>
                          <w:i/>
                          <w:sz w:val="22"/>
                        </w:rPr>
                        <w:t>was added to the media 4hrs after cDNA transfection and left for 16hrs before cells were lysed for protein. 50ng of protein was run on a precast gel and probed for with anti-GFP (1:2000) primary antibody. There was no difference between samples with or without inhibitor addition.</w:t>
                      </w:r>
                    </w:p>
                    <w:p w14:paraId="547F8C75" w14:textId="77777777" w:rsidR="000A1E0D" w:rsidRPr="00620C8A" w:rsidRDefault="000A1E0D" w:rsidP="00091260">
                      <w:pPr>
                        <w:rPr>
                          <w:i/>
                          <w:sz w:val="22"/>
                        </w:rPr>
                      </w:pPr>
                    </w:p>
                  </w:txbxContent>
                </v:textbox>
                <w10:wrap type="square"/>
              </v:shape>
            </w:pict>
          </mc:Fallback>
        </mc:AlternateContent>
      </w:r>
    </w:p>
    <w:p w14:paraId="450BE23D" w14:textId="785606CD" w:rsidR="00091260" w:rsidRPr="00530877" w:rsidRDefault="00091260" w:rsidP="00091260">
      <w:pPr>
        <w:spacing w:line="360" w:lineRule="auto"/>
        <w:jc w:val="both"/>
        <w:rPr>
          <w:rFonts w:asciiTheme="majorHAnsi" w:hAnsiTheme="majorHAnsi"/>
          <w:sz w:val="28"/>
          <w:szCs w:val="28"/>
          <w:u w:val="single"/>
        </w:rPr>
      </w:pPr>
      <w:r>
        <w:rPr>
          <w:rFonts w:asciiTheme="majorHAnsi" w:hAnsiTheme="majorHAnsi"/>
          <w:sz w:val="28"/>
          <w:szCs w:val="28"/>
          <w:u w:val="single"/>
        </w:rPr>
        <w:t>3.4</w:t>
      </w:r>
      <w:r w:rsidRPr="00530877">
        <w:rPr>
          <w:rFonts w:asciiTheme="majorHAnsi" w:hAnsiTheme="majorHAnsi"/>
          <w:sz w:val="28"/>
          <w:szCs w:val="28"/>
          <w:u w:val="single"/>
        </w:rPr>
        <w:t xml:space="preserve"> XL10 competent cell propagation leads to SRCAP over</w:t>
      </w:r>
      <w:r w:rsidR="00327AA2">
        <w:rPr>
          <w:rFonts w:asciiTheme="majorHAnsi" w:hAnsiTheme="majorHAnsi"/>
          <w:sz w:val="28"/>
          <w:szCs w:val="28"/>
          <w:u w:val="single"/>
        </w:rPr>
        <w:t>-</w:t>
      </w:r>
      <w:r w:rsidRPr="00530877">
        <w:rPr>
          <w:rFonts w:asciiTheme="majorHAnsi" w:hAnsiTheme="majorHAnsi"/>
          <w:sz w:val="28"/>
          <w:szCs w:val="28"/>
          <w:u w:val="single"/>
        </w:rPr>
        <w:t>expression</w:t>
      </w:r>
    </w:p>
    <w:p w14:paraId="73F329E7" w14:textId="77777777" w:rsidR="00091260" w:rsidRPr="00245A36" w:rsidRDefault="00091260" w:rsidP="00091260">
      <w:pPr>
        <w:pStyle w:val="ListParagraph"/>
        <w:spacing w:line="360" w:lineRule="auto"/>
        <w:ind w:left="360"/>
        <w:jc w:val="both"/>
        <w:rPr>
          <w:rFonts w:asciiTheme="majorHAnsi" w:hAnsiTheme="majorHAnsi"/>
          <w:u w:val="single"/>
        </w:rPr>
      </w:pPr>
    </w:p>
    <w:p w14:paraId="529B8AC3" w14:textId="66B39B9E" w:rsidR="00091260" w:rsidRDefault="00A23FE7" w:rsidP="00091260">
      <w:pPr>
        <w:spacing w:line="360" w:lineRule="auto"/>
        <w:jc w:val="both"/>
        <w:rPr>
          <w:rFonts w:asciiTheme="majorHAnsi" w:hAnsiTheme="majorHAnsi"/>
        </w:rPr>
      </w:pPr>
      <w:r>
        <w:rPr>
          <w:rFonts w:asciiTheme="majorHAnsi" w:hAnsiTheme="majorHAnsi"/>
        </w:rPr>
        <w:t xml:space="preserve">In an attempt to improve transfection efficiencies, </w:t>
      </w:r>
      <w:r w:rsidR="00091260">
        <w:rPr>
          <w:rFonts w:asciiTheme="majorHAnsi" w:hAnsiTheme="majorHAnsi"/>
        </w:rPr>
        <w:t xml:space="preserve">XL10 Gold ultra competent cells were used to transform the Kozak mutated </w:t>
      </w:r>
      <w:r w:rsidR="00091260" w:rsidRPr="00366748">
        <w:rPr>
          <w:rFonts w:asciiTheme="majorHAnsi" w:hAnsiTheme="majorHAnsi"/>
          <w:i/>
        </w:rPr>
        <w:t xml:space="preserve">YFP, MYC </w:t>
      </w:r>
      <w:r w:rsidR="00091260">
        <w:rPr>
          <w:rFonts w:asciiTheme="majorHAnsi" w:hAnsiTheme="majorHAnsi"/>
        </w:rPr>
        <w:t xml:space="preserve">and </w:t>
      </w:r>
      <w:r w:rsidR="00091260" w:rsidRPr="00366748">
        <w:rPr>
          <w:rFonts w:asciiTheme="majorHAnsi" w:hAnsiTheme="majorHAnsi"/>
          <w:i/>
        </w:rPr>
        <w:t>FLAG</w:t>
      </w:r>
      <w:r w:rsidR="00091260">
        <w:rPr>
          <w:rFonts w:asciiTheme="majorHAnsi" w:hAnsiTheme="majorHAnsi"/>
        </w:rPr>
        <w:t xml:space="preserve"> </w:t>
      </w:r>
      <w:r w:rsidR="00091260" w:rsidRPr="00276A61">
        <w:rPr>
          <w:rFonts w:asciiTheme="majorHAnsi" w:hAnsiTheme="majorHAnsi"/>
          <w:i/>
        </w:rPr>
        <w:t>SRCAP</w:t>
      </w:r>
      <w:r w:rsidR="00091260">
        <w:rPr>
          <w:rFonts w:asciiTheme="majorHAnsi" w:hAnsiTheme="majorHAnsi"/>
        </w:rPr>
        <w:t xml:space="preserve"> constructs, as these cells are more robust for large gene inserts. Following DNA extraction and purification, the </w:t>
      </w:r>
      <w:r w:rsidR="00091260" w:rsidRPr="00366748">
        <w:rPr>
          <w:rFonts w:asciiTheme="majorHAnsi" w:hAnsiTheme="majorHAnsi"/>
          <w:i/>
        </w:rPr>
        <w:t>YFP</w:t>
      </w:r>
      <w:r w:rsidR="00091260">
        <w:rPr>
          <w:rFonts w:asciiTheme="majorHAnsi" w:hAnsiTheme="majorHAnsi"/>
        </w:rPr>
        <w:t xml:space="preserve"> and </w:t>
      </w:r>
      <w:r w:rsidR="00091260" w:rsidRPr="00366748">
        <w:rPr>
          <w:rFonts w:asciiTheme="majorHAnsi" w:hAnsiTheme="majorHAnsi"/>
          <w:i/>
        </w:rPr>
        <w:t>MYC</w:t>
      </w:r>
      <w:r w:rsidR="00091260">
        <w:rPr>
          <w:rFonts w:asciiTheme="majorHAnsi" w:hAnsiTheme="majorHAnsi"/>
        </w:rPr>
        <w:t xml:space="preserve"> constructs exhibited the correct size on an agarose gel, however the </w:t>
      </w:r>
      <w:r w:rsidR="00091260" w:rsidRPr="00366748">
        <w:rPr>
          <w:rFonts w:asciiTheme="majorHAnsi" w:hAnsiTheme="majorHAnsi"/>
          <w:i/>
        </w:rPr>
        <w:t>FLAG</w:t>
      </w:r>
      <w:r w:rsidR="00091260">
        <w:rPr>
          <w:rFonts w:asciiTheme="majorHAnsi" w:hAnsiTheme="majorHAnsi"/>
        </w:rPr>
        <w:t xml:space="preserve"> construct was smaller than expected</w:t>
      </w:r>
      <w:r w:rsidR="00DC3E74">
        <w:rPr>
          <w:rFonts w:asciiTheme="majorHAnsi" w:hAnsiTheme="majorHAnsi"/>
        </w:rPr>
        <w:t xml:space="preserve">. </w:t>
      </w:r>
      <w:r w:rsidR="00091260">
        <w:rPr>
          <w:rFonts w:asciiTheme="majorHAnsi" w:hAnsiTheme="majorHAnsi"/>
        </w:rPr>
        <w:t>Despite this all three newly prepared construct solutions were transfected into Hela cells (</w:t>
      </w:r>
      <w:r>
        <w:rPr>
          <w:rFonts w:asciiTheme="majorHAnsi" w:hAnsiTheme="majorHAnsi"/>
        </w:rPr>
        <w:t>selected because HeLa cells are well established for high transfection efficiencies)</w:t>
      </w:r>
      <w:r w:rsidR="00091260">
        <w:rPr>
          <w:rFonts w:asciiTheme="majorHAnsi" w:hAnsiTheme="majorHAnsi"/>
        </w:rPr>
        <w:t xml:space="preserve">. </w:t>
      </w:r>
      <w:r>
        <w:rPr>
          <w:rFonts w:asciiTheme="majorHAnsi" w:hAnsiTheme="majorHAnsi"/>
        </w:rPr>
        <w:t>For the first time, t</w:t>
      </w:r>
      <w:r w:rsidR="00091260">
        <w:rPr>
          <w:rFonts w:asciiTheme="majorHAnsi" w:hAnsiTheme="majorHAnsi"/>
        </w:rPr>
        <w:t xml:space="preserve">he </w:t>
      </w:r>
      <w:r w:rsidR="00091260" w:rsidRPr="00366748">
        <w:rPr>
          <w:rFonts w:asciiTheme="majorHAnsi" w:hAnsiTheme="majorHAnsi"/>
          <w:i/>
        </w:rPr>
        <w:t>MYC</w:t>
      </w:r>
      <w:r w:rsidR="00091260">
        <w:rPr>
          <w:rFonts w:asciiTheme="majorHAnsi" w:hAnsiTheme="majorHAnsi"/>
        </w:rPr>
        <w:t xml:space="preserve"> and </w:t>
      </w:r>
      <w:r w:rsidR="00091260" w:rsidRPr="00366748">
        <w:rPr>
          <w:rFonts w:asciiTheme="majorHAnsi" w:hAnsiTheme="majorHAnsi"/>
          <w:i/>
        </w:rPr>
        <w:t>YFP SRCAP</w:t>
      </w:r>
      <w:r w:rsidR="00091260">
        <w:rPr>
          <w:rFonts w:asciiTheme="majorHAnsi" w:hAnsiTheme="majorHAnsi"/>
        </w:rPr>
        <w:t xml:space="preserve"> transfections showed an increase in </w:t>
      </w:r>
      <w:r w:rsidR="00091260" w:rsidRPr="00366748">
        <w:rPr>
          <w:rFonts w:asciiTheme="majorHAnsi" w:hAnsiTheme="majorHAnsi"/>
          <w:i/>
        </w:rPr>
        <w:t>SRCAP</w:t>
      </w:r>
      <w:r w:rsidR="00091260">
        <w:rPr>
          <w:rFonts w:asciiTheme="majorHAnsi" w:hAnsiTheme="majorHAnsi"/>
        </w:rPr>
        <w:t xml:space="preserve"> mRNA, compared to an untransfected control, </w:t>
      </w:r>
      <w:r>
        <w:rPr>
          <w:rFonts w:asciiTheme="majorHAnsi" w:hAnsiTheme="majorHAnsi"/>
        </w:rPr>
        <w:t>although</w:t>
      </w:r>
      <w:r w:rsidR="00091260">
        <w:rPr>
          <w:rFonts w:asciiTheme="majorHAnsi" w:hAnsiTheme="majorHAnsi"/>
        </w:rPr>
        <w:t xml:space="preserve"> the </w:t>
      </w:r>
      <w:r w:rsidR="00091260" w:rsidRPr="00366748">
        <w:rPr>
          <w:rFonts w:asciiTheme="majorHAnsi" w:hAnsiTheme="majorHAnsi"/>
          <w:i/>
        </w:rPr>
        <w:t>FLAG</w:t>
      </w:r>
      <w:r w:rsidR="00327AA2">
        <w:rPr>
          <w:rFonts w:asciiTheme="majorHAnsi" w:hAnsiTheme="majorHAnsi"/>
        </w:rPr>
        <w:t xml:space="preserve"> construct did not show over-</w:t>
      </w:r>
      <w:r w:rsidR="00091260">
        <w:rPr>
          <w:rFonts w:asciiTheme="majorHAnsi" w:hAnsiTheme="majorHAnsi"/>
        </w:rPr>
        <w:t>expression</w:t>
      </w:r>
      <w:r w:rsidR="002E7C35">
        <w:rPr>
          <w:rFonts w:asciiTheme="majorHAnsi" w:hAnsiTheme="majorHAnsi"/>
        </w:rPr>
        <w:t>,</w:t>
      </w:r>
      <w:r w:rsidR="00091260">
        <w:rPr>
          <w:rFonts w:asciiTheme="majorHAnsi" w:hAnsiTheme="majorHAnsi"/>
        </w:rPr>
        <w:t xml:space="preserve"> which </w:t>
      </w:r>
      <w:r>
        <w:rPr>
          <w:rFonts w:asciiTheme="majorHAnsi" w:hAnsiTheme="majorHAnsi"/>
        </w:rPr>
        <w:t>is likely explained by</w:t>
      </w:r>
      <w:r w:rsidR="00091260">
        <w:rPr>
          <w:rFonts w:asciiTheme="majorHAnsi" w:hAnsiTheme="majorHAnsi"/>
        </w:rPr>
        <w:t xml:space="preserve"> the smaller </w:t>
      </w:r>
      <w:r w:rsidR="00075445">
        <w:rPr>
          <w:rFonts w:asciiTheme="majorHAnsi" w:hAnsiTheme="majorHAnsi"/>
        </w:rPr>
        <w:t xml:space="preserve">size </w:t>
      </w:r>
      <w:r>
        <w:rPr>
          <w:rFonts w:asciiTheme="majorHAnsi" w:hAnsiTheme="majorHAnsi"/>
        </w:rPr>
        <w:t xml:space="preserve">of this construct </w:t>
      </w:r>
      <w:r w:rsidR="00075445">
        <w:rPr>
          <w:rFonts w:asciiTheme="majorHAnsi" w:hAnsiTheme="majorHAnsi"/>
        </w:rPr>
        <w:t>on the DNA gel (Figure 3.9</w:t>
      </w:r>
      <w:r w:rsidR="00091260">
        <w:rPr>
          <w:rFonts w:asciiTheme="majorHAnsi" w:hAnsiTheme="majorHAnsi"/>
        </w:rPr>
        <w:t xml:space="preserve">a). Furthermore, the </w:t>
      </w:r>
      <w:r w:rsidR="00091260" w:rsidRPr="00366748">
        <w:rPr>
          <w:rFonts w:asciiTheme="majorHAnsi" w:hAnsiTheme="majorHAnsi"/>
          <w:i/>
        </w:rPr>
        <w:t>YFP SRCAP</w:t>
      </w:r>
      <w:r w:rsidR="00091260">
        <w:rPr>
          <w:rFonts w:asciiTheme="majorHAnsi" w:hAnsiTheme="majorHAnsi"/>
        </w:rPr>
        <w:t xml:space="preserve"> construct also showed n</w:t>
      </w:r>
      <w:r w:rsidR="00075445">
        <w:rPr>
          <w:rFonts w:asciiTheme="majorHAnsi" w:hAnsiTheme="majorHAnsi"/>
        </w:rPr>
        <w:t>uclear localisation (Figure 3.9</w:t>
      </w:r>
      <w:r w:rsidR="00091260">
        <w:rPr>
          <w:rFonts w:asciiTheme="majorHAnsi" w:hAnsiTheme="majorHAnsi"/>
        </w:rPr>
        <w:t>b). Alt</w:t>
      </w:r>
      <w:r>
        <w:rPr>
          <w:rFonts w:asciiTheme="majorHAnsi" w:hAnsiTheme="majorHAnsi"/>
        </w:rPr>
        <w:t>hough the SRCAP antibody did not show any protein over-</w:t>
      </w:r>
      <w:r w:rsidR="00091260">
        <w:rPr>
          <w:rFonts w:asciiTheme="majorHAnsi" w:hAnsiTheme="majorHAnsi"/>
        </w:rPr>
        <w:t xml:space="preserve">expression </w:t>
      </w:r>
      <w:r>
        <w:rPr>
          <w:rFonts w:asciiTheme="majorHAnsi" w:hAnsiTheme="majorHAnsi"/>
        </w:rPr>
        <w:t>in</w:t>
      </w:r>
      <w:r w:rsidR="00091260">
        <w:rPr>
          <w:rFonts w:asciiTheme="majorHAnsi" w:hAnsiTheme="majorHAnsi"/>
        </w:rPr>
        <w:t xml:space="preserve"> western blot analysis</w:t>
      </w:r>
      <w:r>
        <w:rPr>
          <w:rFonts w:asciiTheme="majorHAnsi" w:hAnsiTheme="majorHAnsi"/>
        </w:rPr>
        <w:t>,</w:t>
      </w:r>
      <w:r w:rsidR="00091260">
        <w:rPr>
          <w:rFonts w:asciiTheme="majorHAnsi" w:hAnsiTheme="majorHAnsi"/>
        </w:rPr>
        <w:t xml:space="preserve"> there was a faint band using the GFP antibody in th</w:t>
      </w:r>
      <w:r w:rsidR="00075445">
        <w:rPr>
          <w:rFonts w:asciiTheme="majorHAnsi" w:hAnsiTheme="majorHAnsi"/>
        </w:rPr>
        <w:t>e transfected cells (Figure 3.9</w:t>
      </w:r>
      <w:r w:rsidR="00091260">
        <w:rPr>
          <w:rFonts w:asciiTheme="majorHAnsi" w:hAnsiTheme="majorHAnsi"/>
        </w:rPr>
        <w:t>c). However, again the transfection efficiencies were below 10%</w:t>
      </w:r>
      <w:r>
        <w:rPr>
          <w:rFonts w:asciiTheme="majorHAnsi" w:hAnsiTheme="majorHAnsi"/>
        </w:rPr>
        <w:t>,</w:t>
      </w:r>
      <w:r w:rsidR="00091260">
        <w:rPr>
          <w:rFonts w:asciiTheme="majorHAnsi" w:hAnsiTheme="majorHAnsi"/>
        </w:rPr>
        <w:t xml:space="preserve"> and so this </w:t>
      </w:r>
      <w:r>
        <w:rPr>
          <w:rFonts w:asciiTheme="majorHAnsi" w:hAnsiTheme="majorHAnsi"/>
        </w:rPr>
        <w:t xml:space="preserve">low efficiency </w:t>
      </w:r>
      <w:r w:rsidR="00091260">
        <w:rPr>
          <w:rFonts w:asciiTheme="majorHAnsi" w:hAnsiTheme="majorHAnsi"/>
        </w:rPr>
        <w:t>would be affecting how much SRCAP protein was present in the samples and detectable by western blotting.</w:t>
      </w:r>
    </w:p>
    <w:p w14:paraId="342740D1" w14:textId="77777777" w:rsidR="00091260" w:rsidRDefault="00091260" w:rsidP="00091260">
      <w:pPr>
        <w:spacing w:line="360" w:lineRule="auto"/>
        <w:jc w:val="both"/>
        <w:rPr>
          <w:rFonts w:asciiTheme="majorHAnsi" w:hAnsiTheme="majorHAnsi"/>
        </w:rPr>
      </w:pPr>
    </w:p>
    <w:p w14:paraId="6D490B9B" w14:textId="205F5AF9" w:rsidR="00091260" w:rsidRPr="00733DE2" w:rsidRDefault="00091260" w:rsidP="00091260">
      <w:pPr>
        <w:spacing w:line="360" w:lineRule="auto"/>
        <w:jc w:val="both"/>
        <w:rPr>
          <w:rFonts w:asciiTheme="majorHAnsi" w:hAnsiTheme="majorHAnsi"/>
          <w:color w:val="FF0000"/>
        </w:rPr>
      </w:pPr>
      <w:r>
        <w:rPr>
          <w:rFonts w:asciiTheme="majorHAnsi" w:hAnsiTheme="majorHAnsi"/>
        </w:rPr>
        <w:t>Stably expressing YFP SRCAP cells were also generated in an attempt to circumvent the problems of low transient transfection efficiencies and to facilitate phen</w:t>
      </w:r>
      <w:r w:rsidR="00327AA2">
        <w:rPr>
          <w:rFonts w:asciiTheme="majorHAnsi" w:hAnsiTheme="majorHAnsi"/>
        </w:rPr>
        <w:t>otypic assessment of SRCAP over-</w:t>
      </w:r>
      <w:r>
        <w:rPr>
          <w:rFonts w:asciiTheme="majorHAnsi" w:hAnsiTheme="majorHAnsi"/>
        </w:rPr>
        <w:t>expression. However, following two weeks of antibiotic selection post-transfection</w:t>
      </w:r>
      <w:r w:rsidR="00A23FE7">
        <w:rPr>
          <w:rFonts w:asciiTheme="majorHAnsi" w:hAnsiTheme="majorHAnsi"/>
        </w:rPr>
        <w:t>,</w:t>
      </w:r>
      <w:r>
        <w:rPr>
          <w:rFonts w:asciiTheme="majorHAnsi" w:hAnsiTheme="majorHAnsi"/>
        </w:rPr>
        <w:t xml:space="preserve"> all YFP </w:t>
      </w:r>
      <w:r w:rsidR="00A23FE7">
        <w:rPr>
          <w:rFonts w:asciiTheme="majorHAnsi" w:hAnsiTheme="majorHAnsi"/>
        </w:rPr>
        <w:t>transfected</w:t>
      </w:r>
      <w:r>
        <w:rPr>
          <w:rFonts w:asciiTheme="majorHAnsi" w:hAnsiTheme="majorHAnsi"/>
        </w:rPr>
        <w:t xml:space="preserve"> SW480 cells were dead</w:t>
      </w:r>
      <w:r w:rsidR="00A23FE7">
        <w:rPr>
          <w:rFonts w:asciiTheme="majorHAnsi" w:hAnsiTheme="majorHAnsi"/>
        </w:rPr>
        <w:t xml:space="preserve"> and no colonies formed, suggesting that chronic over-</w:t>
      </w:r>
      <w:r>
        <w:rPr>
          <w:rFonts w:asciiTheme="majorHAnsi" w:hAnsiTheme="majorHAnsi"/>
        </w:rPr>
        <w:t xml:space="preserve">expression of SRCAP may be cytotoxic. Consistent with this notion, a significant increase in the sub-G1 population was observed overtime in </w:t>
      </w:r>
      <w:r w:rsidR="000B73F3">
        <w:rPr>
          <w:rFonts w:asciiTheme="majorHAnsi" w:hAnsiTheme="majorHAnsi"/>
        </w:rPr>
        <w:t xml:space="preserve">Hela </w:t>
      </w:r>
      <w:r>
        <w:rPr>
          <w:rFonts w:asciiTheme="majorHAnsi" w:hAnsiTheme="majorHAnsi"/>
        </w:rPr>
        <w:t xml:space="preserve">cells transfected with </w:t>
      </w:r>
      <w:r w:rsidRPr="00366748">
        <w:rPr>
          <w:rFonts w:asciiTheme="majorHAnsi" w:hAnsiTheme="majorHAnsi"/>
          <w:i/>
        </w:rPr>
        <w:t>SRCAP</w:t>
      </w:r>
      <w:r w:rsidR="00075445">
        <w:rPr>
          <w:rFonts w:asciiTheme="majorHAnsi" w:hAnsiTheme="majorHAnsi"/>
        </w:rPr>
        <w:t xml:space="preserve"> cDNA (Figure 3.10</w:t>
      </w:r>
      <w:r>
        <w:rPr>
          <w:rFonts w:asciiTheme="majorHAnsi" w:hAnsiTheme="majorHAnsi"/>
        </w:rPr>
        <w:t>), compared to ddH</w:t>
      </w:r>
      <w:r w:rsidRPr="000C25A9">
        <w:rPr>
          <w:rFonts w:asciiTheme="majorHAnsi" w:hAnsiTheme="majorHAnsi"/>
          <w:vertAlign w:val="subscript"/>
        </w:rPr>
        <w:t>2</w:t>
      </w:r>
      <w:r>
        <w:rPr>
          <w:rFonts w:asciiTheme="majorHAnsi" w:hAnsiTheme="majorHAnsi"/>
        </w:rPr>
        <w:t xml:space="preserve">O mock transfected control cells. This increase in cells in sub G1 then corresponded to a significant decrease in the percentage of </w:t>
      </w:r>
      <w:r w:rsidRPr="00366748">
        <w:rPr>
          <w:rFonts w:asciiTheme="majorHAnsi" w:hAnsiTheme="majorHAnsi"/>
          <w:i/>
        </w:rPr>
        <w:t>MYC</w:t>
      </w:r>
      <w:r>
        <w:rPr>
          <w:rFonts w:asciiTheme="majorHAnsi" w:hAnsiTheme="majorHAnsi"/>
        </w:rPr>
        <w:t xml:space="preserve"> or </w:t>
      </w:r>
      <w:r w:rsidRPr="00366748">
        <w:rPr>
          <w:rFonts w:asciiTheme="majorHAnsi" w:hAnsiTheme="majorHAnsi"/>
          <w:i/>
        </w:rPr>
        <w:t>YFP SRCAP</w:t>
      </w:r>
      <w:r>
        <w:rPr>
          <w:rFonts w:asciiTheme="majorHAnsi" w:hAnsiTheme="majorHAnsi"/>
        </w:rPr>
        <w:t xml:space="preserve"> transfected cells in G1. This would also poten</w:t>
      </w:r>
      <w:r w:rsidR="00327AA2">
        <w:rPr>
          <w:rFonts w:asciiTheme="majorHAnsi" w:hAnsiTheme="majorHAnsi"/>
        </w:rPr>
        <w:t>tially explain why protein over-</w:t>
      </w:r>
      <w:r>
        <w:rPr>
          <w:rFonts w:asciiTheme="majorHAnsi" w:hAnsiTheme="majorHAnsi"/>
        </w:rPr>
        <w:t xml:space="preserve">expression was not observed in transiently transfected cells even when </w:t>
      </w:r>
      <w:r w:rsidRPr="00366748">
        <w:rPr>
          <w:rFonts w:asciiTheme="majorHAnsi" w:hAnsiTheme="majorHAnsi"/>
          <w:i/>
        </w:rPr>
        <w:t>SRCAP</w:t>
      </w:r>
      <w:r>
        <w:rPr>
          <w:rFonts w:asciiTheme="majorHAnsi" w:hAnsiTheme="majorHAnsi"/>
        </w:rPr>
        <w:t xml:space="preserve"> mRNA levels were increased. </w:t>
      </w:r>
    </w:p>
    <w:p w14:paraId="264F3145" w14:textId="77777777" w:rsidR="00091260" w:rsidRDefault="00091260" w:rsidP="00091260">
      <w:pPr>
        <w:rPr>
          <w:rFonts w:asciiTheme="majorHAnsi" w:hAnsiTheme="majorHAnsi"/>
        </w:rPr>
      </w:pPr>
      <w:r>
        <w:rPr>
          <w:rFonts w:asciiTheme="majorHAnsi" w:hAnsiTheme="majorHAnsi"/>
        </w:rPr>
        <w:br w:type="page"/>
        <w:t xml:space="preserve"> </w:t>
      </w:r>
    </w:p>
    <w:p w14:paraId="4721F690" w14:textId="77777777" w:rsidR="00091260" w:rsidRDefault="00091260" w:rsidP="00091260">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952128" behindDoc="0" locked="0" layoutInCell="1" allowOverlap="1" wp14:anchorId="58646864" wp14:editId="1F05AB35">
                <wp:simplePos x="0" y="0"/>
                <wp:positionH relativeFrom="column">
                  <wp:posOffset>3200400</wp:posOffset>
                </wp:positionH>
                <wp:positionV relativeFrom="paragraph">
                  <wp:posOffset>-228600</wp:posOffset>
                </wp:positionV>
                <wp:extent cx="370840" cy="342900"/>
                <wp:effectExtent l="0" t="0" r="0" b="12700"/>
                <wp:wrapSquare wrapText="bothSides"/>
                <wp:docPr id="215" name="Text Box 215"/>
                <wp:cNvGraphicFramePr/>
                <a:graphic xmlns:a="http://schemas.openxmlformats.org/drawingml/2006/main">
                  <a:graphicData uri="http://schemas.microsoft.com/office/word/2010/wordprocessingShape">
                    <wps:wsp>
                      <wps:cNvSpPr txBox="1"/>
                      <wps:spPr>
                        <a:xfrm>
                          <a:off x="0" y="0"/>
                          <a:ext cx="37084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17331B" w14:textId="77777777" w:rsidR="00E82D3B" w:rsidRPr="001A1D03" w:rsidRDefault="00E82D3B" w:rsidP="00091260">
                            <w:pPr>
                              <w:rPr>
                                <w:b/>
                              </w:rPr>
                            </w:pPr>
                            <w:proofErr w:type="gramStart"/>
                            <w:r>
                              <w:rPr>
                                <w:b/>
                              </w:rPr>
                              <w:t>b</w:t>
                            </w:r>
                            <w:proofErr w:type="gramEnd"/>
                            <w:r w:rsidRPr="001A1D03">
                              <w:rPr>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5" o:spid="_x0000_s1054" type="#_x0000_t202" style="position:absolute;left:0;text-align:left;margin-left:252pt;margin-top:-17.95pt;width:29.2pt;height:27pt;z-index:251952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" filled="f" stroked="f">
                <v:textbox>
                  <w:txbxContent>
                    <w:p w14:paraId="4217331B" w14:textId="77777777" w:rsidR="000A1E0D" w:rsidRPr="001A1D03" w:rsidRDefault="000A1E0D" w:rsidP="00091260">
                      <w:pPr>
                        <w:rPr>
                          <w:b/>
                        </w:rPr>
                      </w:pPr>
                      <w:proofErr w:type="gramStart"/>
                      <w:r>
                        <w:rPr>
                          <w:b/>
                        </w:rPr>
                        <w:t>b</w:t>
                      </w:r>
                      <w:proofErr w:type="gramEnd"/>
                      <w:r w:rsidRPr="001A1D03">
                        <w:rPr>
                          <w:b/>
                        </w:rPr>
                        <w:t>.)</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1951104" behindDoc="0" locked="0" layoutInCell="1" allowOverlap="1" wp14:anchorId="3785D2CB" wp14:editId="23F4749D">
                <wp:simplePos x="0" y="0"/>
                <wp:positionH relativeFrom="column">
                  <wp:posOffset>-228600</wp:posOffset>
                </wp:positionH>
                <wp:positionV relativeFrom="paragraph">
                  <wp:posOffset>-228600</wp:posOffset>
                </wp:positionV>
                <wp:extent cx="362585" cy="342900"/>
                <wp:effectExtent l="0" t="0" r="0" b="12700"/>
                <wp:wrapSquare wrapText="bothSides"/>
                <wp:docPr id="98" name="Text Box 98"/>
                <wp:cNvGraphicFramePr/>
                <a:graphic xmlns:a="http://schemas.openxmlformats.org/drawingml/2006/main">
                  <a:graphicData uri="http://schemas.microsoft.com/office/word/2010/wordprocessingShape">
                    <wps:wsp>
                      <wps:cNvSpPr txBox="1"/>
                      <wps:spPr>
                        <a:xfrm>
                          <a:off x="0" y="0"/>
                          <a:ext cx="36258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106BFA" w14:textId="77777777" w:rsidR="00E82D3B" w:rsidRPr="001A1D03" w:rsidRDefault="00E82D3B" w:rsidP="00091260">
                            <w:pPr>
                              <w:rPr>
                                <w:b/>
                              </w:rPr>
                            </w:pPr>
                            <w:proofErr w:type="gramStart"/>
                            <w:r w:rsidRPr="001A1D03">
                              <w:rPr>
                                <w:b/>
                              </w:rPr>
                              <w:t>a</w:t>
                            </w:r>
                            <w:proofErr w:type="gramEnd"/>
                            <w:r w:rsidRPr="001A1D03">
                              <w:rPr>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8" o:spid="_x0000_s1055" type="#_x0000_t202" style="position:absolute;left:0;text-align:left;margin-left:-17.95pt;margin-top:-17.95pt;width:28.55pt;height:27pt;z-index:251951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" filled="f" stroked="f">
                <v:textbox>
                  <w:txbxContent>
                    <w:p w14:paraId="0F106BFA" w14:textId="77777777" w:rsidR="000A1E0D" w:rsidRPr="001A1D03" w:rsidRDefault="000A1E0D" w:rsidP="00091260">
                      <w:pPr>
                        <w:rPr>
                          <w:b/>
                        </w:rPr>
                      </w:pPr>
                      <w:proofErr w:type="gramStart"/>
                      <w:r w:rsidRPr="001A1D03">
                        <w:rPr>
                          <w:b/>
                        </w:rPr>
                        <w:t>a</w:t>
                      </w:r>
                      <w:proofErr w:type="gramEnd"/>
                      <w:r w:rsidRPr="001A1D03">
                        <w:rPr>
                          <w:b/>
                        </w:rPr>
                        <w:t>.)</w:t>
                      </w:r>
                    </w:p>
                  </w:txbxContent>
                </v:textbox>
                <w10:wrap type="square"/>
              </v:shape>
            </w:pict>
          </mc:Fallback>
        </mc:AlternateContent>
      </w:r>
      <w:r>
        <w:rPr>
          <w:rFonts w:asciiTheme="majorHAnsi" w:hAnsiTheme="majorHAnsi"/>
          <w:noProof/>
          <w:lang w:val="en-US"/>
        </w:rPr>
        <w:drawing>
          <wp:anchor distT="0" distB="0" distL="114300" distR="114300" simplePos="0" relativeHeight="251949056" behindDoc="0" locked="0" layoutInCell="1" allowOverlap="1" wp14:anchorId="742A6DB8" wp14:editId="1AC01F03">
            <wp:simplePos x="0" y="0"/>
            <wp:positionH relativeFrom="column">
              <wp:posOffset>3314700</wp:posOffset>
            </wp:positionH>
            <wp:positionV relativeFrom="paragraph">
              <wp:posOffset>342900</wp:posOffset>
            </wp:positionV>
            <wp:extent cx="2171700" cy="1736090"/>
            <wp:effectExtent l="0" t="0" r="12700" b="0"/>
            <wp:wrapTight wrapText="bothSides">
              <wp:wrapPolygon edited="0">
                <wp:start x="0" y="0"/>
                <wp:lineTo x="0" y="21173"/>
                <wp:lineTo x="21474" y="21173"/>
                <wp:lineTo x="21474" y="0"/>
                <wp:lineTo x="0" y="0"/>
              </wp:wrapPolygon>
            </wp:wrapTight>
            <wp:docPr id="219" name="Picture 219" descr="Macintosh HD:Users:ClairFellows:Desktop:Screen Shot 2017-08-31 at 12.0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irFellows:Desktop:Screen Shot 2017-08-31 at 12.00.3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71700" cy="1736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77A2">
        <w:rPr>
          <w:rFonts w:asciiTheme="majorHAnsi" w:hAnsiTheme="majorHAnsi"/>
          <w:noProof/>
          <w:lang w:val="en-US"/>
        </w:rPr>
        <w:drawing>
          <wp:anchor distT="0" distB="0" distL="114300" distR="114300" simplePos="0" relativeHeight="251950080" behindDoc="0" locked="0" layoutInCell="1" allowOverlap="1" wp14:anchorId="5772709C" wp14:editId="17A86275">
            <wp:simplePos x="0" y="0"/>
            <wp:positionH relativeFrom="column">
              <wp:posOffset>-114300</wp:posOffset>
            </wp:positionH>
            <wp:positionV relativeFrom="paragraph">
              <wp:posOffset>-114300</wp:posOffset>
            </wp:positionV>
            <wp:extent cx="3205480" cy="2514600"/>
            <wp:effectExtent l="0" t="0" r="0" b="0"/>
            <wp:wrapSquare wrapText="bothSides"/>
            <wp:docPr id="220" name="Chart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14:paraId="7CFCCBA0" w14:textId="77777777" w:rsidR="00091260" w:rsidRDefault="00091260" w:rsidP="00091260">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947008" behindDoc="0" locked="0" layoutInCell="1" allowOverlap="1" wp14:anchorId="0CA35E73" wp14:editId="6361D878">
                <wp:simplePos x="0" y="0"/>
                <wp:positionH relativeFrom="column">
                  <wp:posOffset>-3319780</wp:posOffset>
                </wp:positionH>
                <wp:positionV relativeFrom="paragraph">
                  <wp:posOffset>2496185</wp:posOffset>
                </wp:positionV>
                <wp:extent cx="5600700" cy="2950845"/>
                <wp:effectExtent l="0" t="0" r="0" b="0"/>
                <wp:wrapSquare wrapText="bothSides"/>
                <wp:docPr id="216" name="Text Box 216"/>
                <wp:cNvGraphicFramePr/>
                <a:graphic xmlns:a="http://schemas.openxmlformats.org/drawingml/2006/main">
                  <a:graphicData uri="http://schemas.microsoft.com/office/word/2010/wordprocessingShape">
                    <wps:wsp>
                      <wps:cNvSpPr txBox="1"/>
                      <wps:spPr>
                        <a:xfrm>
                          <a:off x="0" y="0"/>
                          <a:ext cx="5600700" cy="29508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0B0F25" w14:textId="38B3A8A1" w:rsidR="00E82D3B" w:rsidRPr="006777A2" w:rsidRDefault="00E82D3B" w:rsidP="00091260">
                            <w:pPr>
                              <w:rPr>
                                <w:b/>
                                <w:i/>
                                <w:sz w:val="22"/>
                              </w:rPr>
                            </w:pPr>
                            <w:r w:rsidRPr="006777A2">
                              <w:rPr>
                                <w:b/>
                                <w:i/>
                                <w:sz w:val="22"/>
                              </w:rPr>
                              <w:t>F</w:t>
                            </w:r>
                            <w:r>
                              <w:rPr>
                                <w:b/>
                                <w:i/>
                                <w:sz w:val="22"/>
                              </w:rPr>
                              <w:t>igure 3.9</w:t>
                            </w:r>
                            <w:r w:rsidRPr="006777A2">
                              <w:rPr>
                                <w:b/>
                                <w:i/>
                                <w:sz w:val="22"/>
                              </w:rPr>
                              <w:t xml:space="preserve"> XL10 </w:t>
                            </w:r>
                            <w:r>
                              <w:rPr>
                                <w:b/>
                                <w:i/>
                                <w:sz w:val="22"/>
                              </w:rPr>
                              <w:t>competent cell transformed</w:t>
                            </w:r>
                            <w:r w:rsidRPr="006777A2">
                              <w:rPr>
                                <w:b/>
                                <w:i/>
                                <w:sz w:val="22"/>
                              </w:rPr>
                              <w:t xml:space="preserve"> constructs show SRCAP over</w:t>
                            </w:r>
                            <w:r>
                              <w:rPr>
                                <w:b/>
                                <w:i/>
                                <w:sz w:val="22"/>
                              </w:rPr>
                              <w:t>-</w:t>
                            </w:r>
                            <w:r w:rsidRPr="006777A2">
                              <w:rPr>
                                <w:b/>
                                <w:i/>
                                <w:sz w:val="22"/>
                              </w:rPr>
                              <w:t>expression</w:t>
                            </w:r>
                          </w:p>
                          <w:p w14:paraId="3750B032" w14:textId="60406F12" w:rsidR="00E82D3B" w:rsidRDefault="00E82D3B" w:rsidP="00091260">
                            <w:pPr>
                              <w:jc w:val="both"/>
                              <w:rPr>
                                <w:i/>
                                <w:sz w:val="22"/>
                              </w:rPr>
                            </w:pPr>
                            <w:r>
                              <w:rPr>
                                <w:i/>
                                <w:sz w:val="22"/>
                              </w:rPr>
                              <w:t xml:space="preserve">a.) </w:t>
                            </w:r>
                            <w:r w:rsidRPr="00C64B10">
                              <w:rPr>
                                <w:i/>
                                <w:sz w:val="22"/>
                              </w:rPr>
                              <w:t>Hela cells were transfected for 48hrs with 1</w:t>
                            </w:r>
                            <w:r w:rsidRPr="00C64B10">
                              <w:rPr>
                                <w:rFonts w:ascii="Cambria" w:hAnsi="Cambria"/>
                                <w:i/>
                                <w:sz w:val="22"/>
                              </w:rPr>
                              <w:t>μ</w:t>
                            </w:r>
                            <w:r w:rsidRPr="00C64B10">
                              <w:rPr>
                                <w:i/>
                                <w:sz w:val="22"/>
                              </w:rPr>
                              <w:t xml:space="preserve">g of YFP, Myc or Flag SRCAP construct that had been transformed in XL10 competent cells. RNA was extracted and Taqman PCR undertaken to given the SRCAP expression levels. One repeat with three internal repeat values, to give the mean and </w:t>
                            </w:r>
                            <w:r>
                              <w:rPr>
                                <w:i/>
                                <w:sz w:val="22"/>
                              </w:rPr>
                              <w:t xml:space="preserve">positive and negative error, </w:t>
                            </w:r>
                            <w:r w:rsidRPr="00C64B10">
                              <w:rPr>
                                <w:i/>
                                <w:sz w:val="22"/>
                              </w:rPr>
                              <w:t>plotted above, showed that Myc and YFP SRCAP were</w:t>
                            </w:r>
                            <w:r>
                              <w:rPr>
                                <w:i/>
                                <w:sz w:val="22"/>
                              </w:rPr>
                              <w:t xml:space="preserve"> over-expressing SRCAP, but FLAG</w:t>
                            </w:r>
                            <w:r w:rsidRPr="00C64B10">
                              <w:rPr>
                                <w:i/>
                                <w:sz w:val="22"/>
                              </w:rPr>
                              <w:t xml:space="preserve"> SRCAP wasn’t</w:t>
                            </w:r>
                            <w:r>
                              <w:rPr>
                                <w:i/>
                                <w:sz w:val="22"/>
                              </w:rPr>
                              <w:t>, compared to untransfected control (UNT), n=1</w:t>
                            </w:r>
                            <w:r w:rsidRPr="00C64B10">
                              <w:rPr>
                                <w:i/>
                                <w:sz w:val="22"/>
                              </w:rPr>
                              <w:t>.</w:t>
                            </w:r>
                          </w:p>
                          <w:p w14:paraId="2D843905" w14:textId="5F25759C" w:rsidR="00E82D3B" w:rsidRDefault="00E82D3B" w:rsidP="00091260">
                            <w:pPr>
                              <w:jc w:val="both"/>
                              <w:rPr>
                                <w:i/>
                                <w:sz w:val="22"/>
                              </w:rPr>
                            </w:pPr>
                            <w:r>
                              <w:rPr>
                                <w:i/>
                                <w:sz w:val="22"/>
                              </w:rPr>
                              <w:t>b.) YFP SRCAP transfected Hela cells, as in a., were fixed on coverslips and the transfected cells detected using the GFP antibody. Transfected cell populations (YFP SRCAP) show nuclear localisation of YFP SRCAP, compared to the undetected untransfected (UNT) cell population.</w:t>
                            </w:r>
                          </w:p>
                          <w:p w14:paraId="448C39E6" w14:textId="3BBA6A22" w:rsidR="00E82D3B" w:rsidRPr="00C64B10" w:rsidRDefault="00E82D3B" w:rsidP="00091260">
                            <w:pPr>
                              <w:jc w:val="both"/>
                              <w:rPr>
                                <w:i/>
                                <w:sz w:val="22"/>
                              </w:rPr>
                            </w:pPr>
                            <w:r>
                              <w:rPr>
                                <w:i/>
                                <w:sz w:val="22"/>
                              </w:rPr>
                              <w:t xml:space="preserve">c.) HEK293 cells were transfected with </w:t>
                            </w:r>
                            <w:r w:rsidRPr="00C64B10">
                              <w:rPr>
                                <w:i/>
                                <w:sz w:val="22"/>
                              </w:rPr>
                              <w:t>1</w:t>
                            </w:r>
                            <w:r w:rsidRPr="00C64B10">
                              <w:rPr>
                                <w:rFonts w:ascii="Cambria" w:hAnsi="Cambria"/>
                                <w:i/>
                                <w:sz w:val="22"/>
                              </w:rPr>
                              <w:t>μ</w:t>
                            </w:r>
                            <w:r>
                              <w:rPr>
                                <w:i/>
                                <w:sz w:val="22"/>
                              </w:rPr>
                              <w:t>g of YFP, Myc or FLAG</w:t>
                            </w:r>
                            <w:r w:rsidRPr="00C64B10">
                              <w:rPr>
                                <w:i/>
                                <w:sz w:val="22"/>
                              </w:rPr>
                              <w:t xml:space="preserve"> SRCAP</w:t>
                            </w:r>
                            <w:r>
                              <w:rPr>
                                <w:i/>
                                <w:sz w:val="22"/>
                              </w:rPr>
                              <w:t xml:space="preserve"> construct for 48hrs, then lysed for protein. 100</w:t>
                            </w:r>
                            <w:r w:rsidRPr="00C64B10">
                              <w:rPr>
                                <w:rFonts w:ascii="Cambria" w:hAnsi="Cambria"/>
                                <w:i/>
                                <w:sz w:val="22"/>
                              </w:rPr>
                              <w:t>μ</w:t>
                            </w:r>
                            <w:r w:rsidRPr="00C64B10">
                              <w:rPr>
                                <w:i/>
                                <w:sz w:val="22"/>
                              </w:rPr>
                              <w:t>g</w:t>
                            </w:r>
                            <w:r>
                              <w:rPr>
                                <w:i/>
                                <w:sz w:val="22"/>
                              </w:rPr>
                              <w:t xml:space="preserve"> of protein for each sample was loaded onto a precast gel and Myc, Flag (unconjugated), GFP or SRCAP (Santa Cruz) antibodies used. The Myc, Flag and SRCAP blots showed no bands higher than 191kDa in transfected or untransfected (UNT) lanes. </w:t>
                            </w:r>
                            <w:proofErr w:type="gramStart"/>
                            <w:r>
                              <w:rPr>
                                <w:i/>
                                <w:sz w:val="22"/>
                              </w:rPr>
                              <w:t>There</w:t>
                            </w:r>
                            <w:proofErr w:type="gramEnd"/>
                            <w:r>
                              <w:rPr>
                                <w:i/>
                                <w:sz w:val="22"/>
                              </w:rPr>
                              <w:t xml:space="preserve"> looks like the possibility of a band at 370kDa in the YFP SRCAP transfected lane when probed with GFP antibody.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6" o:spid="_x0000_s1056" type="#_x0000_t202" style="position:absolute;left:0;text-align:left;margin-left:-261.35pt;margin-top:196.55pt;width:441pt;height:232.3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1j9idQCAAAb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" filled="f" stroked="f">
                <v:textbox>
                  <w:txbxContent>
                    <w:p w14:paraId="040B0F25" w14:textId="38B3A8A1" w:rsidR="000A1E0D" w:rsidRPr="006777A2" w:rsidRDefault="000A1E0D" w:rsidP="00091260">
                      <w:pPr>
                        <w:rPr>
                          <w:b/>
                          <w:i/>
                          <w:sz w:val="22"/>
                        </w:rPr>
                      </w:pPr>
                      <w:r w:rsidRPr="006777A2">
                        <w:rPr>
                          <w:b/>
                          <w:i/>
                          <w:sz w:val="22"/>
                        </w:rPr>
                        <w:t>F</w:t>
                      </w:r>
                      <w:r>
                        <w:rPr>
                          <w:b/>
                          <w:i/>
                          <w:sz w:val="22"/>
                        </w:rPr>
                        <w:t>igure 3.9</w:t>
                      </w:r>
                      <w:r w:rsidRPr="006777A2">
                        <w:rPr>
                          <w:b/>
                          <w:i/>
                          <w:sz w:val="22"/>
                        </w:rPr>
                        <w:t xml:space="preserve"> XL10 </w:t>
                      </w:r>
                      <w:r>
                        <w:rPr>
                          <w:b/>
                          <w:i/>
                          <w:sz w:val="22"/>
                        </w:rPr>
                        <w:t>competent cell transformed</w:t>
                      </w:r>
                      <w:r w:rsidRPr="006777A2">
                        <w:rPr>
                          <w:b/>
                          <w:i/>
                          <w:sz w:val="22"/>
                        </w:rPr>
                        <w:t xml:space="preserve"> constructs show SRCAP over</w:t>
                      </w:r>
                      <w:r>
                        <w:rPr>
                          <w:b/>
                          <w:i/>
                          <w:sz w:val="22"/>
                        </w:rPr>
                        <w:t>-</w:t>
                      </w:r>
                      <w:r w:rsidRPr="006777A2">
                        <w:rPr>
                          <w:b/>
                          <w:i/>
                          <w:sz w:val="22"/>
                        </w:rPr>
                        <w:t>expression</w:t>
                      </w:r>
                    </w:p>
                    <w:p w14:paraId="3750B032" w14:textId="60406F12" w:rsidR="000A1E0D" w:rsidRDefault="000A1E0D" w:rsidP="00091260">
                      <w:pPr>
                        <w:jc w:val="both"/>
                        <w:rPr>
                          <w:i/>
                          <w:sz w:val="22"/>
                        </w:rPr>
                      </w:pPr>
                      <w:r>
                        <w:rPr>
                          <w:i/>
                          <w:sz w:val="22"/>
                        </w:rPr>
                        <w:t xml:space="preserve">a.) </w:t>
                      </w:r>
                      <w:r w:rsidRPr="00C64B10">
                        <w:rPr>
                          <w:i/>
                          <w:sz w:val="22"/>
                        </w:rPr>
                        <w:t>Hela cells were transfected for 48hrs with 1</w:t>
                      </w:r>
                      <w:r w:rsidRPr="00C64B10">
                        <w:rPr>
                          <w:rFonts w:ascii="Cambria" w:hAnsi="Cambria"/>
                          <w:i/>
                          <w:sz w:val="22"/>
                        </w:rPr>
                        <w:t>μ</w:t>
                      </w:r>
                      <w:r w:rsidRPr="00C64B10">
                        <w:rPr>
                          <w:i/>
                          <w:sz w:val="22"/>
                        </w:rPr>
                        <w:t xml:space="preserve">g of YFP, Myc or Flag SRCAP construct that had been transformed in XL10 competent cells. RNA was extracted and Taqman PCR undertaken to given the SRCAP expression levels. One repeat with three internal repeat values, to give the mean and </w:t>
                      </w:r>
                      <w:r>
                        <w:rPr>
                          <w:i/>
                          <w:sz w:val="22"/>
                        </w:rPr>
                        <w:t xml:space="preserve">positive and negative error, </w:t>
                      </w:r>
                      <w:r w:rsidRPr="00C64B10">
                        <w:rPr>
                          <w:i/>
                          <w:sz w:val="22"/>
                        </w:rPr>
                        <w:t>plotted above, showed that Myc and YFP SRCAP were</w:t>
                      </w:r>
                      <w:r>
                        <w:rPr>
                          <w:i/>
                          <w:sz w:val="22"/>
                        </w:rPr>
                        <w:t xml:space="preserve"> over-expressing SRCAP, but FLAG</w:t>
                      </w:r>
                      <w:r w:rsidRPr="00C64B10">
                        <w:rPr>
                          <w:i/>
                          <w:sz w:val="22"/>
                        </w:rPr>
                        <w:t xml:space="preserve"> SRCAP wasn’t</w:t>
                      </w:r>
                      <w:r>
                        <w:rPr>
                          <w:i/>
                          <w:sz w:val="22"/>
                        </w:rPr>
                        <w:t>, compared to untransfected control (UNT), n=1</w:t>
                      </w:r>
                      <w:r w:rsidRPr="00C64B10">
                        <w:rPr>
                          <w:i/>
                          <w:sz w:val="22"/>
                        </w:rPr>
                        <w:t>.</w:t>
                      </w:r>
                    </w:p>
                    <w:p w14:paraId="2D843905" w14:textId="5F25759C" w:rsidR="000A1E0D" w:rsidRDefault="000A1E0D" w:rsidP="00091260">
                      <w:pPr>
                        <w:jc w:val="both"/>
                        <w:rPr>
                          <w:i/>
                          <w:sz w:val="22"/>
                        </w:rPr>
                      </w:pPr>
                      <w:r>
                        <w:rPr>
                          <w:i/>
                          <w:sz w:val="22"/>
                        </w:rPr>
                        <w:t>b.) YFP SRCAP transfected Hela cells, as in a., were fixed on coverslips and the transfected cells detected using the GFP antibody. Transfected cell populations (YFP SRCAP) show nuclear localisation of YFP SRCAP, compared to the undetected untransfected (UNT) cell population.</w:t>
                      </w:r>
                    </w:p>
                    <w:p w14:paraId="448C39E6" w14:textId="3BBA6A22" w:rsidR="000A1E0D" w:rsidRPr="00C64B10" w:rsidRDefault="000A1E0D" w:rsidP="00091260">
                      <w:pPr>
                        <w:jc w:val="both"/>
                        <w:rPr>
                          <w:i/>
                          <w:sz w:val="22"/>
                        </w:rPr>
                      </w:pPr>
                      <w:r>
                        <w:rPr>
                          <w:i/>
                          <w:sz w:val="22"/>
                        </w:rPr>
                        <w:t xml:space="preserve">c.) HEK293 cells were transfected with </w:t>
                      </w:r>
                      <w:r w:rsidRPr="00C64B10">
                        <w:rPr>
                          <w:i/>
                          <w:sz w:val="22"/>
                        </w:rPr>
                        <w:t>1</w:t>
                      </w:r>
                      <w:r w:rsidRPr="00C64B10">
                        <w:rPr>
                          <w:rFonts w:ascii="Cambria" w:hAnsi="Cambria"/>
                          <w:i/>
                          <w:sz w:val="22"/>
                        </w:rPr>
                        <w:t>μ</w:t>
                      </w:r>
                      <w:r>
                        <w:rPr>
                          <w:i/>
                          <w:sz w:val="22"/>
                        </w:rPr>
                        <w:t>g of YFP, Myc or FLAG</w:t>
                      </w:r>
                      <w:r w:rsidRPr="00C64B10">
                        <w:rPr>
                          <w:i/>
                          <w:sz w:val="22"/>
                        </w:rPr>
                        <w:t xml:space="preserve"> SRCAP</w:t>
                      </w:r>
                      <w:r>
                        <w:rPr>
                          <w:i/>
                          <w:sz w:val="22"/>
                        </w:rPr>
                        <w:t xml:space="preserve"> construct for 48hrs, then lysed for protein. 100</w:t>
                      </w:r>
                      <w:r w:rsidRPr="00C64B10">
                        <w:rPr>
                          <w:rFonts w:ascii="Cambria" w:hAnsi="Cambria"/>
                          <w:i/>
                          <w:sz w:val="22"/>
                        </w:rPr>
                        <w:t>μ</w:t>
                      </w:r>
                      <w:r w:rsidRPr="00C64B10">
                        <w:rPr>
                          <w:i/>
                          <w:sz w:val="22"/>
                        </w:rPr>
                        <w:t>g</w:t>
                      </w:r>
                      <w:r>
                        <w:rPr>
                          <w:i/>
                          <w:sz w:val="22"/>
                        </w:rPr>
                        <w:t xml:space="preserve"> of protein for each sample was loaded onto a precast gel and Myc, Flag (unconjugated), GFP or SRCAP (Santa Cruz) antibodies used. The Myc, Flag and SRCAP blots showed no bands higher than 191kDa in transfected or untransfected (UNT) lanes. </w:t>
                      </w:r>
                      <w:proofErr w:type="gramStart"/>
                      <w:r>
                        <w:rPr>
                          <w:i/>
                          <w:sz w:val="22"/>
                        </w:rPr>
                        <w:t>There</w:t>
                      </w:r>
                      <w:proofErr w:type="gramEnd"/>
                      <w:r>
                        <w:rPr>
                          <w:i/>
                          <w:sz w:val="22"/>
                        </w:rPr>
                        <w:t xml:space="preserve"> looks like the possibility of a band at 370kDa in the YFP SRCAP transfected lane when probed with GFP antibody.</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1954176" behindDoc="0" locked="0" layoutInCell="1" allowOverlap="1" wp14:anchorId="0EE4E9C4" wp14:editId="7EE8BD85">
                <wp:simplePos x="0" y="0"/>
                <wp:positionH relativeFrom="column">
                  <wp:posOffset>-2519680</wp:posOffset>
                </wp:positionH>
                <wp:positionV relativeFrom="paragraph">
                  <wp:posOffset>603885</wp:posOffset>
                </wp:positionV>
                <wp:extent cx="352425" cy="342900"/>
                <wp:effectExtent l="0" t="0" r="0" b="12700"/>
                <wp:wrapNone/>
                <wp:docPr id="217" name="Text Box 217"/>
                <wp:cNvGraphicFramePr/>
                <a:graphic xmlns:a="http://schemas.openxmlformats.org/drawingml/2006/main">
                  <a:graphicData uri="http://schemas.microsoft.com/office/word/2010/wordprocessingShape">
                    <wps:wsp>
                      <wps:cNvSpPr txBox="1"/>
                      <wps:spPr>
                        <a:xfrm>
                          <a:off x="0" y="0"/>
                          <a:ext cx="352425"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961887" w14:textId="77777777" w:rsidR="00E82D3B" w:rsidRPr="001A1D03" w:rsidRDefault="00E82D3B" w:rsidP="00091260">
                            <w:pPr>
                              <w:rPr>
                                <w:b/>
                              </w:rPr>
                            </w:pPr>
                            <w:proofErr w:type="gramStart"/>
                            <w:r>
                              <w:rPr>
                                <w:b/>
                              </w:rPr>
                              <w:t>c</w:t>
                            </w:r>
                            <w:proofErr w:type="gramEnd"/>
                            <w:r w:rsidRPr="001A1D03">
                              <w:rPr>
                                <w:b/>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7" o:spid="_x0000_s1057" type="#_x0000_t202" style="position:absolute;left:0;text-align:left;margin-left:-198.35pt;margin-top:47.55pt;width:27.75pt;height:27pt;z-index:251954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" filled="f" stroked="f">
                <v:textbox>
                  <w:txbxContent>
                    <w:p w14:paraId="52961887" w14:textId="77777777" w:rsidR="000A1E0D" w:rsidRPr="001A1D03" w:rsidRDefault="000A1E0D" w:rsidP="00091260">
                      <w:pPr>
                        <w:rPr>
                          <w:b/>
                        </w:rPr>
                      </w:pPr>
                      <w:proofErr w:type="gramStart"/>
                      <w:r>
                        <w:rPr>
                          <w:b/>
                        </w:rPr>
                        <w:t>c</w:t>
                      </w:r>
                      <w:proofErr w:type="gramEnd"/>
                      <w:r w:rsidRPr="001A1D03">
                        <w:rPr>
                          <w:b/>
                        </w:rPr>
                        <w:t>.)</w:t>
                      </w:r>
                    </w:p>
                  </w:txbxContent>
                </v:textbox>
              </v:shape>
            </w:pict>
          </mc:Fallback>
        </mc:AlternateContent>
      </w:r>
      <w:r>
        <w:rPr>
          <w:rFonts w:asciiTheme="majorHAnsi" w:hAnsiTheme="majorHAnsi"/>
          <w:noProof/>
          <w:lang w:val="en-US"/>
        </w:rPr>
        <w:drawing>
          <wp:anchor distT="0" distB="0" distL="114300" distR="114300" simplePos="0" relativeHeight="251953152" behindDoc="0" locked="0" layoutInCell="1" allowOverlap="1" wp14:anchorId="41BB95CC" wp14:editId="546E7DF6">
            <wp:simplePos x="0" y="0"/>
            <wp:positionH relativeFrom="column">
              <wp:posOffset>-2519680</wp:posOffset>
            </wp:positionH>
            <wp:positionV relativeFrom="paragraph">
              <wp:posOffset>489585</wp:posOffset>
            </wp:positionV>
            <wp:extent cx="4114800" cy="2072005"/>
            <wp:effectExtent l="0" t="0" r="0" b="10795"/>
            <wp:wrapTopAndBottom/>
            <wp:docPr id="221" name="Picture 221" descr="Macintosh HD:Users:ClairFellows:Desktop:Screen Shot 2017-08-31 at 13.1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lairFellows:Desktop:Screen Shot 2017-08-31 at 13.18.4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14800" cy="2072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CA6C0" w14:textId="77777777" w:rsidR="00091260" w:rsidRDefault="00091260" w:rsidP="00091260">
      <w:pPr>
        <w:spacing w:line="360" w:lineRule="auto"/>
        <w:jc w:val="both"/>
        <w:rPr>
          <w:rFonts w:asciiTheme="majorHAnsi" w:hAnsiTheme="majorHAnsi"/>
        </w:rPr>
      </w:pPr>
    </w:p>
    <w:p w14:paraId="2B35BD56" w14:textId="77777777" w:rsidR="00091260" w:rsidRDefault="00091260" w:rsidP="00091260">
      <w:pPr>
        <w:spacing w:line="360" w:lineRule="auto"/>
        <w:jc w:val="both"/>
        <w:rPr>
          <w:rFonts w:asciiTheme="majorHAnsi" w:hAnsiTheme="majorHAnsi"/>
        </w:rPr>
      </w:pPr>
    </w:p>
    <w:p w14:paraId="47AD5ED0" w14:textId="77777777" w:rsidR="00091260" w:rsidRDefault="00091260" w:rsidP="00091260">
      <w:pPr>
        <w:spacing w:line="360" w:lineRule="auto"/>
        <w:jc w:val="both"/>
        <w:rPr>
          <w:rFonts w:asciiTheme="majorHAnsi" w:hAnsiTheme="majorHAnsi"/>
          <w:sz w:val="28"/>
          <w:u w:val="single"/>
        </w:rPr>
      </w:pPr>
    </w:p>
    <w:p w14:paraId="611B31D8" w14:textId="3737F88B" w:rsidR="00091260" w:rsidRDefault="007E117F" w:rsidP="00091260">
      <w:pPr>
        <w:spacing w:line="360" w:lineRule="auto"/>
        <w:jc w:val="both"/>
        <w:rPr>
          <w:rFonts w:asciiTheme="majorHAnsi" w:hAnsiTheme="majorHAnsi"/>
          <w:sz w:val="28"/>
          <w:u w:val="single"/>
        </w:rPr>
      </w:pPr>
      <w:r>
        <w:rPr>
          <w:rFonts w:asciiTheme="majorHAnsi" w:hAnsiTheme="majorHAnsi"/>
          <w:noProof/>
          <w:sz w:val="28"/>
          <w:u w:val="single"/>
          <w:lang w:val="en-US"/>
        </w:rPr>
        <mc:AlternateContent>
          <mc:Choice Requires="wps">
            <w:drawing>
              <wp:anchor distT="0" distB="0" distL="114300" distR="114300" simplePos="0" relativeHeight="251948032" behindDoc="0" locked="0" layoutInCell="1" allowOverlap="1" wp14:anchorId="571E2BCB" wp14:editId="0A8251F5">
                <wp:simplePos x="0" y="0"/>
                <wp:positionH relativeFrom="column">
                  <wp:posOffset>-114300</wp:posOffset>
                </wp:positionH>
                <wp:positionV relativeFrom="paragraph">
                  <wp:posOffset>4800600</wp:posOffset>
                </wp:positionV>
                <wp:extent cx="5600700" cy="2057400"/>
                <wp:effectExtent l="0" t="0" r="0" b="0"/>
                <wp:wrapSquare wrapText="bothSides"/>
                <wp:docPr id="218" name="Text Box 218"/>
                <wp:cNvGraphicFramePr/>
                <a:graphic xmlns:a="http://schemas.openxmlformats.org/drawingml/2006/main">
                  <a:graphicData uri="http://schemas.microsoft.com/office/word/2010/wordprocessingShape">
                    <wps:wsp>
                      <wps:cNvSpPr txBox="1"/>
                      <wps:spPr>
                        <a:xfrm>
                          <a:off x="0" y="0"/>
                          <a:ext cx="56007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433CB6" w14:textId="4BC55051" w:rsidR="00E82D3B" w:rsidRDefault="00E82D3B" w:rsidP="00091260">
                            <w:pPr>
                              <w:jc w:val="both"/>
                              <w:rPr>
                                <w:b/>
                                <w:i/>
                                <w:sz w:val="22"/>
                              </w:rPr>
                            </w:pPr>
                            <w:r w:rsidRPr="00AB427C">
                              <w:rPr>
                                <w:b/>
                                <w:i/>
                                <w:sz w:val="22"/>
                              </w:rPr>
                              <w:t>F</w:t>
                            </w:r>
                            <w:r>
                              <w:rPr>
                                <w:b/>
                                <w:i/>
                                <w:sz w:val="22"/>
                              </w:rPr>
                              <w:t>igure 3.10</w:t>
                            </w:r>
                            <w:r w:rsidRPr="00AB427C">
                              <w:rPr>
                                <w:b/>
                                <w:i/>
                                <w:sz w:val="22"/>
                              </w:rPr>
                              <w:t xml:space="preserve"> Cell Cycle profiles show increased sub G1 population in transfected samples. </w:t>
                            </w:r>
                          </w:p>
                          <w:p w14:paraId="477D14A4" w14:textId="0DCEBF97" w:rsidR="00E82D3B" w:rsidRPr="00272507" w:rsidRDefault="00E82D3B" w:rsidP="00091260">
                            <w:pPr>
                              <w:jc w:val="both"/>
                              <w:rPr>
                                <w:b/>
                                <w:i/>
                                <w:sz w:val="22"/>
                              </w:rPr>
                            </w:pPr>
                            <w:r>
                              <w:rPr>
                                <w:i/>
                                <w:sz w:val="22"/>
                              </w:rPr>
                              <w:t>Hela cells were transfected with 1</w:t>
                            </w:r>
                            <w:r>
                              <w:rPr>
                                <w:rFonts w:ascii="Cambria" w:hAnsi="Cambria"/>
                                <w:i/>
                                <w:sz w:val="22"/>
                              </w:rPr>
                              <w:t>μg of YFP or MYC SRCAP construct or ddH</w:t>
                            </w:r>
                            <w:r w:rsidRPr="00F85FA7">
                              <w:rPr>
                                <w:rFonts w:ascii="Cambria" w:hAnsi="Cambria"/>
                                <w:i/>
                                <w:sz w:val="22"/>
                                <w:vertAlign w:val="subscript"/>
                              </w:rPr>
                              <w:t>2</w:t>
                            </w:r>
                            <w:r>
                              <w:rPr>
                                <w:rFonts w:ascii="Cambria" w:hAnsi="Cambria"/>
                                <w:i/>
                                <w:sz w:val="22"/>
                              </w:rPr>
                              <w:t>O as an untransfected control (UNT) and cells fixed and stained with PI 24, 48 and 72hrs after transfection. The samples were assessed for cell cycle profiles on the FACS Calibur via the gating protocol specified in the methods. Over time there was an increase in the sub G1 phase of the cell cycle in the YFP and MYC transfected samples compared to the untransfected control. This correlated with a decrease in the percentage of cells entering G1. As assessed u</w:t>
                            </w:r>
                            <w:r w:rsidRPr="00272507">
                              <w:rPr>
                                <w:rFonts w:ascii="Cambria" w:hAnsi="Cambria"/>
                                <w:i/>
                                <w:sz w:val="22"/>
                              </w:rPr>
                              <w:t xml:space="preserve">sing a </w:t>
                            </w:r>
                            <w:r>
                              <w:rPr>
                                <w:rFonts w:ascii="Cambria" w:hAnsi="Cambria"/>
                                <w:i/>
                                <w:sz w:val="22"/>
                              </w:rPr>
                              <w:t xml:space="preserve">Kruskal-Wallis non-parametric test and comparing YFP or MYC to untransfected cells (UNT) individually at each phase of the cell cycle, with the significance stars of the comparison shown on the graphs of median and range </w:t>
                            </w:r>
                            <w:r>
                              <w:rPr>
                                <w:i/>
                                <w:iCs/>
                                <w:sz w:val="22"/>
                                <w:szCs w:val="22"/>
                              </w:rPr>
                              <w:t xml:space="preserve">(* = p≤0.05). </w:t>
                            </w:r>
                            <w:r>
                              <w:rPr>
                                <w:rFonts w:ascii="Cambria" w:hAnsi="Cambria"/>
                                <w:i/>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8" o:spid="_x0000_s1058" type="#_x0000_t202" style="position:absolute;left:0;text-align:left;margin-left:-8.95pt;margin-top:378pt;width:441pt;height:162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" filled="f" stroked="f">
                <v:textbox>
                  <w:txbxContent>
                    <w:p w14:paraId="6D433CB6" w14:textId="4BC55051" w:rsidR="000A1E0D" w:rsidRDefault="000A1E0D" w:rsidP="00091260">
                      <w:pPr>
                        <w:jc w:val="both"/>
                        <w:rPr>
                          <w:b/>
                          <w:i/>
                          <w:sz w:val="22"/>
                        </w:rPr>
                      </w:pPr>
                      <w:r w:rsidRPr="00AB427C">
                        <w:rPr>
                          <w:b/>
                          <w:i/>
                          <w:sz w:val="22"/>
                        </w:rPr>
                        <w:t>F</w:t>
                      </w:r>
                      <w:r>
                        <w:rPr>
                          <w:b/>
                          <w:i/>
                          <w:sz w:val="22"/>
                        </w:rPr>
                        <w:t>igure 3.10</w:t>
                      </w:r>
                      <w:r w:rsidRPr="00AB427C">
                        <w:rPr>
                          <w:b/>
                          <w:i/>
                          <w:sz w:val="22"/>
                        </w:rPr>
                        <w:t xml:space="preserve"> Cell Cycle profiles show increased sub G1 population in transfected samples. </w:t>
                      </w:r>
                    </w:p>
                    <w:p w14:paraId="477D14A4" w14:textId="0DCEBF97" w:rsidR="000A1E0D" w:rsidRPr="00272507" w:rsidRDefault="000A1E0D" w:rsidP="00091260">
                      <w:pPr>
                        <w:jc w:val="both"/>
                        <w:rPr>
                          <w:b/>
                          <w:i/>
                          <w:sz w:val="22"/>
                        </w:rPr>
                      </w:pPr>
                      <w:r>
                        <w:rPr>
                          <w:i/>
                          <w:sz w:val="22"/>
                        </w:rPr>
                        <w:t>Hela cells were transfected with 1</w:t>
                      </w:r>
                      <w:r>
                        <w:rPr>
                          <w:rFonts w:ascii="Cambria" w:hAnsi="Cambria"/>
                          <w:i/>
                          <w:sz w:val="22"/>
                        </w:rPr>
                        <w:t>μg of YFP or MYC SRCAP construct or ddH</w:t>
                      </w:r>
                      <w:r w:rsidRPr="00F85FA7">
                        <w:rPr>
                          <w:rFonts w:ascii="Cambria" w:hAnsi="Cambria"/>
                          <w:i/>
                          <w:sz w:val="22"/>
                          <w:vertAlign w:val="subscript"/>
                        </w:rPr>
                        <w:t>2</w:t>
                      </w:r>
                      <w:r>
                        <w:rPr>
                          <w:rFonts w:ascii="Cambria" w:hAnsi="Cambria"/>
                          <w:i/>
                          <w:sz w:val="22"/>
                        </w:rPr>
                        <w:t>O as an untransfected control (UNT) and cells fixed and stained with PI 24, 48 and 72hrs after transfection. The samples were assessed for cell cycle profiles on the FACS Calibur via the gating protocol specified in the methods. Over time there was an increase in the sub G1 phase of the cell cycle in the YFP and MYC transfected samples compared to the untransfected control. This correlated with a decrease in the percentage of cells entering G1. As assessed u</w:t>
                      </w:r>
                      <w:r w:rsidRPr="00272507">
                        <w:rPr>
                          <w:rFonts w:ascii="Cambria" w:hAnsi="Cambria"/>
                          <w:i/>
                          <w:sz w:val="22"/>
                        </w:rPr>
                        <w:t xml:space="preserve">sing a </w:t>
                      </w:r>
                      <w:r>
                        <w:rPr>
                          <w:rFonts w:ascii="Cambria" w:hAnsi="Cambria"/>
                          <w:i/>
                          <w:sz w:val="22"/>
                        </w:rPr>
                        <w:t xml:space="preserve">Kruskal-Wallis non-parametric test and comparing YFP or MYC to untransfected cells (UNT) individually at each phase of the cell cycle, with the significance stars of the comparison shown on the graphs of median and range </w:t>
                      </w:r>
                      <w:r>
                        <w:rPr>
                          <w:i/>
                          <w:iCs/>
                          <w:sz w:val="22"/>
                          <w:szCs w:val="22"/>
                        </w:rPr>
                        <w:t xml:space="preserve">(* = p≤0.05). </w:t>
                      </w:r>
                      <w:r>
                        <w:rPr>
                          <w:rFonts w:ascii="Cambria" w:hAnsi="Cambria"/>
                          <w:i/>
                          <w:sz w:val="22"/>
                        </w:rPr>
                        <w:t xml:space="preserve"> </w:t>
                      </w:r>
                    </w:p>
                  </w:txbxContent>
                </v:textbox>
                <w10:wrap type="square"/>
              </v:shape>
            </w:pict>
          </mc:Fallback>
        </mc:AlternateContent>
      </w:r>
      <w:r>
        <w:rPr>
          <w:rFonts w:asciiTheme="majorHAnsi" w:hAnsiTheme="majorHAnsi"/>
          <w:noProof/>
          <w:sz w:val="28"/>
          <w:u w:val="single"/>
          <w:lang w:val="en-US"/>
        </w:rPr>
        <w:drawing>
          <wp:anchor distT="0" distB="0" distL="114300" distR="114300" simplePos="0" relativeHeight="252237824" behindDoc="0" locked="0" layoutInCell="1" allowOverlap="1" wp14:anchorId="732D6E5B" wp14:editId="7946B1CD">
            <wp:simplePos x="0" y="0"/>
            <wp:positionH relativeFrom="column">
              <wp:posOffset>1905</wp:posOffset>
            </wp:positionH>
            <wp:positionV relativeFrom="paragraph">
              <wp:posOffset>0</wp:posOffset>
            </wp:positionV>
            <wp:extent cx="5457825" cy="4572000"/>
            <wp:effectExtent l="0" t="0" r="3175" b="0"/>
            <wp:wrapSquare wrapText="bothSides"/>
            <wp:docPr id="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5782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5414F7" w14:textId="50B72592" w:rsidR="00091260" w:rsidRDefault="00091260" w:rsidP="00091260">
      <w:pPr>
        <w:spacing w:line="360" w:lineRule="auto"/>
        <w:jc w:val="both"/>
        <w:rPr>
          <w:rFonts w:asciiTheme="majorHAnsi" w:hAnsiTheme="majorHAnsi"/>
          <w:sz w:val="28"/>
          <w:u w:val="single"/>
        </w:rPr>
      </w:pPr>
      <w:r>
        <w:rPr>
          <w:rFonts w:asciiTheme="majorHAnsi" w:hAnsiTheme="majorHAnsi"/>
          <w:sz w:val="28"/>
          <w:u w:val="single"/>
        </w:rPr>
        <w:t>3</w:t>
      </w:r>
      <w:r w:rsidRPr="00454C11">
        <w:rPr>
          <w:rFonts w:asciiTheme="majorHAnsi" w:hAnsiTheme="majorHAnsi"/>
          <w:sz w:val="28"/>
          <w:u w:val="single"/>
        </w:rPr>
        <w:t>.5 Tetracycl</w:t>
      </w:r>
      <w:r w:rsidR="00B41C0C">
        <w:rPr>
          <w:rFonts w:asciiTheme="majorHAnsi" w:hAnsiTheme="majorHAnsi"/>
          <w:sz w:val="28"/>
          <w:u w:val="single"/>
        </w:rPr>
        <w:t>ine induced Flp-In expression</w:t>
      </w:r>
      <w:r w:rsidRPr="00454C11">
        <w:rPr>
          <w:rFonts w:asciiTheme="majorHAnsi" w:hAnsiTheme="majorHAnsi"/>
          <w:sz w:val="28"/>
          <w:u w:val="single"/>
        </w:rPr>
        <w:t xml:space="preserve"> system</w:t>
      </w:r>
      <w:r w:rsidR="00323D15">
        <w:rPr>
          <w:rFonts w:asciiTheme="majorHAnsi" w:hAnsiTheme="majorHAnsi"/>
          <w:sz w:val="28"/>
          <w:u w:val="single"/>
        </w:rPr>
        <w:t xml:space="preserve"> shows a small increase in over-</w:t>
      </w:r>
      <w:r w:rsidRPr="00454C11">
        <w:rPr>
          <w:rFonts w:asciiTheme="majorHAnsi" w:hAnsiTheme="majorHAnsi"/>
          <w:sz w:val="28"/>
          <w:u w:val="single"/>
        </w:rPr>
        <w:t>expression</w:t>
      </w:r>
      <w:r>
        <w:rPr>
          <w:rFonts w:asciiTheme="majorHAnsi" w:hAnsiTheme="majorHAnsi"/>
          <w:sz w:val="28"/>
          <w:u w:val="single"/>
        </w:rPr>
        <w:t xml:space="preserve"> of SRCAP</w:t>
      </w:r>
    </w:p>
    <w:p w14:paraId="13B53E58" w14:textId="77777777" w:rsidR="00091260" w:rsidRPr="00454C11" w:rsidRDefault="00091260" w:rsidP="00091260">
      <w:pPr>
        <w:spacing w:line="360" w:lineRule="auto"/>
        <w:jc w:val="both"/>
        <w:rPr>
          <w:rFonts w:asciiTheme="majorHAnsi" w:hAnsiTheme="majorHAnsi"/>
          <w:sz w:val="28"/>
          <w:u w:val="single"/>
        </w:rPr>
      </w:pPr>
    </w:p>
    <w:p w14:paraId="132821F0" w14:textId="0BFD4195" w:rsidR="00091260" w:rsidRDefault="00091260" w:rsidP="00091260">
      <w:pPr>
        <w:spacing w:line="360" w:lineRule="auto"/>
        <w:jc w:val="both"/>
        <w:rPr>
          <w:rFonts w:asciiTheme="majorHAnsi" w:hAnsiTheme="majorHAnsi"/>
        </w:rPr>
      </w:pPr>
      <w:r>
        <w:rPr>
          <w:rFonts w:asciiTheme="majorHAnsi" w:hAnsiTheme="majorHAnsi"/>
        </w:rPr>
        <w:t>In order to try to over</w:t>
      </w:r>
      <w:r w:rsidR="00A23FE7">
        <w:rPr>
          <w:rFonts w:asciiTheme="majorHAnsi" w:hAnsiTheme="majorHAnsi"/>
        </w:rPr>
        <w:t>-</w:t>
      </w:r>
      <w:r>
        <w:rPr>
          <w:rFonts w:asciiTheme="majorHAnsi" w:hAnsiTheme="majorHAnsi"/>
        </w:rPr>
        <w:t>express SRCAP more robustly, a tetracycline (Tet) inducible model was established</w:t>
      </w:r>
      <w:r w:rsidR="00A23FE7">
        <w:rPr>
          <w:rFonts w:asciiTheme="majorHAnsi" w:hAnsiTheme="majorHAnsi"/>
        </w:rPr>
        <w:t xml:space="preserve"> in order</w:t>
      </w:r>
      <w:r>
        <w:rPr>
          <w:rFonts w:asciiTheme="majorHAnsi" w:hAnsiTheme="majorHAnsi"/>
        </w:rPr>
        <w:t xml:space="preserve"> to minimise any inherent cytotoxicity associated with </w:t>
      </w:r>
      <w:r w:rsidR="00323D15">
        <w:rPr>
          <w:rFonts w:asciiTheme="majorHAnsi" w:hAnsiTheme="majorHAnsi"/>
        </w:rPr>
        <w:t>chronic/constitutive SRCAP over-</w:t>
      </w:r>
      <w:r>
        <w:rPr>
          <w:rFonts w:asciiTheme="majorHAnsi" w:hAnsiTheme="majorHAnsi"/>
        </w:rPr>
        <w:t xml:space="preserve">expression. The </w:t>
      </w:r>
      <w:r w:rsidRPr="000A1F7B">
        <w:rPr>
          <w:rFonts w:asciiTheme="majorHAnsi" w:hAnsiTheme="majorHAnsi"/>
          <w:i/>
        </w:rPr>
        <w:t>YFP SRCAP</w:t>
      </w:r>
      <w:r>
        <w:rPr>
          <w:rFonts w:asciiTheme="majorHAnsi" w:hAnsiTheme="majorHAnsi"/>
        </w:rPr>
        <w:t xml:space="preserve"> construct (which was already </w:t>
      </w:r>
      <w:r w:rsidR="00B41C0C">
        <w:rPr>
          <w:rFonts w:asciiTheme="majorHAnsi" w:hAnsiTheme="majorHAnsi"/>
        </w:rPr>
        <w:t>contained within a Flp-In</w:t>
      </w:r>
      <w:r>
        <w:rPr>
          <w:rFonts w:asciiTheme="majorHAnsi" w:hAnsiTheme="majorHAnsi"/>
        </w:rPr>
        <w:t xml:space="preserve"> compatible construct) was transfected into</w:t>
      </w:r>
      <w:r w:rsidR="00A23FE7">
        <w:rPr>
          <w:rFonts w:asciiTheme="majorHAnsi" w:hAnsiTheme="majorHAnsi"/>
        </w:rPr>
        <w:t xml:space="preserve"> the HCT116 Flp-In cell line.</w:t>
      </w:r>
      <w:r>
        <w:rPr>
          <w:rFonts w:asciiTheme="majorHAnsi" w:hAnsiTheme="majorHAnsi"/>
        </w:rPr>
        <w:t xml:space="preserve"> </w:t>
      </w:r>
      <w:r w:rsidR="00A23FE7">
        <w:rPr>
          <w:rFonts w:asciiTheme="majorHAnsi" w:hAnsiTheme="majorHAnsi"/>
        </w:rPr>
        <w:t>Cells were</w:t>
      </w:r>
      <w:r>
        <w:rPr>
          <w:rFonts w:asciiTheme="majorHAnsi" w:hAnsiTheme="majorHAnsi"/>
        </w:rPr>
        <w:t xml:space="preserve"> placed in antibiotic selection media until colonies began to form on the transfected dish but not on the control untransfected dish. The colonies were combined into one population ready for tetracycline addition and SRCAP expression level testing. Firstly</w:t>
      </w:r>
      <w:r w:rsidR="00B41C0C">
        <w:rPr>
          <w:rFonts w:asciiTheme="majorHAnsi" w:hAnsiTheme="majorHAnsi"/>
        </w:rPr>
        <w:t>,</w:t>
      </w:r>
      <w:r>
        <w:rPr>
          <w:rFonts w:asciiTheme="majorHAnsi" w:hAnsiTheme="majorHAnsi"/>
        </w:rPr>
        <w:t xml:space="preserve"> protein expression was established via probing</w:t>
      </w:r>
      <w:r w:rsidR="00075445">
        <w:rPr>
          <w:rFonts w:asciiTheme="majorHAnsi" w:hAnsiTheme="majorHAnsi"/>
        </w:rPr>
        <w:t xml:space="preserve"> for YFP. Figure 3.11</w:t>
      </w:r>
      <w:r>
        <w:rPr>
          <w:rFonts w:asciiTheme="majorHAnsi" w:hAnsiTheme="majorHAnsi"/>
        </w:rPr>
        <w:t xml:space="preserve">a shows a band in the Tet induced lane after 72hrs above the 191kDa marker. This was thought to be around the correct weight of 370kDa (SRCAP </w:t>
      </w:r>
      <w:r w:rsidRPr="00C10748">
        <w:rPr>
          <w:rFonts w:asciiTheme="majorHAnsi" w:hAnsiTheme="majorHAnsi"/>
        </w:rPr>
        <w:t>~</w:t>
      </w:r>
      <w:r>
        <w:rPr>
          <w:rFonts w:asciiTheme="majorHAnsi" w:hAnsiTheme="majorHAnsi"/>
        </w:rPr>
        <w:t>340kDa plus the YFP tag) indicating that at 72hrs po</w:t>
      </w:r>
      <w:r w:rsidR="00323D15">
        <w:rPr>
          <w:rFonts w:asciiTheme="majorHAnsi" w:hAnsiTheme="majorHAnsi"/>
        </w:rPr>
        <w:t>st Tet induction there was over-</w:t>
      </w:r>
      <w:r>
        <w:rPr>
          <w:rFonts w:asciiTheme="majorHAnsi" w:hAnsiTheme="majorHAnsi"/>
        </w:rPr>
        <w:t xml:space="preserve">expression of YFP SRCAP compared with </w:t>
      </w:r>
      <w:r w:rsidR="00B41C0C">
        <w:rPr>
          <w:rFonts w:asciiTheme="majorHAnsi" w:hAnsiTheme="majorHAnsi"/>
        </w:rPr>
        <w:t xml:space="preserve">the parental </w:t>
      </w:r>
      <w:r>
        <w:rPr>
          <w:rFonts w:asciiTheme="majorHAnsi" w:hAnsiTheme="majorHAnsi"/>
        </w:rPr>
        <w:t>HCT116 F</w:t>
      </w:r>
      <w:r w:rsidR="00B41C0C">
        <w:rPr>
          <w:rFonts w:asciiTheme="majorHAnsi" w:hAnsiTheme="majorHAnsi"/>
        </w:rPr>
        <w:t>lp-In</w:t>
      </w:r>
      <w:r>
        <w:rPr>
          <w:rFonts w:asciiTheme="majorHAnsi" w:hAnsiTheme="majorHAnsi"/>
        </w:rPr>
        <w:t xml:space="preserve"> cells</w:t>
      </w:r>
      <w:r w:rsidR="00B41C0C">
        <w:rPr>
          <w:rFonts w:asciiTheme="majorHAnsi" w:hAnsiTheme="majorHAnsi"/>
        </w:rPr>
        <w:t>, as well as</w:t>
      </w:r>
      <w:r>
        <w:rPr>
          <w:rFonts w:asciiTheme="majorHAnsi" w:hAnsiTheme="majorHAnsi"/>
        </w:rPr>
        <w:t xml:space="preserve"> untransfected </w:t>
      </w:r>
      <w:r w:rsidR="00B41C0C">
        <w:rPr>
          <w:rFonts w:asciiTheme="majorHAnsi" w:hAnsiTheme="majorHAnsi"/>
        </w:rPr>
        <w:t xml:space="preserve">cell populations </w:t>
      </w:r>
      <w:r>
        <w:rPr>
          <w:rFonts w:asciiTheme="majorHAnsi" w:hAnsiTheme="majorHAnsi"/>
        </w:rPr>
        <w:t xml:space="preserve">and the </w:t>
      </w:r>
      <w:r w:rsidR="00B41C0C">
        <w:rPr>
          <w:rFonts w:asciiTheme="majorHAnsi" w:hAnsiTheme="majorHAnsi"/>
        </w:rPr>
        <w:t xml:space="preserve">un-induced </w:t>
      </w:r>
      <w:r>
        <w:rPr>
          <w:rFonts w:asciiTheme="majorHAnsi" w:hAnsiTheme="majorHAnsi"/>
        </w:rPr>
        <w:t>transfected</w:t>
      </w:r>
      <w:r w:rsidR="00B41C0C">
        <w:rPr>
          <w:rFonts w:asciiTheme="majorHAnsi" w:hAnsiTheme="majorHAnsi"/>
        </w:rPr>
        <w:t xml:space="preserve"> control cell population</w:t>
      </w:r>
      <w:r>
        <w:rPr>
          <w:rFonts w:asciiTheme="majorHAnsi" w:hAnsiTheme="majorHAnsi"/>
        </w:rPr>
        <w:t>. However, this protein over</w:t>
      </w:r>
      <w:r w:rsidR="00323D15">
        <w:rPr>
          <w:rFonts w:asciiTheme="majorHAnsi" w:hAnsiTheme="majorHAnsi"/>
        </w:rPr>
        <w:t>-</w:t>
      </w:r>
      <w:r>
        <w:rPr>
          <w:rFonts w:asciiTheme="majorHAnsi" w:hAnsiTheme="majorHAnsi"/>
        </w:rPr>
        <w:t>expression was not seen at 24 or 48hrs, or at later time points of 96</w:t>
      </w:r>
      <w:r w:rsidR="00574CA5">
        <w:rPr>
          <w:rFonts w:asciiTheme="majorHAnsi" w:hAnsiTheme="majorHAnsi"/>
        </w:rPr>
        <w:t xml:space="preserve"> and 120hrs post-Tet induction</w:t>
      </w:r>
      <w:r>
        <w:rPr>
          <w:rFonts w:asciiTheme="majorHAnsi" w:hAnsiTheme="majorHAnsi"/>
        </w:rPr>
        <w:t xml:space="preserve">. Additionally, Taqman PCR assessment of the </w:t>
      </w:r>
      <w:r w:rsidRPr="000A1F7B">
        <w:rPr>
          <w:rFonts w:asciiTheme="majorHAnsi" w:hAnsiTheme="majorHAnsi"/>
          <w:i/>
        </w:rPr>
        <w:t>SRCAP</w:t>
      </w:r>
      <w:r w:rsidR="00323D15">
        <w:rPr>
          <w:rFonts w:asciiTheme="majorHAnsi" w:hAnsiTheme="majorHAnsi"/>
        </w:rPr>
        <w:t xml:space="preserve"> mRNA levels did not show over-</w:t>
      </w:r>
      <w:r>
        <w:rPr>
          <w:rFonts w:asciiTheme="majorHAnsi" w:hAnsiTheme="majorHAnsi"/>
        </w:rPr>
        <w:t xml:space="preserve">expression of </w:t>
      </w:r>
      <w:r w:rsidRPr="000A1F7B">
        <w:rPr>
          <w:rFonts w:asciiTheme="majorHAnsi" w:hAnsiTheme="majorHAnsi"/>
          <w:i/>
        </w:rPr>
        <w:t>SRCAP</w:t>
      </w:r>
      <w:r>
        <w:rPr>
          <w:rFonts w:asciiTheme="majorHAnsi" w:hAnsiTheme="majorHAnsi"/>
        </w:rPr>
        <w:t xml:space="preserve"> at any</w:t>
      </w:r>
      <w:r w:rsidR="00075445">
        <w:rPr>
          <w:rFonts w:asciiTheme="majorHAnsi" w:hAnsiTheme="majorHAnsi"/>
        </w:rPr>
        <w:t xml:space="preserve"> of the time points (Figure 3.11</w:t>
      </w:r>
      <w:r>
        <w:rPr>
          <w:rFonts w:asciiTheme="majorHAnsi" w:hAnsiTheme="majorHAnsi"/>
        </w:rPr>
        <w:t>b).</w:t>
      </w:r>
      <w:r w:rsidR="0063559E">
        <w:rPr>
          <w:rFonts w:asciiTheme="majorHAnsi" w:hAnsiTheme="majorHAnsi"/>
        </w:rPr>
        <w:t xml:space="preserve"> There did appear to be a trend</w:t>
      </w:r>
      <w:r>
        <w:rPr>
          <w:rFonts w:asciiTheme="majorHAnsi" w:hAnsiTheme="majorHAnsi"/>
        </w:rPr>
        <w:t xml:space="preserve"> towards an increase in </w:t>
      </w:r>
      <w:r w:rsidRPr="000A1F7B">
        <w:rPr>
          <w:rFonts w:asciiTheme="majorHAnsi" w:hAnsiTheme="majorHAnsi"/>
          <w:i/>
        </w:rPr>
        <w:t>SRCAP</w:t>
      </w:r>
      <w:r>
        <w:rPr>
          <w:rFonts w:asciiTheme="majorHAnsi" w:hAnsiTheme="majorHAnsi"/>
        </w:rPr>
        <w:t xml:space="preserve"> expression in the Tet induced cells at 24 and 72hrs, however, the repeats were very variable</w:t>
      </w:r>
      <w:r w:rsidR="00B41C0C">
        <w:rPr>
          <w:rFonts w:asciiTheme="majorHAnsi" w:hAnsiTheme="majorHAnsi"/>
        </w:rPr>
        <w:t xml:space="preserve"> and so no conclusive conclusions could be made from these data</w:t>
      </w:r>
      <w:r>
        <w:rPr>
          <w:rFonts w:asciiTheme="majorHAnsi" w:hAnsiTheme="majorHAnsi"/>
        </w:rPr>
        <w:t xml:space="preserve">. </w:t>
      </w:r>
    </w:p>
    <w:p w14:paraId="05AAB17C" w14:textId="77777777" w:rsidR="00091260" w:rsidRDefault="00091260" w:rsidP="00091260">
      <w:pPr>
        <w:spacing w:line="360" w:lineRule="auto"/>
        <w:jc w:val="both"/>
        <w:rPr>
          <w:rFonts w:asciiTheme="majorHAnsi" w:hAnsiTheme="majorHAnsi"/>
        </w:rPr>
      </w:pPr>
    </w:p>
    <w:p w14:paraId="0067857E" w14:textId="77777777" w:rsidR="00091260" w:rsidRDefault="00091260" w:rsidP="00091260">
      <w:pPr>
        <w:spacing w:line="360" w:lineRule="auto"/>
        <w:jc w:val="both"/>
        <w:rPr>
          <w:rFonts w:ascii="Calibri" w:hAnsi="Calibri"/>
        </w:rPr>
      </w:pPr>
    </w:p>
    <w:p w14:paraId="1E78E308" w14:textId="77777777" w:rsidR="00091260" w:rsidRDefault="00091260" w:rsidP="00091260">
      <w:pPr>
        <w:spacing w:line="360" w:lineRule="auto"/>
        <w:jc w:val="both"/>
        <w:rPr>
          <w:rFonts w:ascii="Calibri" w:hAnsi="Calibri"/>
        </w:rPr>
      </w:pPr>
    </w:p>
    <w:p w14:paraId="1EAA5C7D" w14:textId="77777777" w:rsidR="00091260" w:rsidRDefault="00091260" w:rsidP="00091260">
      <w:pPr>
        <w:spacing w:line="360" w:lineRule="auto"/>
        <w:jc w:val="both"/>
        <w:rPr>
          <w:rFonts w:ascii="Calibri" w:hAnsi="Calibri"/>
        </w:rPr>
      </w:pPr>
    </w:p>
    <w:p w14:paraId="08AADA37" w14:textId="77777777" w:rsidR="00091260" w:rsidRDefault="00091260" w:rsidP="00091260">
      <w:pPr>
        <w:spacing w:line="360" w:lineRule="auto"/>
        <w:jc w:val="both"/>
        <w:rPr>
          <w:rFonts w:ascii="Calibri" w:hAnsi="Calibri"/>
        </w:rPr>
      </w:pPr>
    </w:p>
    <w:p w14:paraId="1D82294E" w14:textId="77777777" w:rsidR="00091260" w:rsidRPr="00E25553" w:rsidRDefault="00091260" w:rsidP="00091260">
      <w:pPr>
        <w:spacing w:line="360" w:lineRule="auto"/>
        <w:jc w:val="both"/>
        <w:rPr>
          <w:rFonts w:asciiTheme="majorHAnsi" w:hAnsiTheme="majorHAnsi"/>
        </w:rPr>
      </w:pPr>
    </w:p>
    <w:p w14:paraId="25774717" w14:textId="2BFD35A1" w:rsidR="00091260" w:rsidRDefault="00AD6B5F" w:rsidP="00091260">
      <w:pPr>
        <w:spacing w:line="360" w:lineRule="auto"/>
        <w:jc w:val="both"/>
        <w:rPr>
          <w:rFonts w:asciiTheme="majorHAnsi" w:hAnsiTheme="majorHAnsi"/>
          <w:sz w:val="28"/>
          <w:szCs w:val="28"/>
          <w:u w:val="single"/>
        </w:rPr>
      </w:pPr>
      <w:r w:rsidRPr="00AD6B5F">
        <w:t xml:space="preserve"> </w:t>
      </w:r>
    </w:p>
    <w:p w14:paraId="2F158F86" w14:textId="3D9B82AD" w:rsidR="00574CA5" w:rsidRDefault="00574CA5">
      <w:pPr>
        <w:rPr>
          <w:rFonts w:ascii="Calibri" w:hAnsi="Calibri"/>
        </w:rPr>
      </w:pPr>
      <w:r>
        <w:rPr>
          <w:rFonts w:asciiTheme="majorHAnsi" w:hAnsiTheme="majorHAnsi"/>
          <w:noProof/>
          <w:sz w:val="28"/>
          <w:szCs w:val="28"/>
          <w:u w:val="single"/>
          <w:lang w:val="en-US"/>
        </w:rPr>
        <mc:AlternateContent>
          <mc:Choice Requires="wps">
            <w:drawing>
              <wp:anchor distT="0" distB="0" distL="114300" distR="114300" simplePos="0" relativeHeight="251961344" behindDoc="0" locked="0" layoutInCell="1" allowOverlap="1" wp14:anchorId="70AFF2DA" wp14:editId="78E891B0">
                <wp:simplePos x="0" y="0"/>
                <wp:positionH relativeFrom="column">
                  <wp:posOffset>457200</wp:posOffset>
                </wp:positionH>
                <wp:positionV relativeFrom="paragraph">
                  <wp:posOffset>2514600</wp:posOffset>
                </wp:positionV>
                <wp:extent cx="571500" cy="457200"/>
                <wp:effectExtent l="0" t="0" r="0" b="0"/>
                <wp:wrapSquare wrapText="bothSides"/>
                <wp:docPr id="225" name="Text Box 225"/>
                <wp:cNvGraphicFramePr/>
                <a:graphic xmlns:a="http://schemas.openxmlformats.org/drawingml/2006/main">
                  <a:graphicData uri="http://schemas.microsoft.com/office/word/2010/wordprocessingShape">
                    <wps:wsp>
                      <wps:cNvSpPr txBox="1"/>
                      <wps:spPr>
                        <a:xfrm>
                          <a:off x="0" y="0"/>
                          <a:ext cx="571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5C114B" w14:textId="77777777" w:rsidR="00E82D3B" w:rsidRPr="00221954" w:rsidRDefault="00E82D3B" w:rsidP="00091260">
                            <w:pPr>
                              <w:rPr>
                                <w:b/>
                              </w:rPr>
                            </w:pPr>
                            <w:proofErr w:type="gramStart"/>
                            <w:r>
                              <w:rPr>
                                <w:b/>
                              </w:rPr>
                              <w:t>b</w:t>
                            </w:r>
                            <w:proofErr w:type="gramEnd"/>
                            <w:r w:rsidRPr="00221954">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25" o:spid="_x0000_s1059" type="#_x0000_t202" style="position:absolute;margin-left:36pt;margin-top:198pt;width:45pt;height:36pt;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" filled="f" stroked="f">
                <v:textbox>
                  <w:txbxContent>
                    <w:p w14:paraId="405C114B" w14:textId="77777777" w:rsidR="000A1E0D" w:rsidRPr="00221954" w:rsidRDefault="000A1E0D" w:rsidP="00091260">
                      <w:pPr>
                        <w:rPr>
                          <w:b/>
                        </w:rPr>
                      </w:pPr>
                      <w:proofErr w:type="gramStart"/>
                      <w:r>
                        <w:rPr>
                          <w:b/>
                        </w:rPr>
                        <w:t>b</w:t>
                      </w:r>
                      <w:proofErr w:type="gramEnd"/>
                      <w:r w:rsidRPr="00221954">
                        <w:rPr>
                          <w:b/>
                        </w:rPr>
                        <w:t>.)</w:t>
                      </w:r>
                    </w:p>
                  </w:txbxContent>
                </v:textbox>
                <w10:wrap type="square"/>
              </v:shape>
            </w:pict>
          </mc:Fallback>
        </mc:AlternateContent>
      </w:r>
      <w:r>
        <w:rPr>
          <w:rFonts w:asciiTheme="majorHAnsi" w:hAnsiTheme="majorHAnsi"/>
          <w:noProof/>
          <w:sz w:val="28"/>
          <w:szCs w:val="28"/>
          <w:u w:val="single"/>
          <w:lang w:val="en-US"/>
        </w:rPr>
        <w:drawing>
          <wp:anchor distT="0" distB="0" distL="114300" distR="114300" simplePos="0" relativeHeight="252254208" behindDoc="0" locked="0" layoutInCell="1" allowOverlap="1" wp14:anchorId="30867E6B" wp14:editId="70BB0C67">
            <wp:simplePos x="0" y="0"/>
            <wp:positionH relativeFrom="column">
              <wp:posOffset>1028700</wp:posOffset>
            </wp:positionH>
            <wp:positionV relativeFrom="paragraph">
              <wp:posOffset>2628900</wp:posOffset>
            </wp:positionV>
            <wp:extent cx="3227070" cy="2286000"/>
            <wp:effectExtent l="0" t="0" r="0" b="0"/>
            <wp:wrapSquare wrapText="bothSides"/>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707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szCs w:val="28"/>
          <w:u w:val="single"/>
          <w:lang w:val="en-US"/>
        </w:rPr>
        <mc:AlternateContent>
          <mc:Choice Requires="wps">
            <w:drawing>
              <wp:anchor distT="0" distB="0" distL="114300" distR="114300" simplePos="0" relativeHeight="252279808" behindDoc="0" locked="0" layoutInCell="1" allowOverlap="1" wp14:anchorId="0442EFB4" wp14:editId="497DFA1E">
                <wp:simplePos x="0" y="0"/>
                <wp:positionH relativeFrom="column">
                  <wp:posOffset>457200</wp:posOffset>
                </wp:positionH>
                <wp:positionV relativeFrom="paragraph">
                  <wp:posOffset>0</wp:posOffset>
                </wp:positionV>
                <wp:extent cx="571500" cy="457200"/>
                <wp:effectExtent l="0" t="0" r="0" b="0"/>
                <wp:wrapSquare wrapText="bothSides"/>
                <wp:docPr id="224" name="Text Box 224"/>
                <wp:cNvGraphicFramePr/>
                <a:graphic xmlns:a="http://schemas.openxmlformats.org/drawingml/2006/main">
                  <a:graphicData uri="http://schemas.microsoft.com/office/word/2010/wordprocessingShape">
                    <wps:wsp>
                      <wps:cNvSpPr txBox="1"/>
                      <wps:spPr>
                        <a:xfrm>
                          <a:off x="0" y="0"/>
                          <a:ext cx="571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60FABD" w14:textId="77777777" w:rsidR="00E82D3B" w:rsidRPr="00221954" w:rsidRDefault="00E82D3B" w:rsidP="00091260">
                            <w:pPr>
                              <w:rPr>
                                <w:b/>
                              </w:rPr>
                            </w:pPr>
                            <w:proofErr w:type="gramStart"/>
                            <w:r w:rsidRPr="00221954">
                              <w:rPr>
                                <w:b/>
                              </w:rPr>
                              <w:t>a</w:t>
                            </w:r>
                            <w:proofErr w:type="gramEnd"/>
                            <w:r w:rsidRPr="00221954">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24" o:spid="_x0000_s1060" type="#_x0000_t202" style="position:absolute;margin-left:36pt;margin-top:0;width:45pt;height:36pt;z-index:25227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h3fNECAAAZ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" filled="f" stroked="f">
                <v:textbox>
                  <w:txbxContent>
                    <w:p w14:paraId="3960FABD" w14:textId="77777777" w:rsidR="000A1E0D" w:rsidRPr="00221954" w:rsidRDefault="000A1E0D" w:rsidP="00091260">
                      <w:pPr>
                        <w:rPr>
                          <w:b/>
                        </w:rPr>
                      </w:pPr>
                      <w:proofErr w:type="gramStart"/>
                      <w:r w:rsidRPr="00221954">
                        <w:rPr>
                          <w:b/>
                        </w:rPr>
                        <w:t>a</w:t>
                      </w:r>
                      <w:proofErr w:type="gramEnd"/>
                      <w:r w:rsidRPr="00221954">
                        <w:rPr>
                          <w:b/>
                        </w:rPr>
                        <w:t>.)</w:t>
                      </w:r>
                    </w:p>
                  </w:txbxContent>
                </v:textbox>
                <w10:wrap type="square"/>
              </v:shape>
            </w:pict>
          </mc:Fallback>
        </mc:AlternateContent>
      </w:r>
      <w:r>
        <w:rPr>
          <w:noProof/>
          <w:lang w:val="en-US"/>
        </w:rPr>
        <w:drawing>
          <wp:anchor distT="0" distB="0" distL="114300" distR="114300" simplePos="0" relativeHeight="252278784" behindDoc="0" locked="0" layoutInCell="1" allowOverlap="1" wp14:anchorId="29DE0AA5" wp14:editId="79D2FF28">
            <wp:simplePos x="0" y="0"/>
            <wp:positionH relativeFrom="column">
              <wp:posOffset>571500</wp:posOffset>
            </wp:positionH>
            <wp:positionV relativeFrom="paragraph">
              <wp:posOffset>114300</wp:posOffset>
            </wp:positionV>
            <wp:extent cx="4310380" cy="2327910"/>
            <wp:effectExtent l="0" t="0" r="7620" b="8890"/>
            <wp:wrapSquare wrapText="bothSides"/>
            <wp:docPr id="6" name="Picture 6" descr="Macintosh HD:Users:ClairFellows:Desktop:Screen Shot 2018-04-06 at 15.4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8-04-06 at 15.44.0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10380" cy="2327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szCs w:val="28"/>
          <w:u w:val="single"/>
          <w:lang w:val="en-US"/>
        </w:rPr>
        <mc:AlternateContent>
          <mc:Choice Requires="wps">
            <w:drawing>
              <wp:anchor distT="0" distB="0" distL="114300" distR="114300" simplePos="0" relativeHeight="251957248" behindDoc="0" locked="0" layoutInCell="1" allowOverlap="1" wp14:anchorId="4B6D8169" wp14:editId="11F10795">
                <wp:simplePos x="0" y="0"/>
                <wp:positionH relativeFrom="column">
                  <wp:posOffset>0</wp:posOffset>
                </wp:positionH>
                <wp:positionV relativeFrom="paragraph">
                  <wp:posOffset>5143500</wp:posOffset>
                </wp:positionV>
                <wp:extent cx="5372100" cy="2400300"/>
                <wp:effectExtent l="0" t="0" r="0" b="12700"/>
                <wp:wrapSquare wrapText="bothSides"/>
                <wp:docPr id="223" name="Text Box 223"/>
                <wp:cNvGraphicFramePr/>
                <a:graphic xmlns:a="http://schemas.openxmlformats.org/drawingml/2006/main">
                  <a:graphicData uri="http://schemas.microsoft.com/office/word/2010/wordprocessingShape">
                    <wps:wsp>
                      <wps:cNvSpPr txBox="1"/>
                      <wps:spPr>
                        <a:xfrm>
                          <a:off x="0" y="0"/>
                          <a:ext cx="53721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AC3C1D" w14:textId="2EC11B91" w:rsidR="00E82D3B" w:rsidRPr="00834BE7" w:rsidRDefault="00E82D3B" w:rsidP="00091260">
                            <w:pPr>
                              <w:jc w:val="both"/>
                              <w:rPr>
                                <w:b/>
                                <w:i/>
                                <w:sz w:val="22"/>
                              </w:rPr>
                            </w:pPr>
                            <w:r>
                              <w:rPr>
                                <w:b/>
                                <w:i/>
                                <w:sz w:val="22"/>
                              </w:rPr>
                              <w:t>Figure 3.11</w:t>
                            </w:r>
                            <w:r w:rsidRPr="00834BE7">
                              <w:rPr>
                                <w:b/>
                                <w:i/>
                                <w:sz w:val="22"/>
                              </w:rPr>
                              <w:t xml:space="preserve"> Tetracycline inducible cells show</w:t>
                            </w:r>
                            <w:r>
                              <w:rPr>
                                <w:b/>
                                <w:i/>
                                <w:sz w:val="22"/>
                              </w:rPr>
                              <w:t xml:space="preserve"> potential</w:t>
                            </w:r>
                            <w:r w:rsidRPr="00834BE7">
                              <w:rPr>
                                <w:b/>
                                <w:i/>
                                <w:sz w:val="22"/>
                              </w:rPr>
                              <w:t xml:space="preserve"> SRCAP</w:t>
                            </w:r>
                            <w:r>
                              <w:rPr>
                                <w:b/>
                                <w:i/>
                                <w:sz w:val="22"/>
                              </w:rPr>
                              <w:t xml:space="preserve"> over-expression at 72hrs after T</w:t>
                            </w:r>
                            <w:r w:rsidRPr="00834BE7">
                              <w:rPr>
                                <w:b/>
                                <w:i/>
                                <w:sz w:val="22"/>
                              </w:rPr>
                              <w:t>et addition</w:t>
                            </w:r>
                          </w:p>
                          <w:p w14:paraId="578AF53B" w14:textId="13D30784" w:rsidR="00E82D3B" w:rsidRDefault="00E82D3B" w:rsidP="00091260">
                            <w:pPr>
                              <w:jc w:val="both"/>
                              <w:rPr>
                                <w:rFonts w:ascii="Cambria" w:hAnsi="Cambria"/>
                                <w:i/>
                                <w:sz w:val="22"/>
                              </w:rPr>
                            </w:pPr>
                            <w:r>
                              <w:rPr>
                                <w:i/>
                                <w:sz w:val="22"/>
                              </w:rPr>
                              <w:t>a.) The HCT116 Flp-In cells that had been transfected and antibiotically selected for were seeded and had 2</w:t>
                            </w:r>
                            <w:r>
                              <w:rPr>
                                <w:rFonts w:ascii="Cambria" w:hAnsi="Cambria"/>
                                <w:i/>
                                <w:sz w:val="22"/>
                              </w:rPr>
                              <w:t xml:space="preserve">μg/ml of tetracycline added to the media of one well (+) and not to the other well (-). Cells were lysed for protein after 24, 48, 72, 96 or 120hrs in the Tet media. 50μg of each sample were loaded onto a precast gel and probed for with GFP antibody. Tubulin antibody was also used as a loading control. HCT116 Flp. cells that had not being transfected were used as control (C). A band above 191kDa was observed in the Tet induced cells after 72hrs which could possibly represent YFP SRCAP, as indicated by the red arrow. This was consistently observed over two individual repeat experiments. </w:t>
                            </w:r>
                          </w:p>
                          <w:p w14:paraId="08EECA54" w14:textId="4EBE9DEF" w:rsidR="00E82D3B" w:rsidRPr="00834BE7" w:rsidRDefault="00E82D3B" w:rsidP="00091260">
                            <w:pPr>
                              <w:jc w:val="both"/>
                              <w:rPr>
                                <w:i/>
                                <w:sz w:val="22"/>
                              </w:rPr>
                            </w:pPr>
                            <w:r>
                              <w:rPr>
                                <w:i/>
                                <w:sz w:val="22"/>
                              </w:rPr>
                              <w:t>b.) RNA samples were taken from the indicated HCT116 Flp-In transfected cells and SRCAP levels assessed via Taqman PCR. Using a Kruskal-Wallis non-parametric test there was no significant difference in SRCAP expression between any of the conditions (p=0.5420), after four repeats (</w:t>
                            </w:r>
                            <w:r>
                              <w:rPr>
                                <w:i/>
                                <w:iCs/>
                                <w:sz w:val="22"/>
                                <w:szCs w:val="22"/>
                              </w:rPr>
                              <w:t>p≤0.05</w:t>
                            </w:r>
                            <w:r>
                              <w:rPr>
                                <w:i/>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3" o:spid="_x0000_s1061" type="#_x0000_t202" style="position:absolute;margin-left:0;margin-top:405pt;width:423pt;height:189pt;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" filled="f" stroked="f">
                <v:textbox>
                  <w:txbxContent>
                    <w:p w14:paraId="51AC3C1D" w14:textId="2EC11B91" w:rsidR="000A1E0D" w:rsidRPr="00834BE7" w:rsidRDefault="000A1E0D" w:rsidP="00091260">
                      <w:pPr>
                        <w:jc w:val="both"/>
                        <w:rPr>
                          <w:b/>
                          <w:i/>
                          <w:sz w:val="22"/>
                        </w:rPr>
                      </w:pPr>
                      <w:r>
                        <w:rPr>
                          <w:b/>
                          <w:i/>
                          <w:sz w:val="22"/>
                        </w:rPr>
                        <w:t>Figure 3.11</w:t>
                      </w:r>
                      <w:r w:rsidRPr="00834BE7">
                        <w:rPr>
                          <w:b/>
                          <w:i/>
                          <w:sz w:val="22"/>
                        </w:rPr>
                        <w:t xml:space="preserve"> Tetracycline inducible cells show</w:t>
                      </w:r>
                      <w:r>
                        <w:rPr>
                          <w:b/>
                          <w:i/>
                          <w:sz w:val="22"/>
                        </w:rPr>
                        <w:t xml:space="preserve"> potential</w:t>
                      </w:r>
                      <w:r w:rsidRPr="00834BE7">
                        <w:rPr>
                          <w:b/>
                          <w:i/>
                          <w:sz w:val="22"/>
                        </w:rPr>
                        <w:t xml:space="preserve"> SRCAP</w:t>
                      </w:r>
                      <w:r>
                        <w:rPr>
                          <w:b/>
                          <w:i/>
                          <w:sz w:val="22"/>
                        </w:rPr>
                        <w:t xml:space="preserve"> over-expression at 72hrs after T</w:t>
                      </w:r>
                      <w:r w:rsidRPr="00834BE7">
                        <w:rPr>
                          <w:b/>
                          <w:i/>
                          <w:sz w:val="22"/>
                        </w:rPr>
                        <w:t>et addition</w:t>
                      </w:r>
                    </w:p>
                    <w:p w14:paraId="578AF53B" w14:textId="13D30784" w:rsidR="000A1E0D" w:rsidRDefault="000A1E0D" w:rsidP="00091260">
                      <w:pPr>
                        <w:jc w:val="both"/>
                        <w:rPr>
                          <w:rFonts w:ascii="Cambria" w:hAnsi="Cambria"/>
                          <w:i/>
                          <w:sz w:val="22"/>
                        </w:rPr>
                      </w:pPr>
                      <w:r>
                        <w:rPr>
                          <w:i/>
                          <w:sz w:val="22"/>
                        </w:rPr>
                        <w:t>a.) The HCT116 Flp-In cells that had been transfected and antibiotically selected for were seeded and had 2</w:t>
                      </w:r>
                      <w:r>
                        <w:rPr>
                          <w:rFonts w:ascii="Cambria" w:hAnsi="Cambria"/>
                          <w:i/>
                          <w:sz w:val="22"/>
                        </w:rPr>
                        <w:t xml:space="preserve">μg/ml of tetracycline added to the media of one well (+) and not to the other well (-). Cells were lysed for protein after 24, 48, 72, 96 or 120hrs in the Tet media. 50μg of each sample were loaded onto a precast gel and probed for with GFP antibody. Tubulin antibody was also used as a loading control. HCT116 Flp. cells that had not being transfected were used as control (C). A band above 191kDa was observed in the Tet induced cells after 72hrs which could possibly represent YFP SRCAP, as indicated by the red arrow. This was consistently observed over two individual repeat experiments. </w:t>
                      </w:r>
                    </w:p>
                    <w:p w14:paraId="08EECA54" w14:textId="4EBE9DEF" w:rsidR="000A1E0D" w:rsidRPr="00834BE7" w:rsidRDefault="000A1E0D" w:rsidP="00091260">
                      <w:pPr>
                        <w:jc w:val="both"/>
                        <w:rPr>
                          <w:i/>
                          <w:sz w:val="22"/>
                        </w:rPr>
                      </w:pPr>
                      <w:r>
                        <w:rPr>
                          <w:i/>
                          <w:sz w:val="22"/>
                        </w:rPr>
                        <w:t>b.) RNA samples were taken from the indicated HCT116 Flp-In transfected cells and SRCAP levels assessed via Taqman PCR. Using a Kruskal-Wallis non-parametric test there was no significant difference in SRCAP expression between any of the conditions (p=0.5420), after four repeats (</w:t>
                      </w:r>
                      <w:r>
                        <w:rPr>
                          <w:i/>
                          <w:iCs/>
                          <w:sz w:val="22"/>
                          <w:szCs w:val="22"/>
                        </w:rPr>
                        <w:t>p≤0.05</w:t>
                      </w:r>
                      <w:r>
                        <w:rPr>
                          <w:i/>
                          <w:sz w:val="22"/>
                        </w:rPr>
                        <w:t xml:space="preserve">). </w:t>
                      </w:r>
                    </w:p>
                  </w:txbxContent>
                </v:textbox>
                <w10:wrap type="square"/>
              </v:shape>
            </w:pict>
          </mc:Fallback>
        </mc:AlternateContent>
      </w:r>
      <w:r>
        <w:rPr>
          <w:rFonts w:ascii="Calibri" w:hAnsi="Calibri"/>
        </w:rPr>
        <w:br w:type="page"/>
      </w:r>
    </w:p>
    <w:p w14:paraId="6BEF0835" w14:textId="103DD4B3" w:rsidR="00091260" w:rsidRDefault="00B41C0C" w:rsidP="00091260">
      <w:pPr>
        <w:spacing w:line="360" w:lineRule="auto"/>
        <w:jc w:val="both"/>
        <w:rPr>
          <w:rFonts w:ascii="Calibri" w:hAnsi="Calibri"/>
        </w:rPr>
      </w:pPr>
      <w:r>
        <w:rPr>
          <w:rFonts w:ascii="Calibri" w:hAnsi="Calibri"/>
        </w:rPr>
        <w:t xml:space="preserve">Additionally, potential Tet-inducible YFP-SRCAP expression was determined in these cells using immunofluorescent detection of GFP </w:t>
      </w:r>
      <w:r w:rsidR="00075445">
        <w:rPr>
          <w:rFonts w:ascii="Calibri" w:hAnsi="Calibri"/>
        </w:rPr>
        <w:t>(shown in Figure 3.12</w:t>
      </w:r>
      <w:r>
        <w:rPr>
          <w:rFonts w:ascii="Calibri" w:hAnsi="Calibri"/>
        </w:rPr>
        <w:t>a). GFP positive cells were present at 72hrs post-Tet induction</w:t>
      </w:r>
      <w:r w:rsidR="00DB29B6">
        <w:rPr>
          <w:rFonts w:ascii="Calibri" w:hAnsi="Calibri"/>
        </w:rPr>
        <w:t xml:space="preserve">, which was not observed in </w:t>
      </w:r>
      <w:r>
        <w:rPr>
          <w:rFonts w:ascii="Calibri" w:hAnsi="Calibri"/>
        </w:rPr>
        <w:t xml:space="preserve">the parental HCT116 Flp-In cells (Figure 3.12a). </w:t>
      </w:r>
      <w:r w:rsidR="00091260">
        <w:rPr>
          <w:rFonts w:ascii="Calibri" w:hAnsi="Calibri"/>
        </w:rPr>
        <w:t>Calculation of the per</w:t>
      </w:r>
      <w:r w:rsidR="00323D15">
        <w:rPr>
          <w:rFonts w:ascii="Calibri" w:hAnsi="Calibri"/>
        </w:rPr>
        <w:t>centage of cells that were over-</w:t>
      </w:r>
      <w:r w:rsidR="00091260">
        <w:rPr>
          <w:rFonts w:ascii="Calibri" w:hAnsi="Calibri"/>
        </w:rPr>
        <w:t xml:space="preserve">expressing YFP SRCAP after Tet addition in three </w:t>
      </w:r>
      <w:r>
        <w:rPr>
          <w:rFonts w:ascii="Calibri" w:hAnsi="Calibri"/>
        </w:rPr>
        <w:t xml:space="preserve">individual </w:t>
      </w:r>
      <w:r w:rsidR="00091260">
        <w:rPr>
          <w:rFonts w:ascii="Calibri" w:hAnsi="Calibri"/>
        </w:rPr>
        <w:t xml:space="preserve">repeats </w:t>
      </w:r>
      <w:r>
        <w:rPr>
          <w:rFonts w:ascii="Calibri" w:hAnsi="Calibri"/>
        </w:rPr>
        <w:t>experiments revealed</w:t>
      </w:r>
      <w:r w:rsidR="00091260">
        <w:rPr>
          <w:rFonts w:ascii="Calibri" w:hAnsi="Calibri"/>
        </w:rPr>
        <w:t xml:space="preserve"> an average of 41% (</w:t>
      </w:r>
      <w:r w:rsidR="00A0339B">
        <w:rPr>
          <w:rFonts w:ascii="Calibri" w:hAnsi="Calibri"/>
        </w:rPr>
        <w:t xml:space="preserve">standard deviation </w:t>
      </w:r>
      <w:r w:rsidR="00091260">
        <w:rPr>
          <w:rFonts w:ascii="Calibri" w:hAnsi="Calibri"/>
        </w:rPr>
        <w:t xml:space="preserve">±9.4). This is an improvement from the </w:t>
      </w:r>
      <w:r>
        <w:rPr>
          <w:rFonts w:ascii="Calibri" w:hAnsi="Calibri"/>
        </w:rPr>
        <w:t>&lt;</w:t>
      </w:r>
      <w:r w:rsidR="00091260">
        <w:rPr>
          <w:rFonts w:ascii="Calibri" w:hAnsi="Calibri"/>
        </w:rPr>
        <w:t xml:space="preserve">10% transfection efficiency that was usually </w:t>
      </w:r>
      <w:r>
        <w:rPr>
          <w:rFonts w:ascii="Calibri" w:hAnsi="Calibri"/>
        </w:rPr>
        <w:t>obtained</w:t>
      </w:r>
      <w:r w:rsidR="00091260">
        <w:rPr>
          <w:rFonts w:ascii="Calibri" w:hAnsi="Calibri"/>
        </w:rPr>
        <w:t xml:space="preserve"> in transient transfections</w:t>
      </w:r>
      <w:r>
        <w:rPr>
          <w:rFonts w:ascii="Calibri" w:hAnsi="Calibri"/>
        </w:rPr>
        <w:t xml:space="preserve"> (see </w:t>
      </w:r>
      <w:r w:rsidR="000B73F3">
        <w:rPr>
          <w:rFonts w:ascii="Calibri" w:hAnsi="Calibri"/>
        </w:rPr>
        <w:t>previous</w:t>
      </w:r>
      <w:r>
        <w:rPr>
          <w:rFonts w:ascii="Calibri" w:hAnsi="Calibri"/>
        </w:rPr>
        <w:t>)</w:t>
      </w:r>
      <w:r w:rsidR="00091260">
        <w:rPr>
          <w:rFonts w:ascii="Calibri" w:hAnsi="Calibri"/>
        </w:rPr>
        <w:t>. Unfortunately</w:t>
      </w:r>
      <w:r>
        <w:rPr>
          <w:rFonts w:ascii="Calibri" w:hAnsi="Calibri"/>
        </w:rPr>
        <w:t>, l</w:t>
      </w:r>
      <w:r w:rsidR="00A23FE7">
        <w:rPr>
          <w:rFonts w:ascii="Calibri" w:hAnsi="Calibri"/>
        </w:rPr>
        <w:t xml:space="preserve">ow levels of GFP expression were </w:t>
      </w:r>
      <w:r>
        <w:rPr>
          <w:rFonts w:ascii="Calibri" w:hAnsi="Calibri"/>
        </w:rPr>
        <w:t>observed in un-induced cell populations, indicating that the system could be ‘leaky’, potentially due to a small amount of Tet being present within the FCS in the media</w:t>
      </w:r>
      <w:r w:rsidR="00091260">
        <w:rPr>
          <w:rFonts w:ascii="Calibri" w:hAnsi="Calibri"/>
        </w:rPr>
        <w:t>. Calculation of the percentage of YFP SRCAP expressing cells uncovered 18% (</w:t>
      </w:r>
      <w:r w:rsidR="00A0339B">
        <w:rPr>
          <w:rFonts w:ascii="Calibri" w:hAnsi="Calibri"/>
        </w:rPr>
        <w:t xml:space="preserve">standard deviation </w:t>
      </w:r>
      <w:r w:rsidR="00091260">
        <w:rPr>
          <w:rFonts w:ascii="Calibri" w:hAnsi="Calibri"/>
        </w:rPr>
        <w:t xml:space="preserve">±8.6) of cells without Tet induction still expressed the construct. This could </w:t>
      </w:r>
      <w:r w:rsidR="00A23FE7">
        <w:rPr>
          <w:rFonts w:ascii="Calibri" w:hAnsi="Calibri"/>
        </w:rPr>
        <w:t>explain</w:t>
      </w:r>
      <w:r w:rsidR="00091260">
        <w:rPr>
          <w:rFonts w:ascii="Calibri" w:hAnsi="Calibri"/>
        </w:rPr>
        <w:t xml:space="preserve"> why there was a l</w:t>
      </w:r>
      <w:r w:rsidR="00A23FE7">
        <w:rPr>
          <w:rFonts w:ascii="Calibri" w:hAnsi="Calibri"/>
        </w:rPr>
        <w:t xml:space="preserve">arge amount of variability </w:t>
      </w:r>
      <w:r w:rsidR="00091260">
        <w:rPr>
          <w:rFonts w:ascii="Calibri" w:hAnsi="Calibri"/>
        </w:rPr>
        <w:t xml:space="preserve">in the mRNA expression levels as there was still </w:t>
      </w:r>
      <w:r w:rsidR="00A23FE7">
        <w:rPr>
          <w:rFonts w:ascii="Calibri" w:hAnsi="Calibri"/>
        </w:rPr>
        <w:t xml:space="preserve">over half </w:t>
      </w:r>
      <w:r w:rsidR="00091260">
        <w:rPr>
          <w:rFonts w:ascii="Calibri" w:hAnsi="Calibri"/>
        </w:rPr>
        <w:t xml:space="preserve">of </w:t>
      </w:r>
      <w:r w:rsidR="00A23FE7">
        <w:rPr>
          <w:rFonts w:ascii="Calibri" w:hAnsi="Calibri"/>
        </w:rPr>
        <w:t>transfected cells not over-</w:t>
      </w:r>
      <w:r w:rsidR="00091260">
        <w:rPr>
          <w:rFonts w:ascii="Calibri" w:hAnsi="Calibri"/>
        </w:rPr>
        <w:t xml:space="preserve">expressing </w:t>
      </w:r>
      <w:r w:rsidR="00091260" w:rsidRPr="000A1F7B">
        <w:rPr>
          <w:rFonts w:ascii="Calibri" w:hAnsi="Calibri"/>
          <w:i/>
        </w:rPr>
        <w:t>SRCAP</w:t>
      </w:r>
      <w:r w:rsidR="00091260">
        <w:rPr>
          <w:rFonts w:ascii="Calibri" w:hAnsi="Calibri"/>
        </w:rPr>
        <w:t xml:space="preserve">, and in the non-Tet samples there was some </w:t>
      </w:r>
      <w:r w:rsidR="00091260" w:rsidRPr="000A1F7B">
        <w:rPr>
          <w:rFonts w:ascii="Calibri" w:hAnsi="Calibri"/>
          <w:i/>
        </w:rPr>
        <w:t>SRCAP</w:t>
      </w:r>
      <w:r w:rsidR="00A23FE7">
        <w:rPr>
          <w:rFonts w:ascii="Calibri" w:hAnsi="Calibri"/>
        </w:rPr>
        <w:t xml:space="preserve"> over-e</w:t>
      </w:r>
      <w:r w:rsidR="00091260">
        <w:rPr>
          <w:rFonts w:ascii="Calibri" w:hAnsi="Calibri"/>
        </w:rPr>
        <w:t>xpression which would be skewing the data.</w:t>
      </w:r>
    </w:p>
    <w:p w14:paraId="4C1AC4B3" w14:textId="77777777" w:rsidR="00091260" w:rsidRDefault="00091260" w:rsidP="00091260">
      <w:pPr>
        <w:spacing w:line="360" w:lineRule="auto"/>
        <w:jc w:val="both"/>
        <w:rPr>
          <w:rFonts w:ascii="Calibri" w:hAnsi="Calibri"/>
        </w:rPr>
      </w:pPr>
    </w:p>
    <w:p w14:paraId="39F8F326" w14:textId="0116A2F9" w:rsidR="00091260" w:rsidRDefault="00B41C0C" w:rsidP="00091260">
      <w:pPr>
        <w:spacing w:line="360" w:lineRule="auto"/>
        <w:jc w:val="both"/>
        <w:rPr>
          <w:rFonts w:ascii="Calibri" w:hAnsi="Calibri"/>
        </w:rPr>
      </w:pPr>
      <w:r>
        <w:rPr>
          <w:rFonts w:asciiTheme="majorHAnsi" w:hAnsiTheme="majorHAnsi"/>
          <w:szCs w:val="28"/>
        </w:rPr>
        <w:t>To determine the potential effects of SRCAP over</w:t>
      </w:r>
      <w:r w:rsidR="00A23FE7">
        <w:rPr>
          <w:rFonts w:asciiTheme="majorHAnsi" w:hAnsiTheme="majorHAnsi"/>
          <w:szCs w:val="28"/>
        </w:rPr>
        <w:t>-</w:t>
      </w:r>
      <w:r>
        <w:rPr>
          <w:rFonts w:asciiTheme="majorHAnsi" w:hAnsiTheme="majorHAnsi"/>
          <w:szCs w:val="28"/>
        </w:rPr>
        <w:t xml:space="preserve">expression on genome stability, </w:t>
      </w:r>
      <w:r w:rsidR="00091260">
        <w:rPr>
          <w:rFonts w:asciiTheme="majorHAnsi" w:hAnsiTheme="majorHAnsi"/>
          <w:szCs w:val="28"/>
        </w:rPr>
        <w:t xml:space="preserve">DNA damage was evaluated in </w:t>
      </w:r>
      <w:r>
        <w:rPr>
          <w:rFonts w:asciiTheme="majorHAnsi" w:hAnsiTheme="majorHAnsi"/>
          <w:szCs w:val="28"/>
        </w:rPr>
        <w:t xml:space="preserve">YFP </w:t>
      </w:r>
      <w:r w:rsidR="00A23FE7">
        <w:rPr>
          <w:rFonts w:asciiTheme="majorHAnsi" w:hAnsiTheme="majorHAnsi"/>
          <w:szCs w:val="28"/>
        </w:rPr>
        <w:t>SRCAP over-</w:t>
      </w:r>
      <w:r w:rsidR="00091260">
        <w:rPr>
          <w:rFonts w:asciiTheme="majorHAnsi" w:hAnsiTheme="majorHAnsi"/>
          <w:szCs w:val="28"/>
        </w:rPr>
        <w:t xml:space="preserve">expressing cells using two well-known immunofluorescence markers- </w:t>
      </w:r>
      <w:r w:rsidR="00091260">
        <w:rPr>
          <w:rFonts w:ascii="Calibri" w:hAnsi="Calibri"/>
          <w:szCs w:val="28"/>
        </w:rPr>
        <w:t>γ</w:t>
      </w:r>
      <w:r w:rsidR="00091260">
        <w:rPr>
          <w:rFonts w:asciiTheme="majorHAnsi" w:hAnsiTheme="majorHAnsi"/>
          <w:szCs w:val="28"/>
        </w:rPr>
        <w:t>H2AX and 53BP1.</w:t>
      </w:r>
      <w:r w:rsidR="00091260" w:rsidRPr="00E561EE">
        <w:rPr>
          <w:rFonts w:ascii="Calibri" w:hAnsi="Calibri"/>
        </w:rPr>
        <w:t xml:space="preserve"> </w:t>
      </w:r>
      <w:r w:rsidR="00091260" w:rsidRPr="003F79A7">
        <w:rPr>
          <w:rFonts w:ascii="Calibri" w:hAnsi="Calibri"/>
        </w:rPr>
        <w:t>H2AX</w:t>
      </w:r>
      <w:r w:rsidR="00091260">
        <w:rPr>
          <w:rFonts w:ascii="Calibri" w:hAnsi="Calibri"/>
        </w:rPr>
        <w:t xml:space="preserve"> is another variant of the histone H2A and</w:t>
      </w:r>
      <w:r w:rsidR="00091260" w:rsidRPr="003F79A7">
        <w:rPr>
          <w:rFonts w:ascii="Calibri" w:hAnsi="Calibri"/>
        </w:rPr>
        <w:t xml:space="preserve"> is phosphorylated</w:t>
      </w:r>
      <w:r w:rsidR="00091260">
        <w:rPr>
          <w:rFonts w:ascii="Calibri" w:hAnsi="Calibri"/>
        </w:rPr>
        <w:t xml:space="preserve"> by ATM, ATR or DNA-PK</w:t>
      </w:r>
      <w:r w:rsidR="00091260" w:rsidRPr="003F79A7">
        <w:rPr>
          <w:rFonts w:ascii="Calibri" w:hAnsi="Calibri"/>
        </w:rPr>
        <w:t xml:space="preserve"> at serine 139 when a double strand DNA break is detected. This </w:t>
      </w:r>
      <w:r w:rsidR="00091260">
        <w:rPr>
          <w:rFonts w:ascii="Calibri" w:hAnsi="Calibri"/>
        </w:rPr>
        <w:t xml:space="preserve">modification allows for a more relaxed chromatin state and therefore repair proteins can be recruited and bound to the damaged DNA </w:t>
      </w:r>
      <w:r w:rsidR="00091260">
        <w:rPr>
          <w:rFonts w:ascii="Calibri" w:hAnsi="Calibri"/>
        </w:rPr>
        <w:fldChar w:fldCharType="begin"/>
      </w:r>
      <w:r w:rsidR="00091260">
        <w:rPr>
          <w:rFonts w:ascii="Calibri" w:hAnsi="Calibri"/>
        </w:rPr>
        <w:instrText xml:space="preserve"> ADDIN EN.CITE &lt;EndNote&gt;&lt;Cite&gt;&lt;Author&gt;Sharma&lt;/Author&gt;&lt;Year&gt;2012&lt;/Year&gt;&lt;IDText&gt;Histone H2AX phosphorylation: a marker for DNA damage&lt;/IDText&gt;&lt;DisplayText&gt;(Sharma et al., 2012)&lt;/DisplayText&gt;&lt;record&gt;&lt;keywords&gt;&lt;keyword&gt;Biomarkers&lt;/keyword&gt;&lt;keyword&gt;Blotting, Western&lt;/keyword&gt;&lt;keyword&gt;Cell Adhesion&lt;/keyword&gt;&lt;keyword&gt;Cell Line, Tumor&lt;/keyword&gt;&lt;keyword&gt;Cell Separation&lt;/keyword&gt;&lt;keyword&gt;DNA Damage&lt;/keyword&gt;&lt;keyword&gt;Electrophoresis, Polyacrylamide Gel&lt;/keyword&gt;&lt;keyword&gt;Flow Cytometry&lt;/keyword&gt;&lt;keyword&gt;Histones&lt;/keyword&gt;&lt;keyword&gt;Humans&lt;/keyword&gt;&lt;keyword&gt;Immunohistochemistry&lt;/keyword&gt;&lt;keyword&gt;Lymphocytes&lt;/keyword&gt;&lt;keyword&gt;Phosphorylation&lt;/keyword&gt;&lt;/keywords&gt;&lt;urls&gt;&lt;related-urls&gt;&lt;url&gt;https://www.ncbi.nlm.nih.gov/pubmed/22941631&lt;/url&gt;&lt;/related-urls&gt;&lt;/urls&gt;&lt;isbn&gt;1940-6029&lt;/isbn&gt;&lt;titles&gt;&lt;title&gt;Histone H2AX phosphorylation: a marker for DNA damage&lt;/title&gt;&lt;secondary-title&gt;Methods Mol Biol&lt;/secondary-title&gt;&lt;/titles&gt;&lt;pages&gt;613-26&lt;/pages&gt;&lt;contributors&gt;&lt;authors&gt;&lt;author&gt;Sharma, A.&lt;/author&gt;&lt;author&gt;Singh, K.&lt;/author&gt;&lt;author&gt;Almasan, A.&lt;/author&gt;&lt;/authors&gt;&lt;/contributors&gt;&lt;language&gt;eng&lt;/language&gt;&lt;added-date format="utc"&gt;1504619125&lt;/added-date&gt;&lt;ref-type name="Journal Article"&gt;17&lt;/ref-type&gt;&lt;dates&gt;&lt;year&gt;2012&lt;/year&gt;&lt;/dates&gt;&lt;rec-number&gt;264&lt;/rec-number&gt;&lt;last-updated-date format="utc"&gt;1504619125&lt;/last-updated-date&gt;&lt;accession-num&gt;22941631&lt;/accession-num&gt;&lt;electronic-resource-num&gt;10.1007/978-1-61779-998-3_40&lt;/electronic-resource-num&gt;&lt;volume&gt;920&lt;/volume&gt;&lt;/record&gt;&lt;/Cite&gt;&lt;/EndNote&gt;</w:instrText>
      </w:r>
      <w:r w:rsidR="00091260">
        <w:rPr>
          <w:rFonts w:ascii="Calibri" w:hAnsi="Calibri"/>
        </w:rPr>
        <w:fldChar w:fldCharType="separate"/>
      </w:r>
      <w:r w:rsidR="00091260">
        <w:rPr>
          <w:rFonts w:ascii="Calibri" w:hAnsi="Calibri"/>
          <w:noProof/>
        </w:rPr>
        <w:t>(Sharma et al., 2012)</w:t>
      </w:r>
      <w:r w:rsidR="00091260">
        <w:rPr>
          <w:rFonts w:ascii="Calibri" w:hAnsi="Calibri"/>
        </w:rPr>
        <w:fldChar w:fldCharType="end"/>
      </w:r>
      <w:r w:rsidR="00091260">
        <w:rPr>
          <w:rFonts w:ascii="Calibri" w:hAnsi="Calibri"/>
        </w:rPr>
        <w:t xml:space="preserve">. 53BP1 rapidly accumulates at sites of DSBs due to ATM mediated signalling and here it promotes further signalling and repair proteins to bind </w:t>
      </w:r>
      <w:r w:rsidR="00091260">
        <w:rPr>
          <w:rFonts w:ascii="Calibri" w:hAnsi="Calibri"/>
        </w:rPr>
        <w:fldChar w:fldCharType="begin">
          <w:fldData xml:space="preserve">PEVuZE5vdGU+PENpdGU+PEF1dGhvcj5TY2h1bHR6PC9BdXRob3I+PFllYXI+MjAwMDwvWWVhcj48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</w:fldData>
        </w:fldChar>
      </w:r>
      <w:r w:rsidR="00091260">
        <w:rPr>
          <w:rFonts w:ascii="Calibri" w:hAnsi="Calibri"/>
        </w:rPr>
        <w:instrText xml:space="preserve"> ADDIN EN.CITE </w:instrText>
      </w:r>
      <w:r w:rsidR="00091260">
        <w:rPr>
          <w:rFonts w:ascii="Calibri" w:hAnsi="Calibri"/>
        </w:rPr>
        <w:fldChar w:fldCharType="begin">
          <w:fldData xml:space="preserve">PEVuZE5vdGU+PENpdGU+PEF1dGhvcj5TY2h1bHR6PC9BdXRob3I+PFllYXI+MjAwMDwvWWVhcj48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</w:fldData>
        </w:fldChar>
      </w:r>
      <w:r w:rsidR="00091260">
        <w:rPr>
          <w:rFonts w:ascii="Calibri" w:hAnsi="Calibri"/>
        </w:rPr>
        <w:instrText xml:space="preserve"> ADDIN EN.CITE.DATA </w:instrText>
      </w:r>
      <w:r w:rsidR="00091260">
        <w:rPr>
          <w:rFonts w:ascii="Calibri" w:hAnsi="Calibri"/>
        </w:rPr>
      </w:r>
      <w:r w:rsidR="00091260">
        <w:rPr>
          <w:rFonts w:ascii="Calibri" w:hAnsi="Calibri"/>
        </w:rPr>
        <w:fldChar w:fldCharType="end"/>
      </w:r>
      <w:r w:rsidR="00091260">
        <w:rPr>
          <w:rFonts w:ascii="Calibri" w:hAnsi="Calibri"/>
        </w:rPr>
      </w:r>
      <w:r w:rsidR="00091260">
        <w:rPr>
          <w:rFonts w:ascii="Calibri" w:hAnsi="Calibri"/>
        </w:rPr>
        <w:fldChar w:fldCharType="separate"/>
      </w:r>
      <w:r w:rsidR="00091260">
        <w:rPr>
          <w:rFonts w:ascii="Calibri" w:hAnsi="Calibri"/>
          <w:noProof/>
        </w:rPr>
        <w:t>(Schultz et al., 2000)</w:t>
      </w:r>
      <w:r w:rsidR="00091260">
        <w:rPr>
          <w:rFonts w:ascii="Calibri" w:hAnsi="Calibri"/>
        </w:rPr>
        <w:fldChar w:fldCharType="end"/>
      </w:r>
      <w:r w:rsidR="00091260">
        <w:rPr>
          <w:rFonts w:ascii="Calibri" w:hAnsi="Calibri"/>
        </w:rPr>
        <w:t>. As such, these markers are widely used and validated surrogate markers of DNA damage and DNA DSBs respectively, which can be easily visualised and qua</w:t>
      </w:r>
      <w:r w:rsidR="00075445">
        <w:rPr>
          <w:rFonts w:ascii="Calibri" w:hAnsi="Calibri"/>
        </w:rPr>
        <w:t>ntified, as shown in Figure 3.12</w:t>
      </w:r>
      <w:r w:rsidR="00091260">
        <w:rPr>
          <w:rFonts w:ascii="Calibri" w:hAnsi="Calibri"/>
        </w:rPr>
        <w:t>a</w:t>
      </w:r>
      <w:r w:rsidR="00091260" w:rsidRPr="00FC4592">
        <w:rPr>
          <w:rFonts w:ascii="Calibri" w:hAnsi="Calibri"/>
        </w:rPr>
        <w:t>.</w:t>
      </w:r>
      <w:r w:rsidR="00091260">
        <w:rPr>
          <w:rFonts w:ascii="Calibri" w:hAnsi="Calibri"/>
        </w:rPr>
        <w:t xml:space="preserve"> Quantification of the DNA damage marker</w:t>
      </w:r>
      <w:r w:rsidR="005F5B1B">
        <w:rPr>
          <w:rFonts w:ascii="Calibri" w:hAnsi="Calibri"/>
        </w:rPr>
        <w:t>s showed a significant</w:t>
      </w:r>
      <w:r w:rsidR="00091260">
        <w:rPr>
          <w:rFonts w:ascii="Calibri" w:hAnsi="Calibri"/>
        </w:rPr>
        <w:t xml:space="preserve"> increase in DNA damage when cells were transfected with the </w:t>
      </w:r>
      <w:r w:rsidR="00091260" w:rsidRPr="005F5B1B">
        <w:rPr>
          <w:rFonts w:ascii="Calibri" w:hAnsi="Calibri"/>
          <w:i/>
        </w:rPr>
        <w:t>YFP SRCAP</w:t>
      </w:r>
      <w:r w:rsidR="00091260">
        <w:rPr>
          <w:rFonts w:ascii="Calibri" w:hAnsi="Calibri"/>
        </w:rPr>
        <w:t xml:space="preserve"> construct compared </w:t>
      </w:r>
      <w:r>
        <w:rPr>
          <w:rFonts w:ascii="Calibri" w:hAnsi="Calibri"/>
        </w:rPr>
        <w:t>to the parental HCT116 Flp-In</w:t>
      </w:r>
      <w:r w:rsidR="00091260">
        <w:rPr>
          <w:rFonts w:ascii="Calibri" w:hAnsi="Calibri"/>
        </w:rPr>
        <w:t xml:space="preserve"> cells. However, there was no difference in the average number of foci per cell between samples that had had Tet induction an</w:t>
      </w:r>
      <w:r w:rsidR="00075445">
        <w:rPr>
          <w:rFonts w:ascii="Calibri" w:hAnsi="Calibri"/>
        </w:rPr>
        <w:t>d those that hadn’t (Figure 3.12</w:t>
      </w:r>
      <w:r w:rsidR="00091260">
        <w:rPr>
          <w:rFonts w:ascii="Calibri" w:hAnsi="Calibri"/>
        </w:rPr>
        <w:t>b). In addition there was also no difference in DNA damage between YFP SRCAP expres</w:t>
      </w:r>
      <w:r w:rsidR="00A23FE7">
        <w:rPr>
          <w:rFonts w:ascii="Calibri" w:hAnsi="Calibri"/>
        </w:rPr>
        <w:t>sing cells and those that did not</w:t>
      </w:r>
      <w:r>
        <w:rPr>
          <w:rFonts w:ascii="Calibri" w:hAnsi="Calibri"/>
        </w:rPr>
        <w:t xml:space="preserve"> express YFP SRCAP</w:t>
      </w:r>
      <w:r w:rsidR="00091260">
        <w:rPr>
          <w:rFonts w:ascii="Calibri" w:hAnsi="Calibri"/>
        </w:rPr>
        <w:t>, within the same Tet induced samples. This suggests that an increase in SRCAP does not induce genome instab</w:t>
      </w:r>
      <w:r w:rsidR="00A23FE7">
        <w:rPr>
          <w:rFonts w:ascii="Calibri" w:hAnsi="Calibri"/>
        </w:rPr>
        <w:t>ility in the form of DNA damage</w:t>
      </w:r>
      <w:r w:rsidR="00091260">
        <w:rPr>
          <w:rFonts w:ascii="Calibri" w:hAnsi="Calibri"/>
        </w:rPr>
        <w:t xml:space="preserve">. However, it </w:t>
      </w:r>
      <w:r w:rsidR="00A23FE7">
        <w:rPr>
          <w:rFonts w:ascii="Calibri" w:hAnsi="Calibri"/>
        </w:rPr>
        <w:t>is possible</w:t>
      </w:r>
      <w:r w:rsidR="00323D15">
        <w:rPr>
          <w:rFonts w:ascii="Calibri" w:hAnsi="Calibri"/>
        </w:rPr>
        <w:t xml:space="preserve"> that the over-</w:t>
      </w:r>
      <w:r w:rsidR="00091260">
        <w:rPr>
          <w:rFonts w:ascii="Calibri" w:hAnsi="Calibri"/>
        </w:rPr>
        <w:t xml:space="preserve">expression of SRCAP would need to persist for a longer amount of time within the cells before </w:t>
      </w:r>
      <w:r w:rsidR="00A23FE7">
        <w:rPr>
          <w:rFonts w:ascii="Calibri" w:hAnsi="Calibri"/>
        </w:rPr>
        <w:t xml:space="preserve">effects on DNA </w:t>
      </w:r>
      <w:r w:rsidR="00091260">
        <w:rPr>
          <w:rFonts w:ascii="Calibri" w:hAnsi="Calibri"/>
        </w:rPr>
        <w:t xml:space="preserve">damage </w:t>
      </w:r>
      <w:r w:rsidR="00A23FE7">
        <w:rPr>
          <w:rFonts w:ascii="Calibri" w:hAnsi="Calibri"/>
        </w:rPr>
        <w:t>would be</w:t>
      </w:r>
      <w:r w:rsidR="00091260">
        <w:rPr>
          <w:rFonts w:ascii="Calibri" w:hAnsi="Calibri"/>
        </w:rPr>
        <w:t xml:space="preserve"> seen.</w:t>
      </w:r>
    </w:p>
    <w:p w14:paraId="1E94D6C4" w14:textId="279475AC" w:rsidR="00091260" w:rsidRPr="009E3D47" w:rsidRDefault="00091260" w:rsidP="00091260">
      <w:pPr>
        <w:rPr>
          <w:rFonts w:ascii="Calibri" w:hAnsi="Calibri"/>
        </w:rPr>
      </w:pPr>
    </w:p>
    <w:p w14:paraId="4EFFEE80" w14:textId="53B6D94E" w:rsidR="00091260" w:rsidRDefault="00723A13" w:rsidP="00091260">
      <w:pPr>
        <w:rPr>
          <w:rFonts w:asciiTheme="majorHAnsi" w:hAnsiTheme="majorHAnsi"/>
          <w:sz w:val="28"/>
          <w:szCs w:val="28"/>
          <w:u w:val="single"/>
        </w:rPr>
      </w:pPr>
      <w:r>
        <w:rPr>
          <w:rFonts w:asciiTheme="majorHAnsi" w:hAnsiTheme="majorHAnsi"/>
          <w:noProof/>
          <w:sz w:val="28"/>
          <w:szCs w:val="28"/>
          <w:u w:val="single"/>
          <w:lang w:val="en-US"/>
        </w:rPr>
        <w:drawing>
          <wp:anchor distT="0" distB="0" distL="114300" distR="114300" simplePos="0" relativeHeight="252195840" behindDoc="0" locked="0" layoutInCell="1" allowOverlap="1" wp14:anchorId="28A974DC" wp14:editId="3A3E907D">
            <wp:simplePos x="0" y="0"/>
            <wp:positionH relativeFrom="column">
              <wp:posOffset>2743200</wp:posOffset>
            </wp:positionH>
            <wp:positionV relativeFrom="paragraph">
              <wp:posOffset>2743200</wp:posOffset>
            </wp:positionV>
            <wp:extent cx="2825750" cy="2400300"/>
            <wp:effectExtent l="0" t="0" r="0" b="12700"/>
            <wp:wrapSquare wrapText="bothSides"/>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2575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szCs w:val="28"/>
          <w:u w:val="single"/>
          <w:lang w:val="en-US"/>
        </w:rPr>
        <w:drawing>
          <wp:anchor distT="0" distB="0" distL="114300" distR="114300" simplePos="0" relativeHeight="252196864" behindDoc="0" locked="0" layoutInCell="1" allowOverlap="1" wp14:anchorId="7D526A4F" wp14:editId="28BB732F">
            <wp:simplePos x="0" y="0"/>
            <wp:positionH relativeFrom="column">
              <wp:posOffset>114300</wp:posOffset>
            </wp:positionH>
            <wp:positionV relativeFrom="paragraph">
              <wp:posOffset>2827020</wp:posOffset>
            </wp:positionV>
            <wp:extent cx="2622550" cy="2316480"/>
            <wp:effectExtent l="0" t="0" r="0" b="0"/>
            <wp:wrapSquare wrapText="bothSides"/>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2550" cy="2316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25136">
        <w:rPr>
          <w:rFonts w:asciiTheme="majorHAnsi" w:hAnsiTheme="majorHAnsi"/>
          <w:noProof/>
          <w:sz w:val="28"/>
          <w:szCs w:val="28"/>
          <w:u w:val="single"/>
          <w:lang w:val="en-US"/>
        </w:rPr>
        <w:drawing>
          <wp:anchor distT="0" distB="0" distL="114300" distR="114300" simplePos="0" relativeHeight="252186624" behindDoc="0" locked="0" layoutInCell="1" allowOverlap="1" wp14:anchorId="6A6CC5C2" wp14:editId="298DC274">
            <wp:simplePos x="0" y="0"/>
            <wp:positionH relativeFrom="column">
              <wp:posOffset>114300</wp:posOffset>
            </wp:positionH>
            <wp:positionV relativeFrom="paragraph">
              <wp:posOffset>114300</wp:posOffset>
            </wp:positionV>
            <wp:extent cx="2774950" cy="2286000"/>
            <wp:effectExtent l="0" t="0" r="0" b="0"/>
            <wp:wrapSquare wrapText="bothSides"/>
            <wp:docPr id="380" name="Picture 380" descr="Macintosh HD:Users:ClairFellows:Desktop:Screen Shot 2018-01-08 at 12.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8-01-08 at 12.00.0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7495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6CC9">
        <w:rPr>
          <w:rFonts w:asciiTheme="majorHAnsi" w:hAnsiTheme="majorHAnsi"/>
          <w:noProof/>
          <w:sz w:val="28"/>
          <w:szCs w:val="28"/>
          <w:u w:val="single"/>
          <w:lang w:val="en-US"/>
        </w:rPr>
        <w:drawing>
          <wp:anchor distT="0" distB="0" distL="114300" distR="114300" simplePos="0" relativeHeight="252187648" behindDoc="0" locked="0" layoutInCell="1" allowOverlap="1" wp14:anchorId="1A05E6F4" wp14:editId="2DCA341C">
            <wp:simplePos x="0" y="0"/>
            <wp:positionH relativeFrom="column">
              <wp:posOffset>2856865</wp:posOffset>
            </wp:positionH>
            <wp:positionV relativeFrom="paragraph">
              <wp:posOffset>114300</wp:posOffset>
            </wp:positionV>
            <wp:extent cx="2712720" cy="2286000"/>
            <wp:effectExtent l="0" t="0" r="5080" b="0"/>
            <wp:wrapSquare wrapText="bothSides"/>
            <wp:docPr id="187" name="Picture 187" descr="Macintosh HD:Users:ClairFellows:Desktop:Screen Shot 2018-01-08 at 12.1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irFellows:Desktop:Screen Shot 2018-01-08 at 12.12.49.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272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5D9B">
        <w:rPr>
          <w:rFonts w:asciiTheme="majorHAnsi" w:hAnsiTheme="majorHAnsi"/>
          <w:noProof/>
          <w:sz w:val="28"/>
          <w:szCs w:val="28"/>
          <w:u w:val="single"/>
          <w:lang w:val="en-US"/>
        </w:rPr>
        <mc:AlternateContent>
          <mc:Choice Requires="wps">
            <w:drawing>
              <wp:anchor distT="0" distB="0" distL="114300" distR="114300" simplePos="0" relativeHeight="251966464" behindDoc="0" locked="0" layoutInCell="1" allowOverlap="1" wp14:anchorId="30CB9434" wp14:editId="4089C928">
                <wp:simplePos x="0" y="0"/>
                <wp:positionH relativeFrom="column">
                  <wp:posOffset>-228600</wp:posOffset>
                </wp:positionH>
                <wp:positionV relativeFrom="paragraph">
                  <wp:posOffset>2628900</wp:posOffset>
                </wp:positionV>
                <wp:extent cx="800100" cy="457200"/>
                <wp:effectExtent l="0" t="0" r="0" b="0"/>
                <wp:wrapSquare wrapText="bothSides"/>
                <wp:docPr id="141" name="Text Box 141"/>
                <wp:cNvGraphicFramePr/>
                <a:graphic xmlns:a="http://schemas.openxmlformats.org/drawingml/2006/main">
                  <a:graphicData uri="http://schemas.microsoft.com/office/word/2010/wordprocessingShape">
                    <wps:wsp>
                      <wps:cNvSpPr txBox="1"/>
                      <wps:spPr>
                        <a:xfrm>
                          <a:off x="0" y="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B57699" w14:textId="77777777" w:rsidR="00E82D3B" w:rsidRPr="00950BC1" w:rsidRDefault="00E82D3B" w:rsidP="00091260">
                            <w:pPr>
                              <w:rPr>
                                <w:b/>
                              </w:rPr>
                            </w:pPr>
                            <w:proofErr w:type="gramStart"/>
                            <w:r w:rsidRPr="00950BC1">
                              <w:rPr>
                                <w:b/>
                              </w:rPr>
                              <w:t>b</w:t>
                            </w:r>
                            <w:proofErr w:type="gramEnd"/>
                            <w:r w:rsidRPr="00950BC1">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062" type="#_x0000_t202" style="position:absolute;margin-left:-17.95pt;margin-top:207pt;width:63pt;height:3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" filled="f" stroked="f">
                <v:textbox>
                  <w:txbxContent>
                    <w:p w14:paraId="24B57699" w14:textId="77777777" w:rsidR="000A1E0D" w:rsidRPr="00950BC1" w:rsidRDefault="000A1E0D" w:rsidP="00091260">
                      <w:pPr>
                        <w:rPr>
                          <w:b/>
                        </w:rPr>
                      </w:pPr>
                      <w:proofErr w:type="gramStart"/>
                      <w:r w:rsidRPr="00950BC1">
                        <w:rPr>
                          <w:b/>
                        </w:rPr>
                        <w:t>b</w:t>
                      </w:r>
                      <w:proofErr w:type="gramEnd"/>
                      <w:r w:rsidRPr="00950BC1">
                        <w:rPr>
                          <w:b/>
                        </w:rPr>
                        <w:t>.)</w:t>
                      </w:r>
                    </w:p>
                  </w:txbxContent>
                </v:textbox>
                <w10:wrap type="square"/>
              </v:shape>
            </w:pict>
          </mc:Fallback>
        </mc:AlternateContent>
      </w:r>
      <w:r w:rsidR="00645D9B">
        <w:rPr>
          <w:rFonts w:asciiTheme="majorHAnsi" w:hAnsiTheme="majorHAnsi"/>
          <w:noProof/>
          <w:sz w:val="28"/>
          <w:szCs w:val="28"/>
          <w:u w:val="single"/>
          <w:lang w:val="en-US"/>
        </w:rPr>
        <mc:AlternateContent>
          <mc:Choice Requires="wps">
            <w:drawing>
              <wp:anchor distT="0" distB="0" distL="114300" distR="114300" simplePos="0" relativeHeight="251965440" behindDoc="0" locked="0" layoutInCell="1" allowOverlap="1" wp14:anchorId="086C7302" wp14:editId="5A6196FE">
                <wp:simplePos x="0" y="0"/>
                <wp:positionH relativeFrom="column">
                  <wp:posOffset>-228600</wp:posOffset>
                </wp:positionH>
                <wp:positionV relativeFrom="paragraph">
                  <wp:posOffset>114300</wp:posOffset>
                </wp:positionV>
                <wp:extent cx="457200" cy="571500"/>
                <wp:effectExtent l="0" t="0" r="0" b="12700"/>
                <wp:wrapSquare wrapText="bothSides"/>
                <wp:docPr id="227" name="Text Box 227"/>
                <wp:cNvGraphicFramePr/>
                <a:graphic xmlns:a="http://schemas.openxmlformats.org/drawingml/2006/main">
                  <a:graphicData uri="http://schemas.microsoft.com/office/word/2010/wordprocessingShape">
                    <wps:wsp>
                      <wps:cNvSpPr txBox="1"/>
                      <wps:spPr>
                        <a:xfrm>
                          <a:off x="0" y="0"/>
                          <a:ext cx="457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A9522F" w14:textId="77777777" w:rsidR="00E82D3B" w:rsidRPr="00950BC1" w:rsidRDefault="00E82D3B" w:rsidP="00091260">
                            <w:pPr>
                              <w:rPr>
                                <w:b/>
                              </w:rPr>
                            </w:pPr>
                            <w:proofErr w:type="gramStart"/>
                            <w:r w:rsidRPr="00950BC1">
                              <w:rPr>
                                <w:b/>
                              </w:rPr>
                              <w:t>a</w:t>
                            </w:r>
                            <w:proofErr w:type="gramEnd"/>
                            <w:r w:rsidRPr="00950BC1">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7" o:spid="_x0000_s1063" type="#_x0000_t202" style="position:absolute;margin-left:-17.95pt;margin-top:9pt;width:36pt;height:45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" filled="f" stroked="f">
                <v:textbox>
                  <w:txbxContent>
                    <w:p w14:paraId="15A9522F" w14:textId="77777777" w:rsidR="000A1E0D" w:rsidRPr="00950BC1" w:rsidRDefault="000A1E0D" w:rsidP="00091260">
                      <w:pPr>
                        <w:rPr>
                          <w:b/>
                        </w:rPr>
                      </w:pPr>
                      <w:proofErr w:type="gramStart"/>
                      <w:r w:rsidRPr="00950BC1">
                        <w:rPr>
                          <w:b/>
                        </w:rPr>
                        <w:t>a</w:t>
                      </w:r>
                      <w:proofErr w:type="gramEnd"/>
                      <w:r w:rsidRPr="00950BC1">
                        <w:rPr>
                          <w:b/>
                        </w:rPr>
                        <w:t>.)</w:t>
                      </w:r>
                    </w:p>
                  </w:txbxContent>
                </v:textbox>
                <w10:wrap type="square"/>
              </v:shape>
            </w:pict>
          </mc:Fallback>
        </mc:AlternateContent>
      </w:r>
      <w:r w:rsidR="00091260">
        <w:rPr>
          <w:rFonts w:asciiTheme="majorHAnsi" w:hAnsiTheme="majorHAnsi"/>
          <w:noProof/>
          <w:sz w:val="28"/>
          <w:szCs w:val="28"/>
          <w:u w:val="single"/>
          <w:lang w:val="en-US"/>
        </w:rPr>
        <mc:AlternateContent>
          <mc:Choice Requires="wps">
            <w:drawing>
              <wp:anchor distT="0" distB="0" distL="114300" distR="114300" simplePos="0" relativeHeight="251967488" behindDoc="0" locked="0" layoutInCell="1" allowOverlap="1" wp14:anchorId="3DFDAA03" wp14:editId="515B8E64">
                <wp:simplePos x="0" y="0"/>
                <wp:positionH relativeFrom="column">
                  <wp:posOffset>0</wp:posOffset>
                </wp:positionH>
                <wp:positionV relativeFrom="paragraph">
                  <wp:posOffset>5372100</wp:posOffset>
                </wp:positionV>
                <wp:extent cx="5372100" cy="2286000"/>
                <wp:effectExtent l="0" t="0" r="0" b="0"/>
                <wp:wrapSquare wrapText="bothSides"/>
                <wp:docPr id="226" name="Text Box 226"/>
                <wp:cNvGraphicFramePr/>
                <a:graphic xmlns:a="http://schemas.openxmlformats.org/drawingml/2006/main">
                  <a:graphicData uri="http://schemas.microsoft.com/office/word/2010/wordprocessingShape">
                    <wps:wsp>
                      <wps:cNvSpPr txBox="1"/>
                      <wps:spPr>
                        <a:xfrm>
                          <a:off x="0" y="0"/>
                          <a:ext cx="53721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5E42AA" w14:textId="6EFD4AE6" w:rsidR="00E82D3B" w:rsidRPr="00950BC1" w:rsidRDefault="00E82D3B" w:rsidP="00091260">
                            <w:pPr>
                              <w:jc w:val="both"/>
                              <w:rPr>
                                <w:b/>
                                <w:i/>
                                <w:sz w:val="22"/>
                              </w:rPr>
                            </w:pPr>
                            <w:r w:rsidRPr="00950BC1">
                              <w:rPr>
                                <w:b/>
                                <w:i/>
                                <w:sz w:val="22"/>
                              </w:rPr>
                              <w:t>F</w:t>
                            </w:r>
                            <w:r>
                              <w:rPr>
                                <w:b/>
                                <w:i/>
                                <w:sz w:val="22"/>
                              </w:rPr>
                              <w:t>igure 3.12 SRCAP over-</w:t>
                            </w:r>
                            <w:r w:rsidRPr="00950BC1">
                              <w:rPr>
                                <w:b/>
                                <w:i/>
                                <w:sz w:val="22"/>
                              </w:rPr>
                              <w:t>expressing cells via Tet-induction shows no difference in DNA da</w:t>
                            </w:r>
                            <w:r>
                              <w:rPr>
                                <w:b/>
                                <w:i/>
                                <w:sz w:val="22"/>
                              </w:rPr>
                              <w:t>mage compared to cells not over-</w:t>
                            </w:r>
                            <w:r w:rsidRPr="00950BC1">
                              <w:rPr>
                                <w:b/>
                                <w:i/>
                                <w:sz w:val="22"/>
                              </w:rPr>
                              <w:t xml:space="preserve">expressing the </w:t>
                            </w:r>
                            <w:r>
                              <w:rPr>
                                <w:b/>
                                <w:i/>
                                <w:sz w:val="22"/>
                              </w:rPr>
                              <w:t xml:space="preserve">YFP SRCAP </w:t>
                            </w:r>
                            <w:r w:rsidRPr="00950BC1">
                              <w:rPr>
                                <w:b/>
                                <w:i/>
                                <w:sz w:val="22"/>
                              </w:rPr>
                              <w:t>construct</w:t>
                            </w:r>
                          </w:p>
                          <w:p w14:paraId="36303B77" w14:textId="5FDF4421" w:rsidR="00E82D3B" w:rsidRDefault="00E82D3B" w:rsidP="00091260">
                            <w:pPr>
                              <w:jc w:val="both"/>
                              <w:rPr>
                                <w:i/>
                                <w:sz w:val="22"/>
                              </w:rPr>
                            </w:pPr>
                            <w:r>
                              <w:rPr>
                                <w:i/>
                                <w:sz w:val="22"/>
                              </w:rPr>
                              <w:t xml:space="preserve">a.) Representative images of the HCT116 Flp-In cells transfected with YFP SRCAP and subjected to 72hrs of Tet induction. With anti-GFP antibody used to detect the YFP construct, and </w:t>
                            </w:r>
                            <w:r>
                              <w:rPr>
                                <w:rFonts w:ascii="Cambria" w:hAnsi="Cambria"/>
                                <w:i/>
                                <w:sz w:val="22"/>
                              </w:rPr>
                              <w:t>γ</w:t>
                            </w:r>
                            <w:r>
                              <w:rPr>
                                <w:i/>
                                <w:sz w:val="22"/>
                              </w:rPr>
                              <w:t>H2AX and 53BP1to look at markers of DNA damage</w:t>
                            </w:r>
                          </w:p>
                          <w:p w14:paraId="7366178C" w14:textId="7CB2D59E" w:rsidR="00E82D3B" w:rsidRPr="00950BC1" w:rsidRDefault="00E82D3B" w:rsidP="00091260">
                            <w:pPr>
                              <w:jc w:val="both"/>
                              <w:rPr>
                                <w:i/>
                                <w:sz w:val="22"/>
                              </w:rPr>
                            </w:pPr>
                            <w:r>
                              <w:rPr>
                                <w:i/>
                                <w:sz w:val="22"/>
                              </w:rPr>
                              <w:t xml:space="preserve">b.) </w:t>
                            </w:r>
                            <w:proofErr w:type="gramStart"/>
                            <w:r>
                              <w:rPr>
                                <w:i/>
                                <w:sz w:val="22"/>
                              </w:rPr>
                              <w:t>The</w:t>
                            </w:r>
                            <w:proofErr w:type="gramEnd"/>
                            <w:r>
                              <w:rPr>
                                <w:i/>
                                <w:sz w:val="22"/>
                              </w:rPr>
                              <w:t xml:space="preserve"> number of foci per cell was counted for 100 cells per condition and averaged. The parameters counted were the parental HCT116 Flp-In cells, transfected cells with no Tet induction (-</w:t>
                            </w:r>
                            <w:proofErr w:type="spellStart"/>
                            <w:r>
                              <w:rPr>
                                <w:i/>
                                <w:sz w:val="22"/>
                              </w:rPr>
                              <w:t>tet</w:t>
                            </w:r>
                            <w:proofErr w:type="spellEnd"/>
                            <w:r>
                              <w:rPr>
                                <w:i/>
                                <w:sz w:val="22"/>
                              </w:rPr>
                              <w:t xml:space="preserve"> YFP SRCAP), Tet induced cells </w:t>
                            </w:r>
                            <w:proofErr w:type="gramStart"/>
                            <w:r>
                              <w:rPr>
                                <w:i/>
                                <w:sz w:val="22"/>
                              </w:rPr>
                              <w:t>which didn’t show YFP fluorescence</w:t>
                            </w:r>
                            <w:proofErr w:type="gramEnd"/>
                            <w:r>
                              <w:rPr>
                                <w:i/>
                                <w:sz w:val="22"/>
                              </w:rPr>
                              <w:t xml:space="preserve"> (+</w:t>
                            </w:r>
                            <w:proofErr w:type="spellStart"/>
                            <w:r>
                              <w:rPr>
                                <w:i/>
                                <w:sz w:val="22"/>
                              </w:rPr>
                              <w:t>tet</w:t>
                            </w:r>
                            <w:proofErr w:type="spellEnd"/>
                            <w:r>
                              <w:rPr>
                                <w:i/>
                                <w:sz w:val="22"/>
                              </w:rPr>
                              <w:t xml:space="preserve"> – YFP SRCAP) and Tet induced cells, which did show YFP fluorescence (+</w:t>
                            </w:r>
                            <w:proofErr w:type="spellStart"/>
                            <w:r>
                              <w:rPr>
                                <w:i/>
                                <w:sz w:val="22"/>
                              </w:rPr>
                              <w:t>tet</w:t>
                            </w:r>
                            <w:proofErr w:type="spellEnd"/>
                            <w:r>
                              <w:rPr>
                                <w:i/>
                                <w:sz w:val="22"/>
                              </w:rPr>
                              <w:t xml:space="preserve"> + YFP SRCAP). Using a Kruskal- Wallis non-parametric test there was a significant difference in </w:t>
                            </w:r>
                            <w:r>
                              <w:rPr>
                                <w:rFonts w:ascii="Cambria" w:hAnsi="Cambria"/>
                                <w:i/>
                                <w:sz w:val="22"/>
                              </w:rPr>
                              <w:t>γ</w:t>
                            </w:r>
                            <w:r>
                              <w:rPr>
                                <w:i/>
                                <w:sz w:val="22"/>
                              </w:rPr>
                              <w:t>H2AX- p=0.0418, but not in 53BP1- p=0.0502 overall. However, the individual p values using multiple comparisons gave significance with both markers when compared against control Flp. HCT116 cells as shown by the significance stars on the graph (</w:t>
                            </w:r>
                            <w:r>
                              <w:rPr>
                                <w:i/>
                                <w:iCs/>
                                <w:sz w:val="22"/>
                                <w:szCs w:val="22"/>
                              </w:rPr>
                              <w:t>* = p≤0.05).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6" o:spid="_x0000_s1064" type="#_x0000_t202" style="position:absolute;margin-left:0;margin-top:423pt;width:423pt;height:180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" filled="f" stroked="f">
                <v:textbox>
                  <w:txbxContent>
                    <w:p w14:paraId="375E42AA" w14:textId="6EFD4AE6" w:rsidR="000A1E0D" w:rsidRPr="00950BC1" w:rsidRDefault="000A1E0D" w:rsidP="00091260">
                      <w:pPr>
                        <w:jc w:val="both"/>
                        <w:rPr>
                          <w:b/>
                          <w:i/>
                          <w:sz w:val="22"/>
                        </w:rPr>
                      </w:pPr>
                      <w:r w:rsidRPr="00950BC1">
                        <w:rPr>
                          <w:b/>
                          <w:i/>
                          <w:sz w:val="22"/>
                        </w:rPr>
                        <w:t>F</w:t>
                      </w:r>
                      <w:r>
                        <w:rPr>
                          <w:b/>
                          <w:i/>
                          <w:sz w:val="22"/>
                        </w:rPr>
                        <w:t>igure 3.12 SRCAP over-</w:t>
                      </w:r>
                      <w:r w:rsidRPr="00950BC1">
                        <w:rPr>
                          <w:b/>
                          <w:i/>
                          <w:sz w:val="22"/>
                        </w:rPr>
                        <w:t>expressing cells via Tet-induction shows no difference in DNA da</w:t>
                      </w:r>
                      <w:r>
                        <w:rPr>
                          <w:b/>
                          <w:i/>
                          <w:sz w:val="22"/>
                        </w:rPr>
                        <w:t>mage compared to cells not over-</w:t>
                      </w:r>
                      <w:r w:rsidRPr="00950BC1">
                        <w:rPr>
                          <w:b/>
                          <w:i/>
                          <w:sz w:val="22"/>
                        </w:rPr>
                        <w:t xml:space="preserve">expressing the </w:t>
                      </w:r>
                      <w:r>
                        <w:rPr>
                          <w:b/>
                          <w:i/>
                          <w:sz w:val="22"/>
                        </w:rPr>
                        <w:t xml:space="preserve">YFP SRCAP </w:t>
                      </w:r>
                      <w:r w:rsidRPr="00950BC1">
                        <w:rPr>
                          <w:b/>
                          <w:i/>
                          <w:sz w:val="22"/>
                        </w:rPr>
                        <w:t>construct</w:t>
                      </w:r>
                    </w:p>
                    <w:p w14:paraId="36303B77" w14:textId="5FDF4421" w:rsidR="000A1E0D" w:rsidRDefault="000A1E0D" w:rsidP="00091260">
                      <w:pPr>
                        <w:jc w:val="both"/>
                        <w:rPr>
                          <w:i/>
                          <w:sz w:val="22"/>
                        </w:rPr>
                      </w:pPr>
                      <w:r>
                        <w:rPr>
                          <w:i/>
                          <w:sz w:val="22"/>
                        </w:rPr>
                        <w:t xml:space="preserve">a.) Representative images of the HCT116 Flp-In cells transfected with YFP SRCAP and subjected to 72hrs of Tet induction. With anti-GFP antibody used to detect the YFP construct, and </w:t>
                      </w:r>
                      <w:r>
                        <w:rPr>
                          <w:rFonts w:ascii="Cambria" w:hAnsi="Cambria"/>
                          <w:i/>
                          <w:sz w:val="22"/>
                        </w:rPr>
                        <w:t>γ</w:t>
                      </w:r>
                      <w:r>
                        <w:rPr>
                          <w:i/>
                          <w:sz w:val="22"/>
                        </w:rPr>
                        <w:t>H2AX and 53BP1to look at markers of DNA damage</w:t>
                      </w:r>
                    </w:p>
                    <w:p w14:paraId="7366178C" w14:textId="7CB2D59E" w:rsidR="000A1E0D" w:rsidRPr="00950BC1" w:rsidRDefault="000A1E0D" w:rsidP="00091260">
                      <w:pPr>
                        <w:jc w:val="both"/>
                        <w:rPr>
                          <w:i/>
                          <w:sz w:val="22"/>
                        </w:rPr>
                      </w:pPr>
                      <w:r>
                        <w:rPr>
                          <w:i/>
                          <w:sz w:val="22"/>
                        </w:rPr>
                        <w:t xml:space="preserve">b.) </w:t>
                      </w:r>
                      <w:proofErr w:type="gramStart"/>
                      <w:r>
                        <w:rPr>
                          <w:i/>
                          <w:sz w:val="22"/>
                        </w:rPr>
                        <w:t>The</w:t>
                      </w:r>
                      <w:proofErr w:type="gramEnd"/>
                      <w:r>
                        <w:rPr>
                          <w:i/>
                          <w:sz w:val="22"/>
                        </w:rPr>
                        <w:t xml:space="preserve"> number of foci per cell was counted for 100 cells per condition and averaged. The parameters counted were the parental HCT116 Flp-In cells, transfected cells with no Tet induction (-</w:t>
                      </w:r>
                      <w:proofErr w:type="spellStart"/>
                      <w:r>
                        <w:rPr>
                          <w:i/>
                          <w:sz w:val="22"/>
                        </w:rPr>
                        <w:t>tet</w:t>
                      </w:r>
                      <w:proofErr w:type="spellEnd"/>
                      <w:r>
                        <w:rPr>
                          <w:i/>
                          <w:sz w:val="22"/>
                        </w:rPr>
                        <w:t xml:space="preserve"> YFP SRCAP), Tet induced cells </w:t>
                      </w:r>
                      <w:proofErr w:type="gramStart"/>
                      <w:r>
                        <w:rPr>
                          <w:i/>
                          <w:sz w:val="22"/>
                        </w:rPr>
                        <w:t>which didn’t show YFP fluorescence</w:t>
                      </w:r>
                      <w:proofErr w:type="gramEnd"/>
                      <w:r>
                        <w:rPr>
                          <w:i/>
                          <w:sz w:val="22"/>
                        </w:rPr>
                        <w:t xml:space="preserve"> (+</w:t>
                      </w:r>
                      <w:proofErr w:type="spellStart"/>
                      <w:r>
                        <w:rPr>
                          <w:i/>
                          <w:sz w:val="22"/>
                        </w:rPr>
                        <w:t>tet</w:t>
                      </w:r>
                      <w:proofErr w:type="spellEnd"/>
                      <w:r>
                        <w:rPr>
                          <w:i/>
                          <w:sz w:val="22"/>
                        </w:rPr>
                        <w:t xml:space="preserve"> – YFP SRCAP) and Tet induced cells, which did show YFP fluorescence (+</w:t>
                      </w:r>
                      <w:proofErr w:type="spellStart"/>
                      <w:r>
                        <w:rPr>
                          <w:i/>
                          <w:sz w:val="22"/>
                        </w:rPr>
                        <w:t>tet</w:t>
                      </w:r>
                      <w:proofErr w:type="spellEnd"/>
                      <w:r>
                        <w:rPr>
                          <w:i/>
                          <w:sz w:val="22"/>
                        </w:rPr>
                        <w:t xml:space="preserve"> + YFP SRCAP). Using a Kruskal- Wallis non-parametric test there was a significant difference in </w:t>
                      </w:r>
                      <w:r>
                        <w:rPr>
                          <w:rFonts w:ascii="Cambria" w:hAnsi="Cambria"/>
                          <w:i/>
                          <w:sz w:val="22"/>
                        </w:rPr>
                        <w:t>γ</w:t>
                      </w:r>
                      <w:r>
                        <w:rPr>
                          <w:i/>
                          <w:sz w:val="22"/>
                        </w:rPr>
                        <w:t>H2AX- p=0.0418, but not in 53BP1- p=0.0502 overall. However, the individual p values using multiple comparisons gave significance with both markers when compared against control Flp. HCT116 cells as shown by the significance stars on the graph (</w:t>
                      </w:r>
                      <w:r>
                        <w:rPr>
                          <w:i/>
                          <w:iCs/>
                          <w:sz w:val="22"/>
                          <w:szCs w:val="22"/>
                        </w:rPr>
                        <w:t>* = p≤0.05).</w:t>
                      </w:r>
                    </w:p>
                  </w:txbxContent>
                </v:textbox>
                <w10:wrap type="square"/>
              </v:shape>
            </w:pict>
          </mc:Fallback>
        </mc:AlternateContent>
      </w:r>
      <w:r w:rsidR="00091260">
        <w:rPr>
          <w:rFonts w:asciiTheme="majorHAnsi" w:hAnsiTheme="majorHAnsi"/>
          <w:sz w:val="28"/>
          <w:szCs w:val="28"/>
          <w:u w:val="single"/>
        </w:rPr>
        <w:br w:type="page"/>
      </w:r>
    </w:p>
    <w:p w14:paraId="74806EE2" w14:textId="4753F988" w:rsidR="00091260" w:rsidRPr="00915999" w:rsidRDefault="00091260" w:rsidP="00091260">
      <w:pPr>
        <w:spacing w:line="360" w:lineRule="auto"/>
        <w:jc w:val="both"/>
        <w:rPr>
          <w:rFonts w:asciiTheme="majorHAnsi" w:hAnsiTheme="majorHAnsi"/>
        </w:rPr>
      </w:pPr>
      <w:r>
        <w:rPr>
          <w:rFonts w:asciiTheme="majorHAnsi" w:hAnsiTheme="majorHAnsi"/>
          <w:sz w:val="28"/>
          <w:szCs w:val="28"/>
          <w:u w:val="single"/>
        </w:rPr>
        <w:t xml:space="preserve">3.6 Transient transfection of deactivated </w:t>
      </w:r>
      <w:r w:rsidRPr="00915999">
        <w:rPr>
          <w:rFonts w:asciiTheme="majorHAnsi" w:hAnsiTheme="majorHAnsi"/>
          <w:sz w:val="28"/>
          <w:szCs w:val="28"/>
          <w:u w:val="single"/>
        </w:rPr>
        <w:t xml:space="preserve">CRIPSR/Cas9 </w:t>
      </w:r>
      <w:r>
        <w:rPr>
          <w:rFonts w:asciiTheme="majorHAnsi" w:hAnsiTheme="majorHAnsi"/>
          <w:sz w:val="28"/>
          <w:szCs w:val="28"/>
          <w:u w:val="single"/>
        </w:rPr>
        <w:t xml:space="preserve">as an alternative </w:t>
      </w:r>
      <w:r w:rsidR="00B41C0C">
        <w:rPr>
          <w:rFonts w:asciiTheme="majorHAnsi" w:hAnsiTheme="majorHAnsi"/>
          <w:sz w:val="28"/>
          <w:szCs w:val="28"/>
          <w:u w:val="single"/>
        </w:rPr>
        <w:t>approach</w:t>
      </w:r>
      <w:r>
        <w:rPr>
          <w:rFonts w:asciiTheme="majorHAnsi" w:hAnsiTheme="majorHAnsi"/>
          <w:sz w:val="28"/>
          <w:szCs w:val="28"/>
          <w:u w:val="single"/>
        </w:rPr>
        <w:t xml:space="preserve"> to generate</w:t>
      </w:r>
      <w:r w:rsidRPr="00915999">
        <w:rPr>
          <w:rFonts w:asciiTheme="majorHAnsi" w:hAnsiTheme="majorHAnsi"/>
          <w:sz w:val="28"/>
          <w:szCs w:val="28"/>
          <w:u w:val="single"/>
        </w:rPr>
        <w:t xml:space="preserve"> </w:t>
      </w:r>
      <w:r w:rsidRPr="000A1F7B">
        <w:rPr>
          <w:rFonts w:asciiTheme="majorHAnsi" w:hAnsiTheme="majorHAnsi"/>
          <w:i/>
          <w:sz w:val="28"/>
          <w:szCs w:val="28"/>
          <w:u w:val="single"/>
        </w:rPr>
        <w:t>SRCAP</w:t>
      </w:r>
      <w:r w:rsidRPr="00915999">
        <w:rPr>
          <w:rFonts w:asciiTheme="majorHAnsi" w:hAnsiTheme="majorHAnsi"/>
          <w:sz w:val="28"/>
          <w:szCs w:val="28"/>
          <w:u w:val="single"/>
        </w:rPr>
        <w:t xml:space="preserve"> over</w:t>
      </w:r>
      <w:r w:rsidR="00A23FE7">
        <w:rPr>
          <w:rFonts w:asciiTheme="majorHAnsi" w:hAnsiTheme="majorHAnsi"/>
          <w:sz w:val="28"/>
          <w:szCs w:val="28"/>
          <w:u w:val="single"/>
        </w:rPr>
        <w:t>-</w:t>
      </w:r>
      <w:r w:rsidRPr="00915999">
        <w:rPr>
          <w:rFonts w:asciiTheme="majorHAnsi" w:hAnsiTheme="majorHAnsi"/>
          <w:sz w:val="28"/>
          <w:szCs w:val="28"/>
          <w:u w:val="single"/>
        </w:rPr>
        <w:t>expressi</w:t>
      </w:r>
      <w:r>
        <w:rPr>
          <w:rFonts w:asciiTheme="majorHAnsi" w:hAnsiTheme="majorHAnsi"/>
          <w:sz w:val="28"/>
          <w:szCs w:val="28"/>
          <w:u w:val="single"/>
        </w:rPr>
        <w:t>ng cells</w:t>
      </w:r>
    </w:p>
    <w:p w14:paraId="7E2AD9FF" w14:textId="77777777" w:rsidR="00091260" w:rsidRDefault="00091260" w:rsidP="00091260">
      <w:pPr>
        <w:spacing w:line="360" w:lineRule="auto"/>
        <w:jc w:val="both"/>
        <w:rPr>
          <w:rFonts w:asciiTheme="majorHAnsi" w:hAnsiTheme="majorHAnsi"/>
        </w:rPr>
      </w:pPr>
    </w:p>
    <w:p w14:paraId="15A81626" w14:textId="1F1553E0" w:rsidR="00D64E49" w:rsidRDefault="00091260" w:rsidP="00091260">
      <w:pPr>
        <w:spacing w:line="360" w:lineRule="auto"/>
        <w:jc w:val="both"/>
        <w:rPr>
          <w:rFonts w:asciiTheme="majorHAnsi" w:hAnsiTheme="majorHAnsi"/>
        </w:rPr>
      </w:pPr>
      <w:r w:rsidRPr="00E82D3B">
        <w:rPr>
          <w:rFonts w:asciiTheme="majorHAnsi" w:hAnsiTheme="majorHAnsi"/>
        </w:rPr>
        <w:t>As part of the over</w:t>
      </w:r>
      <w:r w:rsidR="00A23FE7" w:rsidRPr="00E82D3B">
        <w:rPr>
          <w:rFonts w:asciiTheme="majorHAnsi" w:hAnsiTheme="majorHAnsi"/>
        </w:rPr>
        <w:t>-</w:t>
      </w:r>
      <w:r w:rsidRPr="00E82D3B">
        <w:rPr>
          <w:rFonts w:asciiTheme="majorHAnsi" w:hAnsiTheme="majorHAnsi"/>
        </w:rPr>
        <w:t>expression studies, a CRISPR/</w:t>
      </w:r>
      <w:r w:rsidR="00D64E49" w:rsidRPr="00E82D3B">
        <w:rPr>
          <w:rFonts w:asciiTheme="majorHAnsi" w:hAnsiTheme="majorHAnsi"/>
        </w:rPr>
        <w:t>d</w:t>
      </w:r>
      <w:r w:rsidRPr="00E82D3B">
        <w:rPr>
          <w:rFonts w:asciiTheme="majorHAnsi" w:hAnsiTheme="majorHAnsi"/>
        </w:rPr>
        <w:t xml:space="preserve">Cas9 gene activation system with a gRNA for </w:t>
      </w:r>
      <w:r w:rsidRPr="00E82D3B">
        <w:rPr>
          <w:rFonts w:asciiTheme="majorHAnsi" w:hAnsiTheme="majorHAnsi"/>
          <w:i/>
        </w:rPr>
        <w:t>SRCAP</w:t>
      </w:r>
      <w:r w:rsidRPr="00E82D3B">
        <w:rPr>
          <w:rFonts w:asciiTheme="majorHAnsi" w:hAnsiTheme="majorHAnsi"/>
        </w:rPr>
        <w:t xml:space="preserve"> was purchased from Santa Cruz Biotechnolog</w:t>
      </w:r>
      <w:r w:rsidR="00A23FE7" w:rsidRPr="00E82D3B">
        <w:rPr>
          <w:rFonts w:asciiTheme="majorHAnsi" w:hAnsiTheme="majorHAnsi"/>
        </w:rPr>
        <w:t>y in order to create cells over-</w:t>
      </w:r>
      <w:r w:rsidRPr="00E82D3B">
        <w:rPr>
          <w:rFonts w:asciiTheme="majorHAnsi" w:hAnsiTheme="majorHAnsi"/>
        </w:rPr>
        <w:t xml:space="preserve">expressing endogenous SRCAP. </w:t>
      </w:r>
      <w:r w:rsidR="00A23FE7" w:rsidRPr="00E82D3B">
        <w:rPr>
          <w:rFonts w:asciiTheme="majorHAnsi" w:hAnsiTheme="majorHAnsi"/>
        </w:rPr>
        <w:t>This system</w:t>
      </w:r>
      <w:r w:rsidRPr="00E82D3B">
        <w:rPr>
          <w:rFonts w:asciiTheme="majorHAnsi" w:hAnsiTheme="majorHAnsi"/>
        </w:rPr>
        <w:t xml:space="preserve"> contained a solution of three plasmids at a 1:1:1 ratio, containing the deactivated Cas9 complex</w:t>
      </w:r>
      <w:r w:rsidR="00D64E49" w:rsidRPr="00E82D3B">
        <w:rPr>
          <w:rFonts w:asciiTheme="majorHAnsi" w:hAnsiTheme="majorHAnsi"/>
        </w:rPr>
        <w:t xml:space="preserve"> conjugated to a VP64 transcription activator</w:t>
      </w:r>
      <w:r w:rsidRPr="00E82D3B">
        <w:rPr>
          <w:rFonts w:asciiTheme="majorHAnsi" w:hAnsiTheme="majorHAnsi"/>
        </w:rPr>
        <w:t>, gRNA</w:t>
      </w:r>
      <w:r w:rsidR="00D64E49" w:rsidRPr="00E82D3B">
        <w:rPr>
          <w:rFonts w:asciiTheme="majorHAnsi" w:hAnsiTheme="majorHAnsi"/>
        </w:rPr>
        <w:t xml:space="preserve"> with</w:t>
      </w:r>
      <w:r w:rsidR="00086FFE" w:rsidRPr="00E82D3B">
        <w:rPr>
          <w:rFonts w:asciiTheme="majorHAnsi" w:hAnsiTheme="majorHAnsi"/>
        </w:rPr>
        <w:t xml:space="preserve"> hairpin </w:t>
      </w:r>
      <w:proofErr w:type="spellStart"/>
      <w:r w:rsidR="00086FFE" w:rsidRPr="00E82D3B">
        <w:rPr>
          <w:rFonts w:asciiTheme="majorHAnsi" w:hAnsiTheme="majorHAnsi"/>
        </w:rPr>
        <w:t>aptamers</w:t>
      </w:r>
      <w:proofErr w:type="spellEnd"/>
      <w:r w:rsidR="00086FFE" w:rsidRPr="00E82D3B">
        <w:rPr>
          <w:rFonts w:asciiTheme="majorHAnsi" w:hAnsiTheme="majorHAnsi"/>
        </w:rPr>
        <w:t xml:space="preserve"> to allow bind of</w:t>
      </w:r>
      <w:r w:rsidR="00D64E49" w:rsidRPr="00E82D3B">
        <w:rPr>
          <w:rFonts w:asciiTheme="majorHAnsi" w:hAnsiTheme="majorHAnsi"/>
        </w:rPr>
        <w:t xml:space="preserve"> MS2 </w:t>
      </w:r>
      <w:r w:rsidR="00086FFE" w:rsidRPr="00E82D3B">
        <w:rPr>
          <w:rFonts w:asciiTheme="majorHAnsi" w:hAnsiTheme="majorHAnsi"/>
        </w:rPr>
        <w:t xml:space="preserve">bacteriophage coat </w:t>
      </w:r>
      <w:r w:rsidR="00D64E49" w:rsidRPr="00E82D3B">
        <w:rPr>
          <w:rFonts w:asciiTheme="majorHAnsi" w:hAnsiTheme="majorHAnsi"/>
        </w:rPr>
        <w:t>protein</w:t>
      </w:r>
      <w:r w:rsidR="00086FFE" w:rsidRPr="00E82D3B">
        <w:rPr>
          <w:rFonts w:asciiTheme="majorHAnsi" w:hAnsiTheme="majorHAnsi"/>
        </w:rPr>
        <w:t>s</w:t>
      </w:r>
      <w:r w:rsidR="00D64E49" w:rsidRPr="00E82D3B">
        <w:rPr>
          <w:rFonts w:asciiTheme="majorHAnsi" w:hAnsiTheme="majorHAnsi"/>
        </w:rPr>
        <w:t xml:space="preserve"> and a</w:t>
      </w:r>
      <w:r w:rsidR="00086FFE" w:rsidRPr="00E82D3B">
        <w:rPr>
          <w:rFonts w:asciiTheme="majorHAnsi" w:hAnsiTheme="majorHAnsi"/>
        </w:rPr>
        <w:t>n</w:t>
      </w:r>
      <w:r w:rsidR="00D64E49" w:rsidRPr="00E82D3B">
        <w:rPr>
          <w:rFonts w:asciiTheme="majorHAnsi" w:hAnsiTheme="majorHAnsi"/>
        </w:rPr>
        <w:t xml:space="preserve"> activation helper vector containing MS2-P65-HSF1</w:t>
      </w:r>
      <w:r w:rsidRPr="00E82D3B">
        <w:rPr>
          <w:rFonts w:asciiTheme="majorHAnsi" w:hAnsiTheme="majorHAnsi"/>
        </w:rPr>
        <w:t xml:space="preserve">. </w:t>
      </w:r>
      <w:r w:rsidR="00D64E49" w:rsidRPr="00E82D3B">
        <w:rPr>
          <w:rFonts w:asciiTheme="majorHAnsi" w:hAnsiTheme="majorHAnsi"/>
        </w:rPr>
        <w:t xml:space="preserve">This is known as the synergistic activation mediator </w:t>
      </w:r>
      <w:r w:rsidR="00086FFE" w:rsidRPr="00E82D3B">
        <w:rPr>
          <w:rFonts w:asciiTheme="majorHAnsi" w:hAnsiTheme="majorHAnsi"/>
        </w:rPr>
        <w:t>system or SAM. The gRNA binds to the complimentary base pairs of the gene of interest and directs the dCas9-VP64 complex to bind as well. This will increase transcriptional activation through RNA polymerase II recruitment, however the third vector codes for MS2 proteins conjugated to two further transcriptional mediators-p65 and HSF1. These MS2 proteins can therefore bind to the specific sites engineered onto the gRNA to further up</w:t>
      </w:r>
      <w:r w:rsidR="00FE0D70" w:rsidRPr="00E82D3B">
        <w:rPr>
          <w:rFonts w:asciiTheme="majorHAnsi" w:hAnsiTheme="majorHAnsi"/>
        </w:rPr>
        <w:t xml:space="preserve"> </w:t>
      </w:r>
      <w:r w:rsidR="00086FFE" w:rsidRPr="00E82D3B">
        <w:rPr>
          <w:rFonts w:asciiTheme="majorHAnsi" w:hAnsiTheme="majorHAnsi"/>
        </w:rPr>
        <w:t>regulate transcriptional activation of the gene of interest</w:t>
      </w:r>
      <w:r w:rsidR="004F0F63" w:rsidRPr="00E82D3B">
        <w:rPr>
          <w:rFonts w:asciiTheme="majorHAnsi" w:hAnsiTheme="majorHAnsi"/>
        </w:rPr>
        <w:t xml:space="preserve"> </w:t>
      </w:r>
      <w:r w:rsidR="004F0F63" w:rsidRPr="00E82D3B">
        <w:rPr>
          <w:rFonts w:asciiTheme="majorHAnsi" w:hAnsiTheme="majorHAnsi"/>
        </w:rPr>
        <w:fldChar w:fldCharType="begin"/>
      </w:r>
      <w:r w:rsidR="004F0F63" w:rsidRPr="00E82D3B">
        <w:rPr>
          <w:rFonts w:asciiTheme="majorHAnsi" w:hAnsiTheme="majorHAnsi"/>
        </w:rPr>
        <w:instrText xml:space="preserve"> ADDIN EN.CITE &lt;EndNote&gt;&lt;Cite&gt;&lt;Author&gt;Zhang&lt;/Author&gt;&lt;Year&gt;2015&lt;/Year&gt;&lt;IDText&gt;CRISPR/gRNA-directed synergistic activation mediator (SAM) induces specific, persistent and robust reactivation of the HIV-1 latent reservoirs&lt;/IDText&gt;&lt;DisplayText&gt;(Zhang et al., 2015)&lt;/DisplayText&gt;&lt;record&gt;&lt;dates&gt;&lt;pub-dates&gt;&lt;date&gt;Nov&lt;/date&gt;&lt;/pub-dates&gt;&lt;year&gt;2015&lt;/year&gt;&lt;/dates&gt;&lt;keywords&gt;&lt;keyword&gt;Cell Line, Tumor&lt;/keyword&gt;&lt;keyword&gt;Clustered Regularly Interspaced Short Palindromic Repeats&lt;/keyword&gt;&lt;keyword&gt;HIV Infections&lt;/keyword&gt;&lt;keyword&gt;HIV Long Terminal Repeat&lt;/keyword&gt;&lt;keyword&gt;HIV-1&lt;/keyword&gt;&lt;keyword&gt;Humans&lt;/keyword&gt;&lt;keyword&gt;Jurkat Cells&lt;/keyword&gt;&lt;keyword&gt;Proviruses&lt;/keyword&gt;&lt;keyword&gt;RNA, Guide&lt;/keyword&gt;&lt;keyword&gt;T-Lymphocytes&lt;/keyword&gt;&lt;keyword&gt;Virus Activation&lt;/keyword&gt;&lt;keyword&gt;Virus Latency&lt;/keyword&gt;&lt;/keywords&gt;&lt;urls&gt;&lt;related-urls&gt;&lt;url&gt;https://www.ncbi.nlm.nih.gov/pubmed/26538064&lt;/url&gt;&lt;/related-urls&gt;&lt;/urls&gt;&lt;isbn&gt;2045-2322&lt;/isbn&gt;&lt;custom2&gt;PMC4633726&lt;/custom2&gt;&lt;titles&gt;&lt;title&gt;CRISPR/gRNA-directed synergistic activation mediator (SAM) induces specific, persistent and robust reactivation of the HIV-1 latent reservoirs&lt;/title&gt;&lt;secondary-title&gt;Sci Rep&lt;/secondary-title&gt;&lt;/titles&gt;&lt;pages&gt;16277&lt;/pages&gt;&lt;contributors&gt;&lt;authors&gt;&lt;author&gt;Zhang, Y.&lt;/author&gt;&lt;author&gt;Yin, C.&lt;/author&gt;&lt;author&gt;Zhang, T.&lt;/author&gt;&lt;author&gt;Li, F.&lt;/author&gt;&lt;author&gt;Yang, W.&lt;/author&gt;&lt;author&gt;Kaminski, R.&lt;/author&gt;&lt;author&gt;Fagan, P. R.&lt;/author&gt;&lt;author&gt;Putatunda, R.&lt;/author&gt;&lt;author&gt;Young, W. B.&lt;/author&gt;&lt;author&gt;Khalili, K.&lt;/author&gt;&lt;author&gt;Hu, W.&lt;/author&gt;&lt;/authors&gt;&lt;/contributors&gt;&lt;edition&gt;2015/11/05&lt;/edition&gt;&lt;language&gt;eng&lt;/language&gt;&lt;added-date format="utc"&gt;1522921439&lt;/added-date&gt;&lt;ref-type name="Journal Article"&gt;17&lt;/ref-type&gt;&lt;rec-number&gt;395&lt;/rec-number&gt;&lt;last-updated-date format="utc"&gt;1522921439&lt;/last-updated-date&gt;&lt;accession-num&gt;26538064&lt;/accession-num&gt;&lt;electronic-resource-num&gt;10.1038/srep16277&lt;/electronic-resource-num&gt;&lt;volume&gt;5&lt;/volume&gt;&lt;/record&gt;&lt;/Cite&gt;&lt;/EndNote&gt;</w:instrText>
      </w:r>
      <w:r w:rsidR="004F0F63" w:rsidRPr="00E82D3B">
        <w:rPr>
          <w:rFonts w:asciiTheme="majorHAnsi" w:hAnsiTheme="majorHAnsi"/>
        </w:rPr>
        <w:fldChar w:fldCharType="separate"/>
      </w:r>
      <w:r w:rsidR="004F0F63" w:rsidRPr="00E82D3B">
        <w:rPr>
          <w:rFonts w:asciiTheme="majorHAnsi" w:hAnsiTheme="majorHAnsi"/>
          <w:noProof/>
        </w:rPr>
        <w:t>(Zhang et al., 2015)</w:t>
      </w:r>
      <w:r w:rsidR="004F0F63" w:rsidRPr="00E82D3B">
        <w:rPr>
          <w:rFonts w:asciiTheme="majorHAnsi" w:hAnsiTheme="majorHAnsi"/>
        </w:rPr>
        <w:fldChar w:fldCharType="end"/>
      </w:r>
      <w:r w:rsidR="00086FFE" w:rsidRPr="00E82D3B">
        <w:rPr>
          <w:rFonts w:asciiTheme="majorHAnsi" w:hAnsiTheme="majorHAnsi"/>
        </w:rPr>
        <w:t>. Using this system of modified CRISPR/Cas9</w:t>
      </w:r>
      <w:r w:rsidR="006528B3" w:rsidRPr="00E82D3B">
        <w:rPr>
          <w:rFonts w:asciiTheme="majorHAnsi" w:hAnsiTheme="majorHAnsi"/>
        </w:rPr>
        <w:t>,</w:t>
      </w:r>
      <w:r w:rsidR="00086FFE" w:rsidRPr="00E82D3B">
        <w:rPr>
          <w:rFonts w:asciiTheme="majorHAnsi" w:hAnsiTheme="majorHAnsi"/>
        </w:rPr>
        <w:t xml:space="preserve"> SRCAP should be </w:t>
      </w:r>
      <w:r w:rsidR="006528B3" w:rsidRPr="00E82D3B">
        <w:rPr>
          <w:rFonts w:asciiTheme="majorHAnsi" w:hAnsiTheme="majorHAnsi"/>
        </w:rPr>
        <w:t xml:space="preserve">able to be </w:t>
      </w:r>
      <w:r w:rsidR="00086FFE" w:rsidRPr="00E82D3B">
        <w:rPr>
          <w:rFonts w:asciiTheme="majorHAnsi" w:hAnsiTheme="majorHAnsi"/>
        </w:rPr>
        <w:t xml:space="preserve">endogenously overexpressed within cell lines. </w:t>
      </w:r>
      <w:r w:rsidR="00FE0D70" w:rsidRPr="00E82D3B">
        <w:rPr>
          <w:rFonts w:asciiTheme="majorHAnsi" w:hAnsiTheme="majorHAnsi"/>
        </w:rPr>
        <w:t>Including in this system is a</w:t>
      </w:r>
      <w:r w:rsidRPr="00E82D3B">
        <w:rPr>
          <w:rFonts w:asciiTheme="majorHAnsi" w:hAnsiTheme="majorHAnsi"/>
        </w:rPr>
        <w:t xml:space="preserve"> control CRISPR/</w:t>
      </w:r>
      <w:r w:rsidR="00FE0D70" w:rsidRPr="00E82D3B">
        <w:rPr>
          <w:rFonts w:asciiTheme="majorHAnsi" w:hAnsiTheme="majorHAnsi"/>
        </w:rPr>
        <w:t>d</w:t>
      </w:r>
      <w:r w:rsidRPr="00E82D3B">
        <w:rPr>
          <w:rFonts w:asciiTheme="majorHAnsi" w:hAnsiTheme="majorHAnsi"/>
        </w:rPr>
        <w:t xml:space="preserve">Cas9 solution, </w:t>
      </w:r>
      <w:r w:rsidR="00A23FE7" w:rsidRPr="00E82D3B">
        <w:rPr>
          <w:rFonts w:asciiTheme="majorHAnsi" w:hAnsiTheme="majorHAnsi"/>
        </w:rPr>
        <w:t xml:space="preserve">contained </w:t>
      </w:r>
      <w:r w:rsidRPr="00E82D3B">
        <w:rPr>
          <w:rFonts w:asciiTheme="majorHAnsi" w:hAnsiTheme="majorHAnsi"/>
        </w:rPr>
        <w:t xml:space="preserve">the same three plasmids but with a non-specific gRNA.  The latter should </w:t>
      </w:r>
      <w:r w:rsidR="00FE0D70" w:rsidRPr="00E82D3B">
        <w:rPr>
          <w:rFonts w:asciiTheme="majorHAnsi" w:hAnsiTheme="majorHAnsi"/>
        </w:rPr>
        <w:t xml:space="preserve">therefore </w:t>
      </w:r>
      <w:r w:rsidRPr="00E82D3B">
        <w:rPr>
          <w:rFonts w:asciiTheme="majorHAnsi" w:hAnsiTheme="majorHAnsi"/>
        </w:rPr>
        <w:t xml:space="preserve">not recognise any sequence of DNA and </w:t>
      </w:r>
      <w:r w:rsidR="00A23FE7" w:rsidRPr="00E82D3B">
        <w:rPr>
          <w:rFonts w:asciiTheme="majorHAnsi" w:hAnsiTheme="majorHAnsi"/>
        </w:rPr>
        <w:t>should not activate transcription</w:t>
      </w:r>
      <w:r w:rsidR="00FE0D70" w:rsidRPr="00E82D3B">
        <w:rPr>
          <w:rFonts w:asciiTheme="majorHAnsi" w:hAnsiTheme="majorHAnsi"/>
        </w:rPr>
        <w:t>, so act as a control</w:t>
      </w:r>
      <w:r w:rsidRPr="00E82D3B">
        <w:rPr>
          <w:rFonts w:asciiTheme="majorHAnsi" w:hAnsiTheme="majorHAnsi"/>
        </w:rPr>
        <w:t>.</w:t>
      </w:r>
      <w:r>
        <w:rPr>
          <w:rFonts w:asciiTheme="majorHAnsi" w:hAnsiTheme="majorHAnsi"/>
        </w:rPr>
        <w:t xml:space="preserve"> </w:t>
      </w:r>
    </w:p>
    <w:p w14:paraId="32CCE6DC" w14:textId="77777777" w:rsidR="00D64E49" w:rsidRDefault="00D64E49" w:rsidP="00091260">
      <w:pPr>
        <w:spacing w:line="360" w:lineRule="auto"/>
        <w:jc w:val="both"/>
        <w:rPr>
          <w:rFonts w:asciiTheme="majorHAnsi" w:hAnsiTheme="majorHAnsi"/>
        </w:rPr>
      </w:pPr>
    </w:p>
    <w:p w14:paraId="4CF9FC41" w14:textId="6C667CC1" w:rsidR="00091260" w:rsidRPr="00E0726F" w:rsidRDefault="00091260" w:rsidP="00091260">
      <w:pPr>
        <w:spacing w:line="360" w:lineRule="auto"/>
        <w:jc w:val="both"/>
        <w:rPr>
          <w:rFonts w:asciiTheme="majorHAnsi" w:hAnsiTheme="majorHAnsi"/>
          <w:noProof/>
          <w:lang w:val="en-US"/>
        </w:rPr>
      </w:pPr>
      <w:r>
        <w:rPr>
          <w:rFonts w:asciiTheme="majorHAnsi" w:hAnsiTheme="majorHAnsi"/>
        </w:rPr>
        <w:t xml:space="preserve">The </w:t>
      </w:r>
      <w:r w:rsidRPr="000A1F7B">
        <w:rPr>
          <w:rFonts w:asciiTheme="majorHAnsi" w:hAnsiTheme="majorHAnsi"/>
          <w:i/>
        </w:rPr>
        <w:t>SRCAP</w:t>
      </w:r>
      <w:r w:rsidR="00A272CE">
        <w:rPr>
          <w:rFonts w:asciiTheme="majorHAnsi" w:hAnsiTheme="majorHAnsi"/>
        </w:rPr>
        <w:t xml:space="preserve"> or control </w:t>
      </w:r>
      <w:r w:rsidR="00A272CE" w:rsidRPr="00E82D3B">
        <w:rPr>
          <w:rFonts w:asciiTheme="majorHAnsi" w:hAnsiTheme="majorHAnsi"/>
        </w:rPr>
        <w:t>CRIS</w:t>
      </w:r>
      <w:r w:rsidRPr="00E82D3B">
        <w:rPr>
          <w:rFonts w:asciiTheme="majorHAnsi" w:hAnsiTheme="majorHAnsi"/>
        </w:rPr>
        <w:t>PR system</w:t>
      </w:r>
      <w:r>
        <w:rPr>
          <w:rFonts w:asciiTheme="majorHAnsi" w:hAnsiTheme="majorHAnsi"/>
        </w:rPr>
        <w:t xml:space="preserve"> was transfected into SW480 cells </w:t>
      </w:r>
      <w:r w:rsidR="00A23FE7">
        <w:rPr>
          <w:rFonts w:asciiTheme="majorHAnsi" w:hAnsiTheme="majorHAnsi"/>
        </w:rPr>
        <w:t>according</w:t>
      </w:r>
      <w:r>
        <w:rPr>
          <w:rFonts w:asciiTheme="majorHAnsi" w:hAnsiTheme="majorHAnsi"/>
        </w:rPr>
        <w:t xml:space="preserve"> </w:t>
      </w:r>
      <w:r w:rsidR="00A23FE7">
        <w:rPr>
          <w:rFonts w:asciiTheme="majorHAnsi" w:hAnsiTheme="majorHAnsi"/>
        </w:rPr>
        <w:t xml:space="preserve">to </w:t>
      </w:r>
      <w:r>
        <w:rPr>
          <w:rFonts w:asciiTheme="majorHAnsi" w:hAnsiTheme="majorHAnsi"/>
        </w:rPr>
        <w:t>the protocol in the methods</w:t>
      </w:r>
      <w:r w:rsidR="00A72B38">
        <w:rPr>
          <w:rFonts w:asciiTheme="majorHAnsi" w:hAnsiTheme="majorHAnsi"/>
        </w:rPr>
        <w:t xml:space="preserve"> (section 2.2.II.g)</w:t>
      </w:r>
      <w:r>
        <w:rPr>
          <w:rFonts w:asciiTheme="majorHAnsi" w:hAnsiTheme="majorHAnsi"/>
        </w:rPr>
        <w:t xml:space="preserve">, and expression of </w:t>
      </w:r>
      <w:r w:rsidRPr="000A1F7B">
        <w:rPr>
          <w:rFonts w:asciiTheme="majorHAnsi" w:hAnsiTheme="majorHAnsi"/>
          <w:i/>
        </w:rPr>
        <w:t>SRCAP</w:t>
      </w:r>
      <w:r>
        <w:rPr>
          <w:rFonts w:asciiTheme="majorHAnsi" w:hAnsiTheme="majorHAnsi"/>
        </w:rPr>
        <w:t xml:space="preserve"> was assessed to determine if the system was capable of increasing endogenous levels of </w:t>
      </w:r>
      <w:r w:rsidRPr="000A1F7B">
        <w:rPr>
          <w:rFonts w:asciiTheme="majorHAnsi" w:hAnsiTheme="majorHAnsi"/>
          <w:i/>
        </w:rPr>
        <w:t>SRCAP</w:t>
      </w:r>
      <w:r>
        <w:rPr>
          <w:rFonts w:asciiTheme="majorHAnsi" w:hAnsiTheme="majorHAnsi"/>
        </w:rPr>
        <w:t>. Expression levels were assessed at three different time point post-</w:t>
      </w:r>
      <w:r w:rsidRPr="00E82D3B">
        <w:rPr>
          <w:rFonts w:asciiTheme="majorHAnsi" w:hAnsiTheme="majorHAnsi"/>
        </w:rPr>
        <w:t xml:space="preserve">transfection, however, the relative mRNA expression value outputs were all very different so </w:t>
      </w:r>
      <w:r w:rsidR="00A272CE" w:rsidRPr="00E82D3B">
        <w:rPr>
          <w:rFonts w:asciiTheme="majorHAnsi" w:hAnsiTheme="majorHAnsi"/>
        </w:rPr>
        <w:t>were</w:t>
      </w:r>
      <w:r w:rsidRPr="00E82D3B">
        <w:rPr>
          <w:rFonts w:asciiTheme="majorHAnsi" w:hAnsiTheme="majorHAnsi"/>
        </w:rPr>
        <w:t xml:space="preserve"> not comb</w:t>
      </w:r>
      <w:r w:rsidR="00075445" w:rsidRPr="00E82D3B">
        <w:rPr>
          <w:rFonts w:asciiTheme="majorHAnsi" w:hAnsiTheme="majorHAnsi"/>
        </w:rPr>
        <w:t>ined into one graph (Figure 3.13</w:t>
      </w:r>
      <w:r w:rsidRPr="00E82D3B">
        <w:rPr>
          <w:rFonts w:asciiTheme="majorHAnsi" w:hAnsiTheme="majorHAnsi"/>
        </w:rPr>
        <w:t xml:space="preserve">.a, b &amp; c). Each </w:t>
      </w:r>
      <w:r w:rsidR="00323D15" w:rsidRPr="00E82D3B">
        <w:rPr>
          <w:rFonts w:asciiTheme="majorHAnsi" w:hAnsiTheme="majorHAnsi"/>
        </w:rPr>
        <w:t>of the repeats showed that over-</w:t>
      </w:r>
      <w:r w:rsidRPr="00E82D3B">
        <w:rPr>
          <w:rFonts w:asciiTheme="majorHAnsi" w:hAnsiTheme="majorHAnsi"/>
        </w:rPr>
        <w:t xml:space="preserve">expression of </w:t>
      </w:r>
      <w:r w:rsidRPr="00E82D3B">
        <w:rPr>
          <w:rFonts w:asciiTheme="majorHAnsi" w:hAnsiTheme="majorHAnsi"/>
          <w:i/>
        </w:rPr>
        <w:t>SRCAP</w:t>
      </w:r>
      <w:r w:rsidRPr="00E82D3B">
        <w:rPr>
          <w:rFonts w:asciiTheme="majorHAnsi" w:hAnsiTheme="majorHAnsi"/>
        </w:rPr>
        <w:t xml:space="preserve"> could be detected at 48 and 72hrs after transfection.</w:t>
      </w:r>
      <w:r w:rsidRPr="00E82D3B">
        <w:rPr>
          <w:rFonts w:asciiTheme="majorHAnsi" w:hAnsiTheme="majorHAnsi"/>
          <w:noProof/>
          <w:lang w:val="en-US"/>
        </w:rPr>
        <w:t xml:space="preserve"> It</w:t>
      </w:r>
      <w:r>
        <w:rPr>
          <w:rFonts w:asciiTheme="majorHAnsi" w:hAnsiTheme="majorHAnsi"/>
          <w:noProof/>
          <w:lang w:val="en-US"/>
        </w:rPr>
        <w:t xml:space="preserve"> wasn</w:t>
      </w:r>
      <w:r w:rsidRPr="00E0726F">
        <w:rPr>
          <w:rFonts w:asciiTheme="majorHAnsi" w:hAnsiTheme="majorHAnsi"/>
          <w:noProof/>
          <w:lang w:val="en-US"/>
        </w:rPr>
        <w:t>’</w:t>
      </w:r>
      <w:r>
        <w:rPr>
          <w:rFonts w:asciiTheme="majorHAnsi" w:hAnsiTheme="majorHAnsi"/>
          <w:noProof/>
          <w:lang w:val="en-US"/>
        </w:rPr>
        <w:t xml:space="preserve">t clear why large differential expression was occurring between the repeat experiments, as the same amount of plasmid was transfected each time. It </w:t>
      </w:r>
      <w:r w:rsidR="00A23FE7">
        <w:rPr>
          <w:rFonts w:asciiTheme="majorHAnsi" w:hAnsiTheme="majorHAnsi"/>
          <w:noProof/>
          <w:lang w:val="en-US"/>
        </w:rPr>
        <w:t>is possible</w:t>
      </w:r>
      <w:r>
        <w:rPr>
          <w:rFonts w:asciiTheme="majorHAnsi" w:hAnsiTheme="majorHAnsi"/>
          <w:noProof/>
          <w:lang w:val="en-US"/>
        </w:rPr>
        <w:t xml:space="preserve"> that a different number of cells were taking up the plasmid each time, meaning the efficiency of transfection was having an effect on t</w:t>
      </w:r>
      <w:r w:rsidR="00A23FE7">
        <w:rPr>
          <w:rFonts w:asciiTheme="majorHAnsi" w:hAnsiTheme="majorHAnsi"/>
          <w:noProof/>
          <w:lang w:val="en-US"/>
        </w:rPr>
        <w:t>he overall population</w:t>
      </w:r>
      <w:r>
        <w:rPr>
          <w:rFonts w:asciiTheme="majorHAnsi" w:hAnsiTheme="majorHAnsi"/>
          <w:noProof/>
          <w:lang w:val="en-US"/>
        </w:rPr>
        <w:t xml:space="preserve"> </w:t>
      </w:r>
      <w:r w:rsidRPr="00663BEE">
        <w:rPr>
          <w:rFonts w:asciiTheme="majorHAnsi" w:hAnsiTheme="majorHAnsi"/>
          <w:i/>
          <w:noProof/>
          <w:lang w:val="en-US"/>
        </w:rPr>
        <w:t>SRCAP</w:t>
      </w:r>
      <w:r>
        <w:rPr>
          <w:rFonts w:asciiTheme="majorHAnsi" w:hAnsiTheme="majorHAnsi"/>
          <w:noProof/>
          <w:lang w:val="en-US"/>
        </w:rPr>
        <w:t xml:space="preserve"> expression levels. </w:t>
      </w:r>
    </w:p>
    <w:p w14:paraId="501B6A4B" w14:textId="77777777" w:rsidR="00091260" w:rsidRDefault="00091260" w:rsidP="00091260">
      <w:pPr>
        <w:rPr>
          <w:rFonts w:asciiTheme="majorHAnsi" w:hAnsiTheme="majorHAnsi"/>
          <w:sz w:val="28"/>
          <w:szCs w:val="28"/>
          <w:u w:val="single"/>
        </w:rPr>
      </w:pPr>
      <w:r>
        <w:rPr>
          <w:noProof/>
          <w:lang w:val="en-US"/>
        </w:rPr>
        <mc:AlternateContent>
          <mc:Choice Requires="wps">
            <w:drawing>
              <wp:anchor distT="0" distB="0" distL="114300" distR="114300" simplePos="0" relativeHeight="251999232" behindDoc="0" locked="0" layoutInCell="1" allowOverlap="1" wp14:anchorId="08E60BC7" wp14:editId="7C5E8AE9">
                <wp:simplePos x="0" y="0"/>
                <wp:positionH relativeFrom="column">
                  <wp:posOffset>2400300</wp:posOffset>
                </wp:positionH>
                <wp:positionV relativeFrom="paragraph">
                  <wp:posOffset>228600</wp:posOffset>
                </wp:positionV>
                <wp:extent cx="571500" cy="342900"/>
                <wp:effectExtent l="0" t="0" r="0" b="12700"/>
                <wp:wrapSquare wrapText="bothSides"/>
                <wp:docPr id="231" name="Text Box 231"/>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DE49FB" w14:textId="77777777" w:rsidR="00E82D3B" w:rsidRPr="00DD25F8" w:rsidRDefault="00E82D3B" w:rsidP="00091260">
                            <w:pPr>
                              <w:rPr>
                                <w:b/>
                              </w:rPr>
                            </w:pPr>
                            <w:proofErr w:type="gramStart"/>
                            <w:r>
                              <w:rPr>
                                <w:b/>
                              </w:rPr>
                              <w:t>b</w:t>
                            </w:r>
                            <w:proofErr w:type="gramEnd"/>
                            <w:r w:rsidRPr="00DD25F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1" o:spid="_x0000_s1065" type="#_x0000_t202" style="position:absolute;margin-left:189pt;margin-top:18pt;width:45pt;height:27pt;z-index:25199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3haNMCAAAZ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" filled="f" stroked="f">
                <v:textbox>
                  <w:txbxContent>
                    <w:p w14:paraId="6EDE49FB" w14:textId="77777777" w:rsidR="000A1E0D" w:rsidRPr="00DD25F8" w:rsidRDefault="000A1E0D" w:rsidP="00091260">
                      <w:pPr>
                        <w:rPr>
                          <w:b/>
                        </w:rPr>
                      </w:pPr>
                      <w:proofErr w:type="gramStart"/>
                      <w:r>
                        <w:rPr>
                          <w:b/>
                        </w:rPr>
                        <w:t>b</w:t>
                      </w:r>
                      <w:proofErr w:type="gramEnd"/>
                      <w:r w:rsidRPr="00DD25F8">
                        <w:rPr>
                          <w:b/>
                        </w:rPr>
                        <w:t>.)</w:t>
                      </w:r>
                    </w:p>
                  </w:txbxContent>
                </v:textbox>
                <w10:wrap type="square"/>
              </v:shape>
            </w:pict>
          </mc:Fallback>
        </mc:AlternateContent>
      </w:r>
    </w:p>
    <w:p w14:paraId="46C9AE84" w14:textId="77777777" w:rsidR="00091260" w:rsidRDefault="00091260" w:rsidP="00091260">
      <w:pPr>
        <w:rPr>
          <w:rFonts w:asciiTheme="majorHAnsi" w:hAnsiTheme="majorHAnsi"/>
          <w:sz w:val="28"/>
          <w:szCs w:val="28"/>
          <w:u w:val="single"/>
        </w:rPr>
      </w:pPr>
    </w:p>
    <w:p w14:paraId="4238CDAD" w14:textId="77777777" w:rsidR="00091260" w:rsidRDefault="00091260" w:rsidP="00091260">
      <w:pPr>
        <w:rPr>
          <w:rFonts w:asciiTheme="majorHAnsi" w:hAnsiTheme="majorHAnsi"/>
          <w:sz w:val="28"/>
          <w:szCs w:val="28"/>
          <w:u w:val="single"/>
        </w:rPr>
      </w:pPr>
      <w:r>
        <w:rPr>
          <w:noProof/>
          <w:lang w:val="en-US"/>
        </w:rPr>
        <mc:AlternateContent>
          <mc:Choice Requires="wps">
            <w:drawing>
              <wp:anchor distT="0" distB="0" distL="114300" distR="114300" simplePos="0" relativeHeight="251998208" behindDoc="0" locked="0" layoutInCell="1" allowOverlap="1" wp14:anchorId="520400A2" wp14:editId="7E992795">
                <wp:simplePos x="0" y="0"/>
                <wp:positionH relativeFrom="column">
                  <wp:posOffset>914400</wp:posOffset>
                </wp:positionH>
                <wp:positionV relativeFrom="paragraph">
                  <wp:posOffset>2286000</wp:posOffset>
                </wp:positionV>
                <wp:extent cx="571500" cy="342900"/>
                <wp:effectExtent l="0" t="0" r="0" b="12700"/>
                <wp:wrapSquare wrapText="bothSides"/>
                <wp:docPr id="232" name="Text Box 23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C0C9C0" w14:textId="77777777" w:rsidR="00E82D3B" w:rsidRPr="00DD25F8" w:rsidRDefault="00E82D3B" w:rsidP="00091260">
                            <w:pPr>
                              <w:rPr>
                                <w:b/>
                              </w:rPr>
                            </w:pPr>
                            <w:proofErr w:type="gramStart"/>
                            <w:r>
                              <w:rPr>
                                <w:b/>
                              </w:rPr>
                              <w:t>c</w:t>
                            </w:r>
                            <w:proofErr w:type="gramEnd"/>
                            <w:r w:rsidRPr="00DD25F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2" o:spid="_x0000_s1066" type="#_x0000_t202" style="position:absolute;margin-left:1in;margin-top:180pt;width:45pt;height:27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t4jdICAAAZ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" filled="f" stroked="f">
                <v:textbox>
                  <w:txbxContent>
                    <w:p w14:paraId="1BC0C9C0" w14:textId="77777777" w:rsidR="000A1E0D" w:rsidRPr="00DD25F8" w:rsidRDefault="000A1E0D" w:rsidP="00091260">
                      <w:pPr>
                        <w:rPr>
                          <w:b/>
                        </w:rPr>
                      </w:pPr>
                      <w:proofErr w:type="gramStart"/>
                      <w:r>
                        <w:rPr>
                          <w:b/>
                        </w:rPr>
                        <w:t>c</w:t>
                      </w:r>
                      <w:proofErr w:type="gramEnd"/>
                      <w:r w:rsidRPr="00DD25F8">
                        <w:rPr>
                          <w:b/>
                        </w:rPr>
                        <w:t>.)</w:t>
                      </w:r>
                    </w:p>
                  </w:txbxContent>
                </v:textbox>
                <w10:wrap type="square"/>
              </v:shape>
            </w:pict>
          </mc:Fallback>
        </mc:AlternateContent>
      </w:r>
      <w:r w:rsidRPr="00DD25F8">
        <w:rPr>
          <w:noProof/>
          <w:lang w:val="en-US"/>
        </w:rPr>
        <w:drawing>
          <wp:anchor distT="0" distB="0" distL="114300" distR="114300" simplePos="0" relativeHeight="251995136" behindDoc="0" locked="0" layoutInCell="1" allowOverlap="1" wp14:anchorId="54906C13" wp14:editId="510A7CFE">
            <wp:simplePos x="0" y="0"/>
            <wp:positionH relativeFrom="column">
              <wp:posOffset>1028700</wp:posOffset>
            </wp:positionH>
            <wp:positionV relativeFrom="paragraph">
              <wp:posOffset>2400300</wp:posOffset>
            </wp:positionV>
            <wp:extent cx="3314700" cy="2161540"/>
            <wp:effectExtent l="0" t="0" r="12700" b="22860"/>
            <wp:wrapTopAndBottom/>
            <wp:docPr id="250" name="Chart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997184" behindDoc="0" locked="0" layoutInCell="1" allowOverlap="1" wp14:anchorId="5E0AB974" wp14:editId="62697EBB">
                <wp:simplePos x="0" y="0"/>
                <wp:positionH relativeFrom="column">
                  <wp:posOffset>-114300</wp:posOffset>
                </wp:positionH>
                <wp:positionV relativeFrom="paragraph">
                  <wp:posOffset>-228600</wp:posOffset>
                </wp:positionV>
                <wp:extent cx="571500" cy="342900"/>
                <wp:effectExtent l="0" t="0" r="0" b="12700"/>
                <wp:wrapSquare wrapText="bothSides"/>
                <wp:docPr id="233" name="Text Box 233"/>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0144A9" w14:textId="77777777" w:rsidR="00E82D3B" w:rsidRPr="00DD25F8" w:rsidRDefault="00E82D3B" w:rsidP="00091260">
                            <w:pPr>
                              <w:rPr>
                                <w:b/>
                              </w:rPr>
                            </w:pPr>
                            <w:proofErr w:type="gramStart"/>
                            <w:r w:rsidRPr="00DD25F8">
                              <w:rPr>
                                <w:b/>
                              </w:rPr>
                              <w:t>a</w:t>
                            </w:r>
                            <w:proofErr w:type="gramEnd"/>
                            <w:r w:rsidRPr="00DD25F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3" o:spid="_x0000_s1067" type="#_x0000_t202" style="position:absolute;margin-left:-8.95pt;margin-top:-17.95pt;width:45pt;height:27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KY7tICAAAZ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" filled="f" stroked="f">
                <v:textbox>
                  <w:txbxContent>
                    <w:p w14:paraId="3A0144A9" w14:textId="77777777" w:rsidR="000A1E0D" w:rsidRPr="00DD25F8" w:rsidRDefault="000A1E0D" w:rsidP="00091260">
                      <w:pPr>
                        <w:rPr>
                          <w:b/>
                        </w:rPr>
                      </w:pPr>
                      <w:proofErr w:type="gramStart"/>
                      <w:r w:rsidRPr="00DD25F8">
                        <w:rPr>
                          <w:b/>
                        </w:rPr>
                        <w:t>a</w:t>
                      </w:r>
                      <w:proofErr w:type="gramEnd"/>
                      <w:r w:rsidRPr="00DD25F8">
                        <w:rPr>
                          <w:b/>
                        </w:rPr>
                        <w:t>.)</w:t>
                      </w:r>
                    </w:p>
                  </w:txbxContent>
                </v:textbox>
                <w10:wrap type="square"/>
              </v:shape>
            </w:pict>
          </mc:Fallback>
        </mc:AlternateContent>
      </w:r>
      <w:r w:rsidRPr="00901E7E">
        <w:rPr>
          <w:noProof/>
          <w:lang w:val="en-US"/>
        </w:rPr>
        <w:drawing>
          <wp:anchor distT="0" distB="0" distL="114300" distR="114300" simplePos="0" relativeHeight="251994112" behindDoc="0" locked="0" layoutInCell="1" allowOverlap="1" wp14:anchorId="39C7E0AB" wp14:editId="15381503">
            <wp:simplePos x="0" y="0"/>
            <wp:positionH relativeFrom="column">
              <wp:posOffset>2743200</wp:posOffset>
            </wp:positionH>
            <wp:positionV relativeFrom="paragraph">
              <wp:posOffset>-114300</wp:posOffset>
            </wp:positionV>
            <wp:extent cx="2971800" cy="2369185"/>
            <wp:effectExtent l="0" t="0" r="25400" b="18415"/>
            <wp:wrapTopAndBottom/>
            <wp:docPr id="251" name="Chart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r w:rsidRPr="00901E7E">
        <w:rPr>
          <w:noProof/>
          <w:color w:val="FF0000"/>
          <w:lang w:val="en-US"/>
        </w:rPr>
        <w:drawing>
          <wp:anchor distT="0" distB="0" distL="114300" distR="114300" simplePos="0" relativeHeight="251993088" behindDoc="0" locked="0" layoutInCell="1" allowOverlap="1" wp14:anchorId="398525AA" wp14:editId="6A27D5AE">
            <wp:simplePos x="0" y="0"/>
            <wp:positionH relativeFrom="column">
              <wp:posOffset>-228600</wp:posOffset>
            </wp:positionH>
            <wp:positionV relativeFrom="paragraph">
              <wp:posOffset>-114300</wp:posOffset>
            </wp:positionV>
            <wp:extent cx="3213735" cy="2324735"/>
            <wp:effectExtent l="0" t="0" r="12065" b="12065"/>
            <wp:wrapTopAndBottom/>
            <wp:docPr id="252" name="Chart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sidRPr="00DD25F8">
        <w:rPr>
          <w:rFonts w:asciiTheme="majorHAnsi" w:hAnsiTheme="majorHAnsi"/>
          <w:sz w:val="28"/>
          <w:szCs w:val="28"/>
          <w:u w:val="single"/>
        </w:rPr>
        <w:t xml:space="preserve"> </w:t>
      </w:r>
    </w:p>
    <w:p w14:paraId="183749E1" w14:textId="77777777" w:rsidR="00091260" w:rsidRPr="00377AF9" w:rsidRDefault="00091260" w:rsidP="00091260">
      <w:pPr>
        <w:rPr>
          <w:rFonts w:asciiTheme="majorHAnsi" w:hAnsiTheme="majorHAnsi"/>
          <w:sz w:val="28"/>
          <w:szCs w:val="28"/>
          <w:u w:val="single"/>
        </w:rPr>
      </w:pPr>
      <w:r>
        <w:rPr>
          <w:noProof/>
          <w:lang w:val="en-US"/>
        </w:rPr>
        <mc:AlternateContent>
          <mc:Choice Requires="wps">
            <w:drawing>
              <wp:anchor distT="0" distB="0" distL="114300" distR="114300" simplePos="0" relativeHeight="251996160" behindDoc="0" locked="0" layoutInCell="1" allowOverlap="1" wp14:anchorId="38C438B0" wp14:editId="5ABF7E98">
                <wp:simplePos x="0" y="0"/>
                <wp:positionH relativeFrom="column">
                  <wp:posOffset>0</wp:posOffset>
                </wp:positionH>
                <wp:positionV relativeFrom="paragraph">
                  <wp:posOffset>1906270</wp:posOffset>
                </wp:positionV>
                <wp:extent cx="5372100" cy="1581150"/>
                <wp:effectExtent l="0" t="0" r="0" b="0"/>
                <wp:wrapSquare wrapText="bothSides"/>
                <wp:docPr id="234" name="Text Box 234"/>
                <wp:cNvGraphicFramePr/>
                <a:graphic xmlns:a="http://schemas.openxmlformats.org/drawingml/2006/main">
                  <a:graphicData uri="http://schemas.microsoft.com/office/word/2010/wordprocessingShape">
                    <wps:wsp>
                      <wps:cNvSpPr txBox="1"/>
                      <wps:spPr>
                        <a:xfrm>
                          <a:off x="0" y="0"/>
                          <a:ext cx="5372100" cy="15811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EE6B4E" w14:textId="5736AD78" w:rsidR="00E82D3B" w:rsidRDefault="00E82D3B" w:rsidP="00091260">
                            <w:pPr>
                              <w:jc w:val="both"/>
                              <w:rPr>
                                <w:b/>
                                <w:i/>
                                <w:sz w:val="22"/>
                              </w:rPr>
                            </w:pPr>
                            <w:r>
                              <w:rPr>
                                <w:b/>
                                <w:i/>
                                <w:sz w:val="22"/>
                              </w:rPr>
                              <w:t xml:space="preserve">Figure 3.13 Transfection with SRCAP CRISPR reagents results in SRCAP over-expression at the mRNA level. </w:t>
                            </w:r>
                          </w:p>
                          <w:p w14:paraId="4D976A00" w14:textId="7FE599F0" w:rsidR="00E82D3B" w:rsidRPr="00DD25F8" w:rsidRDefault="00E82D3B" w:rsidP="00091260">
                            <w:pPr>
                              <w:jc w:val="both"/>
                              <w:rPr>
                                <w:i/>
                                <w:sz w:val="22"/>
                              </w:rPr>
                            </w:pPr>
                            <w:r>
                              <w:rPr>
                                <w:i/>
                                <w:sz w:val="22"/>
                              </w:rPr>
                              <w:t xml:space="preserve">SW480 cells were seeded for 24hrs in 6 well plates, transfected with the CRISPR reagents as per the protocol and SRCAP mRNA expression assessed after 48 and 72hrs. Each graph above represents one repeat with mean and positive and negative error of the internal experimental three repeats plotted. As, although they all follow the same trend of SRCAP CRISPR transfection causing an over-expression of SRCAP in comparison to control, the expression values differ massively between repeats as can be seen by the </w:t>
                            </w:r>
                            <w:proofErr w:type="gramStart"/>
                            <w:r>
                              <w:rPr>
                                <w:i/>
                                <w:sz w:val="22"/>
                              </w:rPr>
                              <w:t>y axis</w:t>
                            </w:r>
                            <w:proofErr w:type="gramEnd"/>
                            <w:r>
                              <w:rPr>
                                <w:i/>
                                <w:sz w:val="22"/>
                              </w:rPr>
                              <w:t xml:space="preserve"> (each graph represents n=1).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4" o:spid="_x0000_s1068" type="#_x0000_t202" style="position:absolute;margin-left:0;margin-top:150.1pt;width:423pt;height:12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rwJdYCAAAb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" filled="f" stroked="f">
                <v:textbox>
                  <w:txbxContent>
                    <w:p w14:paraId="58EE6B4E" w14:textId="5736AD78" w:rsidR="000A1E0D" w:rsidRDefault="000A1E0D" w:rsidP="00091260">
                      <w:pPr>
                        <w:jc w:val="both"/>
                        <w:rPr>
                          <w:b/>
                          <w:i/>
                          <w:sz w:val="22"/>
                        </w:rPr>
                      </w:pPr>
                      <w:r>
                        <w:rPr>
                          <w:b/>
                          <w:i/>
                          <w:sz w:val="22"/>
                        </w:rPr>
                        <w:t xml:space="preserve">Figure 3.13 Transfection with SRCAP CRISPR reagents results in SRCAP over-expression at the mRNA level. </w:t>
                      </w:r>
                    </w:p>
                    <w:p w14:paraId="4D976A00" w14:textId="7FE599F0" w:rsidR="000A1E0D" w:rsidRPr="00DD25F8" w:rsidRDefault="000A1E0D" w:rsidP="00091260">
                      <w:pPr>
                        <w:jc w:val="both"/>
                        <w:rPr>
                          <w:i/>
                          <w:sz w:val="22"/>
                        </w:rPr>
                      </w:pPr>
                      <w:r>
                        <w:rPr>
                          <w:i/>
                          <w:sz w:val="22"/>
                        </w:rPr>
                        <w:t xml:space="preserve">SW480 cells were seeded for 24hrs in 6 well plates, transfected with the CRISPR reagents as per the protocol and SRCAP mRNA expression assessed after 48 and 72hrs. Each graph above represents one repeat with mean and positive and negative error of the internal experimental three repeats plotted. As, although they all follow the same trend of SRCAP CRISPR transfection causing an over-expression of SRCAP in comparison to control, the expression values differ massively between repeats as can be seen by the </w:t>
                      </w:r>
                      <w:proofErr w:type="gramStart"/>
                      <w:r>
                        <w:rPr>
                          <w:i/>
                          <w:sz w:val="22"/>
                        </w:rPr>
                        <w:t>y axis</w:t>
                      </w:r>
                      <w:proofErr w:type="gramEnd"/>
                      <w:r>
                        <w:rPr>
                          <w:i/>
                          <w:sz w:val="22"/>
                        </w:rPr>
                        <w:t xml:space="preserve"> (each graph represents n=1). </w:t>
                      </w:r>
                    </w:p>
                  </w:txbxContent>
                </v:textbox>
                <w10:wrap type="square"/>
              </v:shape>
            </w:pict>
          </mc:Fallback>
        </mc:AlternateContent>
      </w:r>
    </w:p>
    <w:p w14:paraId="1C1A0306" w14:textId="1FFBB02A" w:rsidR="00091260" w:rsidRDefault="00091260" w:rsidP="00091260">
      <w:pPr>
        <w:spacing w:line="360" w:lineRule="auto"/>
        <w:jc w:val="both"/>
        <w:rPr>
          <w:rFonts w:asciiTheme="majorHAnsi" w:hAnsiTheme="majorHAnsi"/>
        </w:rPr>
      </w:pPr>
      <w:r>
        <w:rPr>
          <w:rFonts w:asciiTheme="majorHAnsi" w:hAnsiTheme="majorHAnsi"/>
        </w:rPr>
        <w:t xml:space="preserve">During this process it was noted that the SW480 cells were exhibiting reduced growth </w:t>
      </w:r>
      <w:r w:rsidR="00A72B38">
        <w:rPr>
          <w:rFonts w:asciiTheme="majorHAnsi" w:hAnsiTheme="majorHAnsi"/>
        </w:rPr>
        <w:t xml:space="preserve">in </w:t>
      </w:r>
      <w:r>
        <w:rPr>
          <w:rFonts w:asciiTheme="majorHAnsi" w:hAnsiTheme="majorHAnsi"/>
        </w:rPr>
        <w:t>the six well plates and very little RNA was being extracted even after 96hrs post-transfection with the dCas9 plasmids. Therefore, we examined cell growth over</w:t>
      </w:r>
      <w:r w:rsidR="00323D15">
        <w:rPr>
          <w:rFonts w:asciiTheme="majorHAnsi" w:hAnsiTheme="majorHAnsi"/>
        </w:rPr>
        <w:t xml:space="preserve"> </w:t>
      </w:r>
      <w:r>
        <w:rPr>
          <w:rFonts w:asciiTheme="majorHAnsi" w:hAnsiTheme="majorHAnsi"/>
        </w:rPr>
        <w:t xml:space="preserve">time. </w:t>
      </w:r>
      <w:r w:rsidR="00CF0167">
        <w:rPr>
          <w:rFonts w:asciiTheme="majorHAnsi" w:hAnsiTheme="majorHAnsi"/>
        </w:rPr>
        <w:t>24hrs</w:t>
      </w:r>
      <w:r>
        <w:rPr>
          <w:rFonts w:asciiTheme="majorHAnsi" w:hAnsiTheme="majorHAnsi"/>
        </w:rPr>
        <w:t xml:space="preserve"> after seeding</w:t>
      </w:r>
      <w:r w:rsidR="003B6AC2">
        <w:rPr>
          <w:rFonts w:asciiTheme="majorHAnsi" w:hAnsiTheme="majorHAnsi"/>
        </w:rPr>
        <w:t>,</w:t>
      </w:r>
      <w:r>
        <w:rPr>
          <w:rFonts w:asciiTheme="majorHAnsi" w:hAnsiTheme="majorHAnsi"/>
        </w:rPr>
        <w:t xml:space="preserve"> the cells were increasing in number, however as soon as they were transfected with either control or </w:t>
      </w:r>
      <w:r w:rsidRPr="00663BEE">
        <w:rPr>
          <w:rFonts w:asciiTheme="majorHAnsi" w:hAnsiTheme="majorHAnsi"/>
          <w:i/>
        </w:rPr>
        <w:t>SRCAP</w:t>
      </w:r>
      <w:r>
        <w:rPr>
          <w:rFonts w:asciiTheme="majorHAnsi" w:hAnsiTheme="majorHAnsi"/>
        </w:rPr>
        <w:t xml:space="preserve"> CRISPR at this time point, both cell populations began to decrease in cell number to a level b</w:t>
      </w:r>
      <w:r w:rsidR="00DC3E74">
        <w:rPr>
          <w:rFonts w:asciiTheme="majorHAnsi" w:hAnsiTheme="majorHAnsi"/>
        </w:rPr>
        <w:t xml:space="preserve">elow the original seeding level. </w:t>
      </w:r>
      <w:r w:rsidR="00A72B38">
        <w:rPr>
          <w:rFonts w:asciiTheme="majorHAnsi" w:hAnsiTheme="majorHAnsi"/>
        </w:rPr>
        <w:t>This cannot be explained as</w:t>
      </w:r>
      <w:r>
        <w:rPr>
          <w:rFonts w:asciiTheme="majorHAnsi" w:hAnsiTheme="majorHAnsi"/>
        </w:rPr>
        <w:t xml:space="preserve"> </w:t>
      </w:r>
      <w:r w:rsidR="00A72B38">
        <w:rPr>
          <w:rFonts w:asciiTheme="majorHAnsi" w:hAnsiTheme="majorHAnsi"/>
        </w:rPr>
        <w:t>the effect of trying to over-</w:t>
      </w:r>
      <w:r>
        <w:rPr>
          <w:rFonts w:asciiTheme="majorHAnsi" w:hAnsiTheme="majorHAnsi"/>
        </w:rPr>
        <w:t xml:space="preserve">express </w:t>
      </w:r>
      <w:r w:rsidRPr="00663BEE">
        <w:rPr>
          <w:rFonts w:asciiTheme="majorHAnsi" w:hAnsiTheme="majorHAnsi"/>
          <w:i/>
        </w:rPr>
        <w:t>SRCAP</w:t>
      </w:r>
      <w:r>
        <w:rPr>
          <w:rFonts w:asciiTheme="majorHAnsi" w:hAnsiTheme="majorHAnsi"/>
        </w:rPr>
        <w:t xml:space="preserve"> within the cell line, </w:t>
      </w:r>
      <w:r w:rsidR="00A72B38">
        <w:rPr>
          <w:rFonts w:asciiTheme="majorHAnsi" w:hAnsiTheme="majorHAnsi"/>
        </w:rPr>
        <w:t xml:space="preserve">since the effect was also observed </w:t>
      </w:r>
      <w:r>
        <w:rPr>
          <w:rFonts w:asciiTheme="majorHAnsi" w:hAnsiTheme="majorHAnsi"/>
        </w:rPr>
        <w:t xml:space="preserve">with the control system, which does not affect gene </w:t>
      </w:r>
      <w:r w:rsidR="00A72B38">
        <w:rPr>
          <w:rFonts w:asciiTheme="majorHAnsi" w:hAnsiTheme="majorHAnsi"/>
        </w:rPr>
        <w:t>expression</w:t>
      </w:r>
      <w:r>
        <w:rPr>
          <w:rFonts w:asciiTheme="majorHAnsi" w:hAnsiTheme="majorHAnsi"/>
        </w:rPr>
        <w:t xml:space="preserve">. The transfection was </w:t>
      </w:r>
      <w:r w:rsidR="00A72B38">
        <w:rPr>
          <w:rFonts w:asciiTheme="majorHAnsi" w:hAnsiTheme="majorHAnsi"/>
        </w:rPr>
        <w:t>carried out</w:t>
      </w:r>
      <w:r>
        <w:rPr>
          <w:rFonts w:asciiTheme="majorHAnsi" w:hAnsiTheme="majorHAnsi"/>
        </w:rPr>
        <w:t xml:space="preserve"> again</w:t>
      </w:r>
      <w:r w:rsidR="00A72B38">
        <w:rPr>
          <w:rFonts w:asciiTheme="majorHAnsi" w:hAnsiTheme="majorHAnsi"/>
        </w:rPr>
        <w:t>,</w:t>
      </w:r>
      <w:r>
        <w:rPr>
          <w:rFonts w:asciiTheme="majorHAnsi" w:hAnsiTheme="majorHAnsi"/>
        </w:rPr>
        <w:t xml:space="preserve"> but this time</w:t>
      </w:r>
      <w:r w:rsidRPr="005D1F05">
        <w:rPr>
          <w:rFonts w:asciiTheme="majorHAnsi" w:hAnsiTheme="majorHAnsi"/>
        </w:rPr>
        <w:t xml:space="preserve"> </w:t>
      </w:r>
      <w:r>
        <w:rPr>
          <w:rFonts w:asciiTheme="majorHAnsi" w:hAnsiTheme="majorHAnsi"/>
        </w:rPr>
        <w:t>SW480 cells were also mock transfected with ddH</w:t>
      </w:r>
      <w:r w:rsidRPr="005702AE">
        <w:rPr>
          <w:rFonts w:asciiTheme="majorHAnsi" w:hAnsiTheme="majorHAnsi"/>
          <w:vertAlign w:val="subscript"/>
        </w:rPr>
        <w:t>2</w:t>
      </w:r>
      <w:r>
        <w:rPr>
          <w:rFonts w:asciiTheme="majorHAnsi" w:hAnsiTheme="majorHAnsi"/>
        </w:rPr>
        <w:t xml:space="preserve">O. The cells that were mock transfected grew steadily over 72hrs as would be expected, but again </w:t>
      </w:r>
      <w:r w:rsidR="00A72B38">
        <w:rPr>
          <w:rFonts w:asciiTheme="majorHAnsi" w:hAnsiTheme="majorHAnsi"/>
        </w:rPr>
        <w:t xml:space="preserve">both the control and </w:t>
      </w:r>
      <w:r w:rsidR="00A72B38" w:rsidRPr="00A72B38">
        <w:rPr>
          <w:rFonts w:asciiTheme="majorHAnsi" w:hAnsiTheme="majorHAnsi"/>
          <w:i/>
        </w:rPr>
        <w:t>SRCAP</w:t>
      </w:r>
      <w:r w:rsidR="00A72B38">
        <w:rPr>
          <w:rFonts w:asciiTheme="majorHAnsi" w:hAnsiTheme="majorHAnsi"/>
        </w:rPr>
        <w:t xml:space="preserve"> </w:t>
      </w:r>
      <w:r>
        <w:rPr>
          <w:rFonts w:asciiTheme="majorHAnsi" w:hAnsiTheme="majorHAnsi"/>
        </w:rPr>
        <w:t>CRISPR transfected cells decreased in numbers in exactly the</w:t>
      </w:r>
      <w:r w:rsidR="00075445">
        <w:rPr>
          <w:rFonts w:asciiTheme="majorHAnsi" w:hAnsiTheme="majorHAnsi"/>
        </w:rPr>
        <w:t xml:space="preserve"> same way as before (Figure 3.14</w:t>
      </w:r>
      <w:r>
        <w:rPr>
          <w:rFonts w:asciiTheme="majorHAnsi" w:hAnsiTheme="majorHAnsi"/>
        </w:rPr>
        <w:t xml:space="preserve">a). To </w:t>
      </w:r>
      <w:r w:rsidR="00B41C0C">
        <w:rPr>
          <w:rFonts w:asciiTheme="majorHAnsi" w:hAnsiTheme="majorHAnsi"/>
        </w:rPr>
        <w:t xml:space="preserve">ascertain if </w:t>
      </w:r>
      <w:r>
        <w:rPr>
          <w:rFonts w:asciiTheme="majorHAnsi" w:hAnsiTheme="majorHAnsi"/>
        </w:rPr>
        <w:t xml:space="preserve">the transfection reagent </w:t>
      </w:r>
      <w:r w:rsidR="00B41C0C">
        <w:rPr>
          <w:rFonts w:asciiTheme="majorHAnsi" w:hAnsiTheme="majorHAnsi"/>
        </w:rPr>
        <w:t xml:space="preserve">was a potential cause of the cell toxicity </w:t>
      </w:r>
      <w:r>
        <w:rPr>
          <w:rFonts w:asciiTheme="majorHAnsi" w:hAnsiTheme="majorHAnsi"/>
        </w:rPr>
        <w:t>(even though Lipofectamine 2000 had been extensively used on this cell line previously), the same test was conducted but with Fugene HD transfection reagent. Again the graph of cell growth shows the mock-transfected cells increasing, however the CRISPR transfected cells do not decrease in cell number as they did with Lipofectamine 2000, but they do remain at the base line seede</w:t>
      </w:r>
      <w:r w:rsidR="00075445">
        <w:rPr>
          <w:rFonts w:asciiTheme="majorHAnsi" w:hAnsiTheme="majorHAnsi"/>
        </w:rPr>
        <w:t>d number of 200,000 (Figure 3.14</w:t>
      </w:r>
      <w:r>
        <w:rPr>
          <w:rFonts w:asciiTheme="majorHAnsi" w:hAnsiTheme="majorHAnsi"/>
        </w:rPr>
        <w:t xml:space="preserve">b). </w:t>
      </w:r>
    </w:p>
    <w:p w14:paraId="2CF2BF31" w14:textId="3204F109" w:rsidR="00091260" w:rsidRDefault="00A845F0" w:rsidP="00091260">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972608" behindDoc="0" locked="0" layoutInCell="1" allowOverlap="1" wp14:anchorId="469E013D" wp14:editId="37D14273">
                <wp:simplePos x="0" y="0"/>
                <wp:positionH relativeFrom="column">
                  <wp:posOffset>2628900</wp:posOffset>
                </wp:positionH>
                <wp:positionV relativeFrom="paragraph">
                  <wp:posOffset>194945</wp:posOffset>
                </wp:positionV>
                <wp:extent cx="457200" cy="342900"/>
                <wp:effectExtent l="0" t="0" r="0" b="12700"/>
                <wp:wrapSquare wrapText="bothSides"/>
                <wp:docPr id="237" name="Text Box 237"/>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A03106" w14:textId="77777777" w:rsidR="00E82D3B" w:rsidRPr="00A25128" w:rsidRDefault="00E82D3B" w:rsidP="00091260">
                            <w:pPr>
                              <w:rPr>
                                <w:b/>
                              </w:rPr>
                            </w:pPr>
                            <w:proofErr w:type="gramStart"/>
                            <w:r>
                              <w:rPr>
                                <w:b/>
                              </w:rPr>
                              <w:t>b</w:t>
                            </w:r>
                            <w:proofErr w:type="gramEnd"/>
                            <w:r w:rsidRPr="00A2512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7" o:spid="_x0000_s1069" type="#_x0000_t202" style="position:absolute;left:0;text-align:left;margin-left:207pt;margin-top:15.35pt;width:36pt;height:27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" filled="f" stroked="f">
                <v:textbox>
                  <w:txbxContent>
                    <w:p w14:paraId="6DA03106" w14:textId="77777777" w:rsidR="000A1E0D" w:rsidRPr="00A25128" w:rsidRDefault="000A1E0D" w:rsidP="00091260">
                      <w:pPr>
                        <w:rPr>
                          <w:b/>
                        </w:rPr>
                      </w:pPr>
                      <w:proofErr w:type="gramStart"/>
                      <w:r>
                        <w:rPr>
                          <w:b/>
                        </w:rPr>
                        <w:t>b</w:t>
                      </w:r>
                      <w:proofErr w:type="gramEnd"/>
                      <w:r w:rsidRPr="00A25128">
                        <w:rPr>
                          <w:b/>
                        </w:rPr>
                        <w:t>.)</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1971584" behindDoc="0" locked="0" layoutInCell="1" allowOverlap="1" wp14:anchorId="0C08B201" wp14:editId="748849F6">
                <wp:simplePos x="0" y="0"/>
                <wp:positionH relativeFrom="column">
                  <wp:posOffset>-114300</wp:posOffset>
                </wp:positionH>
                <wp:positionV relativeFrom="paragraph">
                  <wp:posOffset>194945</wp:posOffset>
                </wp:positionV>
                <wp:extent cx="457200" cy="342900"/>
                <wp:effectExtent l="0" t="0" r="0" b="12700"/>
                <wp:wrapSquare wrapText="bothSides"/>
                <wp:docPr id="238" name="Text Box 238"/>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F4A046" w14:textId="77777777" w:rsidR="00E82D3B" w:rsidRPr="00A25128" w:rsidRDefault="00E82D3B" w:rsidP="00091260">
                            <w:pPr>
                              <w:rPr>
                                <w:b/>
                              </w:rPr>
                            </w:pPr>
                            <w:proofErr w:type="gramStart"/>
                            <w:r w:rsidRPr="00A25128">
                              <w:rPr>
                                <w:b/>
                              </w:rPr>
                              <w:t>a</w:t>
                            </w:r>
                            <w:proofErr w:type="gramEnd"/>
                            <w:r w:rsidRPr="00A2512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8" o:spid="_x0000_s1070" type="#_x0000_t202" style="position:absolute;left:0;text-align:left;margin-left:-8.95pt;margin-top:15.35pt;width:36pt;height:27p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" filled="f" stroked="f">
                <v:textbox>
                  <w:txbxContent>
                    <w:p w14:paraId="65F4A046" w14:textId="77777777" w:rsidR="000A1E0D" w:rsidRPr="00A25128" w:rsidRDefault="000A1E0D" w:rsidP="00091260">
                      <w:pPr>
                        <w:rPr>
                          <w:b/>
                        </w:rPr>
                      </w:pPr>
                      <w:proofErr w:type="gramStart"/>
                      <w:r w:rsidRPr="00A25128">
                        <w:rPr>
                          <w:b/>
                        </w:rPr>
                        <w:t>a</w:t>
                      </w:r>
                      <w:proofErr w:type="gramEnd"/>
                      <w:r w:rsidRPr="00A25128">
                        <w:rPr>
                          <w:b/>
                        </w:rPr>
                        <w:t>.)</w:t>
                      </w:r>
                    </w:p>
                  </w:txbxContent>
                </v:textbox>
                <w10:wrap type="square"/>
              </v:shape>
            </w:pict>
          </mc:Fallback>
        </mc:AlternateContent>
      </w:r>
      <w:r w:rsidRPr="005D1F05">
        <w:rPr>
          <w:rFonts w:asciiTheme="majorHAnsi" w:hAnsiTheme="majorHAnsi"/>
          <w:noProof/>
          <w:lang w:val="en-US"/>
        </w:rPr>
        <w:drawing>
          <wp:anchor distT="0" distB="0" distL="114300" distR="114300" simplePos="0" relativeHeight="251970560" behindDoc="0" locked="0" layoutInCell="1" allowOverlap="1" wp14:anchorId="34099014" wp14:editId="4AF1A57F">
            <wp:simplePos x="0" y="0"/>
            <wp:positionH relativeFrom="column">
              <wp:posOffset>2628900</wp:posOffset>
            </wp:positionH>
            <wp:positionV relativeFrom="paragraph">
              <wp:posOffset>537845</wp:posOffset>
            </wp:positionV>
            <wp:extent cx="2971800" cy="2171700"/>
            <wp:effectExtent l="0" t="0" r="0" b="0"/>
            <wp:wrapSquare wrapText="bothSides"/>
            <wp:docPr id="253" name="Chart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sidRPr="005D1F05">
        <w:rPr>
          <w:rFonts w:asciiTheme="majorHAnsi" w:hAnsiTheme="majorHAnsi"/>
          <w:noProof/>
          <w:color w:val="FF0000"/>
          <w:lang w:val="en-US"/>
        </w:rPr>
        <w:drawing>
          <wp:anchor distT="0" distB="0" distL="114300" distR="114300" simplePos="0" relativeHeight="251969536" behindDoc="0" locked="0" layoutInCell="1" allowOverlap="1" wp14:anchorId="231A56A8" wp14:editId="24175E0B">
            <wp:simplePos x="0" y="0"/>
            <wp:positionH relativeFrom="column">
              <wp:posOffset>-114300</wp:posOffset>
            </wp:positionH>
            <wp:positionV relativeFrom="paragraph">
              <wp:posOffset>537845</wp:posOffset>
            </wp:positionV>
            <wp:extent cx="2744470" cy="2164715"/>
            <wp:effectExtent l="0" t="0" r="0" b="0"/>
            <wp:wrapTopAndBottom/>
            <wp:docPr id="254" name="Chart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r w:rsidR="00091260">
        <w:rPr>
          <w:noProof/>
          <w:lang w:val="en-US"/>
        </w:rPr>
        <mc:AlternateContent>
          <mc:Choice Requires="wps">
            <w:drawing>
              <wp:anchor distT="0" distB="0" distL="114300" distR="114300" simplePos="0" relativeHeight="251973632" behindDoc="0" locked="0" layoutInCell="1" allowOverlap="1" wp14:anchorId="748358A7" wp14:editId="029FA24B">
                <wp:simplePos x="0" y="0"/>
                <wp:positionH relativeFrom="column">
                  <wp:posOffset>0</wp:posOffset>
                </wp:positionH>
                <wp:positionV relativeFrom="paragraph">
                  <wp:posOffset>2837180</wp:posOffset>
                </wp:positionV>
                <wp:extent cx="5372100" cy="1943100"/>
                <wp:effectExtent l="0" t="0" r="0" b="12700"/>
                <wp:wrapSquare wrapText="bothSides"/>
                <wp:docPr id="236" name="Text Box 236"/>
                <wp:cNvGraphicFramePr/>
                <a:graphic xmlns:a="http://schemas.openxmlformats.org/drawingml/2006/main">
                  <a:graphicData uri="http://schemas.microsoft.com/office/word/2010/wordprocessingShape">
                    <wps:wsp>
                      <wps:cNvSpPr txBox="1"/>
                      <wps:spPr>
                        <a:xfrm>
                          <a:off x="0" y="0"/>
                          <a:ext cx="53721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4B887F" w14:textId="42702F92" w:rsidR="00E82D3B" w:rsidRPr="00265190" w:rsidRDefault="00E82D3B" w:rsidP="00091260">
                            <w:pPr>
                              <w:jc w:val="both"/>
                              <w:rPr>
                                <w:b/>
                                <w:i/>
                                <w:sz w:val="22"/>
                              </w:rPr>
                            </w:pPr>
                            <w:r w:rsidRPr="00265190">
                              <w:rPr>
                                <w:b/>
                                <w:i/>
                                <w:sz w:val="22"/>
                              </w:rPr>
                              <w:t>F</w:t>
                            </w:r>
                            <w:r>
                              <w:rPr>
                                <w:b/>
                                <w:i/>
                                <w:sz w:val="22"/>
                              </w:rPr>
                              <w:t>igure 3</w:t>
                            </w:r>
                            <w:r w:rsidRPr="00265190">
                              <w:rPr>
                                <w:b/>
                                <w:i/>
                                <w:sz w:val="22"/>
                              </w:rPr>
                              <w:t>.</w:t>
                            </w:r>
                            <w:r>
                              <w:rPr>
                                <w:b/>
                                <w:i/>
                                <w:sz w:val="22"/>
                              </w:rPr>
                              <w:t>14</w:t>
                            </w:r>
                            <w:r w:rsidRPr="00265190">
                              <w:rPr>
                                <w:b/>
                                <w:i/>
                                <w:sz w:val="22"/>
                              </w:rPr>
                              <w:t xml:space="preserve"> Transfection with the CRISPR reagents affects cell growth</w:t>
                            </w:r>
                          </w:p>
                          <w:p w14:paraId="69C03FA2" w14:textId="4E348130" w:rsidR="00E82D3B" w:rsidRPr="00265190" w:rsidRDefault="00E82D3B" w:rsidP="00091260">
                            <w:pPr>
                              <w:jc w:val="both"/>
                              <w:rPr>
                                <w:i/>
                                <w:sz w:val="22"/>
                              </w:rPr>
                            </w:pPr>
                            <w:r w:rsidRPr="00265190">
                              <w:rPr>
                                <w:i/>
                                <w:sz w:val="22"/>
                              </w:rPr>
                              <w:t>a.) 200,000 SW480 cells were seeded in 6 well plates and left for 24hrs, they were then transfected with CRISPR reagents or ddH</w:t>
                            </w:r>
                            <w:r w:rsidRPr="00265190">
                              <w:rPr>
                                <w:i/>
                                <w:sz w:val="22"/>
                                <w:vertAlign w:val="subscript"/>
                              </w:rPr>
                              <w:t>2</w:t>
                            </w:r>
                            <w:r w:rsidRPr="00265190">
                              <w:rPr>
                                <w:i/>
                                <w:sz w:val="22"/>
                              </w:rPr>
                              <w:t>O using Lipofectamine 2000. Over 72hrs the cells were trypsinised and manually haemocytometer counted three times per condition per time point</w:t>
                            </w:r>
                            <w:r>
                              <w:rPr>
                                <w:i/>
                                <w:sz w:val="22"/>
                              </w:rPr>
                              <w:t xml:space="preserve"> (as shown by SD error bars)</w:t>
                            </w:r>
                            <w:r w:rsidRPr="00265190">
                              <w:rPr>
                                <w:i/>
                                <w:sz w:val="22"/>
                              </w:rPr>
                              <w:t>, using tryphan blue to look for viable cells. CRISPR transfected cells decreased in number over</w:t>
                            </w:r>
                            <w:r>
                              <w:rPr>
                                <w:i/>
                                <w:sz w:val="22"/>
                              </w:rPr>
                              <w:t xml:space="preserve"> </w:t>
                            </w:r>
                            <w:r w:rsidRPr="00265190">
                              <w:rPr>
                                <w:i/>
                                <w:sz w:val="22"/>
                              </w:rPr>
                              <w:t>time whereas mock transfected proliferated as would be expected</w:t>
                            </w:r>
                            <w:r>
                              <w:rPr>
                                <w:i/>
                                <w:sz w:val="22"/>
                              </w:rPr>
                              <w:t xml:space="preserve"> (n=1)</w:t>
                            </w:r>
                            <w:r w:rsidRPr="00265190">
                              <w:rPr>
                                <w:i/>
                                <w:sz w:val="22"/>
                              </w:rPr>
                              <w:t>.</w:t>
                            </w:r>
                          </w:p>
                          <w:p w14:paraId="0F561F58" w14:textId="41D9D9E4" w:rsidR="00E82D3B" w:rsidRPr="00265190" w:rsidRDefault="00E82D3B" w:rsidP="00091260">
                            <w:pPr>
                              <w:jc w:val="both"/>
                              <w:rPr>
                                <w:i/>
                                <w:sz w:val="22"/>
                              </w:rPr>
                            </w:pPr>
                            <w:r w:rsidRPr="00265190">
                              <w:rPr>
                                <w:i/>
                                <w:sz w:val="22"/>
                              </w:rPr>
                              <w:t xml:space="preserve">b.) </w:t>
                            </w:r>
                            <w:proofErr w:type="gramStart"/>
                            <w:r w:rsidRPr="00265190">
                              <w:rPr>
                                <w:i/>
                                <w:sz w:val="22"/>
                              </w:rPr>
                              <w:t>The</w:t>
                            </w:r>
                            <w:proofErr w:type="gramEnd"/>
                            <w:r w:rsidRPr="00265190">
                              <w:rPr>
                                <w:i/>
                                <w:sz w:val="22"/>
                              </w:rPr>
                              <w:t xml:space="preserve"> same protocol as above was </w:t>
                            </w:r>
                            <w:r>
                              <w:rPr>
                                <w:i/>
                                <w:sz w:val="22"/>
                              </w:rPr>
                              <w:t>repeated</w:t>
                            </w:r>
                            <w:r w:rsidRPr="00265190">
                              <w:rPr>
                                <w:i/>
                                <w:sz w:val="22"/>
                              </w:rPr>
                              <w:t xml:space="preserve"> in SW480 cells but instead using the Fugene HD transfection reagent. Again after 72hrs the number of viable cells in mock-transfected samples </w:t>
                            </w:r>
                            <w:r>
                              <w:rPr>
                                <w:i/>
                                <w:sz w:val="22"/>
                              </w:rPr>
                              <w:t>increased</w:t>
                            </w:r>
                            <w:r w:rsidRPr="00265190">
                              <w:rPr>
                                <w:i/>
                                <w:sz w:val="22"/>
                              </w:rPr>
                              <w:t xml:space="preserve">, whereas the CRISPR transfected cells stayed at the same cell number as </w:t>
                            </w:r>
                            <w:r>
                              <w:rPr>
                                <w:i/>
                                <w:sz w:val="22"/>
                              </w:rPr>
                              <w:t>was</w:t>
                            </w:r>
                            <w:r w:rsidRPr="00265190">
                              <w:rPr>
                                <w:i/>
                                <w:sz w:val="22"/>
                              </w:rPr>
                              <w:t xml:space="preserve"> seeded</w:t>
                            </w:r>
                            <w:r>
                              <w:rPr>
                                <w:i/>
                                <w:sz w:val="22"/>
                              </w:rPr>
                              <w:t xml:space="preserve"> (n=1)</w:t>
                            </w:r>
                            <w:r w:rsidRPr="00265190">
                              <w:rPr>
                                <w:i/>
                                <w:sz w:val="22"/>
                              </w:rPr>
                              <w:t>.</w:t>
                            </w:r>
                          </w:p>
                          <w:p w14:paraId="75FD1F40" w14:textId="77777777" w:rsidR="00E82D3B" w:rsidRPr="00A25128" w:rsidRDefault="00E82D3B" w:rsidP="00091260">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6" o:spid="_x0000_s1071" type="#_x0000_t202" style="position:absolute;left:0;text-align:left;margin-left:0;margin-top:223.4pt;width:423pt;height:153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p5NtQCAAAb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" filled="f" stroked="f">
                <v:textbox>
                  <w:txbxContent>
                    <w:p w14:paraId="214B887F" w14:textId="42702F92" w:rsidR="000A1E0D" w:rsidRPr="00265190" w:rsidRDefault="000A1E0D" w:rsidP="00091260">
                      <w:pPr>
                        <w:jc w:val="both"/>
                        <w:rPr>
                          <w:b/>
                          <w:i/>
                          <w:sz w:val="22"/>
                        </w:rPr>
                      </w:pPr>
                      <w:r w:rsidRPr="00265190">
                        <w:rPr>
                          <w:b/>
                          <w:i/>
                          <w:sz w:val="22"/>
                        </w:rPr>
                        <w:t>F</w:t>
                      </w:r>
                      <w:r>
                        <w:rPr>
                          <w:b/>
                          <w:i/>
                          <w:sz w:val="22"/>
                        </w:rPr>
                        <w:t>igure 3</w:t>
                      </w:r>
                      <w:r w:rsidRPr="00265190">
                        <w:rPr>
                          <w:b/>
                          <w:i/>
                          <w:sz w:val="22"/>
                        </w:rPr>
                        <w:t>.</w:t>
                      </w:r>
                      <w:r>
                        <w:rPr>
                          <w:b/>
                          <w:i/>
                          <w:sz w:val="22"/>
                        </w:rPr>
                        <w:t>14</w:t>
                      </w:r>
                      <w:r w:rsidRPr="00265190">
                        <w:rPr>
                          <w:b/>
                          <w:i/>
                          <w:sz w:val="22"/>
                        </w:rPr>
                        <w:t xml:space="preserve"> Transfection with the CRISPR reagents affects cell growth</w:t>
                      </w:r>
                    </w:p>
                    <w:p w14:paraId="69C03FA2" w14:textId="4E348130" w:rsidR="000A1E0D" w:rsidRPr="00265190" w:rsidRDefault="000A1E0D" w:rsidP="00091260">
                      <w:pPr>
                        <w:jc w:val="both"/>
                        <w:rPr>
                          <w:i/>
                          <w:sz w:val="22"/>
                        </w:rPr>
                      </w:pPr>
                      <w:r w:rsidRPr="00265190">
                        <w:rPr>
                          <w:i/>
                          <w:sz w:val="22"/>
                        </w:rPr>
                        <w:t>a.) 200,000 SW480 cells were seeded in 6 well plates and left for 24hrs, they were then transfected with CRISPR reagents or ddH</w:t>
                      </w:r>
                      <w:r w:rsidRPr="00265190">
                        <w:rPr>
                          <w:i/>
                          <w:sz w:val="22"/>
                          <w:vertAlign w:val="subscript"/>
                        </w:rPr>
                        <w:t>2</w:t>
                      </w:r>
                      <w:r w:rsidRPr="00265190">
                        <w:rPr>
                          <w:i/>
                          <w:sz w:val="22"/>
                        </w:rPr>
                        <w:t>O using Lipofectamine 2000. Over 72hrs the cells were trypsinised and manually haemocytometer counted three times per condition per time point</w:t>
                      </w:r>
                      <w:r>
                        <w:rPr>
                          <w:i/>
                          <w:sz w:val="22"/>
                        </w:rPr>
                        <w:t xml:space="preserve"> (as shown by SD error bars)</w:t>
                      </w:r>
                      <w:r w:rsidRPr="00265190">
                        <w:rPr>
                          <w:i/>
                          <w:sz w:val="22"/>
                        </w:rPr>
                        <w:t>, using tryphan blue to look for viable cells. CRISPR transfected cells decreased in number over</w:t>
                      </w:r>
                      <w:r>
                        <w:rPr>
                          <w:i/>
                          <w:sz w:val="22"/>
                        </w:rPr>
                        <w:t xml:space="preserve"> </w:t>
                      </w:r>
                      <w:r w:rsidRPr="00265190">
                        <w:rPr>
                          <w:i/>
                          <w:sz w:val="22"/>
                        </w:rPr>
                        <w:t>time whereas mock transfected proliferated as would be expected</w:t>
                      </w:r>
                      <w:r>
                        <w:rPr>
                          <w:i/>
                          <w:sz w:val="22"/>
                        </w:rPr>
                        <w:t xml:space="preserve"> (n=1)</w:t>
                      </w:r>
                      <w:r w:rsidRPr="00265190">
                        <w:rPr>
                          <w:i/>
                          <w:sz w:val="22"/>
                        </w:rPr>
                        <w:t>.</w:t>
                      </w:r>
                    </w:p>
                    <w:p w14:paraId="0F561F58" w14:textId="41D9D9E4" w:rsidR="000A1E0D" w:rsidRPr="00265190" w:rsidRDefault="000A1E0D" w:rsidP="00091260">
                      <w:pPr>
                        <w:jc w:val="both"/>
                        <w:rPr>
                          <w:i/>
                          <w:sz w:val="22"/>
                        </w:rPr>
                      </w:pPr>
                      <w:r w:rsidRPr="00265190">
                        <w:rPr>
                          <w:i/>
                          <w:sz w:val="22"/>
                        </w:rPr>
                        <w:t xml:space="preserve">b.) </w:t>
                      </w:r>
                      <w:proofErr w:type="gramStart"/>
                      <w:r w:rsidRPr="00265190">
                        <w:rPr>
                          <w:i/>
                          <w:sz w:val="22"/>
                        </w:rPr>
                        <w:t>The</w:t>
                      </w:r>
                      <w:proofErr w:type="gramEnd"/>
                      <w:r w:rsidRPr="00265190">
                        <w:rPr>
                          <w:i/>
                          <w:sz w:val="22"/>
                        </w:rPr>
                        <w:t xml:space="preserve"> same protocol as above was </w:t>
                      </w:r>
                      <w:r>
                        <w:rPr>
                          <w:i/>
                          <w:sz w:val="22"/>
                        </w:rPr>
                        <w:t>repeated</w:t>
                      </w:r>
                      <w:r w:rsidRPr="00265190">
                        <w:rPr>
                          <w:i/>
                          <w:sz w:val="22"/>
                        </w:rPr>
                        <w:t xml:space="preserve"> in SW480 cells but instead using the Fugene HD transfection reagent. Again after 72hrs the number of viable cells in mock-transfected samples </w:t>
                      </w:r>
                      <w:r>
                        <w:rPr>
                          <w:i/>
                          <w:sz w:val="22"/>
                        </w:rPr>
                        <w:t>increased</w:t>
                      </w:r>
                      <w:r w:rsidRPr="00265190">
                        <w:rPr>
                          <w:i/>
                          <w:sz w:val="22"/>
                        </w:rPr>
                        <w:t xml:space="preserve">, whereas the CRISPR transfected cells stayed at the same cell number as </w:t>
                      </w:r>
                      <w:r>
                        <w:rPr>
                          <w:i/>
                          <w:sz w:val="22"/>
                        </w:rPr>
                        <w:t>was</w:t>
                      </w:r>
                      <w:r w:rsidRPr="00265190">
                        <w:rPr>
                          <w:i/>
                          <w:sz w:val="22"/>
                        </w:rPr>
                        <w:t xml:space="preserve"> seeded</w:t>
                      </w:r>
                      <w:r>
                        <w:rPr>
                          <w:i/>
                          <w:sz w:val="22"/>
                        </w:rPr>
                        <w:t xml:space="preserve"> (n=1)</w:t>
                      </w:r>
                      <w:r w:rsidRPr="00265190">
                        <w:rPr>
                          <w:i/>
                          <w:sz w:val="22"/>
                        </w:rPr>
                        <w:t>.</w:t>
                      </w:r>
                    </w:p>
                    <w:p w14:paraId="75FD1F40" w14:textId="77777777" w:rsidR="000A1E0D" w:rsidRPr="00A25128" w:rsidRDefault="000A1E0D" w:rsidP="00091260">
                      <w:pPr>
                        <w:rPr>
                          <w:i/>
                        </w:rPr>
                      </w:pPr>
                    </w:p>
                  </w:txbxContent>
                </v:textbox>
                <w10:wrap type="square"/>
              </v:shape>
            </w:pict>
          </mc:Fallback>
        </mc:AlternateContent>
      </w:r>
    </w:p>
    <w:p w14:paraId="779D959C" w14:textId="56A9301A" w:rsidR="00091260" w:rsidRDefault="00091260" w:rsidP="00091260">
      <w:pPr>
        <w:spacing w:line="360" w:lineRule="auto"/>
        <w:jc w:val="both"/>
        <w:rPr>
          <w:rFonts w:asciiTheme="majorHAnsi" w:hAnsiTheme="majorHAnsi"/>
        </w:rPr>
      </w:pPr>
      <w:r>
        <w:rPr>
          <w:rFonts w:asciiTheme="majorHAnsi" w:hAnsiTheme="majorHAnsi"/>
        </w:rPr>
        <w:t xml:space="preserve">After discussions with the company </w:t>
      </w:r>
      <w:r w:rsidR="00A72B38">
        <w:rPr>
          <w:rFonts w:asciiTheme="majorHAnsi" w:hAnsiTheme="majorHAnsi"/>
        </w:rPr>
        <w:t xml:space="preserve">(Santa Cruz Biotechnology) </w:t>
      </w:r>
      <w:r>
        <w:rPr>
          <w:rFonts w:asciiTheme="majorHAnsi" w:hAnsiTheme="majorHAnsi"/>
        </w:rPr>
        <w:t xml:space="preserve">regarding this cell growth problem, they </w:t>
      </w:r>
      <w:r w:rsidR="00A72B38">
        <w:rPr>
          <w:rFonts w:asciiTheme="majorHAnsi" w:hAnsiTheme="majorHAnsi"/>
        </w:rPr>
        <w:t>provided</w:t>
      </w:r>
      <w:r>
        <w:rPr>
          <w:rFonts w:asciiTheme="majorHAnsi" w:hAnsiTheme="majorHAnsi"/>
        </w:rPr>
        <w:t xml:space="preserve"> a new control plasmid solution to test. The control CRISPR was transfected </w:t>
      </w:r>
      <w:r w:rsidR="00A72B38">
        <w:rPr>
          <w:rFonts w:asciiTheme="majorHAnsi" w:hAnsiTheme="majorHAnsi"/>
        </w:rPr>
        <w:t xml:space="preserve">into SW480 cells </w:t>
      </w:r>
      <w:r>
        <w:rPr>
          <w:rFonts w:asciiTheme="majorHAnsi" w:hAnsiTheme="majorHAnsi"/>
        </w:rPr>
        <w:t xml:space="preserve">as before, </w:t>
      </w:r>
      <w:r w:rsidR="00A72B38">
        <w:rPr>
          <w:rFonts w:asciiTheme="majorHAnsi" w:hAnsiTheme="majorHAnsi"/>
        </w:rPr>
        <w:t>in addition to</w:t>
      </w:r>
      <w:r>
        <w:rPr>
          <w:rFonts w:asciiTheme="majorHAnsi" w:hAnsiTheme="majorHAnsi"/>
        </w:rPr>
        <w:t xml:space="preserve"> U2OS cells, which have been regularly used for transfection within the laboratory, to check that </w:t>
      </w:r>
      <w:r w:rsidR="00A72B38">
        <w:rPr>
          <w:rFonts w:asciiTheme="majorHAnsi" w:hAnsiTheme="majorHAnsi"/>
        </w:rPr>
        <w:t>there was no</w:t>
      </w:r>
      <w:r>
        <w:rPr>
          <w:rFonts w:asciiTheme="majorHAnsi" w:hAnsiTheme="majorHAnsi"/>
        </w:rPr>
        <w:t xml:space="preserve"> cell specific issue. However, the cells transfected with the new control plasmid again did not grow in either cell line, but the mock transfected ones continued to proliferate over 72hrs a</w:t>
      </w:r>
      <w:r w:rsidR="00075445">
        <w:rPr>
          <w:rFonts w:asciiTheme="majorHAnsi" w:hAnsiTheme="majorHAnsi"/>
        </w:rPr>
        <w:t>s would be expected (Figure 3.15</w:t>
      </w:r>
      <w:r>
        <w:rPr>
          <w:rFonts w:asciiTheme="majorHAnsi" w:hAnsiTheme="majorHAnsi"/>
        </w:rPr>
        <w:t xml:space="preserve">).  Therefore </w:t>
      </w:r>
      <w:r w:rsidR="00A72B38">
        <w:rPr>
          <w:rFonts w:asciiTheme="majorHAnsi" w:hAnsiTheme="majorHAnsi"/>
        </w:rPr>
        <w:t>these experiments demonstrated</w:t>
      </w:r>
      <w:r>
        <w:rPr>
          <w:rFonts w:asciiTheme="majorHAnsi" w:hAnsiTheme="majorHAnsi"/>
        </w:rPr>
        <w:t xml:space="preserve"> that there was no problem with the transfection reagents or cell line, suggesting that the CRISPR system was affecting cell growth. The company was not willing to provide the specific nucleotide sequence of the control gRNA, so there was no way to carry out a BLAST search to see whether the control was actually specific to any parts of the genome and thus affecting cell growth. Although this </w:t>
      </w:r>
      <w:r w:rsidR="00A72B38">
        <w:rPr>
          <w:rFonts w:asciiTheme="majorHAnsi" w:hAnsiTheme="majorHAnsi"/>
        </w:rPr>
        <w:t>is one possible</w:t>
      </w:r>
      <w:r>
        <w:rPr>
          <w:rFonts w:asciiTheme="majorHAnsi" w:hAnsiTheme="majorHAnsi"/>
        </w:rPr>
        <w:t xml:space="preserve"> explanation, the fact that the </w:t>
      </w:r>
      <w:r w:rsidRPr="00663BEE">
        <w:rPr>
          <w:rFonts w:asciiTheme="majorHAnsi" w:hAnsiTheme="majorHAnsi"/>
          <w:i/>
        </w:rPr>
        <w:t>SRCAP</w:t>
      </w:r>
      <w:r w:rsidR="00A72B38">
        <w:rPr>
          <w:rFonts w:asciiTheme="majorHAnsi" w:hAnsiTheme="majorHAnsi"/>
        </w:rPr>
        <w:t xml:space="preserve"> CRISP</w:t>
      </w:r>
      <w:r>
        <w:rPr>
          <w:rFonts w:asciiTheme="majorHAnsi" w:hAnsiTheme="majorHAnsi"/>
        </w:rPr>
        <w:t xml:space="preserve">R system also decreased the cell growth over time may mean that </w:t>
      </w:r>
      <w:r w:rsidR="00A72B38">
        <w:rPr>
          <w:rFonts w:asciiTheme="majorHAnsi" w:hAnsiTheme="majorHAnsi"/>
        </w:rPr>
        <w:t xml:space="preserve">some component </w:t>
      </w:r>
      <w:r>
        <w:rPr>
          <w:rFonts w:asciiTheme="majorHAnsi" w:hAnsiTheme="majorHAnsi"/>
        </w:rPr>
        <w:t>of the plasmid mix is causing the decrease in cell viability. However, without a sequence for the control system this would be hard to explore, espe</w:t>
      </w:r>
      <w:r w:rsidR="00A72B38">
        <w:rPr>
          <w:rFonts w:asciiTheme="majorHAnsi" w:hAnsiTheme="majorHAnsi"/>
        </w:rPr>
        <w:t>cially as the plasmids come pre-</w:t>
      </w:r>
      <w:r>
        <w:rPr>
          <w:rFonts w:asciiTheme="majorHAnsi" w:hAnsiTheme="majorHAnsi"/>
        </w:rPr>
        <w:t xml:space="preserve">mixed so cannot be transfected separately.  </w:t>
      </w:r>
    </w:p>
    <w:p w14:paraId="73818791" w14:textId="3D51EB71" w:rsidR="00091260" w:rsidRDefault="00D01D43" w:rsidP="00091260">
      <w:pPr>
        <w:spacing w:line="360" w:lineRule="auto"/>
        <w:jc w:val="both"/>
        <w:rPr>
          <w:rFonts w:asciiTheme="majorHAnsi" w:hAnsiTheme="majorHAnsi"/>
          <w:color w:val="FF0000"/>
        </w:rPr>
      </w:pPr>
      <w:r w:rsidRPr="00155084">
        <w:rPr>
          <w:rFonts w:asciiTheme="majorHAnsi" w:hAnsiTheme="majorHAnsi"/>
          <w:noProof/>
          <w:color w:val="FF0000"/>
          <w:lang w:val="en-US"/>
        </w:rPr>
        <w:drawing>
          <wp:anchor distT="0" distB="0" distL="114300" distR="114300" simplePos="0" relativeHeight="251974656" behindDoc="0" locked="0" layoutInCell="1" allowOverlap="1" wp14:anchorId="057F076F" wp14:editId="3A081779">
            <wp:simplePos x="0" y="0"/>
            <wp:positionH relativeFrom="column">
              <wp:posOffset>571500</wp:posOffset>
            </wp:positionH>
            <wp:positionV relativeFrom="paragraph">
              <wp:posOffset>56515</wp:posOffset>
            </wp:positionV>
            <wp:extent cx="4344670" cy="2743200"/>
            <wp:effectExtent l="0" t="0" r="24130" b="25400"/>
            <wp:wrapTight wrapText="bothSides">
              <wp:wrapPolygon edited="0">
                <wp:start x="0" y="0"/>
                <wp:lineTo x="0" y="21600"/>
                <wp:lineTo x="21594" y="21600"/>
                <wp:lineTo x="21594" y="0"/>
                <wp:lineTo x="0" y="0"/>
              </wp:wrapPolygon>
            </wp:wrapTight>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14:paraId="4B3AB64B" w14:textId="77777777" w:rsidR="00091260" w:rsidRDefault="00091260" w:rsidP="00091260">
      <w:pPr>
        <w:spacing w:line="360" w:lineRule="auto"/>
        <w:jc w:val="both"/>
        <w:rPr>
          <w:rFonts w:asciiTheme="majorHAnsi" w:hAnsiTheme="majorHAnsi"/>
          <w:color w:val="FF0000"/>
        </w:rPr>
      </w:pPr>
    </w:p>
    <w:p w14:paraId="26703563" w14:textId="77777777" w:rsidR="00091260" w:rsidRDefault="00091260" w:rsidP="00091260">
      <w:pPr>
        <w:pStyle w:val="ListParagraph"/>
        <w:ind w:left="360"/>
        <w:rPr>
          <w:rFonts w:asciiTheme="majorHAnsi" w:hAnsiTheme="majorHAnsi"/>
          <w:sz w:val="28"/>
          <w:szCs w:val="28"/>
          <w:u w:val="single"/>
        </w:rPr>
      </w:pPr>
    </w:p>
    <w:p w14:paraId="39BCDE26" w14:textId="77777777" w:rsidR="00091260" w:rsidRDefault="00091260" w:rsidP="00091260">
      <w:pPr>
        <w:pStyle w:val="ListParagraph"/>
        <w:ind w:left="360"/>
        <w:rPr>
          <w:rFonts w:asciiTheme="majorHAnsi" w:hAnsiTheme="majorHAnsi"/>
          <w:sz w:val="28"/>
          <w:szCs w:val="28"/>
          <w:u w:val="single"/>
        </w:rPr>
      </w:pPr>
    </w:p>
    <w:p w14:paraId="1DA320B6" w14:textId="77777777" w:rsidR="00091260" w:rsidRDefault="00091260" w:rsidP="00091260">
      <w:pPr>
        <w:pStyle w:val="ListParagraph"/>
        <w:ind w:left="360"/>
        <w:rPr>
          <w:rFonts w:asciiTheme="majorHAnsi" w:hAnsiTheme="majorHAnsi"/>
          <w:sz w:val="28"/>
          <w:szCs w:val="28"/>
          <w:u w:val="single"/>
        </w:rPr>
      </w:pPr>
    </w:p>
    <w:p w14:paraId="162AB5D8" w14:textId="77777777" w:rsidR="00091260" w:rsidRDefault="00091260" w:rsidP="00091260">
      <w:pPr>
        <w:pStyle w:val="ListParagraph"/>
        <w:ind w:left="360"/>
        <w:rPr>
          <w:rFonts w:asciiTheme="majorHAnsi" w:hAnsiTheme="majorHAnsi"/>
          <w:sz w:val="28"/>
          <w:szCs w:val="28"/>
          <w:u w:val="single"/>
        </w:rPr>
      </w:pPr>
    </w:p>
    <w:p w14:paraId="7F8EDD22" w14:textId="77777777" w:rsidR="00091260" w:rsidRDefault="00091260" w:rsidP="00091260">
      <w:pPr>
        <w:pStyle w:val="ListParagraph"/>
        <w:ind w:left="360"/>
        <w:rPr>
          <w:rFonts w:asciiTheme="majorHAnsi" w:hAnsiTheme="majorHAnsi"/>
          <w:sz w:val="28"/>
          <w:szCs w:val="28"/>
          <w:u w:val="single"/>
        </w:rPr>
      </w:pPr>
    </w:p>
    <w:p w14:paraId="26C64E00" w14:textId="77777777" w:rsidR="00091260" w:rsidRDefault="00091260" w:rsidP="00091260">
      <w:pPr>
        <w:pStyle w:val="ListParagraph"/>
        <w:ind w:left="360"/>
        <w:rPr>
          <w:rFonts w:asciiTheme="majorHAnsi" w:hAnsiTheme="majorHAnsi"/>
          <w:sz w:val="28"/>
          <w:szCs w:val="28"/>
          <w:u w:val="single"/>
        </w:rPr>
      </w:pPr>
    </w:p>
    <w:p w14:paraId="20AB182A" w14:textId="77777777" w:rsidR="00091260" w:rsidRDefault="00091260" w:rsidP="00091260">
      <w:pPr>
        <w:pStyle w:val="ListParagraph"/>
        <w:ind w:left="360"/>
        <w:rPr>
          <w:rFonts w:asciiTheme="majorHAnsi" w:hAnsiTheme="majorHAnsi"/>
          <w:sz w:val="28"/>
          <w:szCs w:val="28"/>
          <w:u w:val="single"/>
        </w:rPr>
      </w:pPr>
    </w:p>
    <w:p w14:paraId="5ECAC5A5" w14:textId="5D88E727" w:rsidR="00091260" w:rsidRDefault="00091260" w:rsidP="00091260">
      <w:pPr>
        <w:rPr>
          <w:rFonts w:asciiTheme="majorHAnsi" w:hAnsiTheme="majorHAnsi"/>
          <w:sz w:val="28"/>
          <w:szCs w:val="28"/>
          <w:u w:val="single"/>
        </w:rPr>
      </w:pPr>
      <w:r>
        <w:rPr>
          <w:noProof/>
          <w:color w:val="FF0000"/>
          <w:lang w:val="en-US"/>
        </w:rPr>
        <mc:AlternateContent>
          <mc:Choice Requires="wps">
            <w:drawing>
              <wp:anchor distT="0" distB="0" distL="114300" distR="114300" simplePos="0" relativeHeight="251975680" behindDoc="0" locked="0" layoutInCell="1" allowOverlap="1" wp14:anchorId="20F72E8B" wp14:editId="22AB49EF">
                <wp:simplePos x="0" y="0"/>
                <wp:positionH relativeFrom="column">
                  <wp:posOffset>0</wp:posOffset>
                </wp:positionH>
                <wp:positionV relativeFrom="paragraph">
                  <wp:posOffset>836930</wp:posOffset>
                </wp:positionV>
                <wp:extent cx="5372100" cy="1600200"/>
                <wp:effectExtent l="0" t="0" r="0" b="0"/>
                <wp:wrapSquare wrapText="bothSides"/>
                <wp:docPr id="239" name="Text Box 239"/>
                <wp:cNvGraphicFramePr/>
                <a:graphic xmlns:a="http://schemas.openxmlformats.org/drawingml/2006/main">
                  <a:graphicData uri="http://schemas.microsoft.com/office/word/2010/wordprocessingShape">
                    <wps:wsp>
                      <wps:cNvSpPr txBox="1"/>
                      <wps:spPr>
                        <a:xfrm>
                          <a:off x="0" y="0"/>
                          <a:ext cx="53721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08DD11" w14:textId="2E29EBA6" w:rsidR="00E82D3B" w:rsidRDefault="00E82D3B" w:rsidP="00091260">
                            <w:pPr>
                              <w:jc w:val="both"/>
                              <w:rPr>
                                <w:b/>
                                <w:i/>
                                <w:sz w:val="22"/>
                              </w:rPr>
                            </w:pPr>
                            <w:r w:rsidRPr="0044162A">
                              <w:rPr>
                                <w:b/>
                                <w:i/>
                                <w:sz w:val="22"/>
                              </w:rPr>
                              <w:t>F</w:t>
                            </w:r>
                            <w:r>
                              <w:rPr>
                                <w:b/>
                                <w:i/>
                                <w:sz w:val="22"/>
                              </w:rPr>
                              <w:t>igure 3</w:t>
                            </w:r>
                            <w:r w:rsidRPr="0044162A">
                              <w:rPr>
                                <w:b/>
                                <w:i/>
                                <w:sz w:val="22"/>
                              </w:rPr>
                              <w:t>.</w:t>
                            </w:r>
                            <w:r>
                              <w:rPr>
                                <w:b/>
                                <w:i/>
                                <w:sz w:val="22"/>
                              </w:rPr>
                              <w:t>15</w:t>
                            </w:r>
                            <w:r w:rsidRPr="0044162A">
                              <w:rPr>
                                <w:b/>
                                <w:i/>
                                <w:sz w:val="22"/>
                              </w:rPr>
                              <w:t xml:space="preserve"> New control CRISPR reagent shows the same trend in </w:t>
                            </w:r>
                            <w:r>
                              <w:rPr>
                                <w:b/>
                                <w:i/>
                                <w:sz w:val="22"/>
                              </w:rPr>
                              <w:t>reduced</w:t>
                            </w:r>
                            <w:r w:rsidRPr="0044162A">
                              <w:rPr>
                                <w:b/>
                                <w:i/>
                                <w:sz w:val="22"/>
                              </w:rPr>
                              <w:t xml:space="preserve"> cell growth</w:t>
                            </w:r>
                          </w:p>
                          <w:p w14:paraId="1315D070" w14:textId="6818AF83" w:rsidR="00E82D3B" w:rsidRPr="0044162A" w:rsidRDefault="00E82D3B" w:rsidP="00091260">
                            <w:pPr>
                              <w:jc w:val="both"/>
                              <w:rPr>
                                <w:i/>
                                <w:sz w:val="22"/>
                              </w:rPr>
                            </w:pPr>
                            <w:r>
                              <w:rPr>
                                <w:i/>
                                <w:sz w:val="22"/>
                              </w:rPr>
                              <w:t>SW480 and U2OS cells were again seeded in 6 well plates at a density of 200,000 cells per well. They were transfected with Lipofectamine 2000 at 24hrs with the new control CRISPR or ddH</w:t>
                            </w:r>
                            <w:r w:rsidRPr="0044162A">
                              <w:rPr>
                                <w:i/>
                                <w:sz w:val="22"/>
                                <w:vertAlign w:val="subscript"/>
                              </w:rPr>
                              <w:t>2</w:t>
                            </w:r>
                            <w:r>
                              <w:rPr>
                                <w:i/>
                                <w:sz w:val="22"/>
                              </w:rPr>
                              <w:t xml:space="preserve">O and left to proliferate, with viable cells being manually haemocytometer counted every day. Three samples per time point, per condition were counted to give the SD error bars on the graph. Again the CRISPR transfected cells did not grow, whereas the mock transfection did not affect cell growth (n=1).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9" o:spid="_x0000_s1072" type="#_x0000_t202" style="position:absolute;margin-left:0;margin-top:65.9pt;width:423pt;height:126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upDtQCAAAb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" filled="f" stroked="f">
                <v:textbox>
                  <w:txbxContent>
                    <w:p w14:paraId="7408DD11" w14:textId="2E29EBA6" w:rsidR="000A1E0D" w:rsidRDefault="000A1E0D" w:rsidP="00091260">
                      <w:pPr>
                        <w:jc w:val="both"/>
                        <w:rPr>
                          <w:b/>
                          <w:i/>
                          <w:sz w:val="22"/>
                        </w:rPr>
                      </w:pPr>
                      <w:r w:rsidRPr="0044162A">
                        <w:rPr>
                          <w:b/>
                          <w:i/>
                          <w:sz w:val="22"/>
                        </w:rPr>
                        <w:t>F</w:t>
                      </w:r>
                      <w:r>
                        <w:rPr>
                          <w:b/>
                          <w:i/>
                          <w:sz w:val="22"/>
                        </w:rPr>
                        <w:t>igure 3</w:t>
                      </w:r>
                      <w:r w:rsidRPr="0044162A">
                        <w:rPr>
                          <w:b/>
                          <w:i/>
                          <w:sz w:val="22"/>
                        </w:rPr>
                        <w:t>.</w:t>
                      </w:r>
                      <w:r>
                        <w:rPr>
                          <w:b/>
                          <w:i/>
                          <w:sz w:val="22"/>
                        </w:rPr>
                        <w:t>15</w:t>
                      </w:r>
                      <w:r w:rsidRPr="0044162A">
                        <w:rPr>
                          <w:b/>
                          <w:i/>
                          <w:sz w:val="22"/>
                        </w:rPr>
                        <w:t xml:space="preserve"> New control CRISPR reagent shows the same trend in </w:t>
                      </w:r>
                      <w:r>
                        <w:rPr>
                          <w:b/>
                          <w:i/>
                          <w:sz w:val="22"/>
                        </w:rPr>
                        <w:t>reduced</w:t>
                      </w:r>
                      <w:r w:rsidRPr="0044162A">
                        <w:rPr>
                          <w:b/>
                          <w:i/>
                          <w:sz w:val="22"/>
                        </w:rPr>
                        <w:t xml:space="preserve"> cell growth</w:t>
                      </w:r>
                    </w:p>
                    <w:p w14:paraId="1315D070" w14:textId="6818AF83" w:rsidR="000A1E0D" w:rsidRPr="0044162A" w:rsidRDefault="000A1E0D" w:rsidP="00091260">
                      <w:pPr>
                        <w:jc w:val="both"/>
                        <w:rPr>
                          <w:i/>
                          <w:sz w:val="22"/>
                        </w:rPr>
                      </w:pPr>
                      <w:r>
                        <w:rPr>
                          <w:i/>
                          <w:sz w:val="22"/>
                        </w:rPr>
                        <w:t>SW480 and U2OS cells were again seeded in 6 well plates at a density of 200,000 cells per well. They were transfected with Lipofectamine 2000 at 24hrs with the new control CRISPR or ddH</w:t>
                      </w:r>
                      <w:r w:rsidRPr="0044162A">
                        <w:rPr>
                          <w:i/>
                          <w:sz w:val="22"/>
                          <w:vertAlign w:val="subscript"/>
                        </w:rPr>
                        <w:t>2</w:t>
                      </w:r>
                      <w:r>
                        <w:rPr>
                          <w:i/>
                          <w:sz w:val="22"/>
                        </w:rPr>
                        <w:t xml:space="preserve">O and left to proliferate, with viable cells being manually haemocytometer counted every day. Three samples per time point, per condition were counted to give the SD error bars on the graph. Again the CRISPR transfected cells did not grow, whereas the mock transfection did not affect cell growth (n=1). </w:t>
                      </w:r>
                    </w:p>
                  </w:txbxContent>
                </v:textbox>
                <w10:wrap type="square"/>
              </v:shape>
            </w:pict>
          </mc:Fallback>
        </mc:AlternateContent>
      </w:r>
      <w:r>
        <w:rPr>
          <w:rFonts w:asciiTheme="majorHAnsi" w:hAnsiTheme="majorHAnsi"/>
          <w:sz w:val="28"/>
          <w:szCs w:val="28"/>
          <w:u w:val="single"/>
        </w:rPr>
        <w:br w:type="page"/>
      </w:r>
    </w:p>
    <w:p w14:paraId="240D223C" w14:textId="10F93074" w:rsidR="00091260" w:rsidRPr="00E83A72" w:rsidRDefault="00091260" w:rsidP="00091260">
      <w:pPr>
        <w:pStyle w:val="ListParagraph"/>
        <w:ind w:left="0"/>
        <w:rPr>
          <w:rFonts w:asciiTheme="majorHAnsi" w:hAnsiTheme="majorHAnsi"/>
          <w:sz w:val="28"/>
          <w:szCs w:val="28"/>
          <w:u w:val="single"/>
        </w:rPr>
      </w:pPr>
      <w:proofErr w:type="gramStart"/>
      <w:r>
        <w:rPr>
          <w:rFonts w:asciiTheme="majorHAnsi" w:hAnsiTheme="majorHAnsi"/>
          <w:sz w:val="28"/>
          <w:szCs w:val="28"/>
          <w:u w:val="single"/>
        </w:rPr>
        <w:t xml:space="preserve">3.7 </w:t>
      </w:r>
      <w:r w:rsidRPr="0055655C">
        <w:rPr>
          <w:rFonts w:asciiTheme="majorHAnsi" w:hAnsiTheme="majorHAnsi"/>
          <w:sz w:val="28"/>
          <w:szCs w:val="28"/>
          <w:u w:val="single"/>
        </w:rPr>
        <w:t>Lentiviral CRISPR/</w:t>
      </w:r>
      <w:r>
        <w:rPr>
          <w:rFonts w:asciiTheme="majorHAnsi" w:hAnsiTheme="majorHAnsi"/>
          <w:sz w:val="28"/>
          <w:szCs w:val="28"/>
          <w:u w:val="single"/>
        </w:rPr>
        <w:t>d</w:t>
      </w:r>
      <w:r w:rsidRPr="0055655C">
        <w:rPr>
          <w:rFonts w:asciiTheme="majorHAnsi" w:hAnsiTheme="majorHAnsi"/>
          <w:sz w:val="28"/>
          <w:szCs w:val="28"/>
          <w:u w:val="single"/>
        </w:rPr>
        <w:t>Cas9 utilisation</w:t>
      </w:r>
      <w:proofErr w:type="gramEnd"/>
      <w:r w:rsidRPr="0055655C">
        <w:rPr>
          <w:rFonts w:asciiTheme="majorHAnsi" w:hAnsiTheme="majorHAnsi"/>
          <w:sz w:val="28"/>
          <w:szCs w:val="28"/>
          <w:u w:val="single"/>
        </w:rPr>
        <w:t xml:space="preserve"> creates viable </w:t>
      </w:r>
      <w:r w:rsidRPr="00663BEE">
        <w:rPr>
          <w:rFonts w:asciiTheme="majorHAnsi" w:hAnsiTheme="majorHAnsi"/>
          <w:i/>
          <w:sz w:val="28"/>
          <w:szCs w:val="28"/>
          <w:u w:val="single"/>
        </w:rPr>
        <w:t>SRCAP</w:t>
      </w:r>
      <w:r w:rsidRPr="0055655C">
        <w:rPr>
          <w:rFonts w:asciiTheme="majorHAnsi" w:hAnsiTheme="majorHAnsi"/>
          <w:sz w:val="28"/>
          <w:szCs w:val="28"/>
          <w:u w:val="single"/>
        </w:rPr>
        <w:t xml:space="preserve"> over</w:t>
      </w:r>
      <w:r w:rsidR="00A72B38">
        <w:rPr>
          <w:rFonts w:asciiTheme="majorHAnsi" w:hAnsiTheme="majorHAnsi"/>
          <w:sz w:val="28"/>
          <w:szCs w:val="28"/>
          <w:u w:val="single"/>
        </w:rPr>
        <w:t>-</w:t>
      </w:r>
      <w:r w:rsidRPr="00E83A72">
        <w:rPr>
          <w:rFonts w:asciiTheme="majorHAnsi" w:hAnsiTheme="majorHAnsi"/>
          <w:sz w:val="28"/>
          <w:szCs w:val="28"/>
          <w:u w:val="single"/>
        </w:rPr>
        <w:t>expressing clones</w:t>
      </w:r>
    </w:p>
    <w:p w14:paraId="26E722BA" w14:textId="77777777" w:rsidR="00091260" w:rsidRPr="00E83A72" w:rsidRDefault="00091260" w:rsidP="00091260">
      <w:pPr>
        <w:spacing w:line="360" w:lineRule="auto"/>
        <w:jc w:val="both"/>
        <w:rPr>
          <w:rFonts w:asciiTheme="majorHAnsi" w:hAnsiTheme="majorHAnsi"/>
          <w:color w:val="FF0000"/>
        </w:rPr>
      </w:pPr>
    </w:p>
    <w:p w14:paraId="02249A88" w14:textId="0C3501F7" w:rsidR="00091260" w:rsidRDefault="00091260" w:rsidP="00091260">
      <w:pPr>
        <w:spacing w:line="360" w:lineRule="auto"/>
        <w:jc w:val="both"/>
        <w:rPr>
          <w:rFonts w:asciiTheme="majorHAnsi" w:hAnsiTheme="majorHAnsi"/>
        </w:rPr>
      </w:pPr>
      <w:r w:rsidRPr="00E83A72">
        <w:rPr>
          <w:rFonts w:asciiTheme="majorHAnsi" w:hAnsiTheme="majorHAnsi"/>
        </w:rPr>
        <w:t xml:space="preserve">In order to generate a CRISPR/dCas9 mediated </w:t>
      </w:r>
      <w:r w:rsidRPr="00E83A72">
        <w:rPr>
          <w:rFonts w:asciiTheme="majorHAnsi" w:hAnsiTheme="majorHAnsi"/>
          <w:i/>
        </w:rPr>
        <w:t>SRCAP</w:t>
      </w:r>
      <w:r w:rsidR="00A72B38" w:rsidRPr="00E83A72">
        <w:rPr>
          <w:rFonts w:asciiTheme="majorHAnsi" w:hAnsiTheme="majorHAnsi"/>
        </w:rPr>
        <w:t xml:space="preserve"> over-</w:t>
      </w:r>
      <w:r w:rsidRPr="00E83A72">
        <w:rPr>
          <w:rFonts w:asciiTheme="majorHAnsi" w:hAnsiTheme="majorHAnsi"/>
        </w:rPr>
        <w:t xml:space="preserve">expression cell line; the next step was to try a lentiviral system. Here the same components </w:t>
      </w:r>
      <w:r w:rsidR="006528B3" w:rsidRPr="00E83A72">
        <w:rPr>
          <w:rFonts w:asciiTheme="majorHAnsi" w:hAnsiTheme="majorHAnsi"/>
        </w:rPr>
        <w:t xml:space="preserve">as previously mentioned in section 3.6 </w:t>
      </w:r>
      <w:r w:rsidRPr="00E83A72">
        <w:rPr>
          <w:rFonts w:asciiTheme="majorHAnsi" w:hAnsiTheme="majorHAnsi"/>
        </w:rPr>
        <w:t>are transfected into the cells as before</w:t>
      </w:r>
      <w:r w:rsidR="00A72B38" w:rsidRPr="00E83A72">
        <w:rPr>
          <w:rFonts w:asciiTheme="majorHAnsi" w:hAnsiTheme="majorHAnsi"/>
        </w:rPr>
        <w:t>,</w:t>
      </w:r>
      <w:r w:rsidRPr="00E83A72">
        <w:rPr>
          <w:rFonts w:asciiTheme="majorHAnsi" w:hAnsiTheme="majorHAnsi"/>
        </w:rPr>
        <w:t xml:space="preserve"> but in a lentiviral package, and so should </w:t>
      </w:r>
      <w:r w:rsidR="006528B3" w:rsidRPr="00E83A72">
        <w:rPr>
          <w:rFonts w:asciiTheme="majorHAnsi" w:hAnsiTheme="majorHAnsi"/>
        </w:rPr>
        <w:t xml:space="preserve">actively pass through the nuclear membrane and </w:t>
      </w:r>
      <w:r w:rsidRPr="00E83A72">
        <w:rPr>
          <w:rFonts w:asciiTheme="majorHAnsi" w:hAnsiTheme="majorHAnsi"/>
        </w:rPr>
        <w:t xml:space="preserve">integrate into </w:t>
      </w:r>
      <w:r w:rsidR="00A72B38" w:rsidRPr="00E83A72">
        <w:rPr>
          <w:rFonts w:asciiTheme="majorHAnsi" w:hAnsiTheme="majorHAnsi"/>
        </w:rPr>
        <w:t xml:space="preserve">the genome </w:t>
      </w:r>
      <w:r w:rsidR="006528B3" w:rsidRPr="00E83A72">
        <w:rPr>
          <w:rFonts w:asciiTheme="majorHAnsi" w:hAnsiTheme="majorHAnsi"/>
        </w:rPr>
        <w:t xml:space="preserve">via </w:t>
      </w:r>
      <w:proofErr w:type="spellStart"/>
      <w:r w:rsidR="006528B3" w:rsidRPr="00E83A72">
        <w:rPr>
          <w:rFonts w:asciiTheme="majorHAnsi" w:hAnsiTheme="majorHAnsi"/>
        </w:rPr>
        <w:t>integrase</w:t>
      </w:r>
      <w:proofErr w:type="spellEnd"/>
      <w:r w:rsidR="006528B3" w:rsidRPr="00E83A72">
        <w:rPr>
          <w:rFonts w:asciiTheme="majorHAnsi" w:hAnsiTheme="majorHAnsi"/>
        </w:rPr>
        <w:t xml:space="preserve"> functioning to</w:t>
      </w:r>
      <w:r w:rsidR="00A72B38" w:rsidRPr="00E83A72">
        <w:rPr>
          <w:rFonts w:asciiTheme="majorHAnsi" w:hAnsiTheme="majorHAnsi"/>
        </w:rPr>
        <w:t xml:space="preserve"> stably over-</w:t>
      </w:r>
      <w:r w:rsidRPr="00E83A72">
        <w:rPr>
          <w:rFonts w:asciiTheme="majorHAnsi" w:hAnsiTheme="majorHAnsi"/>
        </w:rPr>
        <w:t xml:space="preserve">express the </w:t>
      </w:r>
      <w:r w:rsidR="00A72B38" w:rsidRPr="00E83A72">
        <w:rPr>
          <w:rFonts w:asciiTheme="majorHAnsi" w:hAnsiTheme="majorHAnsi"/>
        </w:rPr>
        <w:t xml:space="preserve">target </w:t>
      </w:r>
      <w:r w:rsidRPr="00E83A72">
        <w:rPr>
          <w:rFonts w:asciiTheme="majorHAnsi" w:hAnsiTheme="majorHAnsi"/>
        </w:rPr>
        <w:t>gene, depending on antibiotic resistance mechanisms. This approach negates the need for a control CRISPR system, as the same cells are mock transfected with ddH</w:t>
      </w:r>
      <w:r w:rsidRPr="00E83A72">
        <w:rPr>
          <w:rFonts w:asciiTheme="majorHAnsi" w:hAnsiTheme="majorHAnsi"/>
          <w:vertAlign w:val="subscript"/>
        </w:rPr>
        <w:t>2</w:t>
      </w:r>
      <w:r w:rsidRPr="00E83A72">
        <w:rPr>
          <w:rFonts w:asciiTheme="majorHAnsi" w:hAnsiTheme="majorHAnsi"/>
        </w:rPr>
        <w:t xml:space="preserve">O and incubated with the </w:t>
      </w:r>
      <w:r w:rsidR="00A72B38" w:rsidRPr="00E83A72">
        <w:rPr>
          <w:rFonts w:asciiTheme="majorHAnsi" w:hAnsiTheme="majorHAnsi"/>
        </w:rPr>
        <w:t xml:space="preserve">appropriate </w:t>
      </w:r>
      <w:r w:rsidRPr="00E83A72">
        <w:rPr>
          <w:rFonts w:asciiTheme="majorHAnsi" w:hAnsiTheme="majorHAnsi"/>
        </w:rPr>
        <w:t xml:space="preserve">three antibiotics </w:t>
      </w:r>
      <w:r w:rsidR="00A72B38" w:rsidRPr="00E83A72">
        <w:rPr>
          <w:rFonts w:asciiTheme="majorHAnsi" w:hAnsiTheme="majorHAnsi"/>
        </w:rPr>
        <w:t>according to</w:t>
      </w:r>
      <w:r w:rsidRPr="00E83A72">
        <w:rPr>
          <w:rFonts w:asciiTheme="majorHAnsi" w:hAnsiTheme="majorHAnsi"/>
        </w:rPr>
        <w:t xml:space="preserve"> the resistance genes within </w:t>
      </w:r>
      <w:r w:rsidR="006528B3" w:rsidRPr="00E83A72">
        <w:rPr>
          <w:rFonts w:asciiTheme="majorHAnsi" w:hAnsiTheme="majorHAnsi"/>
        </w:rPr>
        <w:t xml:space="preserve">the </w:t>
      </w:r>
      <w:r w:rsidRPr="00E83A72">
        <w:rPr>
          <w:rFonts w:asciiTheme="majorHAnsi" w:hAnsiTheme="majorHAnsi"/>
        </w:rPr>
        <w:t>three vectors.</w:t>
      </w:r>
      <w:r>
        <w:rPr>
          <w:rFonts w:asciiTheme="majorHAnsi" w:hAnsiTheme="majorHAnsi"/>
        </w:rPr>
        <w:t xml:space="preserve"> As they are not resistant to the antibiotics the control cell population s</w:t>
      </w:r>
      <w:r w:rsidR="00907B02">
        <w:rPr>
          <w:rFonts w:asciiTheme="majorHAnsi" w:hAnsiTheme="majorHAnsi"/>
        </w:rPr>
        <w:t>hould all die, whereas the CRISP</w:t>
      </w:r>
      <w:r>
        <w:rPr>
          <w:rFonts w:asciiTheme="majorHAnsi" w:hAnsiTheme="majorHAnsi"/>
        </w:rPr>
        <w:t xml:space="preserve">R transfected cells </w:t>
      </w:r>
      <w:r w:rsidR="00A72B38">
        <w:rPr>
          <w:rFonts w:asciiTheme="majorHAnsi" w:hAnsiTheme="majorHAnsi"/>
        </w:rPr>
        <w:t>are expected to</w:t>
      </w:r>
      <w:r>
        <w:rPr>
          <w:rFonts w:asciiTheme="majorHAnsi" w:hAnsiTheme="majorHAnsi"/>
        </w:rPr>
        <w:t xml:space="preserve"> continue to proliferate and form colonies. SW480, HCT116, RPE-1 and HEK293 cells were firstly subjected to differing antibiotic concentrations over 72hrs in order to ascertain optimal antibiotic concentrations suitable for selection of resistant clones (Appendix 2). Once this was determined, the same four cell lines were transfected with the lentivira</w:t>
      </w:r>
      <w:r w:rsidR="00A72B38">
        <w:rPr>
          <w:rFonts w:asciiTheme="majorHAnsi" w:hAnsiTheme="majorHAnsi"/>
        </w:rPr>
        <w:t xml:space="preserve">l CRISPR/dCas9 system, incubated </w:t>
      </w:r>
      <w:r>
        <w:rPr>
          <w:rFonts w:asciiTheme="majorHAnsi" w:hAnsiTheme="majorHAnsi"/>
        </w:rPr>
        <w:t xml:space="preserve">with antibiotics and left to form colonies. A number of clones were picked </w:t>
      </w:r>
      <w:r w:rsidR="00A0339B">
        <w:rPr>
          <w:rFonts w:asciiTheme="majorHAnsi" w:hAnsiTheme="majorHAnsi"/>
        </w:rPr>
        <w:t xml:space="preserve">after around 10 days </w:t>
      </w:r>
      <w:r>
        <w:rPr>
          <w:rFonts w:asciiTheme="majorHAnsi" w:hAnsiTheme="majorHAnsi"/>
        </w:rPr>
        <w:t xml:space="preserve">and the expression of </w:t>
      </w:r>
      <w:r w:rsidRPr="00663BEE">
        <w:rPr>
          <w:rFonts w:asciiTheme="majorHAnsi" w:hAnsiTheme="majorHAnsi"/>
          <w:i/>
        </w:rPr>
        <w:t>SRCAP</w:t>
      </w:r>
      <w:r w:rsidR="00A72B38">
        <w:rPr>
          <w:rFonts w:asciiTheme="majorHAnsi" w:hAnsiTheme="majorHAnsi"/>
        </w:rPr>
        <w:t xml:space="preserve"> assessed (Figure 3.16</w:t>
      </w:r>
      <w:r>
        <w:rPr>
          <w:rFonts w:asciiTheme="majorHAnsi" w:hAnsiTheme="majorHAnsi"/>
        </w:rPr>
        <w:t>). The transfected HEK293 cell line did not form any colonies and died in a similar manner to the control cell population. This may be due to the fact that these cells will have been through an antibiotic selection process previously as part of the hTERT immortalisation process.</w:t>
      </w:r>
      <w:r w:rsidR="00A0339B">
        <w:rPr>
          <w:rFonts w:asciiTheme="majorHAnsi" w:hAnsiTheme="majorHAnsi"/>
        </w:rPr>
        <w:t xml:space="preserve"> A</w:t>
      </w:r>
      <w:r>
        <w:rPr>
          <w:rFonts w:asciiTheme="majorHAnsi" w:hAnsiTheme="majorHAnsi"/>
        </w:rPr>
        <w:t xml:space="preserve">lthough the other immortalised non-cancerous cell line RPE-1 did form colonies, when the expression of </w:t>
      </w:r>
      <w:r w:rsidRPr="00663BEE">
        <w:rPr>
          <w:rFonts w:asciiTheme="majorHAnsi" w:hAnsiTheme="majorHAnsi"/>
          <w:i/>
        </w:rPr>
        <w:t>SRCAP</w:t>
      </w:r>
      <w:r>
        <w:rPr>
          <w:rFonts w:asciiTheme="majorHAnsi" w:hAnsiTheme="majorHAnsi"/>
        </w:rPr>
        <w:t xml:space="preserve"> was determined there was no difference in expression levels between the CRISPR transfected clones and the parental con</w:t>
      </w:r>
      <w:r w:rsidR="00075445">
        <w:rPr>
          <w:rFonts w:asciiTheme="majorHAnsi" w:hAnsiTheme="majorHAnsi"/>
        </w:rPr>
        <w:t>trol (Figure 3.16</w:t>
      </w:r>
      <w:r>
        <w:rPr>
          <w:rFonts w:asciiTheme="majorHAnsi" w:hAnsiTheme="majorHAnsi"/>
        </w:rPr>
        <w:t>a)</w:t>
      </w:r>
      <w:r w:rsidR="00A0339B">
        <w:rPr>
          <w:rFonts w:asciiTheme="majorHAnsi" w:hAnsiTheme="majorHAnsi"/>
        </w:rPr>
        <w:t>, possibly suggesting that the lentiviral CRISPR/dCas9 system cannot be used in hTERT immortalised cell lines due to previous antibiotic selection pressures</w:t>
      </w:r>
      <w:r>
        <w:rPr>
          <w:rFonts w:asciiTheme="majorHAnsi" w:hAnsiTheme="majorHAnsi"/>
        </w:rPr>
        <w:t>. However, both HCT116 and SW480 cell lines produced clones that o</w:t>
      </w:r>
      <w:r w:rsidR="00323D15">
        <w:rPr>
          <w:rFonts w:asciiTheme="majorHAnsi" w:hAnsiTheme="majorHAnsi"/>
        </w:rPr>
        <w:t>ver-</w:t>
      </w:r>
      <w:r>
        <w:rPr>
          <w:rFonts w:asciiTheme="majorHAnsi" w:hAnsiTheme="majorHAnsi"/>
        </w:rPr>
        <w:t xml:space="preserve">expressed </w:t>
      </w:r>
      <w:r w:rsidRPr="00663BEE">
        <w:rPr>
          <w:rFonts w:asciiTheme="majorHAnsi" w:hAnsiTheme="majorHAnsi"/>
          <w:i/>
        </w:rPr>
        <w:t>SRCAP</w:t>
      </w:r>
      <w:r>
        <w:rPr>
          <w:rFonts w:asciiTheme="majorHAnsi" w:hAnsiTheme="majorHAnsi"/>
        </w:rPr>
        <w:t xml:space="preserve"> t</w:t>
      </w:r>
      <w:r w:rsidR="00075445">
        <w:rPr>
          <w:rFonts w:asciiTheme="majorHAnsi" w:hAnsiTheme="majorHAnsi"/>
        </w:rPr>
        <w:t>o differing degrees (Figure 3.16</w:t>
      </w:r>
      <w:r>
        <w:rPr>
          <w:rFonts w:asciiTheme="majorHAnsi" w:hAnsiTheme="majorHAnsi"/>
        </w:rPr>
        <w:t>b &amp; c). The clones highlighted in red were picked to go on for further ass</w:t>
      </w:r>
      <w:r w:rsidR="00323D15">
        <w:rPr>
          <w:rFonts w:asciiTheme="majorHAnsi" w:hAnsiTheme="majorHAnsi"/>
        </w:rPr>
        <w:t>essment to investigate how over-</w:t>
      </w:r>
      <w:r>
        <w:rPr>
          <w:rFonts w:asciiTheme="majorHAnsi" w:hAnsiTheme="majorHAnsi"/>
        </w:rPr>
        <w:t xml:space="preserve">expression of </w:t>
      </w:r>
      <w:r w:rsidRPr="00663BEE">
        <w:rPr>
          <w:rFonts w:asciiTheme="majorHAnsi" w:hAnsiTheme="majorHAnsi"/>
          <w:i/>
        </w:rPr>
        <w:t>SRCAP</w:t>
      </w:r>
      <w:r>
        <w:rPr>
          <w:rFonts w:asciiTheme="majorHAnsi" w:hAnsiTheme="majorHAnsi"/>
        </w:rPr>
        <w:t xml:space="preserve"> may affect cellular phenotype. </w:t>
      </w:r>
    </w:p>
    <w:p w14:paraId="5148F26D" w14:textId="77777777" w:rsidR="00091260" w:rsidRDefault="00091260" w:rsidP="00091260">
      <w:pPr>
        <w:spacing w:line="360" w:lineRule="auto"/>
        <w:jc w:val="both"/>
        <w:rPr>
          <w:rFonts w:asciiTheme="majorHAnsi" w:hAnsiTheme="majorHAnsi"/>
        </w:rPr>
      </w:pPr>
    </w:p>
    <w:p w14:paraId="76892114" w14:textId="77777777" w:rsidR="00091260" w:rsidRDefault="00091260" w:rsidP="00091260">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979776" behindDoc="0" locked="0" layoutInCell="1" allowOverlap="1" wp14:anchorId="255FBBF9" wp14:editId="3DA9D799">
                <wp:simplePos x="0" y="0"/>
                <wp:positionH relativeFrom="column">
                  <wp:posOffset>114300</wp:posOffset>
                </wp:positionH>
                <wp:positionV relativeFrom="paragraph">
                  <wp:posOffset>7200900</wp:posOffset>
                </wp:positionV>
                <wp:extent cx="5486400" cy="1943100"/>
                <wp:effectExtent l="0" t="0" r="0" b="12700"/>
                <wp:wrapSquare wrapText="bothSides"/>
                <wp:docPr id="241" name="Text Box 241"/>
                <wp:cNvGraphicFramePr/>
                <a:graphic xmlns:a="http://schemas.openxmlformats.org/drawingml/2006/main">
                  <a:graphicData uri="http://schemas.microsoft.com/office/word/2010/wordprocessingShape">
                    <wps:wsp>
                      <wps:cNvSpPr txBox="1"/>
                      <wps:spPr>
                        <a:xfrm>
                          <a:off x="0" y="0"/>
                          <a:ext cx="54864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7653BD" w14:textId="23975EB3" w:rsidR="00E82D3B" w:rsidRDefault="00E82D3B" w:rsidP="00091260">
                            <w:pPr>
                              <w:jc w:val="both"/>
                              <w:rPr>
                                <w:b/>
                                <w:i/>
                                <w:sz w:val="22"/>
                              </w:rPr>
                            </w:pPr>
                            <w:r>
                              <w:rPr>
                                <w:b/>
                                <w:i/>
                                <w:sz w:val="22"/>
                              </w:rPr>
                              <w:t>Figure 3.16 SRCAP over-expressing CRISPR clones can be generated in CRC cell lines</w:t>
                            </w:r>
                          </w:p>
                          <w:p w14:paraId="1677535A" w14:textId="0EE975BD" w:rsidR="00E82D3B" w:rsidRDefault="00E82D3B" w:rsidP="00091260">
                            <w:pPr>
                              <w:jc w:val="both"/>
                              <w:rPr>
                                <w:i/>
                                <w:sz w:val="22"/>
                              </w:rPr>
                            </w:pPr>
                            <w:r w:rsidRPr="00507DE0">
                              <w:rPr>
                                <w:i/>
                                <w:sz w:val="22"/>
                              </w:rPr>
                              <w:t>a.)</w:t>
                            </w:r>
                            <w:r>
                              <w:rPr>
                                <w:b/>
                                <w:i/>
                                <w:sz w:val="22"/>
                              </w:rPr>
                              <w:t xml:space="preserve"> </w:t>
                            </w:r>
                            <w:r>
                              <w:rPr>
                                <w:i/>
                                <w:sz w:val="22"/>
                              </w:rPr>
                              <w:t>RPE-1</w:t>
                            </w:r>
                            <w:r w:rsidRPr="00507DE0">
                              <w:rPr>
                                <w:i/>
                                <w:sz w:val="22"/>
                              </w:rPr>
                              <w:t xml:space="preserve"> clones that had survived antibiotic treatment after SRCAP CRISPR transfection were lysed for RNA extraction and SRCAP expression levels tested using the Taqman PCR method</w:t>
                            </w:r>
                            <w:r>
                              <w:rPr>
                                <w:i/>
                                <w:sz w:val="22"/>
                              </w:rPr>
                              <w:t xml:space="preserve"> with three internal repeats of one experiment, as shown by the positive and negative error bars on the graphs of mean expression</w:t>
                            </w:r>
                            <w:r w:rsidRPr="00507DE0">
                              <w:rPr>
                                <w:i/>
                                <w:sz w:val="22"/>
                              </w:rPr>
                              <w:t>.</w:t>
                            </w:r>
                            <w:r>
                              <w:rPr>
                                <w:i/>
                                <w:sz w:val="22"/>
                              </w:rPr>
                              <w:t xml:space="preserve"> No clones showed any difference in expression compared to control cells.</w:t>
                            </w:r>
                          </w:p>
                          <w:p w14:paraId="7AC5676D" w14:textId="2D7BA18F" w:rsidR="00E82D3B" w:rsidRPr="007F32FB" w:rsidRDefault="00E82D3B" w:rsidP="00091260">
                            <w:pPr>
                              <w:jc w:val="both"/>
                              <w:rPr>
                                <w:i/>
                                <w:sz w:val="22"/>
                              </w:rPr>
                            </w:pPr>
                            <w:r w:rsidRPr="007F32FB">
                              <w:rPr>
                                <w:i/>
                                <w:sz w:val="22"/>
                              </w:rPr>
                              <w:t>b.) SRCAP expression was assessed as above in 15 HCT116 clones. Clones 4, 11, 13</w:t>
                            </w:r>
                            <w:r>
                              <w:rPr>
                                <w:i/>
                                <w:sz w:val="22"/>
                              </w:rPr>
                              <w:t>, 14 and 17 were picked as over-</w:t>
                            </w:r>
                            <w:r w:rsidRPr="007F32FB">
                              <w:rPr>
                                <w:i/>
                                <w:sz w:val="22"/>
                              </w:rPr>
                              <w:t>expressing SRCAP compared to control, these are highlighted in red on the graph.</w:t>
                            </w:r>
                          </w:p>
                          <w:p w14:paraId="021DC899" w14:textId="7AB8BD90" w:rsidR="00E82D3B" w:rsidRPr="007F32FB" w:rsidRDefault="00E82D3B" w:rsidP="00091260">
                            <w:pPr>
                              <w:jc w:val="both"/>
                              <w:rPr>
                                <w:i/>
                                <w:sz w:val="22"/>
                              </w:rPr>
                            </w:pPr>
                            <w:r w:rsidRPr="007F32FB">
                              <w:rPr>
                                <w:i/>
                                <w:sz w:val="22"/>
                              </w:rPr>
                              <w:t>c.) SRCAP expression in SW480 clones was assessed as in Rpe clones and clones 2,</w:t>
                            </w:r>
                            <w:r>
                              <w:rPr>
                                <w:i/>
                                <w:sz w:val="22"/>
                              </w:rPr>
                              <w:t xml:space="preserve"> 3, 5 and 9 were picked as over-</w:t>
                            </w:r>
                            <w:r w:rsidRPr="007F32FB">
                              <w:rPr>
                                <w:i/>
                                <w:sz w:val="22"/>
                              </w:rPr>
                              <w:t xml:space="preserve">expressing SRCAP, these are highlighted in red </w:t>
                            </w:r>
                            <w:r>
                              <w:rPr>
                                <w:i/>
                                <w:sz w:val="22"/>
                              </w:rPr>
                              <w:t>on the graph.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1" o:spid="_x0000_s1073" type="#_x0000_t202" style="position:absolute;left:0;text-align:left;margin-left:9pt;margin-top:567pt;width:6in;height:153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BtitQCAAAb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" filled="f" stroked="f">
                <v:textbox>
                  <w:txbxContent>
                    <w:p w14:paraId="407653BD" w14:textId="23975EB3" w:rsidR="000A1E0D" w:rsidRDefault="000A1E0D" w:rsidP="00091260">
                      <w:pPr>
                        <w:jc w:val="both"/>
                        <w:rPr>
                          <w:b/>
                          <w:i/>
                          <w:sz w:val="22"/>
                        </w:rPr>
                      </w:pPr>
                      <w:r>
                        <w:rPr>
                          <w:b/>
                          <w:i/>
                          <w:sz w:val="22"/>
                        </w:rPr>
                        <w:t>Figure 3.16 SRCAP over-expressing CRISPR clones can be generated in CRC cell lines</w:t>
                      </w:r>
                    </w:p>
                    <w:p w14:paraId="1677535A" w14:textId="0EE975BD" w:rsidR="000A1E0D" w:rsidRDefault="000A1E0D" w:rsidP="00091260">
                      <w:pPr>
                        <w:jc w:val="both"/>
                        <w:rPr>
                          <w:i/>
                          <w:sz w:val="22"/>
                        </w:rPr>
                      </w:pPr>
                      <w:r w:rsidRPr="00507DE0">
                        <w:rPr>
                          <w:i/>
                          <w:sz w:val="22"/>
                        </w:rPr>
                        <w:t>a.)</w:t>
                      </w:r>
                      <w:r>
                        <w:rPr>
                          <w:b/>
                          <w:i/>
                          <w:sz w:val="22"/>
                        </w:rPr>
                        <w:t xml:space="preserve"> </w:t>
                      </w:r>
                      <w:r>
                        <w:rPr>
                          <w:i/>
                          <w:sz w:val="22"/>
                        </w:rPr>
                        <w:t>RPE-1</w:t>
                      </w:r>
                      <w:r w:rsidRPr="00507DE0">
                        <w:rPr>
                          <w:i/>
                          <w:sz w:val="22"/>
                        </w:rPr>
                        <w:t xml:space="preserve"> clones that had survived antibiotic treatment after SRCAP CRISPR transfection were lysed for RNA extraction and SRCAP expression levels tested using the Taqman PCR method</w:t>
                      </w:r>
                      <w:r>
                        <w:rPr>
                          <w:i/>
                          <w:sz w:val="22"/>
                        </w:rPr>
                        <w:t xml:space="preserve"> with three internal repeats of one experiment, as shown by the positive and negative error bars on the graphs of mean expression</w:t>
                      </w:r>
                      <w:r w:rsidRPr="00507DE0">
                        <w:rPr>
                          <w:i/>
                          <w:sz w:val="22"/>
                        </w:rPr>
                        <w:t>.</w:t>
                      </w:r>
                      <w:r>
                        <w:rPr>
                          <w:i/>
                          <w:sz w:val="22"/>
                        </w:rPr>
                        <w:t xml:space="preserve"> No clones showed any difference in expression compared to control cells.</w:t>
                      </w:r>
                    </w:p>
                    <w:p w14:paraId="7AC5676D" w14:textId="2D7BA18F" w:rsidR="000A1E0D" w:rsidRPr="007F32FB" w:rsidRDefault="000A1E0D" w:rsidP="00091260">
                      <w:pPr>
                        <w:jc w:val="both"/>
                        <w:rPr>
                          <w:i/>
                          <w:sz w:val="22"/>
                        </w:rPr>
                      </w:pPr>
                      <w:r w:rsidRPr="007F32FB">
                        <w:rPr>
                          <w:i/>
                          <w:sz w:val="22"/>
                        </w:rPr>
                        <w:t>b.) SRCAP expression was assessed as above in 15 HCT116 clones. Clones 4, 11, 13</w:t>
                      </w:r>
                      <w:r>
                        <w:rPr>
                          <w:i/>
                          <w:sz w:val="22"/>
                        </w:rPr>
                        <w:t>, 14 and 17 were picked as over-</w:t>
                      </w:r>
                      <w:r w:rsidRPr="007F32FB">
                        <w:rPr>
                          <w:i/>
                          <w:sz w:val="22"/>
                        </w:rPr>
                        <w:t>expressing SRCAP compared to control, these are highlighted in red on the graph.</w:t>
                      </w:r>
                    </w:p>
                    <w:p w14:paraId="021DC899" w14:textId="7AB8BD90" w:rsidR="000A1E0D" w:rsidRPr="007F32FB" w:rsidRDefault="000A1E0D" w:rsidP="00091260">
                      <w:pPr>
                        <w:jc w:val="both"/>
                        <w:rPr>
                          <w:i/>
                          <w:sz w:val="22"/>
                        </w:rPr>
                      </w:pPr>
                      <w:r w:rsidRPr="007F32FB">
                        <w:rPr>
                          <w:i/>
                          <w:sz w:val="22"/>
                        </w:rPr>
                        <w:t>c.) SRCAP expression in SW480 clones was assessed as in Rpe clones and clones 2,</w:t>
                      </w:r>
                      <w:r>
                        <w:rPr>
                          <w:i/>
                          <w:sz w:val="22"/>
                        </w:rPr>
                        <w:t xml:space="preserve"> 3, 5 and 9 were picked as over-</w:t>
                      </w:r>
                      <w:r w:rsidRPr="007F32FB">
                        <w:rPr>
                          <w:i/>
                          <w:sz w:val="22"/>
                        </w:rPr>
                        <w:t xml:space="preserve">expressing SRCAP, these are highlighted in red </w:t>
                      </w:r>
                      <w:r>
                        <w:rPr>
                          <w:i/>
                          <w:sz w:val="22"/>
                        </w:rPr>
                        <w:t>on the graph.</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1980800" behindDoc="0" locked="0" layoutInCell="1" allowOverlap="1" wp14:anchorId="7608E9D5" wp14:editId="4EFF9839">
                <wp:simplePos x="0" y="0"/>
                <wp:positionH relativeFrom="column">
                  <wp:posOffset>571500</wp:posOffset>
                </wp:positionH>
                <wp:positionV relativeFrom="paragraph">
                  <wp:posOffset>-342900</wp:posOffset>
                </wp:positionV>
                <wp:extent cx="457200" cy="342900"/>
                <wp:effectExtent l="0" t="0" r="0" b="12700"/>
                <wp:wrapSquare wrapText="bothSides"/>
                <wp:docPr id="242" name="Text Box 242"/>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192B56" w14:textId="77777777" w:rsidR="00E82D3B" w:rsidRPr="00DA316D" w:rsidRDefault="00E82D3B" w:rsidP="00091260">
                            <w:pPr>
                              <w:rPr>
                                <w:b/>
                              </w:rPr>
                            </w:pPr>
                            <w:proofErr w:type="gramStart"/>
                            <w:r w:rsidRPr="00DA316D">
                              <w:rPr>
                                <w:b/>
                              </w:rPr>
                              <w:t>a</w:t>
                            </w:r>
                            <w:proofErr w:type="gramEnd"/>
                            <w:r w:rsidRPr="00DA316D">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2" o:spid="_x0000_s1074" type="#_x0000_t202" style="position:absolute;left:0;text-align:left;margin-left:45pt;margin-top:-26.95pt;width:36pt;height:27p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" filled="f" stroked="f">
                <v:textbox>
                  <w:txbxContent>
                    <w:p w14:paraId="1D192B56" w14:textId="77777777" w:rsidR="000A1E0D" w:rsidRPr="00DA316D" w:rsidRDefault="000A1E0D" w:rsidP="00091260">
                      <w:pPr>
                        <w:rPr>
                          <w:b/>
                        </w:rPr>
                      </w:pPr>
                      <w:proofErr w:type="gramStart"/>
                      <w:r w:rsidRPr="00DA316D">
                        <w:rPr>
                          <w:b/>
                        </w:rPr>
                        <w:t>a</w:t>
                      </w:r>
                      <w:proofErr w:type="gramEnd"/>
                      <w:r w:rsidRPr="00DA316D">
                        <w:rPr>
                          <w:b/>
                        </w:rPr>
                        <w:t>.)</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1981824" behindDoc="0" locked="0" layoutInCell="1" allowOverlap="1" wp14:anchorId="3E7FA8AF" wp14:editId="42772395">
                <wp:simplePos x="0" y="0"/>
                <wp:positionH relativeFrom="column">
                  <wp:posOffset>571500</wp:posOffset>
                </wp:positionH>
                <wp:positionV relativeFrom="paragraph">
                  <wp:posOffset>2057400</wp:posOffset>
                </wp:positionV>
                <wp:extent cx="457200" cy="342900"/>
                <wp:effectExtent l="0" t="0" r="0" b="12700"/>
                <wp:wrapSquare wrapText="bothSides"/>
                <wp:docPr id="243" name="Text Box 243"/>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6777F0" w14:textId="77777777" w:rsidR="00E82D3B" w:rsidRPr="00DA316D" w:rsidRDefault="00E82D3B" w:rsidP="00091260">
                            <w:pPr>
                              <w:rPr>
                                <w:b/>
                              </w:rPr>
                            </w:pPr>
                            <w:proofErr w:type="gramStart"/>
                            <w:r>
                              <w:rPr>
                                <w:b/>
                              </w:rPr>
                              <w:t>b</w:t>
                            </w:r>
                            <w:proofErr w:type="gramEnd"/>
                            <w:r w:rsidRPr="00DA316D">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3" o:spid="_x0000_s1075" type="#_x0000_t202" style="position:absolute;left:0;text-align:left;margin-left:45pt;margin-top:162pt;width:36pt;height:27pt;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" filled="f" stroked="f">
                <v:textbox>
                  <w:txbxContent>
                    <w:p w14:paraId="436777F0" w14:textId="77777777" w:rsidR="000A1E0D" w:rsidRPr="00DA316D" w:rsidRDefault="000A1E0D" w:rsidP="00091260">
                      <w:pPr>
                        <w:rPr>
                          <w:b/>
                        </w:rPr>
                      </w:pPr>
                      <w:proofErr w:type="gramStart"/>
                      <w:r>
                        <w:rPr>
                          <w:b/>
                        </w:rPr>
                        <w:t>b</w:t>
                      </w:r>
                      <w:proofErr w:type="gramEnd"/>
                      <w:r w:rsidRPr="00DA316D">
                        <w:rPr>
                          <w:b/>
                        </w:rPr>
                        <w:t>.)</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1982848" behindDoc="0" locked="0" layoutInCell="1" allowOverlap="1" wp14:anchorId="6F9CD515" wp14:editId="6EA76B2E">
                <wp:simplePos x="0" y="0"/>
                <wp:positionH relativeFrom="column">
                  <wp:posOffset>571500</wp:posOffset>
                </wp:positionH>
                <wp:positionV relativeFrom="paragraph">
                  <wp:posOffset>4343400</wp:posOffset>
                </wp:positionV>
                <wp:extent cx="457200" cy="342900"/>
                <wp:effectExtent l="0" t="0" r="0" b="12700"/>
                <wp:wrapSquare wrapText="bothSides"/>
                <wp:docPr id="244" name="Text Box 244"/>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3AED7C" w14:textId="77777777" w:rsidR="00E82D3B" w:rsidRPr="00DA316D" w:rsidRDefault="00E82D3B" w:rsidP="00091260">
                            <w:pPr>
                              <w:rPr>
                                <w:b/>
                              </w:rPr>
                            </w:pPr>
                            <w:proofErr w:type="gramStart"/>
                            <w:r>
                              <w:rPr>
                                <w:b/>
                              </w:rPr>
                              <w:t>c</w:t>
                            </w:r>
                            <w:proofErr w:type="gramEnd"/>
                            <w:r w:rsidRPr="00DA316D">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4" o:spid="_x0000_s1076" type="#_x0000_t202" style="position:absolute;left:0;text-align:left;margin-left:45pt;margin-top:342pt;width:36pt;height:27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LUp9ACAAAZ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" filled="f" stroked="f">
                <v:textbox>
                  <w:txbxContent>
                    <w:p w14:paraId="513AED7C" w14:textId="77777777" w:rsidR="000A1E0D" w:rsidRPr="00DA316D" w:rsidRDefault="000A1E0D" w:rsidP="00091260">
                      <w:pPr>
                        <w:rPr>
                          <w:b/>
                        </w:rPr>
                      </w:pPr>
                      <w:proofErr w:type="gramStart"/>
                      <w:r>
                        <w:rPr>
                          <w:b/>
                        </w:rPr>
                        <w:t>c</w:t>
                      </w:r>
                      <w:proofErr w:type="gramEnd"/>
                      <w:r w:rsidRPr="00DA316D">
                        <w:rPr>
                          <w:b/>
                        </w:rPr>
                        <w:t>.)</w:t>
                      </w:r>
                    </w:p>
                  </w:txbxContent>
                </v:textbox>
                <w10:wrap type="square"/>
              </v:shape>
            </w:pict>
          </mc:Fallback>
        </mc:AlternateContent>
      </w:r>
      <w:r w:rsidRPr="00DA316D">
        <w:rPr>
          <w:rFonts w:asciiTheme="majorHAnsi" w:hAnsiTheme="majorHAnsi"/>
          <w:noProof/>
          <w:lang w:val="en-US"/>
        </w:rPr>
        <w:drawing>
          <wp:anchor distT="0" distB="0" distL="114300" distR="114300" simplePos="0" relativeHeight="251978752" behindDoc="0" locked="0" layoutInCell="1" allowOverlap="1" wp14:anchorId="27C7BAEC" wp14:editId="56550F5D">
            <wp:simplePos x="0" y="0"/>
            <wp:positionH relativeFrom="column">
              <wp:posOffset>571500</wp:posOffset>
            </wp:positionH>
            <wp:positionV relativeFrom="paragraph">
              <wp:posOffset>4457700</wp:posOffset>
            </wp:positionV>
            <wp:extent cx="4572000" cy="2673350"/>
            <wp:effectExtent l="0" t="0" r="25400" b="19050"/>
            <wp:wrapTopAndBottom/>
            <wp:docPr id="256" name="Chart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sidRPr="005A2142">
        <w:rPr>
          <w:rFonts w:asciiTheme="majorHAnsi" w:hAnsiTheme="majorHAnsi"/>
          <w:noProof/>
          <w:lang w:val="en-US"/>
        </w:rPr>
        <w:drawing>
          <wp:anchor distT="0" distB="0" distL="114300" distR="114300" simplePos="0" relativeHeight="251977728" behindDoc="0" locked="0" layoutInCell="1" allowOverlap="1" wp14:anchorId="19E85E98" wp14:editId="498A87BF">
            <wp:simplePos x="0" y="0"/>
            <wp:positionH relativeFrom="column">
              <wp:posOffset>457200</wp:posOffset>
            </wp:positionH>
            <wp:positionV relativeFrom="paragraph">
              <wp:posOffset>2171700</wp:posOffset>
            </wp:positionV>
            <wp:extent cx="4800600" cy="2369820"/>
            <wp:effectExtent l="0" t="0" r="25400" b="17780"/>
            <wp:wrapTopAndBottom/>
            <wp:docPr id="257" name="Chart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Pr="005A2142">
        <w:rPr>
          <w:rFonts w:asciiTheme="majorHAnsi" w:hAnsiTheme="majorHAnsi"/>
          <w:noProof/>
          <w:lang w:val="en-US"/>
        </w:rPr>
        <w:drawing>
          <wp:anchor distT="0" distB="0" distL="114300" distR="114300" simplePos="0" relativeHeight="251976704" behindDoc="0" locked="0" layoutInCell="1" allowOverlap="1" wp14:anchorId="4465C2A9" wp14:editId="54381DF7">
            <wp:simplePos x="0" y="0"/>
            <wp:positionH relativeFrom="column">
              <wp:posOffset>457200</wp:posOffset>
            </wp:positionH>
            <wp:positionV relativeFrom="paragraph">
              <wp:posOffset>-228600</wp:posOffset>
            </wp:positionV>
            <wp:extent cx="4573270" cy="2514600"/>
            <wp:effectExtent l="0" t="0" r="24130" b="25400"/>
            <wp:wrapTopAndBottom/>
            <wp:docPr id="258" name="Chart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14:paraId="288B9789" w14:textId="4074B99F" w:rsidR="00B41C0C" w:rsidRDefault="00091260" w:rsidP="003B6AC2">
      <w:pPr>
        <w:spacing w:line="360" w:lineRule="auto"/>
        <w:jc w:val="both"/>
        <w:rPr>
          <w:rFonts w:asciiTheme="majorHAnsi" w:hAnsiTheme="majorHAnsi"/>
        </w:rPr>
      </w:pPr>
      <w:r>
        <w:rPr>
          <w:rFonts w:asciiTheme="majorHAnsi" w:hAnsiTheme="majorHAnsi"/>
        </w:rPr>
        <w:t xml:space="preserve">Interestingly </w:t>
      </w:r>
      <w:r w:rsidR="00B41C0C">
        <w:rPr>
          <w:rFonts w:asciiTheme="majorHAnsi" w:hAnsiTheme="majorHAnsi"/>
        </w:rPr>
        <w:t>it was noted</w:t>
      </w:r>
      <w:r>
        <w:rPr>
          <w:rFonts w:asciiTheme="majorHAnsi" w:hAnsiTheme="majorHAnsi"/>
        </w:rPr>
        <w:t xml:space="preserve"> that the </w:t>
      </w:r>
      <w:r w:rsidRPr="00663BEE">
        <w:rPr>
          <w:rFonts w:asciiTheme="majorHAnsi" w:hAnsiTheme="majorHAnsi"/>
          <w:i/>
        </w:rPr>
        <w:t>SRCAP</w:t>
      </w:r>
      <w:r w:rsidR="00323D15">
        <w:rPr>
          <w:rFonts w:asciiTheme="majorHAnsi" w:hAnsiTheme="majorHAnsi"/>
        </w:rPr>
        <w:t xml:space="preserve"> over-</w:t>
      </w:r>
      <w:r>
        <w:rPr>
          <w:rFonts w:asciiTheme="majorHAnsi" w:hAnsiTheme="majorHAnsi"/>
        </w:rPr>
        <w:t>expressing cell lines that had been developed via the CRISPR/</w:t>
      </w:r>
      <w:r w:rsidR="002F04E4">
        <w:rPr>
          <w:rFonts w:asciiTheme="majorHAnsi" w:hAnsiTheme="majorHAnsi"/>
        </w:rPr>
        <w:t>d</w:t>
      </w:r>
      <w:r>
        <w:rPr>
          <w:rFonts w:asciiTheme="majorHAnsi" w:hAnsiTheme="majorHAnsi"/>
        </w:rPr>
        <w:t xml:space="preserve">Cas9 technology looked morphologically different in the flasks when assessed by light microscopy, the use of which was kindly supplied by </w:t>
      </w:r>
      <w:r w:rsidRPr="00B306BA">
        <w:rPr>
          <w:rFonts w:asciiTheme="majorHAnsi" w:hAnsiTheme="majorHAnsi"/>
          <w:lang w:val="en-US"/>
        </w:rPr>
        <w:t xml:space="preserve">Dr </w:t>
      </w:r>
      <w:proofErr w:type="spellStart"/>
      <w:r w:rsidRPr="00B306BA">
        <w:rPr>
          <w:rFonts w:asciiTheme="majorHAnsi" w:hAnsiTheme="majorHAnsi"/>
          <w:lang w:val="en-US"/>
        </w:rPr>
        <w:t>Chryso</w:t>
      </w:r>
      <w:proofErr w:type="spellEnd"/>
      <w:r w:rsidRPr="00B306BA">
        <w:rPr>
          <w:rFonts w:asciiTheme="majorHAnsi" w:hAnsiTheme="majorHAnsi"/>
          <w:lang w:val="en-US"/>
        </w:rPr>
        <w:t xml:space="preserve"> </w:t>
      </w:r>
      <w:proofErr w:type="spellStart"/>
      <w:r w:rsidRPr="00B306BA">
        <w:rPr>
          <w:rFonts w:asciiTheme="majorHAnsi" w:hAnsiTheme="majorHAnsi"/>
          <w:lang w:val="en-US"/>
        </w:rPr>
        <w:t>Kanthou</w:t>
      </w:r>
      <w:proofErr w:type="spellEnd"/>
      <w:r>
        <w:rPr>
          <w:rFonts w:asciiTheme="majorHAnsi" w:hAnsiTheme="majorHAnsi"/>
          <w:lang w:val="en-US"/>
        </w:rPr>
        <w:t xml:space="preserve"> (Department of Oncology and Metabolism, Sheffield Medical School).</w:t>
      </w:r>
      <w:r>
        <w:rPr>
          <w:rFonts w:asciiTheme="majorHAnsi" w:hAnsiTheme="majorHAnsi"/>
        </w:rPr>
        <w:t xml:space="preserve"> The phase cont</w:t>
      </w:r>
      <w:r w:rsidR="00075445">
        <w:rPr>
          <w:rFonts w:asciiTheme="majorHAnsi" w:hAnsiTheme="majorHAnsi"/>
        </w:rPr>
        <w:t>rast images shown in Figure 3.17</w:t>
      </w:r>
      <w:r>
        <w:rPr>
          <w:rFonts w:asciiTheme="majorHAnsi" w:hAnsiTheme="majorHAnsi"/>
        </w:rPr>
        <w:t xml:space="preserve"> show very differing morphologies compared to control cells including spindle projections and large bubble like structures (as indicated by red arrows).  </w:t>
      </w:r>
      <w:r w:rsidR="00B41C0C">
        <w:rPr>
          <w:rFonts w:asciiTheme="majorHAnsi" w:hAnsiTheme="majorHAnsi"/>
        </w:rPr>
        <w:t>Such abnormalities</w:t>
      </w:r>
      <w:r>
        <w:rPr>
          <w:rFonts w:asciiTheme="majorHAnsi" w:hAnsiTheme="majorHAnsi"/>
        </w:rPr>
        <w:t xml:space="preserve"> could possibly be evidence of cells entering a senescent state or autophagy and cel</w:t>
      </w:r>
      <w:r w:rsidR="00A72B38">
        <w:rPr>
          <w:rFonts w:asciiTheme="majorHAnsi" w:hAnsiTheme="majorHAnsi"/>
        </w:rPr>
        <w:t>l</w:t>
      </w:r>
      <w:r>
        <w:rPr>
          <w:rFonts w:asciiTheme="majorHAnsi" w:hAnsiTheme="majorHAnsi"/>
        </w:rPr>
        <w:t xml:space="preserve"> death, and further analysis would need to be conducted to establish this. Other members of the lab also saw this when using the lentiviral CRISPR system with different genes of interest, </w:t>
      </w:r>
      <w:r w:rsidR="00B41C0C">
        <w:rPr>
          <w:rFonts w:asciiTheme="majorHAnsi" w:hAnsiTheme="majorHAnsi"/>
        </w:rPr>
        <w:t>suggesting that</w:t>
      </w:r>
      <w:r>
        <w:rPr>
          <w:rFonts w:asciiTheme="majorHAnsi" w:hAnsiTheme="majorHAnsi"/>
        </w:rPr>
        <w:t xml:space="preserve"> this phenomenon </w:t>
      </w:r>
      <w:r w:rsidR="00B41C0C">
        <w:rPr>
          <w:rFonts w:asciiTheme="majorHAnsi" w:hAnsiTheme="majorHAnsi"/>
        </w:rPr>
        <w:t>was</w:t>
      </w:r>
      <w:r>
        <w:rPr>
          <w:rFonts w:asciiTheme="majorHAnsi" w:hAnsiTheme="majorHAnsi"/>
        </w:rPr>
        <w:t xml:space="preserve"> probably due to the CRISPR/Cas9 system and not a result of </w:t>
      </w:r>
      <w:r w:rsidRPr="00663BEE">
        <w:rPr>
          <w:rFonts w:asciiTheme="majorHAnsi" w:hAnsiTheme="majorHAnsi"/>
          <w:i/>
        </w:rPr>
        <w:t>SRCAP</w:t>
      </w:r>
    </w:p>
    <w:p w14:paraId="3D51DF08" w14:textId="49EFD99D" w:rsidR="00091260" w:rsidRDefault="003B6AC2" w:rsidP="003B6AC2">
      <w:pPr>
        <w:tabs>
          <w:tab w:val="left" w:pos="0"/>
        </w:tabs>
        <w:spacing w:line="360" w:lineRule="auto"/>
        <w:jc w:val="both"/>
        <w:rPr>
          <w:rFonts w:asciiTheme="majorHAnsi" w:hAnsiTheme="majorHAnsi"/>
        </w:rPr>
      </w:pPr>
      <w:r w:rsidRPr="004F4524">
        <w:rPr>
          <w:rFonts w:asciiTheme="majorHAnsi" w:hAnsiTheme="majorHAnsi"/>
          <w:noProof/>
          <w:lang w:val="en-US"/>
        </w:rPr>
        <w:drawing>
          <wp:anchor distT="0" distB="0" distL="114300" distR="114300" simplePos="0" relativeHeight="251986944" behindDoc="0" locked="0" layoutInCell="1" allowOverlap="1" wp14:anchorId="34C19179" wp14:editId="7A378A85">
            <wp:simplePos x="0" y="0"/>
            <wp:positionH relativeFrom="column">
              <wp:posOffset>2580005</wp:posOffset>
            </wp:positionH>
            <wp:positionV relativeFrom="paragraph">
              <wp:posOffset>588010</wp:posOffset>
            </wp:positionV>
            <wp:extent cx="2628900" cy="1965960"/>
            <wp:effectExtent l="25400" t="25400" r="38100" b="15240"/>
            <wp:wrapSquare wrapText="bothSides"/>
            <wp:docPr id="259" name="Picture 9" descr="SW480 Contro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SW480 Control.tif"/>
                    <pic:cNvPicPr>
                      <a:picLocks noChangeAspect="1"/>
                    </pic:cNvPicPr>
                  </pic:nvPicPr>
                  <pic:blipFill>
                    <a:blip r:embed="rId66">
                      <a:extLst>
                        <a:ext uri="{BEBA8EAE-BF5A-486C-A8C5-ECC9F3942E4B}">
                          <a14:imgProps xmlns:a14="http://schemas.microsoft.com/office/drawing/2010/main">
                            <a14:imgLayer r:embed="rId67">
                              <a14:imgEffect>
                                <a14:sharpenSoften amount="50000"/>
                              </a14:imgEffect>
                              <a14:imgEffect>
                                <a14:brightnessContrast bright="11000" contrast="40000"/>
                              </a14:imgEffect>
                            </a14:imgLayer>
                          </a14:imgProps>
                        </a:ext>
                        <a:ext uri="{28A0092B-C50C-407E-A947-70E740481C1C}">
                          <a14:useLocalDpi xmlns:a14="http://schemas.microsoft.com/office/drawing/2010/main" val="0"/>
                        </a:ext>
                      </a:extLst>
                    </a:blip>
                    <a:stretch>
                      <a:fillRect/>
                    </a:stretch>
                  </pic:blipFill>
                  <pic:spPr>
                    <a:xfrm>
                      <a:off x="0" y="0"/>
                      <a:ext cx="2628900" cy="1965960"/>
                    </a:xfrm>
                    <a:prstGeom prst="rect">
                      <a:avLst/>
                    </a:prstGeom>
                    <a:ln>
                      <a:solidFill>
                        <a:schemeClr val="bg1"/>
                      </a:solidFill>
                    </a:ln>
                  </pic:spPr>
                </pic:pic>
              </a:graphicData>
            </a:graphic>
            <wp14:sizeRelH relativeFrom="page">
              <wp14:pctWidth>0</wp14:pctWidth>
            </wp14:sizeRelH>
            <wp14:sizeRelV relativeFrom="page">
              <wp14:pctHeight>0</wp14:pctHeight>
            </wp14:sizeRelV>
          </wp:anchor>
        </w:drawing>
      </w:r>
      <w:r w:rsidRPr="004F4524">
        <w:rPr>
          <w:rFonts w:asciiTheme="majorHAnsi" w:hAnsiTheme="majorHAnsi"/>
          <w:noProof/>
          <w:lang w:val="en-US"/>
        </w:rPr>
        <w:drawing>
          <wp:anchor distT="0" distB="0" distL="114300" distR="114300" simplePos="0" relativeHeight="251984896" behindDoc="0" locked="0" layoutInCell="1" allowOverlap="1" wp14:anchorId="6CACBC86" wp14:editId="7F4BDCFA">
            <wp:simplePos x="0" y="0"/>
            <wp:positionH relativeFrom="column">
              <wp:posOffset>2580005</wp:posOffset>
            </wp:positionH>
            <wp:positionV relativeFrom="paragraph">
              <wp:posOffset>2531110</wp:posOffset>
            </wp:positionV>
            <wp:extent cx="2628900" cy="1943100"/>
            <wp:effectExtent l="25400" t="25400" r="38100" b="38100"/>
            <wp:wrapTight wrapText="bothSides">
              <wp:wrapPolygon edited="0">
                <wp:start x="-209" y="-282"/>
                <wp:lineTo x="-209" y="21741"/>
                <wp:lineTo x="21704" y="21741"/>
                <wp:lineTo x="21704" y="-282"/>
                <wp:lineTo x="-209" y="-282"/>
              </wp:wrapPolygon>
            </wp:wrapTight>
            <wp:docPr id="262" name="Picture 7" descr="SW480 LV 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W480 LV 23.tif"/>
                    <pic:cNvPicPr>
                      <a:picLocks noChangeAspect="1"/>
                    </pic:cNvPicPr>
                  </pic:nvPicPr>
                  <pic:blipFill>
                    <a:blip r:embed="rId68">
                      <a:extLst>
                        <a:ext uri="{BEBA8EAE-BF5A-486C-A8C5-ECC9F3942E4B}">
                          <a14:imgProps xmlns:a14="http://schemas.microsoft.com/office/drawing/2010/main">
                            <a14:imgLayer r:embed="rId6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28900" cy="1943100"/>
                    </a:xfrm>
                    <a:prstGeom prst="rect">
                      <a:avLst/>
                    </a:prstGeom>
                    <a:ln>
                      <a:solidFill>
                        <a:srgbClr val="FFFFFF"/>
                      </a:solidFill>
                    </a:ln>
                  </pic:spPr>
                </pic:pic>
              </a:graphicData>
            </a:graphic>
            <wp14:sizeRelH relativeFrom="page">
              <wp14:pctWidth>0</wp14:pctWidth>
            </wp14:sizeRelH>
            <wp14:sizeRelV relativeFrom="page">
              <wp14:pctHeight>0</wp14:pctHeight>
            </wp14:sizeRelV>
          </wp:anchor>
        </w:drawing>
      </w:r>
      <w:proofErr w:type="gramStart"/>
      <w:r>
        <w:rPr>
          <w:rFonts w:asciiTheme="majorHAnsi" w:hAnsiTheme="majorHAnsi"/>
        </w:rPr>
        <w:t>over</w:t>
      </w:r>
      <w:proofErr w:type="gramEnd"/>
      <w:r>
        <w:rPr>
          <w:rFonts w:asciiTheme="majorHAnsi" w:hAnsiTheme="majorHAnsi"/>
        </w:rPr>
        <w:t>-</w:t>
      </w:r>
      <w:r w:rsidR="00091260">
        <w:rPr>
          <w:rFonts w:asciiTheme="majorHAnsi" w:hAnsiTheme="majorHAnsi"/>
        </w:rPr>
        <w:t xml:space="preserve">expression. </w:t>
      </w:r>
    </w:p>
    <w:p w14:paraId="43DA2B8E" w14:textId="16FA39DB" w:rsidR="003B6AC2" w:rsidRDefault="00D06201">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990016" behindDoc="0" locked="0" layoutInCell="1" allowOverlap="1" wp14:anchorId="22207FE1" wp14:editId="32A5590D">
                <wp:simplePos x="0" y="0"/>
                <wp:positionH relativeFrom="column">
                  <wp:posOffset>-114300</wp:posOffset>
                </wp:positionH>
                <wp:positionV relativeFrom="paragraph">
                  <wp:posOffset>4309745</wp:posOffset>
                </wp:positionV>
                <wp:extent cx="5486400" cy="1143000"/>
                <wp:effectExtent l="0" t="0" r="0" b="0"/>
                <wp:wrapSquare wrapText="bothSides"/>
                <wp:docPr id="249" name="Text Box 249"/>
                <wp:cNvGraphicFramePr/>
                <a:graphic xmlns:a="http://schemas.openxmlformats.org/drawingml/2006/main">
                  <a:graphicData uri="http://schemas.microsoft.com/office/word/2010/wordprocessingShape">
                    <wps:wsp>
                      <wps:cNvSpPr txBox="1"/>
                      <wps:spPr>
                        <a:xfrm>
                          <a:off x="0" y="0"/>
                          <a:ext cx="54864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B2F057" w14:textId="0E68972E" w:rsidR="00E82D3B" w:rsidRDefault="00E82D3B" w:rsidP="00091260">
                            <w:pPr>
                              <w:rPr>
                                <w:b/>
                                <w:i/>
                                <w:sz w:val="22"/>
                              </w:rPr>
                            </w:pPr>
                            <w:r w:rsidRPr="004F4524">
                              <w:rPr>
                                <w:b/>
                                <w:i/>
                                <w:sz w:val="22"/>
                              </w:rPr>
                              <w:t>F</w:t>
                            </w:r>
                            <w:r>
                              <w:rPr>
                                <w:b/>
                                <w:i/>
                                <w:sz w:val="22"/>
                              </w:rPr>
                              <w:t>igure 3</w:t>
                            </w:r>
                            <w:r w:rsidRPr="004F4524">
                              <w:rPr>
                                <w:b/>
                                <w:i/>
                                <w:sz w:val="22"/>
                              </w:rPr>
                              <w:t>.</w:t>
                            </w:r>
                            <w:r>
                              <w:rPr>
                                <w:b/>
                                <w:i/>
                                <w:sz w:val="22"/>
                              </w:rPr>
                              <w:t xml:space="preserve">17 </w:t>
                            </w:r>
                            <w:r w:rsidRPr="004F4524">
                              <w:rPr>
                                <w:b/>
                                <w:i/>
                                <w:sz w:val="22"/>
                              </w:rPr>
                              <w:t>SRCAP CRISPR clones show differing morphologies to parental cells</w:t>
                            </w:r>
                          </w:p>
                          <w:p w14:paraId="3EBB3D1B" w14:textId="58F61171" w:rsidR="00E82D3B" w:rsidRPr="004F4524" w:rsidRDefault="00E82D3B" w:rsidP="00091260">
                            <w:pPr>
                              <w:jc w:val="both"/>
                              <w:rPr>
                                <w:i/>
                                <w:sz w:val="22"/>
                              </w:rPr>
                            </w:pPr>
                            <w:r>
                              <w:rPr>
                                <w:i/>
                                <w:sz w:val="22"/>
                              </w:rPr>
                              <w:t xml:space="preserve">Above are representative images of the different morphologies that the CRISPR transfected clones show, taken on a Nikon phase contrast microscope, compared to parental cells. Here SW480 cells and the SW480 clone 2, which </w:t>
                            </w:r>
                            <w:proofErr w:type="gramStart"/>
                            <w:r>
                              <w:rPr>
                                <w:i/>
                                <w:sz w:val="22"/>
                              </w:rPr>
                              <w:t>has</w:t>
                            </w:r>
                            <w:proofErr w:type="gramEnd"/>
                            <w:r>
                              <w:rPr>
                                <w:i/>
                                <w:sz w:val="22"/>
                              </w:rPr>
                              <w:t xml:space="preserve"> SRCAP over-expression, have been seeded in 6 well plates and images taken. The red arrows indicate different morphologies of the cells that are seen, including spindle projections and bubble like cells.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9" o:spid="_x0000_s1077" type="#_x0000_t202" style="position:absolute;margin-left:-8.95pt;margin-top:339.35pt;width:6in;height:90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zro9MCAAAb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" filled="f" stroked="f">
                <v:textbox>
                  <w:txbxContent>
                    <w:p w14:paraId="6FB2F057" w14:textId="0E68972E" w:rsidR="000A1E0D" w:rsidRDefault="000A1E0D" w:rsidP="00091260">
                      <w:pPr>
                        <w:rPr>
                          <w:b/>
                          <w:i/>
                          <w:sz w:val="22"/>
                        </w:rPr>
                      </w:pPr>
                      <w:r w:rsidRPr="004F4524">
                        <w:rPr>
                          <w:b/>
                          <w:i/>
                          <w:sz w:val="22"/>
                        </w:rPr>
                        <w:t>F</w:t>
                      </w:r>
                      <w:r>
                        <w:rPr>
                          <w:b/>
                          <w:i/>
                          <w:sz w:val="22"/>
                        </w:rPr>
                        <w:t>igure 3</w:t>
                      </w:r>
                      <w:r w:rsidRPr="004F4524">
                        <w:rPr>
                          <w:b/>
                          <w:i/>
                          <w:sz w:val="22"/>
                        </w:rPr>
                        <w:t>.</w:t>
                      </w:r>
                      <w:r>
                        <w:rPr>
                          <w:b/>
                          <w:i/>
                          <w:sz w:val="22"/>
                        </w:rPr>
                        <w:t xml:space="preserve">17 </w:t>
                      </w:r>
                      <w:r w:rsidRPr="004F4524">
                        <w:rPr>
                          <w:b/>
                          <w:i/>
                          <w:sz w:val="22"/>
                        </w:rPr>
                        <w:t>SRCAP CRISPR clones show differing morphologies to parental cells</w:t>
                      </w:r>
                    </w:p>
                    <w:p w14:paraId="3EBB3D1B" w14:textId="58F61171" w:rsidR="000A1E0D" w:rsidRPr="004F4524" w:rsidRDefault="000A1E0D" w:rsidP="00091260">
                      <w:pPr>
                        <w:jc w:val="both"/>
                        <w:rPr>
                          <w:i/>
                          <w:sz w:val="22"/>
                        </w:rPr>
                      </w:pPr>
                      <w:r>
                        <w:rPr>
                          <w:i/>
                          <w:sz w:val="22"/>
                        </w:rPr>
                        <w:t xml:space="preserve">Above are representative images of the different morphologies that the CRISPR transfected clones show, taken on a Nikon phase contrast microscope, compared to parental cells. Here SW480 cells and the SW480 clone 2, which </w:t>
                      </w:r>
                      <w:proofErr w:type="gramStart"/>
                      <w:r>
                        <w:rPr>
                          <w:i/>
                          <w:sz w:val="22"/>
                        </w:rPr>
                        <w:t>has</w:t>
                      </w:r>
                      <w:proofErr w:type="gramEnd"/>
                      <w:r>
                        <w:rPr>
                          <w:i/>
                          <w:sz w:val="22"/>
                        </w:rPr>
                        <w:t xml:space="preserve"> SRCAP over-expression, have been seeded in 6 well plates and images taken. The red arrows indicate different morphologies of the cells that are seen, including spindle projections and bubble like cells. </w:t>
                      </w:r>
                    </w:p>
                  </w:txbxContent>
                </v:textbox>
                <w10:wrap type="square"/>
              </v:shape>
            </w:pict>
          </mc:Fallback>
        </mc:AlternateContent>
      </w:r>
      <w:r w:rsidR="003B6AC2" w:rsidRPr="004F4524">
        <w:rPr>
          <w:rFonts w:asciiTheme="majorHAnsi" w:hAnsiTheme="majorHAnsi"/>
          <w:noProof/>
          <w:lang w:val="en-US"/>
        </w:rPr>
        <mc:AlternateContent>
          <mc:Choice Requires="wps">
            <w:drawing>
              <wp:anchor distT="0" distB="0" distL="114300" distR="114300" simplePos="0" relativeHeight="251987968" behindDoc="0" locked="0" layoutInCell="1" allowOverlap="1" wp14:anchorId="51DA3A75" wp14:editId="05C8F286">
                <wp:simplePos x="0" y="0"/>
                <wp:positionH relativeFrom="column">
                  <wp:posOffset>-1028700</wp:posOffset>
                </wp:positionH>
                <wp:positionV relativeFrom="paragraph">
                  <wp:posOffset>929640</wp:posOffset>
                </wp:positionV>
                <wp:extent cx="1812290" cy="342900"/>
                <wp:effectExtent l="0" t="0" r="0" b="0"/>
                <wp:wrapSquare wrapText="bothSides"/>
                <wp:docPr id="248" name="TextBox 10"/>
                <wp:cNvGraphicFramePr/>
                <a:graphic xmlns:a="http://schemas.openxmlformats.org/drawingml/2006/main">
                  <a:graphicData uri="http://schemas.microsoft.com/office/word/2010/wordprocessingShape">
                    <wps:wsp>
                      <wps:cNvSpPr txBox="1"/>
                      <wps:spPr>
                        <a:xfrm rot="16200000">
                          <a:off x="0" y="0"/>
                          <a:ext cx="1812290" cy="342900"/>
                        </a:xfrm>
                        <a:prstGeom prst="rect">
                          <a:avLst/>
                        </a:prstGeom>
                        <a:noFill/>
                      </wps:spPr>
                      <wps:txbx>
                        <w:txbxContent>
                          <w:p w14:paraId="15629AA2" w14:textId="77777777" w:rsidR="00E82D3B" w:rsidRPr="004F4524" w:rsidRDefault="00E82D3B" w:rsidP="00091260">
                            <w:pPr>
                              <w:pStyle w:val="NormalWeb"/>
                              <w:spacing w:before="0" w:beforeAutospacing="0" w:after="0" w:afterAutospacing="0"/>
                              <w:rPr>
                                <w:sz w:val="28"/>
                                <w:szCs w:val="28"/>
                              </w:rPr>
                            </w:pPr>
                            <w:r w:rsidRPr="004F4524">
                              <w:rPr>
                                <w:rFonts w:asciiTheme="minorHAnsi" w:hAnsi="Cambria" w:cstheme="minorBidi"/>
                                <w:color w:val="000000" w:themeColor="text1"/>
                                <w:kern w:val="24"/>
                                <w:sz w:val="28"/>
                                <w:szCs w:val="28"/>
                                <w:lang w:val="en-US"/>
                              </w:rPr>
                              <w:t>SW480 Parental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0" o:spid="_x0000_s1078" type="#_x0000_t202" style="position:absolute;margin-left:-80.95pt;margin-top:73.2pt;width:142.7pt;height:27pt;rotation:-90;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" filled="f" stroked="f">
                <v:textbox>
                  <w:txbxContent>
                    <w:p w14:paraId="15629AA2" w14:textId="77777777" w:rsidR="000A1E0D" w:rsidRPr="004F4524" w:rsidRDefault="000A1E0D" w:rsidP="00091260">
                      <w:pPr>
                        <w:pStyle w:val="NormalWeb"/>
                        <w:spacing w:before="0" w:beforeAutospacing="0" w:after="0" w:afterAutospacing="0"/>
                        <w:rPr>
                          <w:sz w:val="28"/>
                          <w:szCs w:val="28"/>
                        </w:rPr>
                      </w:pPr>
                      <w:r w:rsidRPr="004F4524">
                        <w:rPr>
                          <w:rFonts w:asciiTheme="minorHAnsi" w:hAnsi="Cambria" w:cstheme="minorBidi"/>
                          <w:color w:val="000000" w:themeColor="text1"/>
                          <w:kern w:val="24"/>
                          <w:sz w:val="28"/>
                          <w:szCs w:val="28"/>
                          <w:lang w:val="en-US"/>
                        </w:rPr>
                        <w:t>SW480 Parental</w:t>
                      </w:r>
                    </w:p>
                  </w:txbxContent>
                </v:textbox>
                <w10:wrap type="square"/>
              </v:shape>
            </w:pict>
          </mc:Fallback>
        </mc:AlternateContent>
      </w:r>
      <w:r w:rsidR="003B6AC2" w:rsidRPr="004F4524">
        <w:rPr>
          <w:rFonts w:asciiTheme="majorHAnsi" w:hAnsiTheme="majorHAnsi"/>
          <w:noProof/>
          <w:lang w:val="en-US"/>
        </w:rPr>
        <mc:AlternateContent>
          <mc:Choice Requires="wps">
            <w:drawing>
              <wp:anchor distT="0" distB="0" distL="114300" distR="114300" simplePos="0" relativeHeight="251988992" behindDoc="0" locked="0" layoutInCell="1" allowOverlap="1" wp14:anchorId="64AA68E0" wp14:editId="1FFEFF92">
                <wp:simplePos x="0" y="0"/>
                <wp:positionH relativeFrom="column">
                  <wp:posOffset>-1191895</wp:posOffset>
                </wp:positionH>
                <wp:positionV relativeFrom="paragraph">
                  <wp:posOffset>3101340</wp:posOffset>
                </wp:positionV>
                <wp:extent cx="2032635" cy="293370"/>
                <wp:effectExtent l="0" t="0" r="0" b="0"/>
                <wp:wrapSquare wrapText="bothSides"/>
                <wp:docPr id="247" name="TextBox 11"/>
                <wp:cNvGraphicFramePr/>
                <a:graphic xmlns:a="http://schemas.openxmlformats.org/drawingml/2006/main">
                  <a:graphicData uri="http://schemas.microsoft.com/office/word/2010/wordprocessingShape">
                    <wps:wsp>
                      <wps:cNvSpPr txBox="1"/>
                      <wps:spPr>
                        <a:xfrm rot="16200000">
                          <a:off x="0" y="0"/>
                          <a:ext cx="2032635" cy="293370"/>
                        </a:xfrm>
                        <a:prstGeom prst="rect">
                          <a:avLst/>
                        </a:prstGeom>
                        <a:noFill/>
                      </wps:spPr>
                      <wps:txbx>
                        <w:txbxContent>
                          <w:p w14:paraId="3B252165" w14:textId="77777777" w:rsidR="00E82D3B" w:rsidRPr="004F4524" w:rsidRDefault="00E82D3B" w:rsidP="00091260">
                            <w:pPr>
                              <w:pStyle w:val="NormalWeb"/>
                              <w:spacing w:before="0" w:beforeAutospacing="0" w:after="0" w:afterAutospacing="0"/>
                              <w:rPr>
                                <w:sz w:val="28"/>
                                <w:szCs w:val="28"/>
                              </w:rPr>
                            </w:pPr>
                            <w:r w:rsidRPr="004F4524">
                              <w:rPr>
                                <w:rFonts w:asciiTheme="minorHAnsi" w:hAnsi="Cambria" w:cstheme="minorBidi"/>
                                <w:color w:val="000000" w:themeColor="text1"/>
                                <w:kern w:val="24"/>
                                <w:sz w:val="28"/>
                                <w:szCs w:val="28"/>
                                <w:lang w:val="en-US"/>
                              </w:rPr>
                              <w:t>SW480 CRISPR Clone 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1" o:spid="_x0000_s1079" type="#_x0000_t202" style="position:absolute;margin-left:-93.8pt;margin-top:244.2pt;width:160.05pt;height:23.1pt;rotation:-90;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" filled="f" stroked="f">
                <v:textbox>
                  <w:txbxContent>
                    <w:p w14:paraId="3B252165" w14:textId="77777777" w:rsidR="000A1E0D" w:rsidRPr="004F4524" w:rsidRDefault="000A1E0D" w:rsidP="00091260">
                      <w:pPr>
                        <w:pStyle w:val="NormalWeb"/>
                        <w:spacing w:before="0" w:beforeAutospacing="0" w:after="0" w:afterAutospacing="0"/>
                        <w:rPr>
                          <w:sz w:val="28"/>
                          <w:szCs w:val="28"/>
                        </w:rPr>
                      </w:pPr>
                      <w:r w:rsidRPr="004F4524">
                        <w:rPr>
                          <w:rFonts w:asciiTheme="minorHAnsi" w:hAnsi="Cambria" w:cstheme="minorBidi"/>
                          <w:color w:val="000000" w:themeColor="text1"/>
                          <w:kern w:val="24"/>
                          <w:sz w:val="28"/>
                          <w:szCs w:val="28"/>
                          <w:lang w:val="en-US"/>
                        </w:rPr>
                        <w:t>SW480 CRISPR Clone 2</w:t>
                      </w:r>
                    </w:p>
                  </w:txbxContent>
                </v:textbox>
                <w10:wrap type="square"/>
              </v:shape>
            </w:pict>
          </mc:Fallback>
        </mc:AlternateContent>
      </w:r>
      <w:r w:rsidR="003B6AC2">
        <w:rPr>
          <w:rFonts w:asciiTheme="majorHAnsi" w:hAnsiTheme="majorHAnsi"/>
          <w:noProof/>
          <w:lang w:val="en-US"/>
        </w:rPr>
        <mc:AlternateContent>
          <mc:Choice Requires="wps">
            <w:drawing>
              <wp:anchor distT="0" distB="0" distL="114300" distR="114300" simplePos="0" relativeHeight="252002304" behindDoc="0" locked="0" layoutInCell="1" allowOverlap="1" wp14:anchorId="20D2C6E7" wp14:editId="5D1FC4BB">
                <wp:simplePos x="0" y="0"/>
                <wp:positionH relativeFrom="column">
                  <wp:posOffset>522605</wp:posOffset>
                </wp:positionH>
                <wp:positionV relativeFrom="paragraph">
                  <wp:posOffset>3738245</wp:posOffset>
                </wp:positionV>
                <wp:extent cx="381000" cy="304800"/>
                <wp:effectExtent l="0" t="50800" r="76200" b="25400"/>
                <wp:wrapNone/>
                <wp:docPr id="151" name="Straight Arrow Connector 151"/>
                <wp:cNvGraphicFramePr/>
                <a:graphic xmlns:a="http://schemas.openxmlformats.org/drawingml/2006/main">
                  <a:graphicData uri="http://schemas.microsoft.com/office/word/2010/wordprocessingShape">
                    <wps:wsp>
                      <wps:cNvCnPr/>
                      <wps:spPr>
                        <a:xfrm flipV="1">
                          <a:off x="0" y="0"/>
                          <a:ext cx="381000" cy="30480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51" o:spid="_x0000_s1026" type="#_x0000_t32" style="position:absolute;margin-left:41.15pt;margin-top:294.35pt;width:30pt;height:24pt;flip:y;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" strokecolor="#bc4542 [3045]">
                <v:stroke endarrow="open"/>
              </v:shape>
            </w:pict>
          </mc:Fallback>
        </mc:AlternateContent>
      </w:r>
      <w:r w:rsidR="003B6AC2">
        <w:rPr>
          <w:rFonts w:asciiTheme="majorHAnsi" w:hAnsiTheme="majorHAnsi"/>
          <w:noProof/>
          <w:lang w:val="en-US"/>
        </w:rPr>
        <mc:AlternateContent>
          <mc:Choice Requires="wps">
            <w:drawing>
              <wp:anchor distT="0" distB="0" distL="114300" distR="114300" simplePos="0" relativeHeight="251992064" behindDoc="0" locked="0" layoutInCell="1" allowOverlap="1" wp14:anchorId="1C965C05" wp14:editId="50B4A4D9">
                <wp:simplePos x="0" y="0"/>
                <wp:positionH relativeFrom="column">
                  <wp:posOffset>2351405</wp:posOffset>
                </wp:positionH>
                <wp:positionV relativeFrom="paragraph">
                  <wp:posOffset>2823845</wp:posOffset>
                </wp:positionV>
                <wp:extent cx="114300" cy="457200"/>
                <wp:effectExtent l="76200" t="0" r="38100" b="76200"/>
                <wp:wrapNone/>
                <wp:docPr id="245" name="Straight Arrow Connector 245"/>
                <wp:cNvGraphicFramePr/>
                <a:graphic xmlns:a="http://schemas.openxmlformats.org/drawingml/2006/main">
                  <a:graphicData uri="http://schemas.microsoft.com/office/word/2010/wordprocessingShape">
                    <wps:wsp>
                      <wps:cNvCnPr/>
                      <wps:spPr>
                        <a:xfrm flipH="1">
                          <a:off x="0" y="0"/>
                          <a:ext cx="114300" cy="45720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id="Straight Arrow Connector 245" o:spid="_x0000_s1026" type="#_x0000_t32" style="position:absolute;margin-left:185.15pt;margin-top:222.35pt;width:9pt;height:36pt;flip:x;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" strokecolor="#bc4542 [3045]">
                <v:stroke endarrow="open"/>
              </v:shape>
            </w:pict>
          </mc:Fallback>
        </mc:AlternateContent>
      </w:r>
      <w:r w:rsidR="003B6AC2">
        <w:rPr>
          <w:rFonts w:asciiTheme="majorHAnsi" w:hAnsiTheme="majorHAnsi"/>
          <w:noProof/>
          <w:lang w:val="en-US"/>
        </w:rPr>
        <mc:AlternateContent>
          <mc:Choice Requires="wps">
            <w:drawing>
              <wp:anchor distT="0" distB="0" distL="114300" distR="114300" simplePos="0" relativeHeight="251991040" behindDoc="0" locked="0" layoutInCell="1" allowOverlap="1" wp14:anchorId="0AF21947" wp14:editId="1CBFC850">
                <wp:simplePos x="0" y="0"/>
                <wp:positionH relativeFrom="column">
                  <wp:posOffset>3837305</wp:posOffset>
                </wp:positionH>
                <wp:positionV relativeFrom="paragraph">
                  <wp:posOffset>2480945</wp:posOffset>
                </wp:positionV>
                <wp:extent cx="228600" cy="457200"/>
                <wp:effectExtent l="50800" t="0" r="25400" b="76200"/>
                <wp:wrapNone/>
                <wp:docPr id="246" name="Straight Arrow Connector 246"/>
                <wp:cNvGraphicFramePr/>
                <a:graphic xmlns:a="http://schemas.openxmlformats.org/drawingml/2006/main">
                  <a:graphicData uri="http://schemas.microsoft.com/office/word/2010/wordprocessingShape">
                    <wps:wsp>
                      <wps:cNvCnPr/>
                      <wps:spPr>
                        <a:xfrm flipH="1">
                          <a:off x="0" y="0"/>
                          <a:ext cx="228600" cy="45720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246" o:spid="_x0000_s1026" type="#_x0000_t32" style="position:absolute;margin-left:302.15pt;margin-top:195.35pt;width:18pt;height:36pt;flip:x;z-index:25199104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" strokecolor="#bc4542 [3045]">
                <v:stroke endarrow="open"/>
              </v:shape>
            </w:pict>
          </mc:Fallback>
        </mc:AlternateContent>
      </w:r>
      <w:r w:rsidR="003B6AC2" w:rsidRPr="004F4524">
        <w:rPr>
          <w:rFonts w:asciiTheme="majorHAnsi" w:hAnsiTheme="majorHAnsi"/>
          <w:noProof/>
          <w:lang w:val="en-US"/>
        </w:rPr>
        <w:drawing>
          <wp:anchor distT="0" distB="0" distL="114300" distR="114300" simplePos="0" relativeHeight="251983872" behindDoc="0" locked="0" layoutInCell="1" allowOverlap="1" wp14:anchorId="1C262956" wp14:editId="1DC40917">
            <wp:simplePos x="0" y="0"/>
            <wp:positionH relativeFrom="column">
              <wp:posOffset>-48895</wp:posOffset>
            </wp:positionH>
            <wp:positionV relativeFrom="paragraph">
              <wp:posOffset>2252345</wp:posOffset>
            </wp:positionV>
            <wp:extent cx="2628900" cy="1968500"/>
            <wp:effectExtent l="25400" t="25400" r="38100" b="38100"/>
            <wp:wrapSquare wrapText="bothSides"/>
            <wp:docPr id="261" name="Picture 5" descr="sw480 lv 2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w480 lv 2 4.tif"/>
                    <pic:cNvPicPr>
                      <a:picLocks noChangeAspect="1"/>
                    </pic:cNvPicPr>
                  </pic:nvPicPr>
                  <pic:blipFill>
                    <a:blip r:embed="rId70">
                      <a:extLst>
                        <a:ext uri="{BEBA8EAE-BF5A-486C-A8C5-ECC9F3942E4B}">
                          <a14:imgProps xmlns:a14="http://schemas.microsoft.com/office/drawing/2010/main">
                            <a14:imgLayer r:embed="rId7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28900" cy="1968500"/>
                    </a:xfrm>
                    <a:prstGeom prst="rect">
                      <a:avLst/>
                    </a:prstGeom>
                    <a:ln>
                      <a:solidFill>
                        <a:srgbClr val="FFFFFF"/>
                      </a:solidFill>
                    </a:ln>
                  </pic:spPr>
                </pic:pic>
              </a:graphicData>
            </a:graphic>
            <wp14:sizeRelH relativeFrom="page">
              <wp14:pctWidth>0</wp14:pctWidth>
            </wp14:sizeRelH>
            <wp14:sizeRelV relativeFrom="page">
              <wp14:pctHeight>0</wp14:pctHeight>
            </wp14:sizeRelV>
          </wp:anchor>
        </w:drawing>
      </w:r>
      <w:r w:rsidR="003B6AC2" w:rsidRPr="004F4524">
        <w:rPr>
          <w:rFonts w:asciiTheme="majorHAnsi" w:hAnsiTheme="majorHAnsi"/>
          <w:noProof/>
          <w:lang w:val="en-US"/>
        </w:rPr>
        <w:drawing>
          <wp:anchor distT="0" distB="0" distL="114300" distR="114300" simplePos="0" relativeHeight="251985920" behindDoc="0" locked="0" layoutInCell="1" allowOverlap="1" wp14:anchorId="10495C35" wp14:editId="48A6EF0D">
            <wp:simplePos x="0" y="0"/>
            <wp:positionH relativeFrom="column">
              <wp:posOffset>-48895</wp:posOffset>
            </wp:positionH>
            <wp:positionV relativeFrom="paragraph">
              <wp:posOffset>309245</wp:posOffset>
            </wp:positionV>
            <wp:extent cx="2628900" cy="1969135"/>
            <wp:effectExtent l="25400" t="25400" r="38100" b="37465"/>
            <wp:wrapSquare wrapText="bothSides"/>
            <wp:docPr id="260" name="Picture 4" descr="sw480 control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w480 control 3.tif"/>
                    <pic:cNvPicPr>
                      <a:picLocks noChangeAspect="1"/>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bright="7000" contrast="40000"/>
                              </a14:imgEffect>
                            </a14:imgLayer>
                          </a14:imgProps>
                        </a:ext>
                        <a:ext uri="{28A0092B-C50C-407E-A947-70E740481C1C}">
                          <a14:useLocalDpi xmlns:a14="http://schemas.microsoft.com/office/drawing/2010/main" val="0"/>
                        </a:ext>
                      </a:extLst>
                    </a:blip>
                    <a:stretch>
                      <a:fillRect/>
                    </a:stretch>
                  </pic:blipFill>
                  <pic:spPr>
                    <a:xfrm>
                      <a:off x="0" y="0"/>
                      <a:ext cx="2628900" cy="1969135"/>
                    </a:xfrm>
                    <a:prstGeom prst="rect">
                      <a:avLst/>
                    </a:prstGeom>
                    <a:ln>
                      <a:solidFill>
                        <a:schemeClr val="bg1"/>
                      </a:solidFill>
                    </a:ln>
                  </pic:spPr>
                </pic:pic>
              </a:graphicData>
            </a:graphic>
            <wp14:sizeRelH relativeFrom="page">
              <wp14:pctWidth>0</wp14:pctWidth>
            </wp14:sizeRelH>
            <wp14:sizeRelV relativeFrom="page">
              <wp14:pctHeight>0</wp14:pctHeight>
            </wp14:sizeRelV>
          </wp:anchor>
        </w:drawing>
      </w:r>
      <w:r w:rsidR="003B6AC2">
        <w:rPr>
          <w:rFonts w:asciiTheme="majorHAnsi" w:hAnsiTheme="majorHAnsi"/>
        </w:rPr>
        <w:br w:type="page"/>
      </w:r>
    </w:p>
    <w:p w14:paraId="29666561" w14:textId="5901E2E6" w:rsidR="00091260" w:rsidRPr="007A5BA6" w:rsidRDefault="00091260" w:rsidP="00091260">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004352" behindDoc="0" locked="0" layoutInCell="1" allowOverlap="1" wp14:anchorId="153BE269" wp14:editId="35698726">
                <wp:simplePos x="0" y="0"/>
                <wp:positionH relativeFrom="column">
                  <wp:posOffset>-2197100</wp:posOffset>
                </wp:positionH>
                <wp:positionV relativeFrom="paragraph">
                  <wp:posOffset>3738245</wp:posOffset>
                </wp:positionV>
                <wp:extent cx="342900" cy="342900"/>
                <wp:effectExtent l="0" t="50800" r="63500" b="38100"/>
                <wp:wrapNone/>
                <wp:docPr id="263" name="Straight Arrow Connector 263"/>
                <wp:cNvGraphicFramePr/>
                <a:graphic xmlns:a="http://schemas.openxmlformats.org/drawingml/2006/main">
                  <a:graphicData uri="http://schemas.microsoft.com/office/word/2010/wordprocessingShape">
                    <wps:wsp>
                      <wps:cNvCnPr/>
                      <wps:spPr>
                        <a:xfrm flipV="1">
                          <a:off x="0" y="0"/>
                          <a:ext cx="342900" cy="34290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3" o:spid="_x0000_s1026" type="#_x0000_t32" style="position:absolute;margin-left:-172.95pt;margin-top:294.35pt;width:27pt;height:27pt;flip: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" strokecolor="#bc4542 [3045]">
                <v:stroke endarrow="open"/>
              </v:shape>
            </w:pict>
          </mc:Fallback>
        </mc:AlternateContent>
      </w:r>
      <w:r>
        <w:rPr>
          <w:rFonts w:asciiTheme="majorHAnsi" w:hAnsiTheme="majorHAnsi"/>
        </w:rPr>
        <w:t>Due to the problems with cell growth seen in the original CRISPR/</w:t>
      </w:r>
      <w:r w:rsidR="002F04E4">
        <w:rPr>
          <w:rFonts w:asciiTheme="majorHAnsi" w:hAnsiTheme="majorHAnsi"/>
        </w:rPr>
        <w:t>d</w:t>
      </w:r>
      <w:r>
        <w:rPr>
          <w:rFonts w:asciiTheme="majorHAnsi" w:hAnsiTheme="majorHAnsi"/>
        </w:rPr>
        <w:t xml:space="preserve">Cas9 system purchased from the same company, the growth of the stable </w:t>
      </w:r>
      <w:r w:rsidRPr="00663BEE">
        <w:rPr>
          <w:rFonts w:asciiTheme="majorHAnsi" w:hAnsiTheme="majorHAnsi"/>
          <w:i/>
        </w:rPr>
        <w:t>SRCAP</w:t>
      </w:r>
      <w:r>
        <w:rPr>
          <w:rFonts w:asciiTheme="majorHAnsi" w:hAnsiTheme="majorHAnsi"/>
        </w:rPr>
        <w:t xml:space="preserve"> over expressing clones was assess</w:t>
      </w:r>
      <w:r w:rsidR="00323D15">
        <w:rPr>
          <w:rFonts w:asciiTheme="majorHAnsi" w:hAnsiTheme="majorHAnsi"/>
        </w:rPr>
        <w:t>ed. Over 120hrs the HCT116 over-</w:t>
      </w:r>
      <w:r>
        <w:rPr>
          <w:rFonts w:asciiTheme="majorHAnsi" w:hAnsiTheme="majorHAnsi"/>
        </w:rPr>
        <w:t>expressing clones along with a parental control cell line were counted each day and the number of viable cells plotted over</w:t>
      </w:r>
      <w:r w:rsidR="00A72B38">
        <w:rPr>
          <w:rFonts w:asciiTheme="majorHAnsi" w:hAnsiTheme="majorHAnsi"/>
        </w:rPr>
        <w:t xml:space="preserve"> </w:t>
      </w:r>
      <w:r>
        <w:rPr>
          <w:rFonts w:asciiTheme="majorHAnsi" w:hAnsiTheme="majorHAnsi"/>
        </w:rPr>
        <w:t>tim</w:t>
      </w:r>
      <w:r w:rsidR="00075445">
        <w:rPr>
          <w:rFonts w:asciiTheme="majorHAnsi" w:hAnsiTheme="majorHAnsi"/>
        </w:rPr>
        <w:t>e. As can be seen in Figure 3.18</w:t>
      </w:r>
      <w:r>
        <w:rPr>
          <w:rFonts w:asciiTheme="majorHAnsi" w:hAnsiTheme="majorHAnsi"/>
        </w:rPr>
        <w:t xml:space="preserve">, after two repeats there was an increase in cell number in the </w:t>
      </w:r>
      <w:r w:rsidRPr="00663BEE">
        <w:rPr>
          <w:rFonts w:asciiTheme="majorHAnsi" w:hAnsiTheme="majorHAnsi"/>
          <w:i/>
        </w:rPr>
        <w:t>SRCAP</w:t>
      </w:r>
      <w:r w:rsidR="00323D15">
        <w:rPr>
          <w:rFonts w:asciiTheme="majorHAnsi" w:hAnsiTheme="majorHAnsi"/>
        </w:rPr>
        <w:t xml:space="preserve"> over-</w:t>
      </w:r>
      <w:r>
        <w:rPr>
          <w:rFonts w:asciiTheme="majorHAnsi" w:hAnsiTheme="majorHAnsi"/>
        </w:rPr>
        <w:t xml:space="preserve">expressing cells, </w:t>
      </w:r>
      <w:r w:rsidR="00880720">
        <w:rPr>
          <w:rFonts w:asciiTheme="majorHAnsi" w:hAnsiTheme="majorHAnsi"/>
        </w:rPr>
        <w:t>suggesting</w:t>
      </w:r>
      <w:r>
        <w:rPr>
          <w:rFonts w:asciiTheme="majorHAnsi" w:hAnsiTheme="majorHAnsi"/>
        </w:rPr>
        <w:t xml:space="preserve"> that the system was not affecting the cel</w:t>
      </w:r>
      <w:r w:rsidR="00A72B38">
        <w:rPr>
          <w:rFonts w:asciiTheme="majorHAnsi" w:hAnsiTheme="majorHAnsi"/>
        </w:rPr>
        <w:t>l proliferation rates</w:t>
      </w:r>
      <w:r w:rsidR="009C7307">
        <w:rPr>
          <w:rFonts w:asciiTheme="majorHAnsi" w:hAnsiTheme="majorHAnsi"/>
        </w:rPr>
        <w:t xml:space="preserve"> as the previous CRISPR/dCas9 system had done</w:t>
      </w:r>
      <w:r w:rsidR="00A72B38">
        <w:rPr>
          <w:rFonts w:asciiTheme="majorHAnsi" w:hAnsiTheme="majorHAnsi"/>
        </w:rPr>
        <w:t>. The over-</w:t>
      </w:r>
      <w:r>
        <w:rPr>
          <w:rFonts w:asciiTheme="majorHAnsi" w:hAnsiTheme="majorHAnsi"/>
        </w:rPr>
        <w:t xml:space="preserve">expressing cells also grew at a similar rate to the </w:t>
      </w:r>
      <w:r w:rsidR="00880720">
        <w:rPr>
          <w:rFonts w:asciiTheme="majorHAnsi" w:hAnsiTheme="majorHAnsi"/>
        </w:rPr>
        <w:t>parental</w:t>
      </w:r>
      <w:r>
        <w:rPr>
          <w:rFonts w:asciiTheme="majorHAnsi" w:hAnsiTheme="majorHAnsi"/>
        </w:rPr>
        <w:t xml:space="preserve"> </w:t>
      </w:r>
      <w:r w:rsidR="00626169">
        <w:rPr>
          <w:rFonts w:asciiTheme="majorHAnsi" w:hAnsiTheme="majorHAnsi"/>
        </w:rPr>
        <w:t xml:space="preserve">control </w:t>
      </w:r>
      <w:r>
        <w:rPr>
          <w:rFonts w:asciiTheme="majorHAnsi" w:hAnsiTheme="majorHAnsi"/>
        </w:rPr>
        <w:t xml:space="preserve">cells, </w:t>
      </w:r>
      <w:r w:rsidR="009C7307">
        <w:rPr>
          <w:rFonts w:asciiTheme="majorHAnsi" w:hAnsiTheme="majorHAnsi"/>
        </w:rPr>
        <w:t xml:space="preserve">and when statistically assessed showed no difference in the slopes compared to control, </w:t>
      </w:r>
      <w:r>
        <w:rPr>
          <w:rFonts w:asciiTheme="majorHAnsi" w:hAnsiTheme="majorHAnsi"/>
        </w:rPr>
        <w:t xml:space="preserve">showing that when </w:t>
      </w:r>
      <w:r w:rsidRPr="00663BEE">
        <w:rPr>
          <w:rFonts w:asciiTheme="majorHAnsi" w:hAnsiTheme="majorHAnsi"/>
          <w:i/>
        </w:rPr>
        <w:t>SRCAP</w:t>
      </w:r>
      <w:r w:rsidR="00323D15">
        <w:rPr>
          <w:rFonts w:asciiTheme="majorHAnsi" w:hAnsiTheme="majorHAnsi"/>
        </w:rPr>
        <w:t xml:space="preserve"> is over-</w:t>
      </w:r>
      <w:r>
        <w:rPr>
          <w:rFonts w:asciiTheme="majorHAnsi" w:hAnsiTheme="majorHAnsi"/>
        </w:rPr>
        <w:t xml:space="preserve">expressed there </w:t>
      </w:r>
      <w:r w:rsidR="00A72B38">
        <w:rPr>
          <w:rFonts w:asciiTheme="majorHAnsi" w:hAnsiTheme="majorHAnsi"/>
        </w:rPr>
        <w:t>does not</w:t>
      </w:r>
      <w:r>
        <w:rPr>
          <w:rFonts w:asciiTheme="majorHAnsi" w:hAnsiTheme="majorHAnsi"/>
        </w:rPr>
        <w:t xml:space="preserve"> appear to be a significant difference in growth rates. </w:t>
      </w:r>
    </w:p>
    <w:p w14:paraId="584BF5F4" w14:textId="77777777" w:rsidR="00091260" w:rsidRDefault="00091260" w:rsidP="00091260">
      <w:pPr>
        <w:spacing w:line="360" w:lineRule="auto"/>
        <w:jc w:val="both"/>
        <w:rPr>
          <w:rFonts w:asciiTheme="majorHAnsi" w:hAnsiTheme="majorHAnsi"/>
        </w:rPr>
      </w:pPr>
    </w:p>
    <w:p w14:paraId="752788EC" w14:textId="77777777" w:rsidR="00091260" w:rsidRPr="00377AF9" w:rsidRDefault="00091260" w:rsidP="00091260">
      <w:pPr>
        <w:spacing w:line="360" w:lineRule="auto"/>
        <w:jc w:val="both"/>
        <w:rPr>
          <w:rFonts w:asciiTheme="majorHAnsi" w:hAnsiTheme="majorHAnsi"/>
        </w:rPr>
      </w:pPr>
      <w:r>
        <w:rPr>
          <w:rFonts w:asciiTheme="majorHAnsi" w:hAnsiTheme="majorHAnsi"/>
          <w:noProof/>
          <w:sz w:val="28"/>
          <w:szCs w:val="28"/>
          <w:u w:val="single"/>
          <w:lang w:val="en-US"/>
        </w:rPr>
        <mc:AlternateContent>
          <mc:Choice Requires="wps">
            <w:drawing>
              <wp:anchor distT="0" distB="0" distL="114300" distR="114300" simplePos="0" relativeHeight="252005376" behindDoc="0" locked="0" layoutInCell="1" allowOverlap="1" wp14:anchorId="2C728EB4" wp14:editId="5481CA75">
                <wp:simplePos x="0" y="0"/>
                <wp:positionH relativeFrom="column">
                  <wp:posOffset>0</wp:posOffset>
                </wp:positionH>
                <wp:positionV relativeFrom="paragraph">
                  <wp:posOffset>3380740</wp:posOffset>
                </wp:positionV>
                <wp:extent cx="5372100" cy="1449705"/>
                <wp:effectExtent l="0" t="0" r="0" b="0"/>
                <wp:wrapSquare wrapText="bothSides"/>
                <wp:docPr id="264" name="Text Box 264"/>
                <wp:cNvGraphicFramePr/>
                <a:graphic xmlns:a="http://schemas.openxmlformats.org/drawingml/2006/main">
                  <a:graphicData uri="http://schemas.microsoft.com/office/word/2010/wordprocessingShape">
                    <wps:wsp>
                      <wps:cNvSpPr txBox="1"/>
                      <wps:spPr>
                        <a:xfrm>
                          <a:off x="0" y="0"/>
                          <a:ext cx="5372100" cy="14497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D43B07" w14:textId="1E7691CA" w:rsidR="00E82D3B" w:rsidRPr="00A0450D" w:rsidRDefault="00E82D3B" w:rsidP="00091260">
                            <w:pPr>
                              <w:jc w:val="both"/>
                              <w:rPr>
                                <w:b/>
                                <w:i/>
                                <w:sz w:val="22"/>
                              </w:rPr>
                            </w:pPr>
                            <w:r w:rsidRPr="00A0450D">
                              <w:rPr>
                                <w:b/>
                                <w:i/>
                                <w:sz w:val="22"/>
                              </w:rPr>
                              <w:t>F</w:t>
                            </w:r>
                            <w:r>
                              <w:rPr>
                                <w:b/>
                                <w:i/>
                                <w:sz w:val="22"/>
                              </w:rPr>
                              <w:t>igure 3</w:t>
                            </w:r>
                            <w:r w:rsidRPr="00A0450D">
                              <w:rPr>
                                <w:b/>
                                <w:i/>
                                <w:sz w:val="22"/>
                              </w:rPr>
                              <w:t>.</w:t>
                            </w:r>
                            <w:r>
                              <w:rPr>
                                <w:b/>
                                <w:i/>
                                <w:sz w:val="22"/>
                              </w:rPr>
                              <w:t>18 SRCAP CRISPR over-expressing cells have</w:t>
                            </w:r>
                            <w:r w:rsidRPr="00A0450D">
                              <w:rPr>
                                <w:b/>
                                <w:i/>
                                <w:sz w:val="22"/>
                              </w:rPr>
                              <w:t xml:space="preserve"> similar growth rates to control</w:t>
                            </w:r>
                            <w:r>
                              <w:rPr>
                                <w:b/>
                                <w:i/>
                                <w:sz w:val="22"/>
                              </w:rPr>
                              <w:t xml:space="preserve"> parental cells</w:t>
                            </w:r>
                          </w:p>
                          <w:p w14:paraId="69E968B6" w14:textId="013132E5" w:rsidR="00E82D3B" w:rsidRPr="00A0450D" w:rsidRDefault="00E82D3B" w:rsidP="00091260">
                            <w:pPr>
                              <w:jc w:val="both"/>
                              <w:rPr>
                                <w:i/>
                                <w:sz w:val="22"/>
                              </w:rPr>
                            </w:pPr>
                            <w:r w:rsidRPr="00A0450D">
                              <w:rPr>
                                <w:i/>
                                <w:sz w:val="22"/>
                              </w:rPr>
                              <w:t xml:space="preserve">HCT116 </w:t>
                            </w:r>
                            <w:r>
                              <w:rPr>
                                <w:i/>
                                <w:sz w:val="22"/>
                              </w:rPr>
                              <w:t>parental control cells and the 5 over-</w:t>
                            </w:r>
                            <w:r w:rsidRPr="00A0450D">
                              <w:rPr>
                                <w:i/>
                                <w:sz w:val="22"/>
                              </w:rPr>
                              <w:t xml:space="preserve">expressing CRISPR clones from figure 1.b were seeded at 150,000 cells per well and </w:t>
                            </w:r>
                            <w:r>
                              <w:rPr>
                                <w:i/>
                                <w:sz w:val="22"/>
                              </w:rPr>
                              <w:t>manually haemocytometer counted viable cells via tryphan blue staining over 120hrs. After two repeats there was no significant difference between the slopes of any of the clones compared to the control cells when analysed using linear regression (4- p=0.8677, 11- p=0.5729, 13-p=0.5658, 14- p=0.3038, 17- p=0.4865.)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4" o:spid="_x0000_s1080" type="#_x0000_t202" style="position:absolute;left:0;text-align:left;margin-left:0;margin-top:266.2pt;width:423pt;height:114.1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" filled="f" stroked="f">
                <v:textbox>
                  <w:txbxContent>
                    <w:p w14:paraId="75D43B07" w14:textId="1E7691CA" w:rsidR="000A1E0D" w:rsidRPr="00A0450D" w:rsidRDefault="000A1E0D" w:rsidP="00091260">
                      <w:pPr>
                        <w:jc w:val="both"/>
                        <w:rPr>
                          <w:b/>
                          <w:i/>
                          <w:sz w:val="22"/>
                        </w:rPr>
                      </w:pPr>
                      <w:r w:rsidRPr="00A0450D">
                        <w:rPr>
                          <w:b/>
                          <w:i/>
                          <w:sz w:val="22"/>
                        </w:rPr>
                        <w:t>F</w:t>
                      </w:r>
                      <w:r>
                        <w:rPr>
                          <w:b/>
                          <w:i/>
                          <w:sz w:val="22"/>
                        </w:rPr>
                        <w:t>igure 3</w:t>
                      </w:r>
                      <w:r w:rsidRPr="00A0450D">
                        <w:rPr>
                          <w:b/>
                          <w:i/>
                          <w:sz w:val="22"/>
                        </w:rPr>
                        <w:t>.</w:t>
                      </w:r>
                      <w:r>
                        <w:rPr>
                          <w:b/>
                          <w:i/>
                          <w:sz w:val="22"/>
                        </w:rPr>
                        <w:t>18 SRCAP CRISPR over-expressing cells have</w:t>
                      </w:r>
                      <w:r w:rsidRPr="00A0450D">
                        <w:rPr>
                          <w:b/>
                          <w:i/>
                          <w:sz w:val="22"/>
                        </w:rPr>
                        <w:t xml:space="preserve"> similar growth rates to control</w:t>
                      </w:r>
                      <w:r>
                        <w:rPr>
                          <w:b/>
                          <w:i/>
                          <w:sz w:val="22"/>
                        </w:rPr>
                        <w:t xml:space="preserve"> parental cells</w:t>
                      </w:r>
                    </w:p>
                    <w:p w14:paraId="69E968B6" w14:textId="013132E5" w:rsidR="000A1E0D" w:rsidRPr="00A0450D" w:rsidRDefault="000A1E0D" w:rsidP="00091260">
                      <w:pPr>
                        <w:jc w:val="both"/>
                        <w:rPr>
                          <w:i/>
                          <w:sz w:val="22"/>
                        </w:rPr>
                      </w:pPr>
                      <w:r w:rsidRPr="00A0450D">
                        <w:rPr>
                          <w:i/>
                          <w:sz w:val="22"/>
                        </w:rPr>
                        <w:t xml:space="preserve">HCT116 </w:t>
                      </w:r>
                      <w:r>
                        <w:rPr>
                          <w:i/>
                          <w:sz w:val="22"/>
                        </w:rPr>
                        <w:t>parental control cells and the 5 over-</w:t>
                      </w:r>
                      <w:r w:rsidRPr="00A0450D">
                        <w:rPr>
                          <w:i/>
                          <w:sz w:val="22"/>
                        </w:rPr>
                        <w:t xml:space="preserve">expressing CRISPR clones from figure 1.b were seeded at 150,000 cells per well and </w:t>
                      </w:r>
                      <w:r>
                        <w:rPr>
                          <w:i/>
                          <w:sz w:val="22"/>
                        </w:rPr>
                        <w:t>manually haemocytometer counted viable cells via tryphan blue staining over 120hrs. After two repeats there was no significant difference between the slopes of any of the clones compared to the control cells when analysed using linear regression (4- p=0.8677, 11- p=0.5729, 13-p=0.5658, 14- p=0.3038, 17- p=0.4865.)</w:t>
                      </w:r>
                    </w:p>
                  </w:txbxContent>
                </v:textbox>
                <w10:wrap type="square"/>
              </v:shape>
            </w:pict>
          </mc:Fallback>
        </mc:AlternateContent>
      </w:r>
      <w:r>
        <w:rPr>
          <w:noProof/>
          <w:lang w:val="en-US"/>
        </w:rPr>
        <w:drawing>
          <wp:inline distT="0" distB="0" distL="0" distR="0" wp14:anchorId="49F7CD04" wp14:editId="16A21CF1">
            <wp:extent cx="5602498" cy="3190240"/>
            <wp:effectExtent l="0" t="0" r="36830" b="35560"/>
            <wp:docPr id="283" name="Chart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5C6101C" w14:textId="77777777" w:rsidR="009C7307" w:rsidRDefault="009C7307" w:rsidP="00091260">
      <w:pPr>
        <w:spacing w:line="360" w:lineRule="auto"/>
        <w:jc w:val="both"/>
        <w:rPr>
          <w:rFonts w:asciiTheme="majorHAnsi" w:hAnsiTheme="majorHAnsi"/>
          <w:sz w:val="28"/>
          <w:szCs w:val="28"/>
          <w:u w:val="single"/>
        </w:rPr>
      </w:pPr>
    </w:p>
    <w:p w14:paraId="08BCCC89" w14:textId="77777777" w:rsidR="00091260" w:rsidRDefault="00091260" w:rsidP="00091260">
      <w:pPr>
        <w:spacing w:line="360" w:lineRule="auto"/>
        <w:jc w:val="both"/>
        <w:rPr>
          <w:rFonts w:asciiTheme="majorHAnsi" w:hAnsiTheme="majorHAnsi"/>
          <w:sz w:val="28"/>
          <w:szCs w:val="28"/>
          <w:u w:val="single"/>
        </w:rPr>
      </w:pPr>
      <w:r>
        <w:rPr>
          <w:rFonts w:asciiTheme="majorHAnsi" w:hAnsiTheme="majorHAnsi"/>
          <w:sz w:val="28"/>
          <w:szCs w:val="28"/>
          <w:u w:val="single"/>
        </w:rPr>
        <w:t xml:space="preserve">3.8 </w:t>
      </w:r>
      <w:r w:rsidRPr="00497DD2">
        <w:rPr>
          <w:rFonts w:asciiTheme="majorHAnsi" w:hAnsiTheme="majorHAnsi"/>
          <w:sz w:val="28"/>
          <w:szCs w:val="28"/>
          <w:u w:val="single"/>
        </w:rPr>
        <w:t xml:space="preserve">Lentiviral CRISPR/Cas9 </w:t>
      </w:r>
      <w:r w:rsidRPr="00663BEE">
        <w:rPr>
          <w:rFonts w:asciiTheme="majorHAnsi" w:hAnsiTheme="majorHAnsi"/>
          <w:i/>
          <w:sz w:val="28"/>
          <w:szCs w:val="28"/>
          <w:u w:val="single"/>
        </w:rPr>
        <w:t>SRCAP</w:t>
      </w:r>
      <w:r w:rsidRPr="00497DD2">
        <w:rPr>
          <w:rFonts w:asciiTheme="majorHAnsi" w:hAnsiTheme="majorHAnsi"/>
          <w:sz w:val="28"/>
          <w:szCs w:val="28"/>
          <w:u w:val="single"/>
        </w:rPr>
        <w:t xml:space="preserve"> over expression alters cellular phenotypes</w:t>
      </w:r>
    </w:p>
    <w:p w14:paraId="4DFF4E8E" w14:textId="77777777" w:rsidR="00091260" w:rsidRDefault="00091260" w:rsidP="00091260">
      <w:pPr>
        <w:spacing w:line="360" w:lineRule="auto"/>
        <w:jc w:val="both"/>
        <w:rPr>
          <w:rFonts w:asciiTheme="majorHAnsi" w:hAnsiTheme="majorHAnsi"/>
          <w:sz w:val="28"/>
          <w:szCs w:val="28"/>
          <w:u w:val="single"/>
        </w:rPr>
      </w:pPr>
    </w:p>
    <w:p w14:paraId="2316B4B6" w14:textId="536E6982" w:rsidR="00DC5D16" w:rsidRDefault="00091260" w:rsidP="00091260">
      <w:pPr>
        <w:spacing w:line="360" w:lineRule="auto"/>
        <w:jc w:val="both"/>
        <w:rPr>
          <w:rFonts w:asciiTheme="majorHAnsi" w:hAnsiTheme="majorHAnsi"/>
          <w:szCs w:val="28"/>
        </w:rPr>
      </w:pPr>
      <w:r w:rsidRPr="00867E24">
        <w:rPr>
          <w:rFonts w:asciiTheme="majorHAnsi" w:hAnsiTheme="majorHAnsi"/>
          <w:szCs w:val="28"/>
        </w:rPr>
        <w:t>Due to</w:t>
      </w:r>
      <w:r>
        <w:rPr>
          <w:rFonts w:asciiTheme="majorHAnsi" w:hAnsiTheme="majorHAnsi"/>
          <w:szCs w:val="28"/>
        </w:rPr>
        <w:t xml:space="preserve"> SRCAP being predicted as a driver of CRC, it was h</w:t>
      </w:r>
      <w:r w:rsidR="00323D15">
        <w:rPr>
          <w:rFonts w:asciiTheme="majorHAnsi" w:hAnsiTheme="majorHAnsi"/>
          <w:szCs w:val="28"/>
        </w:rPr>
        <w:t>ypothesised that over-</w:t>
      </w:r>
      <w:r w:rsidR="00A72B38">
        <w:rPr>
          <w:rFonts w:asciiTheme="majorHAnsi" w:hAnsiTheme="majorHAnsi"/>
          <w:szCs w:val="28"/>
        </w:rPr>
        <w:t>expression of SRCAP</w:t>
      </w:r>
      <w:r>
        <w:rPr>
          <w:rFonts w:asciiTheme="majorHAnsi" w:hAnsiTheme="majorHAnsi"/>
          <w:szCs w:val="28"/>
        </w:rPr>
        <w:t xml:space="preserve"> in a cell line would lead to </w:t>
      </w:r>
      <w:r w:rsidR="00A72B38">
        <w:rPr>
          <w:rFonts w:asciiTheme="majorHAnsi" w:hAnsiTheme="majorHAnsi"/>
          <w:szCs w:val="28"/>
        </w:rPr>
        <w:t>altered</w:t>
      </w:r>
      <w:r>
        <w:rPr>
          <w:rFonts w:asciiTheme="majorHAnsi" w:hAnsiTheme="majorHAnsi"/>
          <w:szCs w:val="28"/>
        </w:rPr>
        <w:t xml:space="preserve"> cellular responses and possibly </w:t>
      </w:r>
      <w:r w:rsidR="003B0D66">
        <w:rPr>
          <w:rFonts w:asciiTheme="majorHAnsi" w:hAnsiTheme="majorHAnsi"/>
          <w:szCs w:val="28"/>
        </w:rPr>
        <w:t>phenotypes</w:t>
      </w:r>
      <w:r>
        <w:rPr>
          <w:rFonts w:asciiTheme="majorHAnsi" w:hAnsiTheme="majorHAnsi"/>
          <w:szCs w:val="28"/>
        </w:rPr>
        <w:t xml:space="preserve"> associated with tumour growth/progression. Therefore a number of </w:t>
      </w:r>
      <w:r w:rsidR="003B0D66">
        <w:rPr>
          <w:rFonts w:asciiTheme="majorHAnsi" w:hAnsiTheme="majorHAnsi"/>
          <w:szCs w:val="28"/>
        </w:rPr>
        <w:t>such phenotypes</w:t>
      </w:r>
      <w:r>
        <w:rPr>
          <w:rFonts w:asciiTheme="majorHAnsi" w:hAnsiTheme="majorHAnsi"/>
          <w:szCs w:val="28"/>
        </w:rPr>
        <w:t xml:space="preserve"> were assessed in the HCT116 </w:t>
      </w:r>
      <w:r w:rsidRPr="00663BEE">
        <w:rPr>
          <w:rFonts w:asciiTheme="majorHAnsi" w:hAnsiTheme="majorHAnsi"/>
          <w:i/>
          <w:szCs w:val="28"/>
        </w:rPr>
        <w:t>SRCAP</w:t>
      </w:r>
      <w:r w:rsidR="00323D15">
        <w:rPr>
          <w:rFonts w:asciiTheme="majorHAnsi" w:hAnsiTheme="majorHAnsi"/>
          <w:szCs w:val="28"/>
        </w:rPr>
        <w:t xml:space="preserve"> over-</w:t>
      </w:r>
      <w:r>
        <w:rPr>
          <w:rFonts w:asciiTheme="majorHAnsi" w:hAnsiTheme="majorHAnsi"/>
          <w:szCs w:val="28"/>
        </w:rPr>
        <w:t xml:space="preserve">expressing CRISPR clones in order to understand how the increase in </w:t>
      </w:r>
      <w:r w:rsidRPr="00663BEE">
        <w:rPr>
          <w:rFonts w:asciiTheme="majorHAnsi" w:hAnsiTheme="majorHAnsi"/>
          <w:i/>
          <w:szCs w:val="28"/>
        </w:rPr>
        <w:t>SRCAP</w:t>
      </w:r>
      <w:r>
        <w:rPr>
          <w:rFonts w:asciiTheme="majorHAnsi" w:hAnsiTheme="majorHAnsi"/>
          <w:szCs w:val="28"/>
        </w:rPr>
        <w:t xml:space="preserve"> </w:t>
      </w:r>
      <w:r w:rsidR="003B0D66">
        <w:rPr>
          <w:rFonts w:asciiTheme="majorHAnsi" w:hAnsiTheme="majorHAnsi"/>
          <w:szCs w:val="28"/>
        </w:rPr>
        <w:t>may affect such</w:t>
      </w:r>
      <w:r>
        <w:rPr>
          <w:rFonts w:asciiTheme="majorHAnsi" w:hAnsiTheme="majorHAnsi"/>
          <w:szCs w:val="28"/>
        </w:rPr>
        <w:t xml:space="preserve"> cellular </w:t>
      </w:r>
      <w:r w:rsidR="003B0D66">
        <w:rPr>
          <w:rFonts w:asciiTheme="majorHAnsi" w:hAnsiTheme="majorHAnsi"/>
          <w:szCs w:val="28"/>
        </w:rPr>
        <w:t>processes</w:t>
      </w:r>
      <w:r>
        <w:rPr>
          <w:rFonts w:asciiTheme="majorHAnsi" w:hAnsiTheme="majorHAnsi"/>
          <w:szCs w:val="28"/>
        </w:rPr>
        <w:t xml:space="preserve">. Firstly </w:t>
      </w:r>
      <w:r>
        <w:rPr>
          <w:rFonts w:ascii="Calibri" w:hAnsi="Calibri"/>
        </w:rPr>
        <w:t xml:space="preserve">DNA damage was assessed using the two DNA damage markers outlined previously- </w:t>
      </w:r>
      <w:r>
        <w:rPr>
          <w:rFonts w:ascii="Calibri" w:hAnsi="Calibri"/>
          <w:szCs w:val="28"/>
        </w:rPr>
        <w:t>γ</w:t>
      </w:r>
      <w:r>
        <w:rPr>
          <w:rFonts w:asciiTheme="majorHAnsi" w:hAnsiTheme="majorHAnsi"/>
          <w:szCs w:val="28"/>
        </w:rPr>
        <w:t>H2AX and 53BP1.</w:t>
      </w:r>
      <w:r w:rsidR="00A72B38">
        <w:rPr>
          <w:rFonts w:ascii="Calibri" w:hAnsi="Calibri"/>
        </w:rPr>
        <w:t xml:space="preserve"> When the five over-</w:t>
      </w:r>
      <w:r>
        <w:rPr>
          <w:rFonts w:ascii="Calibri" w:hAnsi="Calibri"/>
        </w:rPr>
        <w:t xml:space="preserve">expressing clones were assessed against control parental cells there was a </w:t>
      </w:r>
      <w:r w:rsidR="00DC5D16">
        <w:rPr>
          <w:rFonts w:ascii="Calibri" w:hAnsi="Calibri"/>
        </w:rPr>
        <w:t>significant</w:t>
      </w:r>
      <w:r>
        <w:rPr>
          <w:rFonts w:ascii="Calibri" w:hAnsi="Calibri"/>
        </w:rPr>
        <w:t xml:space="preserve"> increase in </w:t>
      </w:r>
      <w:r>
        <w:rPr>
          <w:rFonts w:ascii="Calibri" w:hAnsi="Calibri"/>
          <w:szCs w:val="28"/>
        </w:rPr>
        <w:t>γ</w:t>
      </w:r>
      <w:r>
        <w:rPr>
          <w:rFonts w:asciiTheme="majorHAnsi" w:hAnsiTheme="majorHAnsi"/>
          <w:szCs w:val="28"/>
        </w:rPr>
        <w:t xml:space="preserve">H2AX </w:t>
      </w:r>
      <w:r w:rsidR="00DC5D16">
        <w:rPr>
          <w:rFonts w:asciiTheme="majorHAnsi" w:hAnsiTheme="majorHAnsi"/>
          <w:szCs w:val="28"/>
        </w:rPr>
        <w:t xml:space="preserve">and 53BP1 </w:t>
      </w:r>
      <w:r>
        <w:rPr>
          <w:rFonts w:asciiTheme="majorHAnsi" w:hAnsiTheme="majorHAnsi"/>
          <w:szCs w:val="28"/>
        </w:rPr>
        <w:t>foci</w:t>
      </w:r>
      <w:r w:rsidR="00DC5D16">
        <w:rPr>
          <w:rFonts w:asciiTheme="majorHAnsi" w:hAnsiTheme="majorHAnsi"/>
          <w:szCs w:val="28"/>
        </w:rPr>
        <w:t xml:space="preserve"> across </w:t>
      </w:r>
      <w:r w:rsidR="00512B04">
        <w:rPr>
          <w:rFonts w:asciiTheme="majorHAnsi" w:hAnsiTheme="majorHAnsi"/>
          <w:szCs w:val="28"/>
        </w:rPr>
        <w:t xml:space="preserve">nearly </w:t>
      </w:r>
      <w:r w:rsidR="00DC5D16">
        <w:rPr>
          <w:rFonts w:asciiTheme="majorHAnsi" w:hAnsiTheme="majorHAnsi"/>
          <w:szCs w:val="28"/>
        </w:rPr>
        <w:t>all the over-expressing SRCAP CRISPR clones</w:t>
      </w:r>
      <w:r w:rsidR="00512B04">
        <w:rPr>
          <w:rFonts w:asciiTheme="majorHAnsi" w:hAnsiTheme="majorHAnsi"/>
          <w:szCs w:val="28"/>
        </w:rPr>
        <w:t xml:space="preserve"> (apart from clone 4 and 14 53BP1 foci, which did show an increased trend but weren’t significant)</w:t>
      </w:r>
      <w:r>
        <w:rPr>
          <w:rFonts w:asciiTheme="majorHAnsi" w:hAnsiTheme="majorHAnsi"/>
          <w:szCs w:val="28"/>
        </w:rPr>
        <w:t xml:space="preserve"> </w:t>
      </w:r>
      <w:r w:rsidR="00075445">
        <w:rPr>
          <w:rFonts w:asciiTheme="majorHAnsi" w:hAnsiTheme="majorHAnsi"/>
          <w:szCs w:val="28"/>
        </w:rPr>
        <w:t>(Figure 3.19</w:t>
      </w:r>
      <w:r>
        <w:rPr>
          <w:rFonts w:asciiTheme="majorHAnsi" w:hAnsiTheme="majorHAnsi"/>
          <w:szCs w:val="28"/>
        </w:rPr>
        <w:t xml:space="preserve">). This indicates that when </w:t>
      </w:r>
      <w:r w:rsidRPr="00663BEE">
        <w:rPr>
          <w:rFonts w:asciiTheme="majorHAnsi" w:hAnsiTheme="majorHAnsi"/>
          <w:i/>
          <w:szCs w:val="28"/>
        </w:rPr>
        <w:t>SRCAP</w:t>
      </w:r>
      <w:r w:rsidR="00323D15">
        <w:rPr>
          <w:rFonts w:asciiTheme="majorHAnsi" w:hAnsiTheme="majorHAnsi"/>
          <w:szCs w:val="28"/>
        </w:rPr>
        <w:t xml:space="preserve"> is over-</w:t>
      </w:r>
      <w:r>
        <w:rPr>
          <w:rFonts w:asciiTheme="majorHAnsi" w:hAnsiTheme="majorHAnsi"/>
          <w:szCs w:val="28"/>
        </w:rPr>
        <w:t xml:space="preserve">expressed, via the lentiviral CRISPR technology, there is a significant increase in DNA damage markers suggesting that high levels of </w:t>
      </w:r>
      <w:r w:rsidRPr="00663BEE">
        <w:rPr>
          <w:rFonts w:asciiTheme="majorHAnsi" w:hAnsiTheme="majorHAnsi"/>
          <w:i/>
          <w:szCs w:val="28"/>
        </w:rPr>
        <w:t>SRCAP</w:t>
      </w:r>
      <w:r>
        <w:rPr>
          <w:rFonts w:asciiTheme="majorHAnsi" w:hAnsiTheme="majorHAnsi"/>
          <w:szCs w:val="28"/>
        </w:rPr>
        <w:t xml:space="preserve"> may be associated with increased genomic instability. </w:t>
      </w:r>
    </w:p>
    <w:p w14:paraId="07B1AFB7" w14:textId="77777777" w:rsidR="00DC5D16" w:rsidRDefault="00DC5D16" w:rsidP="00091260">
      <w:pPr>
        <w:spacing w:line="360" w:lineRule="auto"/>
        <w:jc w:val="both"/>
        <w:rPr>
          <w:rFonts w:asciiTheme="majorHAnsi" w:hAnsiTheme="majorHAnsi"/>
          <w:szCs w:val="28"/>
        </w:rPr>
      </w:pPr>
    </w:p>
    <w:p w14:paraId="09200EF6" w14:textId="3CD08AA6" w:rsidR="00B248CE" w:rsidRDefault="00B248CE" w:rsidP="00091260">
      <w:pPr>
        <w:spacing w:line="360" w:lineRule="auto"/>
        <w:jc w:val="both"/>
        <w:rPr>
          <w:rFonts w:ascii="Calibri" w:hAnsi="Calibri"/>
        </w:rPr>
      </w:pPr>
      <w:r>
        <w:rPr>
          <w:rFonts w:asciiTheme="majorHAnsi" w:hAnsiTheme="majorHAnsi"/>
          <w:szCs w:val="28"/>
        </w:rPr>
        <w:t xml:space="preserve">DNA damage was also measured using the alkaline comet assay. </w:t>
      </w:r>
      <w:r>
        <w:rPr>
          <w:rFonts w:ascii="Calibri" w:hAnsi="Calibri"/>
        </w:rPr>
        <w:t xml:space="preserve">With this assay damage can be directly visualised instead of using markers, as any DNA containing breaks will migrate away from the main nucleoid head and form a trailing tail extending behind the head during electrophoresis </w:t>
      </w:r>
      <w:r>
        <w:rPr>
          <w:rFonts w:ascii="Calibri" w:hAnsi="Calibri"/>
        </w:rPr>
        <w:fldChar w:fldCharType="begin"/>
      </w:r>
      <w:r>
        <w:rPr>
          <w:rFonts w:ascii="Calibri" w:hAnsi="Calibri"/>
        </w:rPr>
        <w:instrText xml:space="preserve"> ADDIN EN.CITE &lt;EndNote&gt;&lt;Cite&gt;&lt;Author&gt;Ostling&lt;/Author&gt;&lt;Year&gt;1984&lt;/Year&gt;&lt;IDText&gt;Microelectrophoretic study of radiation-induced DNA damages in individual mammalian cells&lt;/IDText&gt;&lt;DisplayText&gt;(Ostling and Johanson, 1984)&lt;/DisplayText&gt;&lt;record&gt;&lt;dates&gt;&lt;pub-dates&gt;&lt;date&gt;Aug&lt;/date&gt;&lt;/pub-dates&gt;&lt;year&gt;1984&lt;/year&gt;&lt;/dates&gt;&lt;keywords&gt;&lt;keyword&gt;Animals&lt;/keyword&gt;&lt;keyword&gt;DNA Repair&lt;/keyword&gt;&lt;keyword&gt;DNA Replication&lt;/keyword&gt;&lt;keyword&gt;DNA, Neoplasm&lt;/keyword&gt;&lt;keyword&gt;Dose-Response Relationship, Radiation&lt;/keyword&gt;&lt;keyword&gt;Electrochemistry&lt;/keyword&gt;&lt;keyword&gt;Kinetics&lt;/keyword&gt;&lt;keyword&gt;Leukemia L5178&lt;/keyword&gt;&lt;keyword&gt;Leukemia, Experimental&lt;/keyword&gt;&lt;keyword&gt;Mice&lt;/keyword&gt;&lt;keyword&gt;Microscopy, Fluorescence&lt;/keyword&gt;&lt;keyword&gt;Spectrometry, Fluorescence&lt;/keyword&gt;&lt;/keywords&gt;&lt;urls&gt;&lt;related-urls&gt;&lt;url&gt;https://www.ncbi.nlm.nih.gov/pubmed/6477583&lt;/url&gt;&lt;/related-urls&gt;&lt;/urls&gt;&lt;isbn&gt;0006-291X&lt;/isbn&gt;&lt;titles&gt;&lt;title&gt;Microelectrophoretic study of radiation-induced DNA damages in individual mammalian cells&lt;/title&gt;&lt;secondary-title&gt;Biochem Biophys Res Commun&lt;/secondary-title&gt;&lt;/titles&gt;&lt;pages&gt;291-8&lt;/pages&gt;&lt;number&gt;1&lt;/number&gt;&lt;contributors&gt;&lt;authors&gt;&lt;author&gt;Ostling, O.&lt;/author&gt;&lt;author&gt;Johanson, K. J.&lt;/author&gt;&lt;/authors&gt;&lt;/contributors&gt;&lt;language&gt;eng&lt;/language&gt;&lt;added-date format="utc"&gt;1504539922&lt;/added-date&gt;&lt;ref-type name="Journal Article"&gt;17&lt;/ref-type&gt;&lt;rec-number&gt;262&lt;/rec-number&gt;&lt;last-updated-date format="utc"&gt;1504539922&lt;/last-updated-date&gt;&lt;accession-num&gt;6477583&lt;/accession-num&gt;&lt;volume&gt;123&lt;/volume&gt;&lt;/record&gt;&lt;/Cite&gt;&lt;/EndNote&gt;</w:instrText>
      </w:r>
      <w:r>
        <w:rPr>
          <w:rFonts w:ascii="Calibri" w:hAnsi="Calibri"/>
        </w:rPr>
        <w:fldChar w:fldCharType="separate"/>
      </w:r>
      <w:r>
        <w:rPr>
          <w:rFonts w:ascii="Calibri" w:hAnsi="Calibri"/>
          <w:noProof/>
        </w:rPr>
        <w:t>(Ostling and Johanson, 1984)</w:t>
      </w:r>
      <w:r>
        <w:rPr>
          <w:rFonts w:ascii="Calibri" w:hAnsi="Calibri"/>
        </w:rPr>
        <w:fldChar w:fldCharType="end"/>
      </w:r>
      <w:r>
        <w:rPr>
          <w:rFonts w:ascii="Calibri" w:hAnsi="Calibri"/>
        </w:rPr>
        <w:t>. Comet tail moment was calculated using the software and parameters specified in the methods section, this is a measure of the length and intensity of the comet tails in</w:t>
      </w:r>
      <w:r w:rsidRPr="00B248CE">
        <w:rPr>
          <w:rFonts w:ascii="Calibri" w:hAnsi="Calibri"/>
        </w:rPr>
        <w:t xml:space="preserve"> </w:t>
      </w:r>
      <w:r>
        <w:rPr>
          <w:rFonts w:ascii="Calibri" w:hAnsi="Calibri"/>
        </w:rPr>
        <w:t xml:space="preserve">comparison to the head and gives a quantitative value for the amount of DNA and the lengths of the fragments the tail contains. Over-expression of </w:t>
      </w:r>
      <w:r w:rsidRPr="00663BEE">
        <w:rPr>
          <w:rFonts w:ascii="Calibri" w:hAnsi="Calibri"/>
          <w:i/>
        </w:rPr>
        <w:t>SRCAP</w:t>
      </w:r>
      <w:r>
        <w:rPr>
          <w:rFonts w:ascii="Calibri" w:hAnsi="Calibri"/>
        </w:rPr>
        <w:t xml:space="preserve"> levels through the lentiviral CRISPR system caused a significant increase in tail moment in all the SRCAP over-expressing clones (Figure 3.20), reinforcing the data from Figure 3.19. There was however, a large variability within the tail moment data obtained from the clones over the different repeats. This method can be quite difficult to achieve reproducible</w:t>
      </w:r>
      <w:r w:rsidRPr="00B248CE">
        <w:rPr>
          <w:rFonts w:ascii="Calibri" w:hAnsi="Calibri"/>
        </w:rPr>
        <w:t xml:space="preserve"> </w:t>
      </w:r>
      <w:r>
        <w:rPr>
          <w:rFonts w:ascii="Calibri" w:hAnsi="Calibri"/>
        </w:rPr>
        <w:t>results, as there are many variables that affect the assay, although the close tail moment values for the control cells possibly suggest that it is the actual</w:t>
      </w:r>
      <w:r w:rsidRPr="00B248CE">
        <w:rPr>
          <w:rFonts w:ascii="Calibri" w:hAnsi="Calibri"/>
        </w:rPr>
        <w:t xml:space="preserve"> </w:t>
      </w:r>
      <w:r>
        <w:rPr>
          <w:rFonts w:ascii="Calibri" w:hAnsi="Calibri"/>
        </w:rPr>
        <w:t>cell</w:t>
      </w:r>
      <w:r w:rsidRPr="00B248CE">
        <w:rPr>
          <w:rFonts w:ascii="Calibri" w:hAnsi="Calibri"/>
        </w:rPr>
        <w:t xml:space="preserve"> </w:t>
      </w:r>
      <w:r>
        <w:rPr>
          <w:rFonts w:ascii="Calibri" w:hAnsi="Calibri"/>
        </w:rPr>
        <w:t xml:space="preserve">clones </w:t>
      </w:r>
      <w:r w:rsidR="00512B04" w:rsidRPr="00595BA9">
        <w:rPr>
          <w:rFonts w:asciiTheme="majorHAnsi" w:hAnsiTheme="majorHAnsi"/>
          <w:noProof/>
          <w:szCs w:val="28"/>
          <w:lang w:val="en-US"/>
        </w:rPr>
        <w:drawing>
          <wp:anchor distT="0" distB="0" distL="114300" distR="114300" simplePos="0" relativeHeight="252029952" behindDoc="0" locked="0" layoutInCell="1" allowOverlap="1" wp14:anchorId="668B3DFC" wp14:editId="3ACB0297">
            <wp:simplePos x="0" y="0"/>
            <wp:positionH relativeFrom="column">
              <wp:posOffset>-114300</wp:posOffset>
            </wp:positionH>
            <wp:positionV relativeFrom="paragraph">
              <wp:posOffset>685800</wp:posOffset>
            </wp:positionV>
            <wp:extent cx="5389245" cy="3034030"/>
            <wp:effectExtent l="0" t="0" r="0" b="0"/>
            <wp:wrapTopAndBottom/>
            <wp:docPr id="284" name="Picture 284" descr="Macintosh HD:Users:ClairFellows:Desktop:Screen Shot 2017-09-05 at 11.2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09-05 at 11.25.24.png"/>
                    <pic:cNvPicPr>
                      <a:picLocks noChangeAspect="1" noChangeArrowheads="1"/>
                    </pic:cNvPicPr>
                  </pic:nvPicPr>
                  <pic:blipFill>
                    <a:blip r:embed="rId75">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389245" cy="3034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which can vary between repeat experiments.</w:t>
      </w:r>
    </w:p>
    <w:p w14:paraId="3F3A2B3C" w14:textId="5DFEE60E" w:rsidR="00091260" w:rsidRPr="00B248CE" w:rsidRDefault="00DD2E77" w:rsidP="00091260">
      <w:pPr>
        <w:spacing w:line="360" w:lineRule="auto"/>
        <w:jc w:val="both"/>
        <w:rPr>
          <w:rFonts w:ascii="Calibri" w:hAnsi="Calibri"/>
        </w:rPr>
      </w:pPr>
      <w:r>
        <w:rPr>
          <w:rFonts w:ascii="Calibri" w:hAnsi="Calibri"/>
          <w:noProof/>
          <w:lang w:val="en-US"/>
        </w:rPr>
        <mc:AlternateContent>
          <mc:Choice Requires="wps">
            <w:drawing>
              <wp:anchor distT="0" distB="0" distL="114300" distR="114300" simplePos="0" relativeHeight="252006400" behindDoc="0" locked="0" layoutInCell="1" allowOverlap="1" wp14:anchorId="551F737E" wp14:editId="10CD210B">
                <wp:simplePos x="0" y="0"/>
                <wp:positionH relativeFrom="column">
                  <wp:posOffset>114300</wp:posOffset>
                </wp:positionH>
                <wp:positionV relativeFrom="paragraph">
                  <wp:posOffset>5371465</wp:posOffset>
                </wp:positionV>
                <wp:extent cx="5372100" cy="1956435"/>
                <wp:effectExtent l="0" t="0" r="0" b="0"/>
                <wp:wrapSquare wrapText="bothSides"/>
                <wp:docPr id="265" name="Text Box 265"/>
                <wp:cNvGraphicFramePr/>
                <a:graphic xmlns:a="http://schemas.openxmlformats.org/drawingml/2006/main">
                  <a:graphicData uri="http://schemas.microsoft.com/office/word/2010/wordprocessingShape">
                    <wps:wsp>
                      <wps:cNvSpPr txBox="1"/>
                      <wps:spPr>
                        <a:xfrm>
                          <a:off x="0" y="0"/>
                          <a:ext cx="5372100" cy="19564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29887C" w14:textId="056B8727" w:rsidR="00E82D3B" w:rsidRDefault="00E82D3B" w:rsidP="00091260">
                            <w:pPr>
                              <w:jc w:val="both"/>
                              <w:rPr>
                                <w:b/>
                                <w:i/>
                                <w:sz w:val="22"/>
                              </w:rPr>
                            </w:pPr>
                            <w:r w:rsidRPr="00E816A5">
                              <w:rPr>
                                <w:b/>
                                <w:i/>
                                <w:sz w:val="22"/>
                              </w:rPr>
                              <w:t>F</w:t>
                            </w:r>
                            <w:r>
                              <w:rPr>
                                <w:b/>
                                <w:i/>
                                <w:sz w:val="22"/>
                              </w:rPr>
                              <w:t>igure 3</w:t>
                            </w:r>
                            <w:r w:rsidRPr="00E816A5">
                              <w:rPr>
                                <w:b/>
                                <w:i/>
                                <w:sz w:val="22"/>
                              </w:rPr>
                              <w:t>.</w:t>
                            </w:r>
                            <w:r>
                              <w:rPr>
                                <w:b/>
                                <w:i/>
                                <w:sz w:val="22"/>
                              </w:rPr>
                              <w:t>19 DNA damage is increased when SRCAP is over-expressed</w:t>
                            </w:r>
                          </w:p>
                          <w:p w14:paraId="6B65B4B7" w14:textId="386A7F1A" w:rsidR="00E82D3B" w:rsidRDefault="00E82D3B" w:rsidP="00091260">
                            <w:pPr>
                              <w:jc w:val="both"/>
                              <w:rPr>
                                <w:i/>
                                <w:iCs/>
                                <w:sz w:val="22"/>
                                <w:szCs w:val="22"/>
                              </w:rPr>
                            </w:pPr>
                            <w:r>
                              <w:rPr>
                                <w:i/>
                                <w:sz w:val="22"/>
                              </w:rPr>
                              <w:t xml:space="preserve">HCT116 CRISPR clones and parental control cells were seeded for 24hrs to allow time to settle and begin proliferating. After this time the cells were fixed and antibodies used to detect </w:t>
                            </w:r>
                            <w:r w:rsidRPr="0037671E">
                              <w:rPr>
                                <w:i/>
                                <w:sz w:val="22"/>
                              </w:rPr>
                              <w:t>γH2AX</w:t>
                            </w:r>
                            <w:r>
                              <w:rPr>
                                <w:i/>
                                <w:sz w:val="22"/>
                              </w:rPr>
                              <w:t xml:space="preserve"> and 53BP1. Images were taken and the number of foci in 100 cells counted per condition and averaged. The graphs represent each repeat as separate symbols with median and range plotted. A Kruskal-Wallis non-parametric test showed no significant p value for 53BP1 (p=0.0502) but significance for </w:t>
                            </w:r>
                            <w:r w:rsidRPr="0037671E">
                              <w:rPr>
                                <w:i/>
                                <w:sz w:val="22"/>
                              </w:rPr>
                              <w:t>γH2AX</w:t>
                            </w:r>
                            <w:r>
                              <w:rPr>
                                <w:i/>
                                <w:sz w:val="22"/>
                              </w:rPr>
                              <w:t xml:space="preserve"> (p=0.0418) when comparing all the groups together. However using individual comparisons of each clone against the control there were significant increases in both DNA damage markers when SRCAP was over-expressed </w:t>
                            </w:r>
                            <w:r>
                              <w:rPr>
                                <w:i/>
                                <w:iCs/>
                                <w:sz w:val="22"/>
                                <w:szCs w:val="22"/>
                              </w:rPr>
                              <w:t>(* = p≤0.05, **=p≤ 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5" o:spid="_x0000_s1081" type="#_x0000_t202" style="position:absolute;left:0;text-align:left;margin-left:9pt;margin-top:422.95pt;width:423pt;height:154.0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" filled="f" stroked="f">
                <v:textbox>
                  <w:txbxContent>
                    <w:p w14:paraId="0329887C" w14:textId="056B8727" w:rsidR="000A1E0D" w:rsidRDefault="000A1E0D" w:rsidP="00091260">
                      <w:pPr>
                        <w:jc w:val="both"/>
                        <w:rPr>
                          <w:b/>
                          <w:i/>
                          <w:sz w:val="22"/>
                        </w:rPr>
                      </w:pPr>
                      <w:r w:rsidRPr="00E816A5">
                        <w:rPr>
                          <w:b/>
                          <w:i/>
                          <w:sz w:val="22"/>
                        </w:rPr>
                        <w:t>F</w:t>
                      </w:r>
                      <w:r>
                        <w:rPr>
                          <w:b/>
                          <w:i/>
                          <w:sz w:val="22"/>
                        </w:rPr>
                        <w:t>igure 3</w:t>
                      </w:r>
                      <w:r w:rsidRPr="00E816A5">
                        <w:rPr>
                          <w:b/>
                          <w:i/>
                          <w:sz w:val="22"/>
                        </w:rPr>
                        <w:t>.</w:t>
                      </w:r>
                      <w:r>
                        <w:rPr>
                          <w:b/>
                          <w:i/>
                          <w:sz w:val="22"/>
                        </w:rPr>
                        <w:t>19 DNA damage is increased when SRCAP is over-expressed</w:t>
                      </w:r>
                    </w:p>
                    <w:p w14:paraId="6B65B4B7" w14:textId="386A7F1A" w:rsidR="000A1E0D" w:rsidRDefault="000A1E0D" w:rsidP="00091260">
                      <w:pPr>
                        <w:jc w:val="both"/>
                        <w:rPr>
                          <w:i/>
                          <w:iCs/>
                          <w:sz w:val="22"/>
                          <w:szCs w:val="22"/>
                        </w:rPr>
                      </w:pPr>
                      <w:r>
                        <w:rPr>
                          <w:i/>
                          <w:sz w:val="22"/>
                        </w:rPr>
                        <w:t xml:space="preserve">HCT116 CRISPR clones and parental control cells were seeded for 24hrs to allow time to settle and begin proliferating. After this time the cells were fixed and antibodies used to detect </w:t>
                      </w:r>
                      <w:r w:rsidRPr="0037671E">
                        <w:rPr>
                          <w:i/>
                          <w:sz w:val="22"/>
                        </w:rPr>
                        <w:t>γH2AX</w:t>
                      </w:r>
                      <w:r>
                        <w:rPr>
                          <w:i/>
                          <w:sz w:val="22"/>
                        </w:rPr>
                        <w:t xml:space="preserve"> and 53BP1. Images were taken and the number of foci in 100 cells counted per condition and averaged. The graphs represent each repeat as separate symbols with median and range plotted. A Kruskal-Wallis non-parametric test showed no significant p value for 53BP1 (p=0.0502) but significance for </w:t>
                      </w:r>
                      <w:r w:rsidRPr="0037671E">
                        <w:rPr>
                          <w:i/>
                          <w:sz w:val="22"/>
                        </w:rPr>
                        <w:t>γH2AX</w:t>
                      </w:r>
                      <w:r>
                        <w:rPr>
                          <w:i/>
                          <w:sz w:val="22"/>
                        </w:rPr>
                        <w:t xml:space="preserve"> (p=0.0418) when comparing all the groups together. However using individual comparisons of each clone against the control there were significant increases in both DNA damage markers when SRCAP was over-expressed </w:t>
                      </w:r>
                      <w:r>
                        <w:rPr>
                          <w:i/>
                          <w:iCs/>
                          <w:sz w:val="22"/>
                          <w:szCs w:val="22"/>
                        </w:rPr>
                        <w:t>(* = p≤0.05, **=p≤ 0.01).</w:t>
                      </w:r>
                    </w:p>
                  </w:txbxContent>
                </v:textbox>
                <w10:wrap type="square"/>
              </v:shape>
            </w:pict>
          </mc:Fallback>
        </mc:AlternateContent>
      </w:r>
      <w:r w:rsidR="00512B04">
        <w:rPr>
          <w:rFonts w:ascii="Calibri" w:hAnsi="Calibri"/>
          <w:noProof/>
          <w:lang w:val="en-US"/>
        </w:rPr>
        <w:drawing>
          <wp:anchor distT="0" distB="0" distL="114300" distR="114300" simplePos="0" relativeHeight="252197888" behindDoc="0" locked="0" layoutInCell="1" allowOverlap="1" wp14:anchorId="757AF576" wp14:editId="31E0137F">
            <wp:simplePos x="0" y="0"/>
            <wp:positionH relativeFrom="column">
              <wp:posOffset>2743200</wp:posOffset>
            </wp:positionH>
            <wp:positionV relativeFrom="paragraph">
              <wp:posOffset>3314700</wp:posOffset>
            </wp:positionV>
            <wp:extent cx="2743200" cy="1925320"/>
            <wp:effectExtent l="0" t="0" r="0" b="5080"/>
            <wp:wrapSquare wrapText="bothSides"/>
            <wp:docPr id="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43200" cy="192532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B04">
        <w:rPr>
          <w:rFonts w:ascii="Calibri" w:hAnsi="Calibri"/>
          <w:noProof/>
          <w:lang w:val="en-US"/>
        </w:rPr>
        <w:drawing>
          <wp:anchor distT="0" distB="0" distL="114300" distR="114300" simplePos="0" relativeHeight="252198912" behindDoc="0" locked="0" layoutInCell="1" allowOverlap="1" wp14:anchorId="772085EA" wp14:editId="16CCA1BF">
            <wp:simplePos x="0" y="0"/>
            <wp:positionH relativeFrom="column">
              <wp:posOffset>0</wp:posOffset>
            </wp:positionH>
            <wp:positionV relativeFrom="paragraph">
              <wp:posOffset>3314700</wp:posOffset>
            </wp:positionV>
            <wp:extent cx="2710815" cy="1943100"/>
            <wp:effectExtent l="0" t="0" r="6985" b="12700"/>
            <wp:wrapSquare wrapText="bothSides"/>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10815"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569AD" w14:textId="4F583418" w:rsidR="00861277" w:rsidRDefault="00861277" w:rsidP="00861277">
      <w:pPr>
        <w:spacing w:line="360" w:lineRule="auto"/>
        <w:jc w:val="both"/>
        <w:rPr>
          <w:rFonts w:ascii="Calibri" w:hAnsi="Calibri"/>
        </w:rPr>
      </w:pPr>
    </w:p>
    <w:p w14:paraId="140386A4" w14:textId="68F24DBD" w:rsidR="00B248CE" w:rsidRDefault="00B248CE" w:rsidP="00861277">
      <w:pPr>
        <w:spacing w:line="360" w:lineRule="auto"/>
        <w:jc w:val="both"/>
        <w:rPr>
          <w:rFonts w:ascii="Calibri" w:hAnsi="Calibri"/>
        </w:rPr>
      </w:pPr>
    </w:p>
    <w:p w14:paraId="16349984" w14:textId="70B7CAAF" w:rsidR="00512B04" w:rsidRDefault="00512B04" w:rsidP="00861277">
      <w:pPr>
        <w:spacing w:line="360" w:lineRule="auto"/>
        <w:jc w:val="both"/>
        <w:rPr>
          <w:rFonts w:ascii="Calibri" w:hAnsi="Calibri"/>
        </w:rPr>
      </w:pPr>
      <w:r>
        <w:rPr>
          <w:rFonts w:ascii="Calibri" w:hAnsi="Calibri"/>
          <w:noProof/>
          <w:lang w:val="en-US"/>
        </w:rPr>
        <w:drawing>
          <wp:anchor distT="0" distB="0" distL="114300" distR="114300" simplePos="0" relativeHeight="252199936" behindDoc="0" locked="0" layoutInCell="1" allowOverlap="1" wp14:anchorId="34DC2049" wp14:editId="2F280BDF">
            <wp:simplePos x="0" y="0"/>
            <wp:positionH relativeFrom="column">
              <wp:posOffset>2971800</wp:posOffset>
            </wp:positionH>
            <wp:positionV relativeFrom="paragraph">
              <wp:posOffset>228600</wp:posOffset>
            </wp:positionV>
            <wp:extent cx="2508250" cy="1826260"/>
            <wp:effectExtent l="0" t="0" r="6350" b="2540"/>
            <wp:wrapSquare wrapText="bothSides"/>
            <wp:docPr id="1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08250"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2036096" behindDoc="0" locked="0" layoutInCell="1" allowOverlap="1" wp14:anchorId="52B451F5" wp14:editId="0210D180">
                <wp:simplePos x="0" y="0"/>
                <wp:positionH relativeFrom="column">
                  <wp:posOffset>2743200</wp:posOffset>
                </wp:positionH>
                <wp:positionV relativeFrom="paragraph">
                  <wp:posOffset>0</wp:posOffset>
                </wp:positionV>
                <wp:extent cx="685800" cy="342900"/>
                <wp:effectExtent l="0" t="0" r="0" b="12700"/>
                <wp:wrapThrough wrapText="bothSides">
                  <wp:wrapPolygon edited="0">
                    <wp:start x="800" y="0"/>
                    <wp:lineTo x="800" y="20800"/>
                    <wp:lineTo x="20000" y="20800"/>
                    <wp:lineTo x="20000" y="0"/>
                    <wp:lineTo x="800" y="0"/>
                  </wp:wrapPolygon>
                </wp:wrapThrough>
                <wp:docPr id="266" name="Text Box 266"/>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txbx>
                        <w:txbxContent>
                          <w:p w14:paraId="2D60550B" w14:textId="77777777" w:rsidR="00E82D3B" w:rsidRPr="005E16A0" w:rsidRDefault="00E82D3B" w:rsidP="00091260">
                            <w:pPr>
                              <w:rPr>
                                <w:b/>
                              </w:rPr>
                            </w:pPr>
                            <w:proofErr w:type="gramStart"/>
                            <w:r>
                              <w:rPr>
                                <w:b/>
                              </w:rPr>
                              <w:t>b</w:t>
                            </w:r>
                            <w:proofErr w:type="gramEnd"/>
                            <w:r w:rsidRPr="005E16A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6" o:spid="_x0000_s1082" type="#_x0000_t202" style="position:absolute;left:0;text-align:left;margin-left:3in;margin-top:0;width:54pt;height:27pt;z-index:25203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" filled="f" stroked="f">
                <v:textbox>
                  <w:txbxContent>
                    <w:p w14:paraId="2D60550B" w14:textId="77777777" w:rsidR="000A1E0D" w:rsidRPr="005E16A0" w:rsidRDefault="000A1E0D" w:rsidP="00091260">
                      <w:pPr>
                        <w:rPr>
                          <w:b/>
                        </w:rPr>
                      </w:pPr>
                      <w:proofErr w:type="gramStart"/>
                      <w:r>
                        <w:rPr>
                          <w:b/>
                        </w:rPr>
                        <w:t>b</w:t>
                      </w:r>
                      <w:proofErr w:type="gramEnd"/>
                      <w:r w:rsidRPr="005E16A0">
                        <w:rPr>
                          <w:b/>
                        </w:rPr>
                        <w:t>.)</w:t>
                      </w:r>
                    </w:p>
                  </w:txbxContent>
                </v:textbox>
                <w10:wrap type="through"/>
              </v:shape>
            </w:pict>
          </mc:Fallback>
        </mc:AlternateContent>
      </w:r>
      <w:r>
        <w:rPr>
          <w:rFonts w:ascii="Calibri" w:hAnsi="Calibri"/>
          <w:noProof/>
          <w:lang w:val="en-US"/>
        </w:rPr>
        <w:drawing>
          <wp:anchor distT="0" distB="0" distL="114300" distR="114300" simplePos="0" relativeHeight="252037120" behindDoc="0" locked="0" layoutInCell="1" allowOverlap="1" wp14:anchorId="4876D886" wp14:editId="738290EE">
            <wp:simplePos x="0" y="0"/>
            <wp:positionH relativeFrom="column">
              <wp:posOffset>-114300</wp:posOffset>
            </wp:positionH>
            <wp:positionV relativeFrom="paragraph">
              <wp:posOffset>457200</wp:posOffset>
            </wp:positionV>
            <wp:extent cx="2857500" cy="1083945"/>
            <wp:effectExtent l="0" t="0" r="12700" b="8255"/>
            <wp:wrapTopAndBottom/>
            <wp:docPr id="286" name="Picture 286" descr="Macintosh HD:Users:ClairFellows:Desktop:Screen Shot 2017-09-06 at 13.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09-06 at 13.40.39.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57500" cy="1083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2035072" behindDoc="0" locked="0" layoutInCell="1" allowOverlap="1" wp14:anchorId="2507846C" wp14:editId="55E78D64">
                <wp:simplePos x="0" y="0"/>
                <wp:positionH relativeFrom="column">
                  <wp:posOffset>-228600</wp:posOffset>
                </wp:positionH>
                <wp:positionV relativeFrom="paragraph">
                  <wp:posOffset>0</wp:posOffset>
                </wp:positionV>
                <wp:extent cx="685800" cy="342900"/>
                <wp:effectExtent l="0" t="0" r="0" b="12700"/>
                <wp:wrapSquare wrapText="bothSides"/>
                <wp:docPr id="267" name="Text Box 267"/>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05D916" w14:textId="77777777" w:rsidR="00E82D3B" w:rsidRPr="005E16A0" w:rsidRDefault="00E82D3B" w:rsidP="00091260">
                            <w:pPr>
                              <w:rPr>
                                <w:b/>
                              </w:rPr>
                            </w:pPr>
                            <w:proofErr w:type="gramStart"/>
                            <w:r w:rsidRPr="005E16A0">
                              <w:rPr>
                                <w:b/>
                              </w:rPr>
                              <w:t>a</w:t>
                            </w:r>
                            <w:proofErr w:type="gramEnd"/>
                            <w:r w:rsidRPr="005E16A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7" o:spid="_x0000_s1083" type="#_x0000_t202" style="position:absolute;left:0;text-align:left;margin-left:-17.95pt;margin-top:0;width:54pt;height:27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xb6NMCAAAZ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" filled="f" stroked="f">
                <v:textbox>
                  <w:txbxContent>
                    <w:p w14:paraId="3C05D916" w14:textId="77777777" w:rsidR="000A1E0D" w:rsidRPr="005E16A0" w:rsidRDefault="000A1E0D" w:rsidP="00091260">
                      <w:pPr>
                        <w:rPr>
                          <w:b/>
                        </w:rPr>
                      </w:pPr>
                      <w:proofErr w:type="gramStart"/>
                      <w:r w:rsidRPr="005E16A0">
                        <w:rPr>
                          <w:b/>
                        </w:rPr>
                        <w:t>a</w:t>
                      </w:r>
                      <w:proofErr w:type="gramEnd"/>
                      <w:r w:rsidRPr="005E16A0">
                        <w:rPr>
                          <w:b/>
                        </w:rPr>
                        <w:t>.)</w:t>
                      </w:r>
                    </w:p>
                  </w:txbxContent>
                </v:textbox>
                <w10:wrap type="square"/>
              </v:shape>
            </w:pict>
          </mc:Fallback>
        </mc:AlternateContent>
      </w:r>
    </w:p>
    <w:p w14:paraId="7AF21153" w14:textId="3F975B8D" w:rsidR="00512B04" w:rsidRDefault="00512B04" w:rsidP="00861277">
      <w:pPr>
        <w:spacing w:line="360" w:lineRule="auto"/>
        <w:jc w:val="both"/>
        <w:rPr>
          <w:rFonts w:ascii="Calibri" w:hAnsi="Calibri"/>
        </w:rPr>
      </w:pPr>
      <w:r>
        <w:rPr>
          <w:noProof/>
          <w:lang w:val="en-US"/>
        </w:rPr>
        <mc:AlternateContent>
          <mc:Choice Requires="wps">
            <w:drawing>
              <wp:anchor distT="0" distB="0" distL="114300" distR="114300" simplePos="0" relativeHeight="252007424" behindDoc="0" locked="0" layoutInCell="1" allowOverlap="1" wp14:anchorId="59C65334" wp14:editId="2CA01800">
                <wp:simplePos x="0" y="0"/>
                <wp:positionH relativeFrom="column">
                  <wp:posOffset>-114300</wp:posOffset>
                </wp:positionH>
                <wp:positionV relativeFrom="paragraph">
                  <wp:posOffset>1892935</wp:posOffset>
                </wp:positionV>
                <wp:extent cx="5600700" cy="1828800"/>
                <wp:effectExtent l="0" t="0" r="0" b="0"/>
                <wp:wrapSquare wrapText="bothSides"/>
                <wp:docPr id="268" name="Text Box 268"/>
                <wp:cNvGraphicFramePr/>
                <a:graphic xmlns:a="http://schemas.openxmlformats.org/drawingml/2006/main">
                  <a:graphicData uri="http://schemas.microsoft.com/office/word/2010/wordprocessingShape">
                    <wps:wsp>
                      <wps:cNvSpPr txBox="1"/>
                      <wps:spPr>
                        <a:xfrm>
                          <a:off x="0" y="0"/>
                          <a:ext cx="56007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D94BA2" w14:textId="0D2C1A2C" w:rsidR="00E82D3B" w:rsidRPr="00FC65B2" w:rsidRDefault="00E82D3B" w:rsidP="00091260">
                            <w:pPr>
                              <w:jc w:val="both"/>
                              <w:rPr>
                                <w:b/>
                                <w:i/>
                                <w:sz w:val="22"/>
                              </w:rPr>
                            </w:pPr>
                            <w:r w:rsidRPr="00FC65B2">
                              <w:rPr>
                                <w:b/>
                                <w:i/>
                                <w:sz w:val="22"/>
                              </w:rPr>
                              <w:t>F</w:t>
                            </w:r>
                            <w:r>
                              <w:rPr>
                                <w:b/>
                                <w:i/>
                                <w:sz w:val="22"/>
                              </w:rPr>
                              <w:t>igure 3</w:t>
                            </w:r>
                            <w:r w:rsidRPr="00FC65B2">
                              <w:rPr>
                                <w:b/>
                                <w:i/>
                                <w:sz w:val="22"/>
                              </w:rPr>
                              <w:t>.</w:t>
                            </w:r>
                            <w:r>
                              <w:rPr>
                                <w:b/>
                                <w:i/>
                                <w:sz w:val="22"/>
                              </w:rPr>
                              <w:t>20</w:t>
                            </w:r>
                            <w:r w:rsidRPr="00FC65B2">
                              <w:rPr>
                                <w:b/>
                                <w:i/>
                                <w:sz w:val="22"/>
                              </w:rPr>
                              <w:t xml:space="preserve"> </w:t>
                            </w:r>
                            <w:r>
                              <w:rPr>
                                <w:b/>
                                <w:i/>
                                <w:sz w:val="22"/>
                              </w:rPr>
                              <w:t>DNA damage visualisation via the comet assay is increased in SRCAP over-expressing clones</w:t>
                            </w:r>
                          </w:p>
                          <w:p w14:paraId="4A375546" w14:textId="1993FADF" w:rsidR="00E82D3B" w:rsidRDefault="00E82D3B" w:rsidP="00091260">
                            <w:pPr>
                              <w:jc w:val="both"/>
                              <w:rPr>
                                <w:i/>
                                <w:sz w:val="22"/>
                              </w:rPr>
                            </w:pPr>
                            <w:r>
                              <w:rPr>
                                <w:i/>
                                <w:sz w:val="22"/>
                              </w:rPr>
                              <w:t>a.) Representative comet images of control HCT116 cells and clones 4 and 17 in the FITC channel after being stained with SYBR Gold, showing increased comet tails in the SRCAP over-expressing clones</w:t>
                            </w:r>
                          </w:p>
                          <w:p w14:paraId="47CF4CF3" w14:textId="7B2DF30A" w:rsidR="00E82D3B" w:rsidRPr="00E816A5" w:rsidRDefault="00E82D3B" w:rsidP="00091260">
                            <w:pPr>
                              <w:jc w:val="both"/>
                              <w:rPr>
                                <w:i/>
                                <w:sz w:val="22"/>
                              </w:rPr>
                            </w:pPr>
                            <w:r>
                              <w:rPr>
                                <w:i/>
                                <w:sz w:val="22"/>
                              </w:rPr>
                              <w:t xml:space="preserve">b.) Cells were seeded for 24hrs in 6 well plates and the comet assay performed, comet tail moment was provided by the software and the above graph shows each repeat as a separate symbol with the median and range. The Kruskal-Wallis test gave a significant overall p value of 0.0212, and when each clone was compared against control all the clones were significantly different to the control group </w:t>
                            </w:r>
                            <w:r>
                              <w:rPr>
                                <w:i/>
                                <w:iCs/>
                                <w:sz w:val="22"/>
                                <w:szCs w:val="22"/>
                              </w:rPr>
                              <w:t>(* = p≤0.05, ** = p≤0.01)</w:t>
                            </w:r>
                            <w:r>
                              <w:rPr>
                                <w:i/>
                                <w:sz w:val="22"/>
                              </w:rPr>
                              <w:t>.</w:t>
                            </w:r>
                          </w:p>
                          <w:p w14:paraId="76C7DD0B" w14:textId="77777777" w:rsidR="00E82D3B" w:rsidRDefault="00E82D3B" w:rsidP="000912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 o:spid="_x0000_s1084" type="#_x0000_t202" style="position:absolute;left:0;text-align:left;margin-left:-8.95pt;margin-top:149.05pt;width:441pt;height:2in;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" filled="f" stroked="f">
                <v:textbox>
                  <w:txbxContent>
                    <w:p w14:paraId="2BD94BA2" w14:textId="0D2C1A2C" w:rsidR="000A1E0D" w:rsidRPr="00FC65B2" w:rsidRDefault="000A1E0D" w:rsidP="00091260">
                      <w:pPr>
                        <w:jc w:val="both"/>
                        <w:rPr>
                          <w:b/>
                          <w:i/>
                          <w:sz w:val="22"/>
                        </w:rPr>
                      </w:pPr>
                      <w:r w:rsidRPr="00FC65B2">
                        <w:rPr>
                          <w:b/>
                          <w:i/>
                          <w:sz w:val="22"/>
                        </w:rPr>
                        <w:t>F</w:t>
                      </w:r>
                      <w:r>
                        <w:rPr>
                          <w:b/>
                          <w:i/>
                          <w:sz w:val="22"/>
                        </w:rPr>
                        <w:t>igure 3</w:t>
                      </w:r>
                      <w:r w:rsidRPr="00FC65B2">
                        <w:rPr>
                          <w:b/>
                          <w:i/>
                          <w:sz w:val="22"/>
                        </w:rPr>
                        <w:t>.</w:t>
                      </w:r>
                      <w:r>
                        <w:rPr>
                          <w:b/>
                          <w:i/>
                          <w:sz w:val="22"/>
                        </w:rPr>
                        <w:t>20</w:t>
                      </w:r>
                      <w:r w:rsidRPr="00FC65B2">
                        <w:rPr>
                          <w:b/>
                          <w:i/>
                          <w:sz w:val="22"/>
                        </w:rPr>
                        <w:t xml:space="preserve"> </w:t>
                      </w:r>
                      <w:r>
                        <w:rPr>
                          <w:b/>
                          <w:i/>
                          <w:sz w:val="22"/>
                        </w:rPr>
                        <w:t>DNA damage visualisation via the comet assay is increased in SRCAP over-expressing clones</w:t>
                      </w:r>
                    </w:p>
                    <w:p w14:paraId="4A375546" w14:textId="1993FADF" w:rsidR="000A1E0D" w:rsidRDefault="000A1E0D" w:rsidP="00091260">
                      <w:pPr>
                        <w:jc w:val="both"/>
                        <w:rPr>
                          <w:i/>
                          <w:sz w:val="22"/>
                        </w:rPr>
                      </w:pPr>
                      <w:r>
                        <w:rPr>
                          <w:i/>
                          <w:sz w:val="22"/>
                        </w:rPr>
                        <w:t>a.) Representative comet images of control HCT116 cells and clones 4 and 17 in the FITC channel after being stained with SYBR Gold, showing increased comet tails in the SRCAP over-expressing clones</w:t>
                      </w:r>
                    </w:p>
                    <w:p w14:paraId="47CF4CF3" w14:textId="7B2DF30A" w:rsidR="000A1E0D" w:rsidRPr="00E816A5" w:rsidRDefault="000A1E0D" w:rsidP="00091260">
                      <w:pPr>
                        <w:jc w:val="both"/>
                        <w:rPr>
                          <w:i/>
                          <w:sz w:val="22"/>
                        </w:rPr>
                      </w:pPr>
                      <w:r>
                        <w:rPr>
                          <w:i/>
                          <w:sz w:val="22"/>
                        </w:rPr>
                        <w:t xml:space="preserve">b.) Cells were seeded for 24hrs in 6 well plates and the comet assay performed, comet tail moment was provided by the software and the above graph shows each repeat as a separate symbol with the median and range. The Kruskal-Wallis test gave a significant overall p value of 0.0212, and when each clone was compared against control all the clones were significantly different to the control group </w:t>
                      </w:r>
                      <w:r>
                        <w:rPr>
                          <w:i/>
                          <w:iCs/>
                          <w:sz w:val="22"/>
                          <w:szCs w:val="22"/>
                        </w:rPr>
                        <w:t>(* = p≤0.05, ** = p≤0.01)</w:t>
                      </w:r>
                      <w:r>
                        <w:rPr>
                          <w:i/>
                          <w:sz w:val="22"/>
                        </w:rPr>
                        <w:t>.</w:t>
                      </w:r>
                    </w:p>
                    <w:p w14:paraId="76C7DD0B" w14:textId="77777777" w:rsidR="000A1E0D" w:rsidRDefault="000A1E0D" w:rsidP="00091260"/>
                  </w:txbxContent>
                </v:textbox>
                <w10:wrap type="square"/>
              </v:shape>
            </w:pict>
          </mc:Fallback>
        </mc:AlternateContent>
      </w:r>
    </w:p>
    <w:p w14:paraId="338F9C15" w14:textId="12D2E491" w:rsidR="00512B04" w:rsidRDefault="00512B04" w:rsidP="00861277">
      <w:pPr>
        <w:spacing w:line="360" w:lineRule="auto"/>
        <w:jc w:val="both"/>
        <w:rPr>
          <w:rFonts w:ascii="Calibri" w:hAnsi="Calibri"/>
        </w:rPr>
      </w:pPr>
    </w:p>
    <w:p w14:paraId="5E30B394" w14:textId="77777777" w:rsidR="00512B04" w:rsidRDefault="00512B04" w:rsidP="00861277">
      <w:pPr>
        <w:spacing w:line="360" w:lineRule="auto"/>
        <w:jc w:val="both"/>
        <w:rPr>
          <w:rFonts w:ascii="Calibri" w:hAnsi="Calibri"/>
        </w:rPr>
      </w:pPr>
    </w:p>
    <w:p w14:paraId="27D3BCA9" w14:textId="1B4EEFC4" w:rsidR="00091260" w:rsidRPr="00FC4592" w:rsidRDefault="00091260" w:rsidP="00861277">
      <w:pPr>
        <w:spacing w:line="360" w:lineRule="auto"/>
        <w:jc w:val="both"/>
        <w:rPr>
          <w:rFonts w:ascii="Calibri" w:hAnsi="Calibri"/>
        </w:rPr>
      </w:pPr>
      <w:r>
        <w:rPr>
          <w:rFonts w:ascii="Calibri" w:hAnsi="Calibri"/>
        </w:rPr>
        <w:t xml:space="preserve">A further way to assess genomic instability and particularly disruption to normal chromosome separation is by looking at abnormalities in the normal nuclear morphology </w:t>
      </w:r>
      <w:r>
        <w:rPr>
          <w:rFonts w:ascii="Calibri" w:hAnsi="Calibri"/>
        </w:rPr>
        <w:fldChar w:fldCharType="begin"/>
      </w:r>
      <w:r>
        <w:rPr>
          <w:rFonts w:ascii="Calibri" w:hAnsi="Calibri"/>
        </w:rPr>
        <w:instrText xml:space="preserve"> ADDIN EN.CITE &lt;EndNote&gt;&lt;Cite&gt;&lt;Author&gt;Fenech&lt;/Author&gt;&lt;Year&gt;2002&lt;/Year&gt;&lt;IDText&gt;Chromosomal biomarkers of genomic instability relevant to cancer&lt;/IDText&gt;&lt;DisplayText&gt;(Fenech, 2002)&lt;/DisplayText&gt;&lt;record&gt;&lt;dates&gt;&lt;pub-dates&gt;&lt;date&gt;Nov&lt;/date&gt;&lt;/pub-dates&gt;&lt;year&gt;2002&lt;/year&gt;&lt;/dates&gt;&lt;keywords&gt;&lt;keyword&gt;Animals&lt;/keyword&gt;&lt;keyword&gt;Chromosome Breakage&lt;/keyword&gt;&lt;keyword&gt;DNA Damage&lt;/keyword&gt;&lt;keyword&gt;Genetic Markers&lt;/keyword&gt;&lt;keyword&gt;Genomics&lt;/keyword&gt;&lt;keyword&gt;Humans&lt;/keyword&gt;&lt;keyword&gt;Neoplasms&lt;/keyword&gt;&lt;/keywords&gt;&lt;urls&gt;&lt;related-urls&gt;&lt;url&gt;https://www.ncbi.nlm.nih.gov/pubmed/12546856&lt;/url&gt;&lt;/related-urls&gt;&lt;/urls&gt;&lt;isbn&gt;1359-6446&lt;/isbn&gt;&lt;titles&gt;&lt;title&gt;Chromosomal biomarkers of genomic instability relevant to cancer&lt;/title&gt;&lt;secondary-title&gt;Drug Discov Today&lt;/secondary-title&gt;&lt;/titles&gt;&lt;pages&gt;1128-37&lt;/pages&gt;&lt;number&gt;22&lt;/number&gt;&lt;contributors&gt;&lt;authors&gt;&lt;author&gt;Fenech, M.&lt;/author&gt;&lt;/authors&gt;&lt;/contributors&gt;&lt;language&gt;eng&lt;/language&gt;&lt;added-date format="utc"&gt;1504620172&lt;/added-date&gt;&lt;ref-type name="Journal Article"&gt;17&lt;/ref-type&gt;&lt;rec-number&gt;266&lt;/rec-number&gt;&lt;last-updated-date format="utc"&gt;1504620172&lt;/last-updated-date&gt;&lt;accession-num&gt;12546856&lt;/accession-num&gt;&lt;volume&gt;7&lt;/volume&gt;&lt;/record&gt;&lt;/Cite&gt;&lt;/EndNote&gt;</w:instrText>
      </w:r>
      <w:r>
        <w:rPr>
          <w:rFonts w:ascii="Calibri" w:hAnsi="Calibri"/>
        </w:rPr>
        <w:fldChar w:fldCharType="separate"/>
      </w:r>
      <w:r>
        <w:rPr>
          <w:rFonts w:ascii="Calibri" w:hAnsi="Calibri"/>
          <w:noProof/>
        </w:rPr>
        <w:t>(Fenech, 2002)</w:t>
      </w:r>
      <w:r>
        <w:rPr>
          <w:rFonts w:ascii="Calibri" w:hAnsi="Calibri"/>
        </w:rPr>
        <w:fldChar w:fldCharType="end"/>
      </w:r>
      <w:r w:rsidRPr="00FC4592">
        <w:rPr>
          <w:rFonts w:ascii="Calibri" w:hAnsi="Calibri"/>
        </w:rPr>
        <w:t>. A nuclear abnormality was scored as either a bridge between cells, micronuclei, or any other abnormality which changed the morphology of the nucleus</w:t>
      </w:r>
      <w:r>
        <w:rPr>
          <w:rFonts w:ascii="Calibri" w:hAnsi="Calibri"/>
        </w:rPr>
        <w:t xml:space="preserve"> when looking at DAPI stained cell images </w:t>
      </w:r>
      <w:r w:rsidR="00861277">
        <w:rPr>
          <w:rFonts w:ascii="Calibri" w:hAnsi="Calibri"/>
        </w:rPr>
        <w:t>as shown in Figure 3.21</w:t>
      </w:r>
      <w:r>
        <w:rPr>
          <w:rFonts w:ascii="Calibri" w:hAnsi="Calibri"/>
        </w:rPr>
        <w:t>a</w:t>
      </w:r>
      <w:r w:rsidRPr="00FC4592">
        <w:rPr>
          <w:rFonts w:ascii="Calibri" w:hAnsi="Calibri"/>
        </w:rPr>
        <w:t>.</w:t>
      </w:r>
      <w:r>
        <w:rPr>
          <w:rFonts w:ascii="Calibri" w:hAnsi="Calibri"/>
        </w:rPr>
        <w:t xml:space="preserve"> </w:t>
      </w:r>
      <w:r w:rsidR="00F55716">
        <w:rPr>
          <w:rFonts w:ascii="Calibri" w:hAnsi="Calibri"/>
        </w:rPr>
        <w:t>There was a significant increase in nuclear abnormalities only in clones 11, a</w:t>
      </w:r>
      <w:r>
        <w:rPr>
          <w:rFonts w:ascii="Calibri" w:hAnsi="Calibri"/>
        </w:rPr>
        <w:t>lthough there did appear to be a trend forming showing an increase in nuclear abnormalities</w:t>
      </w:r>
      <w:r w:rsidRPr="00FC4592">
        <w:rPr>
          <w:rFonts w:ascii="Calibri" w:hAnsi="Calibri"/>
        </w:rPr>
        <w:t xml:space="preserve"> </w:t>
      </w:r>
      <w:r>
        <w:rPr>
          <w:rFonts w:ascii="Calibri" w:hAnsi="Calibri"/>
        </w:rPr>
        <w:t xml:space="preserve">in the </w:t>
      </w:r>
      <w:r w:rsidR="00F55716">
        <w:rPr>
          <w:rFonts w:ascii="Calibri" w:hAnsi="Calibri"/>
        </w:rPr>
        <w:t xml:space="preserve">other </w:t>
      </w:r>
      <w:r w:rsidRPr="00663BEE">
        <w:rPr>
          <w:rFonts w:ascii="Calibri" w:hAnsi="Calibri"/>
          <w:i/>
        </w:rPr>
        <w:t>SRCAP</w:t>
      </w:r>
      <w:r w:rsidR="00F55716">
        <w:rPr>
          <w:rFonts w:ascii="Calibri" w:hAnsi="Calibri"/>
        </w:rPr>
        <w:t xml:space="preserve"> over-</w:t>
      </w:r>
      <w:r>
        <w:rPr>
          <w:rFonts w:ascii="Calibri" w:hAnsi="Calibri"/>
        </w:rPr>
        <w:t xml:space="preserve">expressing CRISPR clones, </w:t>
      </w:r>
      <w:r w:rsidR="00F55716">
        <w:rPr>
          <w:rFonts w:ascii="Calibri" w:hAnsi="Calibri"/>
        </w:rPr>
        <w:t xml:space="preserve">but </w:t>
      </w:r>
      <w:r w:rsidR="00A72B38">
        <w:rPr>
          <w:rFonts w:ascii="Calibri" w:hAnsi="Calibri"/>
        </w:rPr>
        <w:t xml:space="preserve">much like the comet assay, </w:t>
      </w:r>
      <w:r>
        <w:rPr>
          <w:rFonts w:ascii="Calibri" w:hAnsi="Calibri"/>
        </w:rPr>
        <w:t>the clones</w:t>
      </w:r>
      <w:r w:rsidR="00861277">
        <w:rPr>
          <w:rFonts w:ascii="Calibri" w:hAnsi="Calibri"/>
        </w:rPr>
        <w:t xml:space="preserve"> showed variability (Figure 3.21</w:t>
      </w:r>
      <w:r>
        <w:rPr>
          <w:rFonts w:ascii="Calibri" w:hAnsi="Calibri"/>
        </w:rPr>
        <w:t xml:space="preserve">b). Collectively, these data suggest that an increase in </w:t>
      </w:r>
      <w:r w:rsidRPr="00663BEE">
        <w:rPr>
          <w:rFonts w:ascii="Calibri" w:hAnsi="Calibri"/>
          <w:i/>
        </w:rPr>
        <w:t>SRCAP</w:t>
      </w:r>
      <w:r>
        <w:rPr>
          <w:rFonts w:ascii="Calibri" w:hAnsi="Calibri"/>
        </w:rPr>
        <w:t xml:space="preserve"> may increase genome instability; however, the variability between repeats in the </w:t>
      </w:r>
      <w:r w:rsidRPr="00663BEE">
        <w:rPr>
          <w:rFonts w:ascii="Calibri" w:hAnsi="Calibri"/>
          <w:i/>
        </w:rPr>
        <w:t>SRCAP</w:t>
      </w:r>
      <w:r w:rsidR="00F55716">
        <w:rPr>
          <w:rFonts w:ascii="Calibri" w:hAnsi="Calibri"/>
        </w:rPr>
        <w:t xml:space="preserve"> over-</w:t>
      </w:r>
      <w:r>
        <w:rPr>
          <w:rFonts w:ascii="Calibri" w:hAnsi="Calibri"/>
        </w:rPr>
        <w:t xml:space="preserve">expressing clones </w:t>
      </w:r>
      <w:r w:rsidR="00F55716">
        <w:rPr>
          <w:rFonts w:ascii="Calibri" w:hAnsi="Calibri"/>
        </w:rPr>
        <w:t xml:space="preserve">in the comet assay and looking at nuclear abnormalities </w:t>
      </w:r>
      <w:r>
        <w:rPr>
          <w:rFonts w:ascii="Calibri" w:hAnsi="Calibri"/>
        </w:rPr>
        <w:t>compared to the control cells</w:t>
      </w:r>
      <w:r w:rsidR="00F55716">
        <w:rPr>
          <w:rFonts w:ascii="Calibri" w:hAnsi="Calibri"/>
        </w:rPr>
        <w:t xml:space="preserve"> is puzzling</w:t>
      </w:r>
      <w:r>
        <w:rPr>
          <w:rFonts w:ascii="Calibri" w:hAnsi="Calibri"/>
        </w:rPr>
        <w:t xml:space="preserve">. </w:t>
      </w:r>
    </w:p>
    <w:p w14:paraId="4CE2C8D6" w14:textId="677C0227" w:rsidR="00861277" w:rsidRDefault="00C97E89" w:rsidP="00091260">
      <w:pPr>
        <w:spacing w:line="360" w:lineRule="auto"/>
        <w:jc w:val="both"/>
        <w:rPr>
          <w:rFonts w:ascii="Calibri" w:hAnsi="Calibri"/>
        </w:rPr>
      </w:pPr>
      <w:r>
        <w:rPr>
          <w:rFonts w:ascii="Calibri" w:hAnsi="Calibri"/>
          <w:noProof/>
          <w:lang w:val="en-US"/>
        </w:rPr>
        <w:drawing>
          <wp:anchor distT="0" distB="0" distL="114300" distR="114300" simplePos="0" relativeHeight="252200960" behindDoc="0" locked="0" layoutInCell="1" allowOverlap="1" wp14:anchorId="4FF2865C" wp14:editId="1AC1F8D1">
            <wp:simplePos x="0" y="0"/>
            <wp:positionH relativeFrom="column">
              <wp:posOffset>2628900</wp:posOffset>
            </wp:positionH>
            <wp:positionV relativeFrom="paragraph">
              <wp:posOffset>228600</wp:posOffset>
            </wp:positionV>
            <wp:extent cx="2784475" cy="1958975"/>
            <wp:effectExtent l="0" t="0" r="9525" b="0"/>
            <wp:wrapSquare wrapText="bothSides"/>
            <wp:docPr id="1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84475"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716">
        <w:rPr>
          <w:noProof/>
          <w:lang w:val="en-US"/>
        </w:rPr>
        <mc:AlternateContent>
          <mc:Choice Requires="wps">
            <w:drawing>
              <wp:anchor distT="0" distB="0" distL="114300" distR="114300" simplePos="0" relativeHeight="252009472" behindDoc="0" locked="0" layoutInCell="1" allowOverlap="1" wp14:anchorId="51A52F5E" wp14:editId="7E9B40E5">
                <wp:simplePos x="0" y="0"/>
                <wp:positionH relativeFrom="column">
                  <wp:posOffset>0</wp:posOffset>
                </wp:positionH>
                <wp:positionV relativeFrom="paragraph">
                  <wp:posOffset>2286000</wp:posOffset>
                </wp:positionV>
                <wp:extent cx="5486400" cy="1943100"/>
                <wp:effectExtent l="0" t="0" r="0" b="12700"/>
                <wp:wrapSquare wrapText="bothSides"/>
                <wp:docPr id="271" name="Text Box 271"/>
                <wp:cNvGraphicFramePr/>
                <a:graphic xmlns:a="http://schemas.openxmlformats.org/drawingml/2006/main">
                  <a:graphicData uri="http://schemas.microsoft.com/office/word/2010/wordprocessingShape">
                    <wps:wsp>
                      <wps:cNvSpPr txBox="1"/>
                      <wps:spPr>
                        <a:xfrm>
                          <a:off x="0" y="0"/>
                          <a:ext cx="54864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A0AC6A" w14:textId="14BEFDC9" w:rsidR="00E82D3B" w:rsidRPr="005E16A0" w:rsidRDefault="00E82D3B" w:rsidP="00091260">
                            <w:pPr>
                              <w:jc w:val="both"/>
                              <w:rPr>
                                <w:b/>
                                <w:i/>
                                <w:sz w:val="22"/>
                              </w:rPr>
                            </w:pPr>
                            <w:r w:rsidRPr="005E16A0">
                              <w:rPr>
                                <w:b/>
                                <w:i/>
                                <w:sz w:val="22"/>
                              </w:rPr>
                              <w:t>F</w:t>
                            </w:r>
                            <w:r>
                              <w:rPr>
                                <w:b/>
                                <w:i/>
                                <w:sz w:val="22"/>
                              </w:rPr>
                              <w:t>igure 3</w:t>
                            </w:r>
                            <w:r w:rsidRPr="005E16A0">
                              <w:rPr>
                                <w:b/>
                                <w:i/>
                                <w:sz w:val="22"/>
                              </w:rPr>
                              <w:t>.</w:t>
                            </w:r>
                            <w:r>
                              <w:rPr>
                                <w:b/>
                                <w:i/>
                                <w:sz w:val="22"/>
                              </w:rPr>
                              <w:t>21</w:t>
                            </w:r>
                            <w:r w:rsidRPr="005E16A0">
                              <w:rPr>
                                <w:b/>
                                <w:i/>
                                <w:sz w:val="22"/>
                              </w:rPr>
                              <w:t xml:space="preserve"> Nuclear abnormalities aren’t signif</w:t>
                            </w:r>
                            <w:r>
                              <w:rPr>
                                <w:b/>
                                <w:i/>
                                <w:sz w:val="22"/>
                              </w:rPr>
                              <w:t>icantly different in SRCAP over-</w:t>
                            </w:r>
                            <w:r w:rsidRPr="005E16A0">
                              <w:rPr>
                                <w:b/>
                                <w:i/>
                                <w:sz w:val="22"/>
                              </w:rPr>
                              <w:t>expressing clones</w:t>
                            </w:r>
                          </w:p>
                          <w:p w14:paraId="6D033A4B" w14:textId="77777777" w:rsidR="00E82D3B" w:rsidRDefault="00E82D3B" w:rsidP="00091260">
                            <w:pPr>
                              <w:jc w:val="both"/>
                              <w:rPr>
                                <w:i/>
                                <w:sz w:val="22"/>
                              </w:rPr>
                            </w:pPr>
                            <w:r w:rsidRPr="005E16A0">
                              <w:rPr>
                                <w:i/>
                                <w:sz w:val="22"/>
                              </w:rPr>
                              <w:t>a.)</w:t>
                            </w:r>
                            <w:r>
                              <w:rPr>
                                <w:i/>
                                <w:sz w:val="22"/>
                              </w:rPr>
                              <w:t xml:space="preserve"> Representative images of HCT116 cells with nuclear abnormalities compared to the morphology of a normal nucleus. </w:t>
                            </w:r>
                          </w:p>
                          <w:p w14:paraId="2FE03CA5" w14:textId="178A985F" w:rsidR="00E82D3B" w:rsidRPr="005E16A0" w:rsidRDefault="00E82D3B" w:rsidP="00091260">
                            <w:pPr>
                              <w:jc w:val="both"/>
                              <w:rPr>
                                <w:i/>
                                <w:sz w:val="22"/>
                              </w:rPr>
                            </w:pPr>
                            <w:r>
                              <w:rPr>
                                <w:i/>
                                <w:sz w:val="22"/>
                              </w:rPr>
                              <w:t xml:space="preserve">b.) HCT116 parental control cells or the CRISPR clones were seeded onto coverslips for 24hrs to allow for adhering and then fixed and stained with DAPI. 10 images were taken per condition and the total number of cells counted, plus the number of cells with nuclear abnormalities. The graph shows the three repeats as separate symbols with the median and range plotted. A Kruskal-Wallis test showed no significant overall p value (0.2772) and comparing each clone to the control individually showed a statistically significant increase in nuclear abnormalities between control and clone 11 only </w:t>
                            </w:r>
                            <w:r>
                              <w:rPr>
                                <w:i/>
                                <w:iCs/>
                                <w:sz w:val="22"/>
                                <w:szCs w:val="22"/>
                              </w:rPr>
                              <w:t>(* = p≤0.05).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1" o:spid="_x0000_s1085" type="#_x0000_t202" style="position:absolute;left:0;text-align:left;margin-left:0;margin-top:180pt;width:6in;height:15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ZuzNQCAAAb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" filled="f" stroked="f">
                <v:textbox>
                  <w:txbxContent>
                    <w:p w14:paraId="56A0AC6A" w14:textId="14BEFDC9" w:rsidR="000A1E0D" w:rsidRPr="005E16A0" w:rsidRDefault="000A1E0D" w:rsidP="00091260">
                      <w:pPr>
                        <w:jc w:val="both"/>
                        <w:rPr>
                          <w:b/>
                          <w:i/>
                          <w:sz w:val="22"/>
                        </w:rPr>
                      </w:pPr>
                      <w:r w:rsidRPr="005E16A0">
                        <w:rPr>
                          <w:b/>
                          <w:i/>
                          <w:sz w:val="22"/>
                        </w:rPr>
                        <w:t>F</w:t>
                      </w:r>
                      <w:r>
                        <w:rPr>
                          <w:b/>
                          <w:i/>
                          <w:sz w:val="22"/>
                        </w:rPr>
                        <w:t>igure 3</w:t>
                      </w:r>
                      <w:r w:rsidRPr="005E16A0">
                        <w:rPr>
                          <w:b/>
                          <w:i/>
                          <w:sz w:val="22"/>
                        </w:rPr>
                        <w:t>.</w:t>
                      </w:r>
                      <w:r>
                        <w:rPr>
                          <w:b/>
                          <w:i/>
                          <w:sz w:val="22"/>
                        </w:rPr>
                        <w:t>21</w:t>
                      </w:r>
                      <w:r w:rsidRPr="005E16A0">
                        <w:rPr>
                          <w:b/>
                          <w:i/>
                          <w:sz w:val="22"/>
                        </w:rPr>
                        <w:t xml:space="preserve"> Nuclear abnormalities aren’t signif</w:t>
                      </w:r>
                      <w:r>
                        <w:rPr>
                          <w:b/>
                          <w:i/>
                          <w:sz w:val="22"/>
                        </w:rPr>
                        <w:t>icantly different in SRCAP over-</w:t>
                      </w:r>
                      <w:r w:rsidRPr="005E16A0">
                        <w:rPr>
                          <w:b/>
                          <w:i/>
                          <w:sz w:val="22"/>
                        </w:rPr>
                        <w:t>expressing clones</w:t>
                      </w:r>
                    </w:p>
                    <w:p w14:paraId="6D033A4B" w14:textId="77777777" w:rsidR="000A1E0D" w:rsidRDefault="000A1E0D" w:rsidP="00091260">
                      <w:pPr>
                        <w:jc w:val="both"/>
                        <w:rPr>
                          <w:i/>
                          <w:sz w:val="22"/>
                        </w:rPr>
                      </w:pPr>
                      <w:r w:rsidRPr="005E16A0">
                        <w:rPr>
                          <w:i/>
                          <w:sz w:val="22"/>
                        </w:rPr>
                        <w:t>a.)</w:t>
                      </w:r>
                      <w:r>
                        <w:rPr>
                          <w:i/>
                          <w:sz w:val="22"/>
                        </w:rPr>
                        <w:t xml:space="preserve"> Representative images of HCT116 cells with nuclear abnormalities compared to the morphology of a normal nucleus. </w:t>
                      </w:r>
                    </w:p>
                    <w:p w14:paraId="2FE03CA5" w14:textId="178A985F" w:rsidR="000A1E0D" w:rsidRPr="005E16A0" w:rsidRDefault="000A1E0D" w:rsidP="00091260">
                      <w:pPr>
                        <w:jc w:val="both"/>
                        <w:rPr>
                          <w:i/>
                          <w:sz w:val="22"/>
                        </w:rPr>
                      </w:pPr>
                      <w:r>
                        <w:rPr>
                          <w:i/>
                          <w:sz w:val="22"/>
                        </w:rPr>
                        <w:t xml:space="preserve">b.) HCT116 parental control cells or the CRISPR clones were seeded onto coverslips for 24hrs to allow for adhering and then fixed and stained with DAPI. 10 images were taken per condition and the total number of cells counted, plus the number of cells with nuclear abnormalities. The graph shows the three repeats as separate symbols with the median and range plotted. A Kruskal-Wallis test showed no significant overall p value (0.2772) and comparing each clone to the control individually showed a statistically significant increase in nuclear abnormalities between control and clone 11 only </w:t>
                      </w:r>
                      <w:r>
                        <w:rPr>
                          <w:i/>
                          <w:iCs/>
                          <w:sz w:val="22"/>
                          <w:szCs w:val="22"/>
                        </w:rPr>
                        <w:t>(* = p≤0.05).</w:t>
                      </w:r>
                    </w:p>
                  </w:txbxContent>
                </v:textbox>
                <w10:wrap type="square"/>
              </v:shape>
            </w:pict>
          </mc:Fallback>
        </mc:AlternateContent>
      </w:r>
      <w:r w:rsidR="00861277" w:rsidRPr="00062A50">
        <w:rPr>
          <w:noProof/>
          <w:lang w:val="en-US"/>
        </w:rPr>
        <w:drawing>
          <wp:anchor distT="0" distB="0" distL="114300" distR="114300" simplePos="0" relativeHeight="252008448" behindDoc="0" locked="0" layoutInCell="1" allowOverlap="1" wp14:anchorId="5612E136" wp14:editId="0FE42128">
            <wp:simplePos x="0" y="0"/>
            <wp:positionH relativeFrom="column">
              <wp:posOffset>0</wp:posOffset>
            </wp:positionH>
            <wp:positionV relativeFrom="paragraph">
              <wp:posOffset>228600</wp:posOffset>
            </wp:positionV>
            <wp:extent cx="2400300" cy="1901825"/>
            <wp:effectExtent l="0" t="0" r="12700" b="3175"/>
            <wp:wrapTopAndBottom/>
            <wp:docPr id="287" name="Picture 5" descr="Screen Shot 2017-07-19 at 12.09.21.png"/>
            <wp:cNvGraphicFramePr/>
            <a:graphic xmlns:a="http://schemas.openxmlformats.org/drawingml/2006/main">
              <a:graphicData uri="http://schemas.openxmlformats.org/drawingml/2006/picture">
                <pic:pic xmlns:pic="http://schemas.openxmlformats.org/drawingml/2006/picture">
                  <pic:nvPicPr>
                    <pic:cNvPr id="6" name="Picture 5" descr="Screen Shot 2017-07-19 at 12.09.21.png"/>
                    <pic:cNvPicPr/>
                  </pic:nvPicPr>
                  <pic:blipFill>
                    <a:blip r:embed="rId82">
                      <a:extLst>
                        <a:ext uri="{BEBA8EAE-BF5A-486C-A8C5-ECC9F3942E4B}">
                          <a14:imgProps xmlns:a14="http://schemas.microsoft.com/office/drawing/2010/main">
                            <a14:imgLayer r:embed="rId8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00300" cy="1901825"/>
                    </a:xfrm>
                    <a:prstGeom prst="rect">
                      <a:avLst/>
                    </a:prstGeom>
                  </pic:spPr>
                </pic:pic>
              </a:graphicData>
            </a:graphic>
            <wp14:sizeRelH relativeFrom="page">
              <wp14:pctWidth>0</wp14:pctWidth>
            </wp14:sizeRelH>
            <wp14:sizeRelV relativeFrom="page">
              <wp14:pctHeight>0</wp14:pctHeight>
            </wp14:sizeRelV>
          </wp:anchor>
        </w:drawing>
      </w:r>
      <w:r w:rsidR="00861277">
        <w:rPr>
          <w:noProof/>
          <w:lang w:val="en-US"/>
        </w:rPr>
        <mc:AlternateContent>
          <mc:Choice Requires="wps">
            <w:drawing>
              <wp:anchor distT="0" distB="0" distL="114300" distR="114300" simplePos="0" relativeHeight="252011520" behindDoc="0" locked="0" layoutInCell="1" allowOverlap="1" wp14:anchorId="609876DF" wp14:editId="12D807F2">
                <wp:simplePos x="0" y="0"/>
                <wp:positionH relativeFrom="column">
                  <wp:posOffset>2286000</wp:posOffset>
                </wp:positionH>
                <wp:positionV relativeFrom="paragraph">
                  <wp:posOffset>-114300</wp:posOffset>
                </wp:positionV>
                <wp:extent cx="685800" cy="342900"/>
                <wp:effectExtent l="0" t="0" r="0" b="12700"/>
                <wp:wrapThrough wrapText="bothSides">
                  <wp:wrapPolygon edited="0">
                    <wp:start x="800" y="0"/>
                    <wp:lineTo x="800" y="20800"/>
                    <wp:lineTo x="20000" y="20800"/>
                    <wp:lineTo x="20000" y="0"/>
                    <wp:lineTo x="800" y="0"/>
                  </wp:wrapPolygon>
                </wp:wrapThrough>
                <wp:docPr id="269" name="Text Box 269"/>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txbx>
                        <w:txbxContent>
                          <w:p w14:paraId="4C54B4FC" w14:textId="77777777" w:rsidR="00E82D3B" w:rsidRPr="005E16A0" w:rsidRDefault="00E82D3B" w:rsidP="00091260">
                            <w:pPr>
                              <w:rPr>
                                <w:b/>
                              </w:rPr>
                            </w:pPr>
                            <w:proofErr w:type="gramStart"/>
                            <w:r>
                              <w:rPr>
                                <w:b/>
                              </w:rPr>
                              <w:t>b</w:t>
                            </w:r>
                            <w:proofErr w:type="gramEnd"/>
                            <w:r w:rsidRPr="005E16A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9" o:spid="_x0000_s1086" type="#_x0000_t202" style="position:absolute;left:0;text-align:left;margin-left:180pt;margin-top:-8.95pt;width:54pt;height:27pt;z-index:25201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" filled="f" stroked="f">
                <v:textbox>
                  <w:txbxContent>
                    <w:p w14:paraId="4C54B4FC" w14:textId="77777777" w:rsidR="000A1E0D" w:rsidRPr="005E16A0" w:rsidRDefault="000A1E0D" w:rsidP="00091260">
                      <w:pPr>
                        <w:rPr>
                          <w:b/>
                        </w:rPr>
                      </w:pPr>
                      <w:proofErr w:type="gramStart"/>
                      <w:r>
                        <w:rPr>
                          <w:b/>
                        </w:rPr>
                        <w:t>b</w:t>
                      </w:r>
                      <w:proofErr w:type="gramEnd"/>
                      <w:r w:rsidRPr="005E16A0">
                        <w:rPr>
                          <w:b/>
                        </w:rPr>
                        <w:t>.)</w:t>
                      </w:r>
                    </w:p>
                  </w:txbxContent>
                </v:textbox>
                <w10:wrap type="through"/>
              </v:shape>
            </w:pict>
          </mc:Fallback>
        </mc:AlternateContent>
      </w:r>
      <w:r w:rsidR="00861277">
        <w:rPr>
          <w:noProof/>
          <w:lang w:val="en-US"/>
        </w:rPr>
        <mc:AlternateContent>
          <mc:Choice Requires="wps">
            <w:drawing>
              <wp:anchor distT="0" distB="0" distL="114300" distR="114300" simplePos="0" relativeHeight="252010496" behindDoc="0" locked="0" layoutInCell="1" allowOverlap="1" wp14:anchorId="4BFA9EF1" wp14:editId="52236C06">
                <wp:simplePos x="0" y="0"/>
                <wp:positionH relativeFrom="column">
                  <wp:posOffset>0</wp:posOffset>
                </wp:positionH>
                <wp:positionV relativeFrom="paragraph">
                  <wp:posOffset>-114300</wp:posOffset>
                </wp:positionV>
                <wp:extent cx="685800" cy="342900"/>
                <wp:effectExtent l="0" t="0" r="0" b="12700"/>
                <wp:wrapSquare wrapText="bothSides"/>
                <wp:docPr id="270" name="Text Box 270"/>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F524D3" w14:textId="77777777" w:rsidR="00E82D3B" w:rsidRPr="005E16A0" w:rsidRDefault="00E82D3B" w:rsidP="00091260">
                            <w:pPr>
                              <w:rPr>
                                <w:b/>
                              </w:rPr>
                            </w:pPr>
                            <w:proofErr w:type="gramStart"/>
                            <w:r w:rsidRPr="005E16A0">
                              <w:rPr>
                                <w:b/>
                              </w:rPr>
                              <w:t>a</w:t>
                            </w:r>
                            <w:proofErr w:type="gramEnd"/>
                            <w:r w:rsidRPr="005E16A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0" o:spid="_x0000_s1087" type="#_x0000_t202" style="position:absolute;left:0;text-align:left;margin-left:0;margin-top:-8.95pt;width:54pt;height:27pt;z-index:25201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9lotICAAAZ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" filled="f" stroked="f">
                <v:textbox>
                  <w:txbxContent>
                    <w:p w14:paraId="45F524D3" w14:textId="77777777" w:rsidR="000A1E0D" w:rsidRPr="005E16A0" w:rsidRDefault="000A1E0D" w:rsidP="00091260">
                      <w:pPr>
                        <w:rPr>
                          <w:b/>
                        </w:rPr>
                      </w:pPr>
                      <w:proofErr w:type="gramStart"/>
                      <w:r w:rsidRPr="005E16A0">
                        <w:rPr>
                          <w:b/>
                        </w:rPr>
                        <w:t>a</w:t>
                      </w:r>
                      <w:proofErr w:type="gramEnd"/>
                      <w:r w:rsidRPr="005E16A0">
                        <w:rPr>
                          <w:b/>
                        </w:rPr>
                        <w:t>.)</w:t>
                      </w:r>
                    </w:p>
                  </w:txbxContent>
                </v:textbox>
                <w10:wrap type="square"/>
              </v:shape>
            </w:pict>
          </mc:Fallback>
        </mc:AlternateContent>
      </w:r>
    </w:p>
    <w:p w14:paraId="61268CD4" w14:textId="304923BC" w:rsidR="003B0D66" w:rsidRDefault="00091260" w:rsidP="003B0D66">
      <w:pPr>
        <w:spacing w:line="360" w:lineRule="auto"/>
        <w:jc w:val="both"/>
        <w:rPr>
          <w:rFonts w:ascii="Calibri" w:hAnsi="Calibri"/>
        </w:rPr>
      </w:pPr>
      <w:r>
        <w:rPr>
          <w:rFonts w:ascii="Calibri" w:hAnsi="Calibri"/>
        </w:rPr>
        <w:t xml:space="preserve">Cellular cycle distribution and apoptosis were also assessed in these </w:t>
      </w:r>
      <w:r w:rsidRPr="00663BEE">
        <w:rPr>
          <w:rFonts w:ascii="Calibri" w:hAnsi="Calibri"/>
          <w:i/>
        </w:rPr>
        <w:t>SRCAP</w:t>
      </w:r>
      <w:r>
        <w:rPr>
          <w:rFonts w:ascii="Calibri" w:hAnsi="Calibri"/>
        </w:rPr>
        <w:t xml:space="preserve"> up-regulated cells, to </w:t>
      </w:r>
      <w:r w:rsidR="00A72B38">
        <w:rPr>
          <w:rFonts w:ascii="Calibri" w:hAnsi="Calibri"/>
        </w:rPr>
        <w:t>investigate if the over-expression</w:t>
      </w:r>
      <w:r>
        <w:rPr>
          <w:rFonts w:ascii="Calibri" w:hAnsi="Calibri"/>
        </w:rPr>
        <w:t xml:space="preserve"> of </w:t>
      </w:r>
      <w:r w:rsidRPr="00663BEE">
        <w:rPr>
          <w:rFonts w:ascii="Calibri" w:hAnsi="Calibri"/>
          <w:i/>
        </w:rPr>
        <w:t>SRCAP</w:t>
      </w:r>
      <w:r>
        <w:rPr>
          <w:rFonts w:ascii="Calibri" w:hAnsi="Calibri"/>
        </w:rPr>
        <w:t xml:space="preserve"> affected how the cells progressed through the cell cycle. There was no difference in the cell cycle profiles when the clones or HCT116 control cells were fixed </w:t>
      </w:r>
      <w:r w:rsidR="00EB25AE">
        <w:rPr>
          <w:rFonts w:ascii="Calibri" w:hAnsi="Calibri"/>
        </w:rPr>
        <w:t>and stai</w:t>
      </w:r>
      <w:r w:rsidR="00861277">
        <w:rPr>
          <w:rFonts w:ascii="Calibri" w:hAnsi="Calibri"/>
        </w:rPr>
        <w:t>ned with PI (Figure 3.22c</w:t>
      </w:r>
      <w:r>
        <w:rPr>
          <w:rFonts w:ascii="Calibri" w:hAnsi="Calibri"/>
        </w:rPr>
        <w:t xml:space="preserve">). PI intercalates between the bases of DNA with no sequence preference and therefore can be a measure of the amount of DNA within the nucleus, </w:t>
      </w:r>
      <w:r w:rsidR="00A72B38">
        <w:rPr>
          <w:rFonts w:ascii="Calibri" w:hAnsi="Calibri"/>
        </w:rPr>
        <w:t xml:space="preserve">which varies </w:t>
      </w:r>
      <w:r>
        <w:rPr>
          <w:rFonts w:ascii="Calibri" w:hAnsi="Calibri"/>
        </w:rPr>
        <w:t>depending on which phase of the cell cycle the cells are in. The fact that there was no difference in cell cycle profiles is consistent with the proliferation d</w:t>
      </w:r>
      <w:r w:rsidR="00861277">
        <w:rPr>
          <w:rFonts w:ascii="Calibri" w:hAnsi="Calibri"/>
        </w:rPr>
        <w:t>ata (Figure 3.18</w:t>
      </w:r>
      <w:r w:rsidR="00323D15">
        <w:rPr>
          <w:rFonts w:ascii="Calibri" w:hAnsi="Calibri"/>
        </w:rPr>
        <w:t>), where the over-</w:t>
      </w:r>
      <w:r>
        <w:rPr>
          <w:rFonts w:ascii="Calibri" w:hAnsi="Calibri"/>
        </w:rPr>
        <w:t xml:space="preserve">expressing clones appear to be cycling similarly to the control HCT116 cells. Further to this there was also no difference </w:t>
      </w:r>
      <w:r w:rsidR="00EB25AE">
        <w:rPr>
          <w:rFonts w:ascii="Calibri" w:hAnsi="Calibri"/>
        </w:rPr>
        <w:t>in apoptosis levels (Figure</w:t>
      </w:r>
      <w:r w:rsidR="00861277">
        <w:rPr>
          <w:rFonts w:ascii="Calibri" w:hAnsi="Calibri"/>
        </w:rPr>
        <w:t xml:space="preserve"> 3.22d</w:t>
      </w:r>
      <w:r>
        <w:rPr>
          <w:rFonts w:ascii="Calibri" w:hAnsi="Calibri"/>
        </w:rPr>
        <w:t>),</w:t>
      </w:r>
      <w:r w:rsidRPr="00804068">
        <w:rPr>
          <w:rFonts w:ascii="Calibri" w:hAnsi="Calibri"/>
        </w:rPr>
        <w:t xml:space="preserve"> </w:t>
      </w:r>
      <w:r>
        <w:rPr>
          <w:rFonts w:ascii="Calibri" w:hAnsi="Calibri"/>
        </w:rPr>
        <w:t xml:space="preserve">however only two repeats of this experiment were </w:t>
      </w:r>
      <w:r w:rsidR="00A72B38">
        <w:rPr>
          <w:rFonts w:ascii="Calibri" w:hAnsi="Calibri"/>
        </w:rPr>
        <w:t>carried out</w:t>
      </w:r>
      <w:r>
        <w:rPr>
          <w:rFonts w:ascii="Calibri" w:hAnsi="Calibri"/>
        </w:rPr>
        <w:t xml:space="preserve">. Apoptotic cells were gated as those cells which were PI and Annexin V positive, as specified in the methods. These data suggest that although genome instability is increased when </w:t>
      </w:r>
      <w:r w:rsidRPr="00663BEE">
        <w:rPr>
          <w:rFonts w:ascii="Calibri" w:hAnsi="Calibri"/>
          <w:i/>
        </w:rPr>
        <w:t>SRCAP</w:t>
      </w:r>
      <w:r>
        <w:rPr>
          <w:rFonts w:ascii="Calibri" w:hAnsi="Calibri"/>
        </w:rPr>
        <w:t xml:space="preserve"> is ov</w:t>
      </w:r>
      <w:r w:rsidR="00A72B38">
        <w:rPr>
          <w:rFonts w:ascii="Calibri" w:hAnsi="Calibri"/>
        </w:rPr>
        <w:t>er-</w:t>
      </w:r>
      <w:r>
        <w:rPr>
          <w:rFonts w:ascii="Calibri" w:hAnsi="Calibri"/>
        </w:rPr>
        <w:t>expressed</w:t>
      </w:r>
      <w:r w:rsidR="00A72B38">
        <w:rPr>
          <w:rFonts w:ascii="Calibri" w:hAnsi="Calibri"/>
        </w:rPr>
        <w:t>,</w:t>
      </w:r>
      <w:r>
        <w:rPr>
          <w:rFonts w:ascii="Calibri" w:hAnsi="Calibri"/>
        </w:rPr>
        <w:t xml:space="preserve"> the cells are not cycling any differently to control cells. This is contrary to patient data, where the up regulation of H2A.Z has been shown to increase the proliferative and invasive nature of the tumours </w:t>
      </w:r>
      <w:r>
        <w:rPr>
          <w:rFonts w:ascii="Calibri" w:hAnsi="Calibri"/>
        </w:rPr>
        <w:fldChar w:fldCharType="begin">
          <w:fldData xml:space="preserve">PEVuZE5vdGU+PENpdGU+PEF1dGhvcj5SYW5nYXNhbXk8L0F1dGhvcj48WWVhcj4yMDEwPC9ZZWFy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</w:fldData>
        </w:fldChar>
      </w:r>
      <w:r>
        <w:rPr>
          <w:rFonts w:ascii="Calibri" w:hAnsi="Calibri"/>
        </w:rPr>
        <w:instrText xml:space="preserve"> ADDIN EN.CITE </w:instrText>
      </w:r>
      <w:r>
        <w:rPr>
          <w:rFonts w:ascii="Calibri" w:hAnsi="Calibri"/>
        </w:rPr>
        <w:fldChar w:fldCharType="begin">
          <w:fldData xml:space="preserve">PEVuZE5vdGU+PENpdGU+PEF1dGhvcj5SYW5nYXNhbXk8L0F1dGhvcj48WWVhcj4yMDEwPC9ZZWFy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(Rangasamy, 2010, Hua et al., 2008)</w:t>
      </w:r>
      <w:r>
        <w:rPr>
          <w:rFonts w:ascii="Calibri" w:hAnsi="Calibri"/>
        </w:rPr>
        <w:fldChar w:fldCharType="end"/>
      </w:r>
      <w:r>
        <w:rPr>
          <w:rFonts w:ascii="Calibri" w:hAnsi="Calibri"/>
        </w:rPr>
        <w:t>, and so an increase in SRCAP would be expected to increase the deposition o</w:t>
      </w:r>
      <w:r w:rsidR="00A72B38">
        <w:rPr>
          <w:rFonts w:ascii="Calibri" w:hAnsi="Calibri"/>
        </w:rPr>
        <w:t>f H2A.Z, which would in turn up-</w:t>
      </w:r>
      <w:r>
        <w:rPr>
          <w:rFonts w:ascii="Calibri" w:hAnsi="Calibri"/>
        </w:rPr>
        <w:t>regulate transcription mechanisms and enhance proliferation. It is also important to note that normally cellular mechanisms should alter the cell cycling in response to heightened levels of DNA damage</w:t>
      </w:r>
      <w:r w:rsidR="00F54A17">
        <w:rPr>
          <w:rFonts w:ascii="Calibri" w:hAnsi="Calibri"/>
        </w:rPr>
        <w:t xml:space="preserve"> in order to facilitate DNA repair or apoptotic </w:t>
      </w:r>
      <w:r w:rsidR="00A72B38">
        <w:rPr>
          <w:rFonts w:ascii="Calibri" w:hAnsi="Calibri"/>
        </w:rPr>
        <w:t>mechanisms</w:t>
      </w:r>
      <w:r w:rsidR="00F54A17">
        <w:rPr>
          <w:rFonts w:ascii="Calibri" w:hAnsi="Calibri"/>
        </w:rPr>
        <w:t xml:space="preserve">. This is particularly true for the </w:t>
      </w:r>
      <w:r>
        <w:rPr>
          <w:rFonts w:ascii="Calibri" w:hAnsi="Calibri"/>
        </w:rPr>
        <w:t xml:space="preserve">HCT116 cells </w:t>
      </w:r>
      <w:r w:rsidR="00F54A17">
        <w:rPr>
          <w:rFonts w:ascii="Calibri" w:hAnsi="Calibri"/>
        </w:rPr>
        <w:t xml:space="preserve">used in these studies that have functional </w:t>
      </w:r>
      <w:r>
        <w:rPr>
          <w:rFonts w:ascii="Calibri" w:hAnsi="Calibri"/>
        </w:rPr>
        <w:t xml:space="preserve">TP53, which should be a protective agent against the continued replication of damaged DNA. Therefore it appears that the increase in genome instability </w:t>
      </w:r>
      <w:r w:rsidR="003B0D66">
        <w:rPr>
          <w:rFonts w:ascii="Calibri" w:hAnsi="Calibri"/>
        </w:rPr>
        <w:t xml:space="preserve">observed within </w:t>
      </w:r>
      <w:r w:rsidR="003B0D66" w:rsidRPr="00F54A17">
        <w:rPr>
          <w:rFonts w:ascii="Calibri" w:hAnsi="Calibri"/>
          <w:i/>
        </w:rPr>
        <w:t>SRCAP</w:t>
      </w:r>
      <w:r w:rsidR="003B0D66">
        <w:rPr>
          <w:rFonts w:ascii="Calibri" w:hAnsi="Calibri"/>
        </w:rPr>
        <w:t xml:space="preserve"> over-expressing cells does not elicit the appropriate cell cycle checkpoint response, which could compound the deleterious effects of this phenotype.</w:t>
      </w:r>
    </w:p>
    <w:p w14:paraId="5977A2A5" w14:textId="1CBDBA07" w:rsidR="00091260" w:rsidRDefault="00091260" w:rsidP="003B0D66">
      <w:pPr>
        <w:spacing w:line="360" w:lineRule="auto"/>
        <w:jc w:val="both"/>
        <w:rPr>
          <w:rFonts w:ascii="Calibri" w:hAnsi="Calibri"/>
        </w:rPr>
      </w:pPr>
    </w:p>
    <w:p w14:paraId="5DA77652" w14:textId="77777777" w:rsidR="00091260" w:rsidRDefault="00091260" w:rsidP="00091260">
      <w:pPr>
        <w:rPr>
          <w:rFonts w:ascii="Calibri" w:hAnsi="Calibri"/>
        </w:rPr>
      </w:pPr>
    </w:p>
    <w:p w14:paraId="7C731495" w14:textId="77777777" w:rsidR="00091260" w:rsidRDefault="00091260" w:rsidP="00091260">
      <w:pPr>
        <w:rPr>
          <w:rFonts w:ascii="Calibri" w:hAnsi="Calibri"/>
        </w:rPr>
      </w:pPr>
    </w:p>
    <w:p w14:paraId="65E98E70" w14:textId="77777777" w:rsidR="00091260" w:rsidRDefault="00091260" w:rsidP="00091260">
      <w:pPr>
        <w:rPr>
          <w:rFonts w:ascii="Calibri" w:hAnsi="Calibri"/>
        </w:rPr>
      </w:pPr>
    </w:p>
    <w:p w14:paraId="4C0A57B2" w14:textId="77777777" w:rsidR="00091260" w:rsidRPr="00804068" w:rsidRDefault="00091260" w:rsidP="00091260">
      <w:pPr>
        <w:rPr>
          <w:rFonts w:ascii="Calibri" w:hAnsi="Calibri"/>
        </w:rPr>
      </w:pPr>
    </w:p>
    <w:p w14:paraId="15D12297" w14:textId="00894FD4" w:rsidR="00091260" w:rsidRDefault="009233B7" w:rsidP="00091260">
      <w:pPr>
        <w:rPr>
          <w:rFonts w:asciiTheme="majorHAnsi" w:hAnsiTheme="majorHAnsi"/>
          <w:sz w:val="28"/>
          <w:szCs w:val="28"/>
          <w:u w:val="single"/>
        </w:rPr>
      </w:pPr>
      <w:r>
        <w:rPr>
          <w:rFonts w:asciiTheme="majorHAnsi" w:hAnsiTheme="majorHAnsi"/>
          <w:noProof/>
          <w:szCs w:val="28"/>
          <w:lang w:val="en-US"/>
        </w:rPr>
        <w:drawing>
          <wp:anchor distT="0" distB="0" distL="114300" distR="114300" simplePos="0" relativeHeight="252026880" behindDoc="0" locked="0" layoutInCell="1" allowOverlap="1" wp14:anchorId="6101F087" wp14:editId="79AA3C1E">
            <wp:simplePos x="0" y="0"/>
            <wp:positionH relativeFrom="column">
              <wp:posOffset>3031490</wp:posOffset>
            </wp:positionH>
            <wp:positionV relativeFrom="paragraph">
              <wp:posOffset>4000500</wp:posOffset>
            </wp:positionV>
            <wp:extent cx="2454910" cy="1943100"/>
            <wp:effectExtent l="0" t="0" r="8890" b="12700"/>
            <wp:wrapTopAndBottom/>
            <wp:docPr id="1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5491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szCs w:val="28"/>
          <w:u w:val="single"/>
          <w:lang w:val="en-US"/>
        </w:rPr>
        <mc:AlternateContent>
          <mc:Choice Requires="wps">
            <w:drawing>
              <wp:anchor distT="0" distB="0" distL="114300" distR="114300" simplePos="0" relativeHeight="252033024" behindDoc="0" locked="0" layoutInCell="1" allowOverlap="1" wp14:anchorId="1E929CCF" wp14:editId="634C8B29">
                <wp:simplePos x="0" y="0"/>
                <wp:positionH relativeFrom="column">
                  <wp:posOffset>0</wp:posOffset>
                </wp:positionH>
                <wp:positionV relativeFrom="paragraph">
                  <wp:posOffset>3771900</wp:posOffset>
                </wp:positionV>
                <wp:extent cx="457200" cy="457200"/>
                <wp:effectExtent l="0" t="0" r="0" b="0"/>
                <wp:wrapSquare wrapText="bothSides"/>
                <wp:docPr id="277" name="Text Box 277"/>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E29022" w14:textId="5CC6A62B" w:rsidR="00E82D3B" w:rsidRPr="00246434" w:rsidRDefault="00E82D3B" w:rsidP="00091260">
                            <w:pPr>
                              <w:rPr>
                                <w:b/>
                              </w:rPr>
                            </w:pPr>
                            <w:proofErr w:type="gramStart"/>
                            <w:r>
                              <w:rPr>
                                <w:b/>
                              </w:rPr>
                              <w:t>c</w:t>
                            </w:r>
                            <w:proofErr w:type="gramEnd"/>
                            <w:r w:rsidRPr="00246434">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7" o:spid="_x0000_s1088" type="#_x0000_t202" style="position:absolute;margin-left:0;margin-top:297pt;width:36pt;height:36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" filled="f" stroked="f">
                <v:textbox>
                  <w:txbxContent>
                    <w:p w14:paraId="07E29022" w14:textId="5CC6A62B" w:rsidR="000A1E0D" w:rsidRPr="00246434" w:rsidRDefault="000A1E0D" w:rsidP="00091260">
                      <w:pPr>
                        <w:rPr>
                          <w:b/>
                        </w:rPr>
                      </w:pPr>
                      <w:proofErr w:type="gramStart"/>
                      <w:r>
                        <w:rPr>
                          <w:b/>
                        </w:rPr>
                        <w:t>c</w:t>
                      </w:r>
                      <w:proofErr w:type="gramEnd"/>
                      <w:r w:rsidRPr="00246434">
                        <w:rPr>
                          <w:b/>
                        </w:rPr>
                        <w:t>.)</w:t>
                      </w:r>
                    </w:p>
                  </w:txbxContent>
                </v:textbox>
                <w10:wrap type="square"/>
              </v:shape>
            </w:pict>
          </mc:Fallback>
        </mc:AlternateContent>
      </w:r>
      <w:r>
        <w:rPr>
          <w:rFonts w:asciiTheme="majorHAnsi" w:hAnsiTheme="majorHAnsi"/>
          <w:noProof/>
          <w:sz w:val="28"/>
          <w:szCs w:val="28"/>
          <w:u w:val="single"/>
          <w:lang w:val="en-US"/>
        </w:rPr>
        <mc:AlternateContent>
          <mc:Choice Requires="wps">
            <w:drawing>
              <wp:anchor distT="0" distB="0" distL="114300" distR="114300" simplePos="0" relativeHeight="252034048" behindDoc="0" locked="0" layoutInCell="1" allowOverlap="1" wp14:anchorId="082A1555" wp14:editId="2EC82FD7">
                <wp:simplePos x="0" y="0"/>
                <wp:positionH relativeFrom="column">
                  <wp:posOffset>3086100</wp:posOffset>
                </wp:positionH>
                <wp:positionV relativeFrom="paragraph">
                  <wp:posOffset>3771900</wp:posOffset>
                </wp:positionV>
                <wp:extent cx="457200" cy="457200"/>
                <wp:effectExtent l="0" t="0" r="0" b="0"/>
                <wp:wrapSquare wrapText="bothSides"/>
                <wp:docPr id="276" name="Text Box 276"/>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635E7F" w14:textId="2927F146" w:rsidR="00E82D3B" w:rsidRPr="00246434" w:rsidRDefault="00E82D3B" w:rsidP="00091260">
                            <w:pPr>
                              <w:rPr>
                                <w:b/>
                              </w:rPr>
                            </w:pPr>
                            <w:proofErr w:type="gramStart"/>
                            <w:r>
                              <w:rPr>
                                <w:b/>
                              </w:rPr>
                              <w:t>d</w:t>
                            </w:r>
                            <w:proofErr w:type="gramEnd"/>
                            <w:r w:rsidRPr="00246434">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76" o:spid="_x0000_s1089" type="#_x0000_t202" style="position:absolute;margin-left:243pt;margin-top:297pt;width:36pt;height:36pt;z-index:25203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" filled="f" stroked="f">
                <v:textbox>
                  <w:txbxContent>
                    <w:p w14:paraId="3A635E7F" w14:textId="2927F146" w:rsidR="000A1E0D" w:rsidRPr="00246434" w:rsidRDefault="000A1E0D" w:rsidP="00091260">
                      <w:pPr>
                        <w:rPr>
                          <w:b/>
                        </w:rPr>
                      </w:pPr>
                      <w:proofErr w:type="gramStart"/>
                      <w:r>
                        <w:rPr>
                          <w:b/>
                        </w:rPr>
                        <w:t>d</w:t>
                      </w:r>
                      <w:proofErr w:type="gramEnd"/>
                      <w:r w:rsidRPr="00246434">
                        <w:rPr>
                          <w:b/>
                        </w:rPr>
                        <w:t>.)</w:t>
                      </w:r>
                    </w:p>
                  </w:txbxContent>
                </v:textbox>
                <w10:wrap type="square"/>
              </v:shape>
            </w:pict>
          </mc:Fallback>
        </mc:AlternateContent>
      </w:r>
      <w:r>
        <w:rPr>
          <w:rFonts w:asciiTheme="majorHAnsi" w:hAnsiTheme="majorHAnsi"/>
          <w:noProof/>
          <w:sz w:val="28"/>
          <w:szCs w:val="28"/>
          <w:u w:val="single"/>
          <w:lang w:val="en-US"/>
        </w:rPr>
        <w:drawing>
          <wp:anchor distT="0" distB="0" distL="114300" distR="114300" simplePos="0" relativeHeight="252238848" behindDoc="0" locked="0" layoutInCell="1" allowOverlap="1" wp14:anchorId="74906445" wp14:editId="481BE4B0">
            <wp:simplePos x="0" y="0"/>
            <wp:positionH relativeFrom="column">
              <wp:posOffset>-114300</wp:posOffset>
            </wp:positionH>
            <wp:positionV relativeFrom="paragraph">
              <wp:posOffset>4001135</wp:posOffset>
            </wp:positionV>
            <wp:extent cx="3157220" cy="1942465"/>
            <wp:effectExtent l="0" t="0" r="0" b="0"/>
            <wp:wrapSquare wrapText="bothSides"/>
            <wp:docPr id="1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57220" cy="19424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szCs w:val="28"/>
          <w:u w:val="single"/>
          <w:lang w:val="en-US"/>
        </w:rPr>
        <w:drawing>
          <wp:anchor distT="0" distB="0" distL="114300" distR="114300" simplePos="0" relativeHeight="252039168" behindDoc="0" locked="0" layoutInCell="1" allowOverlap="1" wp14:anchorId="0BE85559" wp14:editId="3FEED2DB">
            <wp:simplePos x="0" y="0"/>
            <wp:positionH relativeFrom="column">
              <wp:posOffset>0</wp:posOffset>
            </wp:positionH>
            <wp:positionV relativeFrom="paragraph">
              <wp:posOffset>1747520</wp:posOffset>
            </wp:positionV>
            <wp:extent cx="5257800" cy="2024380"/>
            <wp:effectExtent l="0" t="0" r="0" b="7620"/>
            <wp:wrapTopAndBottom/>
            <wp:docPr id="290" name="Picture 290" descr="Macintosh HD:Users:ClairFellows:Desktop:Screen Shot 2017-09-07 at 11.5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09-07 at 11.56.43.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57800" cy="2024380"/>
                    </a:xfrm>
                    <a:prstGeom prst="rect">
                      <a:avLst/>
                    </a:prstGeom>
                    <a:noFill/>
                    <a:ln>
                      <a:noFill/>
                    </a:ln>
                  </pic:spPr>
                </pic:pic>
              </a:graphicData>
            </a:graphic>
            <wp14:sizeRelH relativeFrom="page">
              <wp14:pctWidth>0</wp14:pctWidth>
            </wp14:sizeRelH>
            <wp14:sizeRelV relativeFrom="page">
              <wp14:pctHeight>0</wp14:pctHeight>
            </wp14:sizeRelV>
          </wp:anchor>
        </w:drawing>
      </w:r>
      <w:r w:rsidR="00F50675">
        <w:rPr>
          <w:rFonts w:ascii="Calibri" w:hAnsi="Calibri"/>
          <w:noProof/>
          <w:lang w:val="en-US"/>
        </w:rPr>
        <mc:AlternateContent>
          <mc:Choice Requires="wps">
            <w:drawing>
              <wp:anchor distT="0" distB="0" distL="114300" distR="114300" simplePos="0" relativeHeight="252013568" behindDoc="0" locked="0" layoutInCell="1" allowOverlap="1" wp14:anchorId="60A8FC85" wp14:editId="3C585144">
                <wp:simplePos x="0" y="0"/>
                <wp:positionH relativeFrom="column">
                  <wp:posOffset>0</wp:posOffset>
                </wp:positionH>
                <wp:positionV relativeFrom="paragraph">
                  <wp:posOffset>5943600</wp:posOffset>
                </wp:positionV>
                <wp:extent cx="5486400" cy="3086100"/>
                <wp:effectExtent l="0" t="0" r="0" b="12700"/>
                <wp:wrapSquare wrapText="bothSides"/>
                <wp:docPr id="274" name="Text Box 274"/>
                <wp:cNvGraphicFramePr/>
                <a:graphic xmlns:a="http://schemas.openxmlformats.org/drawingml/2006/main">
                  <a:graphicData uri="http://schemas.microsoft.com/office/word/2010/wordprocessingShape">
                    <wps:wsp>
                      <wps:cNvSpPr txBox="1"/>
                      <wps:spPr>
                        <a:xfrm>
                          <a:off x="0" y="0"/>
                          <a:ext cx="5486400" cy="3086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F53D99" w14:textId="25B7A7D7" w:rsidR="00E82D3B" w:rsidRDefault="00E82D3B" w:rsidP="00091260">
                            <w:pPr>
                              <w:jc w:val="both"/>
                              <w:rPr>
                                <w:b/>
                                <w:i/>
                                <w:sz w:val="22"/>
                              </w:rPr>
                            </w:pPr>
                            <w:r w:rsidRPr="00E83A72">
                              <w:rPr>
                                <w:b/>
                                <w:i/>
                                <w:sz w:val="22"/>
                              </w:rPr>
                              <w:t>Figure 3.22</w:t>
                            </w:r>
                            <w:r w:rsidRPr="00DD4A5E">
                              <w:rPr>
                                <w:b/>
                                <w:i/>
                                <w:sz w:val="22"/>
                              </w:rPr>
                              <w:t xml:space="preserve"> Cell cycle </w:t>
                            </w:r>
                            <w:r>
                              <w:rPr>
                                <w:b/>
                                <w:i/>
                                <w:sz w:val="22"/>
                              </w:rPr>
                              <w:t xml:space="preserve">and apoptotic </w:t>
                            </w:r>
                            <w:r w:rsidRPr="00DD4A5E">
                              <w:rPr>
                                <w:b/>
                                <w:i/>
                                <w:sz w:val="22"/>
                              </w:rPr>
                              <w:t xml:space="preserve">profiles </w:t>
                            </w:r>
                            <w:r>
                              <w:rPr>
                                <w:b/>
                                <w:i/>
                                <w:sz w:val="22"/>
                              </w:rPr>
                              <w:t xml:space="preserve">are unchanged in </w:t>
                            </w:r>
                            <w:r w:rsidRPr="00DD4A5E">
                              <w:rPr>
                                <w:b/>
                                <w:i/>
                                <w:sz w:val="22"/>
                              </w:rPr>
                              <w:t xml:space="preserve">SRCAP </w:t>
                            </w:r>
                            <w:r>
                              <w:rPr>
                                <w:b/>
                                <w:i/>
                                <w:sz w:val="22"/>
                              </w:rPr>
                              <w:t>over-expressing cells</w:t>
                            </w:r>
                          </w:p>
                          <w:p w14:paraId="0F48F359" w14:textId="77777777" w:rsidR="00E82D3B" w:rsidRDefault="00E82D3B" w:rsidP="00091260">
                            <w:pPr>
                              <w:jc w:val="both"/>
                              <w:rPr>
                                <w:i/>
                                <w:sz w:val="22"/>
                              </w:rPr>
                            </w:pPr>
                            <w:proofErr w:type="gramStart"/>
                            <w:r>
                              <w:rPr>
                                <w:i/>
                                <w:sz w:val="22"/>
                              </w:rPr>
                              <w:t>a.)</w:t>
                            </w:r>
                            <w:proofErr w:type="gramEnd"/>
                            <w:r>
                              <w:rPr>
                                <w:i/>
                                <w:sz w:val="22"/>
                              </w:rPr>
                              <w:t>Representative histograms of the cell cycle profiles of control HCT116 cells and clones 4 and 17</w:t>
                            </w:r>
                          </w:p>
                          <w:p w14:paraId="29A7F501" w14:textId="6DB4FFC2" w:rsidR="00E82D3B" w:rsidRPr="00907B02" w:rsidRDefault="00E82D3B" w:rsidP="00091260">
                            <w:pPr>
                              <w:jc w:val="both"/>
                              <w:rPr>
                                <w:i/>
                                <w:sz w:val="22"/>
                                <w:szCs w:val="22"/>
                              </w:rPr>
                            </w:pPr>
                            <w:proofErr w:type="gramStart"/>
                            <w:r>
                              <w:rPr>
                                <w:i/>
                                <w:sz w:val="22"/>
                                <w:szCs w:val="22"/>
                              </w:rPr>
                              <w:t>b.)</w:t>
                            </w:r>
                            <w:proofErr w:type="gramEnd"/>
                            <w:r>
                              <w:rPr>
                                <w:i/>
                                <w:sz w:val="22"/>
                                <w:szCs w:val="22"/>
                              </w:rPr>
                              <w:t>Representative dot plots of the gating of the PI and Annexin V dual stained cells in control HCT116 cells and clone 4 and 17.</w:t>
                            </w:r>
                          </w:p>
                          <w:p w14:paraId="7CAC4BDC" w14:textId="7E4BF78F" w:rsidR="00E82D3B" w:rsidRDefault="00E82D3B" w:rsidP="00091260">
                            <w:pPr>
                              <w:jc w:val="both"/>
                              <w:rPr>
                                <w:i/>
                                <w:sz w:val="22"/>
                              </w:rPr>
                            </w:pPr>
                            <w:r>
                              <w:rPr>
                                <w:i/>
                                <w:sz w:val="22"/>
                              </w:rPr>
                              <w:t>c.) Again HCT116 control cells and clones were seeded for 24hrs to allow for cell cycling to settle and then fixed and PI stained as per the protocol. After three repeats, as shown by the median and range on the graph above, there was no significant difference in the percentage of cells in any phase of the cell cycle following a Kruskal-Wallis non-parametric test (Sub G1- p=0.6990, G1- p=0.9164, S- p=0.2546, G2-M- p=0.7462).</w:t>
                            </w:r>
                          </w:p>
                          <w:p w14:paraId="401C671D" w14:textId="76572FCF" w:rsidR="00E82D3B" w:rsidRPr="00663BEE" w:rsidRDefault="00E82D3B" w:rsidP="00091260">
                            <w:pPr>
                              <w:jc w:val="both"/>
                              <w:rPr>
                                <w:rFonts w:ascii="Arial" w:eastAsia="Times New Roman" w:hAnsi="Arial" w:cs="Arial"/>
                              </w:rPr>
                            </w:pPr>
                            <w:r>
                              <w:rPr>
                                <w:i/>
                                <w:sz w:val="22"/>
                              </w:rPr>
                              <w:t>d.)</w:t>
                            </w:r>
                            <w:r w:rsidRPr="00907B02">
                              <w:rPr>
                                <w:i/>
                                <w:sz w:val="22"/>
                                <w:szCs w:val="22"/>
                              </w:rPr>
                              <w:t xml:space="preserve"> </w:t>
                            </w:r>
                            <w:r>
                              <w:rPr>
                                <w:i/>
                                <w:sz w:val="22"/>
                                <w:szCs w:val="22"/>
                              </w:rPr>
                              <w:t>Following the protocol for PI and Annexin V staining specified in the methods section HCT116 SRCAP over-expressing clones and control cells were assessed for apoptosis levels after being seeded for 24hrs. Apoptotic cells were classed as being PI and Annexin V positive. After two repeats, as shown by the median and range plotted on the graph there was no significant overall difference between the groups following a Kruskal-Wallis non-parametric test (p=0.8987), and again no significant difference between the control and the individual clones, where significance is classified as p</w:t>
                            </w:r>
                            <w:r>
                              <w:rPr>
                                <w:i/>
                                <w:iCs/>
                                <w:sz w:val="22"/>
                                <w:szCs w:val="22"/>
                              </w:rPr>
                              <w:t>≤</w:t>
                            </w:r>
                            <w:r>
                              <w:rPr>
                                <w:i/>
                                <w:sz w:val="22"/>
                                <w:szCs w:val="22"/>
                              </w:rPr>
                              <w:t>0.05.</w:t>
                            </w:r>
                          </w:p>
                          <w:p w14:paraId="78E72F67" w14:textId="77777777" w:rsidR="00E82D3B" w:rsidRPr="00663BEE" w:rsidRDefault="00E82D3B" w:rsidP="00091260">
                            <w:pPr>
                              <w:jc w:val="both"/>
                              <w:rPr>
                                <w:rFonts w:ascii="Arial" w:eastAsia="Times New Roman" w:hAnsi="Arial" w:cs="Arial"/>
                              </w:rPr>
                            </w:pPr>
                          </w:p>
                          <w:p w14:paraId="5812859E" w14:textId="77777777" w:rsidR="00E82D3B" w:rsidRPr="00DD4A5E" w:rsidRDefault="00E82D3B" w:rsidP="00091260">
                            <w:pPr>
                              <w:jc w:val="both"/>
                              <w:rPr>
                                <w:i/>
                                <w:sz w:val="22"/>
                              </w:rPr>
                            </w:pPr>
                            <w:r>
                              <w:rPr>
                                <w:i/>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4" o:spid="_x0000_s1090" type="#_x0000_t202" style="position:absolute;margin-left:0;margin-top:468pt;width:6in;height:243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cUvtQCAAAb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" filled="f" stroked="f">
                <v:textbox>
                  <w:txbxContent>
                    <w:p w14:paraId="44F53D99" w14:textId="25B7A7D7" w:rsidR="00E82D3B" w:rsidRDefault="00E82D3B" w:rsidP="00091260">
                      <w:pPr>
                        <w:jc w:val="both"/>
                        <w:rPr>
                          <w:b/>
                          <w:i/>
                          <w:sz w:val="22"/>
                        </w:rPr>
                      </w:pPr>
                      <w:r w:rsidRPr="00E83A72">
                        <w:rPr>
                          <w:b/>
                          <w:i/>
                          <w:sz w:val="22"/>
                        </w:rPr>
                        <w:t>Figure 3.22</w:t>
                      </w:r>
                      <w:r w:rsidRPr="00DD4A5E">
                        <w:rPr>
                          <w:b/>
                          <w:i/>
                          <w:sz w:val="22"/>
                        </w:rPr>
                        <w:t xml:space="preserve"> Cell cycle </w:t>
                      </w:r>
                      <w:r>
                        <w:rPr>
                          <w:b/>
                          <w:i/>
                          <w:sz w:val="22"/>
                        </w:rPr>
                        <w:t xml:space="preserve">and apoptotic </w:t>
                      </w:r>
                      <w:r w:rsidRPr="00DD4A5E">
                        <w:rPr>
                          <w:b/>
                          <w:i/>
                          <w:sz w:val="22"/>
                        </w:rPr>
                        <w:t xml:space="preserve">profiles </w:t>
                      </w:r>
                      <w:r>
                        <w:rPr>
                          <w:b/>
                          <w:i/>
                          <w:sz w:val="22"/>
                        </w:rPr>
                        <w:t xml:space="preserve">are unchanged in </w:t>
                      </w:r>
                      <w:r w:rsidRPr="00DD4A5E">
                        <w:rPr>
                          <w:b/>
                          <w:i/>
                          <w:sz w:val="22"/>
                        </w:rPr>
                        <w:t xml:space="preserve">SRCAP </w:t>
                      </w:r>
                      <w:r>
                        <w:rPr>
                          <w:b/>
                          <w:i/>
                          <w:sz w:val="22"/>
                        </w:rPr>
                        <w:t>over-expressing cells</w:t>
                      </w:r>
                    </w:p>
                    <w:p w14:paraId="0F48F359" w14:textId="77777777" w:rsidR="00E82D3B" w:rsidRDefault="00E82D3B" w:rsidP="00091260">
                      <w:pPr>
                        <w:jc w:val="both"/>
                        <w:rPr>
                          <w:i/>
                          <w:sz w:val="22"/>
                        </w:rPr>
                      </w:pPr>
                      <w:proofErr w:type="gramStart"/>
                      <w:r>
                        <w:rPr>
                          <w:i/>
                          <w:sz w:val="22"/>
                        </w:rPr>
                        <w:t>a.)</w:t>
                      </w:r>
                      <w:proofErr w:type="gramEnd"/>
                      <w:r>
                        <w:rPr>
                          <w:i/>
                          <w:sz w:val="22"/>
                        </w:rPr>
                        <w:t>Representative histograms of the cell cycle profiles of control HCT116 cells and clones 4 and 17</w:t>
                      </w:r>
                    </w:p>
                    <w:p w14:paraId="29A7F501" w14:textId="6DB4FFC2" w:rsidR="00E82D3B" w:rsidRPr="00907B02" w:rsidRDefault="00E82D3B" w:rsidP="00091260">
                      <w:pPr>
                        <w:jc w:val="both"/>
                        <w:rPr>
                          <w:i/>
                          <w:sz w:val="22"/>
                          <w:szCs w:val="22"/>
                        </w:rPr>
                      </w:pPr>
                      <w:proofErr w:type="gramStart"/>
                      <w:r>
                        <w:rPr>
                          <w:i/>
                          <w:sz w:val="22"/>
                          <w:szCs w:val="22"/>
                        </w:rPr>
                        <w:t>b.)</w:t>
                      </w:r>
                      <w:proofErr w:type="gramEnd"/>
                      <w:r>
                        <w:rPr>
                          <w:i/>
                          <w:sz w:val="22"/>
                          <w:szCs w:val="22"/>
                        </w:rPr>
                        <w:t>Representative dot plots of the gating of the PI and Annexin V dual stained cells in control HCT116 cells and clone 4 and 17.</w:t>
                      </w:r>
                    </w:p>
                    <w:p w14:paraId="7CAC4BDC" w14:textId="7E4BF78F" w:rsidR="00E82D3B" w:rsidRDefault="00E82D3B" w:rsidP="00091260">
                      <w:pPr>
                        <w:jc w:val="both"/>
                        <w:rPr>
                          <w:i/>
                          <w:sz w:val="22"/>
                        </w:rPr>
                      </w:pPr>
                      <w:r>
                        <w:rPr>
                          <w:i/>
                          <w:sz w:val="22"/>
                        </w:rPr>
                        <w:t>c.) Again HCT116 control cells and clones were seeded for 24hrs to allow for cell cycling to settle and then fixed and PI stained as per the protocol. After three repeats, as shown by the median and range on the graph above, there was no significant difference in the percentage of cells in any phase of the cell cycle following a Kruskal-Wallis non-parametric test (Sub G1- p=0.6990, G1- p=0.9164, S- p=0.2546, G2-M- p=0.7462).</w:t>
                      </w:r>
                    </w:p>
                    <w:p w14:paraId="401C671D" w14:textId="76572FCF" w:rsidR="00E82D3B" w:rsidRPr="00663BEE" w:rsidRDefault="00E82D3B" w:rsidP="00091260">
                      <w:pPr>
                        <w:jc w:val="both"/>
                        <w:rPr>
                          <w:rFonts w:ascii="Arial" w:eastAsia="Times New Roman" w:hAnsi="Arial" w:cs="Arial"/>
                        </w:rPr>
                      </w:pPr>
                      <w:r>
                        <w:rPr>
                          <w:i/>
                          <w:sz w:val="22"/>
                        </w:rPr>
                        <w:t>d.)</w:t>
                      </w:r>
                      <w:r w:rsidRPr="00907B02">
                        <w:rPr>
                          <w:i/>
                          <w:sz w:val="22"/>
                          <w:szCs w:val="22"/>
                        </w:rPr>
                        <w:t xml:space="preserve"> </w:t>
                      </w:r>
                      <w:r>
                        <w:rPr>
                          <w:i/>
                          <w:sz w:val="22"/>
                          <w:szCs w:val="22"/>
                        </w:rPr>
                        <w:t>Following the protocol for PI and Annexin V staining specified in the methods section HCT116 SRCAP over-expressing clones and control cells were assessed for apoptosis levels after being seeded for 24hrs. Apoptotic cells were classed as being PI and Annexin V positive. After two repeats, as shown by the median and range plotted on the graph there was no significant overall difference between the groups following a Kruskal-Wallis non-parametric test (p=0.8987), and again no significant difference between the control and the individual clones, where significance is classified as p</w:t>
                      </w:r>
                      <w:r>
                        <w:rPr>
                          <w:i/>
                          <w:iCs/>
                          <w:sz w:val="22"/>
                          <w:szCs w:val="22"/>
                        </w:rPr>
                        <w:t>≤</w:t>
                      </w:r>
                      <w:r>
                        <w:rPr>
                          <w:i/>
                          <w:sz w:val="22"/>
                          <w:szCs w:val="22"/>
                        </w:rPr>
                        <w:t>0.05.</w:t>
                      </w:r>
                    </w:p>
                    <w:p w14:paraId="78E72F67" w14:textId="77777777" w:rsidR="00E82D3B" w:rsidRPr="00663BEE" w:rsidRDefault="00E82D3B" w:rsidP="00091260">
                      <w:pPr>
                        <w:jc w:val="both"/>
                        <w:rPr>
                          <w:rFonts w:ascii="Arial" w:eastAsia="Times New Roman" w:hAnsi="Arial" w:cs="Arial"/>
                        </w:rPr>
                      </w:pPr>
                    </w:p>
                    <w:p w14:paraId="5812859E" w14:textId="77777777" w:rsidR="00E82D3B" w:rsidRPr="00DD4A5E" w:rsidRDefault="00E82D3B" w:rsidP="00091260">
                      <w:pPr>
                        <w:jc w:val="both"/>
                        <w:rPr>
                          <w:i/>
                          <w:sz w:val="22"/>
                        </w:rPr>
                      </w:pPr>
                      <w:r>
                        <w:rPr>
                          <w:i/>
                          <w:sz w:val="22"/>
                        </w:rPr>
                        <w:t xml:space="preserve">. </w:t>
                      </w:r>
                    </w:p>
                  </w:txbxContent>
                </v:textbox>
                <w10:wrap type="square"/>
              </v:shape>
            </w:pict>
          </mc:Fallback>
        </mc:AlternateContent>
      </w:r>
      <w:r w:rsidR="00907B02">
        <w:rPr>
          <w:rFonts w:ascii="Calibri" w:hAnsi="Calibri"/>
          <w:noProof/>
          <w:lang w:val="en-US"/>
        </w:rPr>
        <mc:AlternateContent>
          <mc:Choice Requires="wps">
            <w:drawing>
              <wp:anchor distT="0" distB="0" distL="114300" distR="114300" simplePos="0" relativeHeight="252145664" behindDoc="0" locked="0" layoutInCell="1" allowOverlap="1" wp14:anchorId="5AC14610" wp14:editId="7388D47C">
                <wp:simplePos x="0" y="0"/>
                <wp:positionH relativeFrom="column">
                  <wp:posOffset>-114300</wp:posOffset>
                </wp:positionH>
                <wp:positionV relativeFrom="paragraph">
                  <wp:posOffset>-342900</wp:posOffset>
                </wp:positionV>
                <wp:extent cx="685800" cy="457200"/>
                <wp:effectExtent l="0" t="0" r="0" b="0"/>
                <wp:wrapSquare wrapText="bothSides"/>
                <wp:docPr id="272" name="Text Box 272"/>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5E029C" w14:textId="77777777" w:rsidR="00E82D3B" w:rsidRPr="00804068" w:rsidRDefault="00E82D3B" w:rsidP="00091260">
                            <w:pPr>
                              <w:rPr>
                                <w:b/>
                              </w:rPr>
                            </w:pPr>
                            <w:proofErr w:type="gramStart"/>
                            <w:r w:rsidRPr="00804068">
                              <w:rPr>
                                <w:b/>
                              </w:rPr>
                              <w:t>a</w:t>
                            </w:r>
                            <w:proofErr w:type="gramEnd"/>
                            <w:r w:rsidRPr="0080406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2" o:spid="_x0000_s1091" type="#_x0000_t202" style="position:absolute;margin-left:-8.95pt;margin-top:-26.95pt;width:54pt;height:36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" filled="f" stroked="f">
                <v:textbox>
                  <w:txbxContent>
                    <w:p w14:paraId="6E5E029C" w14:textId="77777777" w:rsidR="000A1E0D" w:rsidRPr="00804068" w:rsidRDefault="000A1E0D" w:rsidP="00091260">
                      <w:pPr>
                        <w:rPr>
                          <w:b/>
                        </w:rPr>
                      </w:pPr>
                      <w:proofErr w:type="gramStart"/>
                      <w:r w:rsidRPr="00804068">
                        <w:rPr>
                          <w:b/>
                        </w:rPr>
                        <w:t>a</w:t>
                      </w:r>
                      <w:proofErr w:type="gramEnd"/>
                      <w:r w:rsidRPr="00804068">
                        <w:rPr>
                          <w:b/>
                        </w:rPr>
                        <w:t>.)</w:t>
                      </w:r>
                    </w:p>
                  </w:txbxContent>
                </v:textbox>
                <w10:wrap type="square"/>
              </v:shape>
            </w:pict>
          </mc:Fallback>
        </mc:AlternateContent>
      </w:r>
      <w:r w:rsidR="00907B02">
        <w:rPr>
          <w:rFonts w:ascii="Calibri" w:hAnsi="Calibri"/>
          <w:noProof/>
          <w:lang w:val="en-US"/>
        </w:rPr>
        <mc:AlternateContent>
          <mc:Choice Requires="wps">
            <w:drawing>
              <wp:anchor distT="0" distB="0" distL="114300" distR="114300" simplePos="0" relativeHeight="252144640" behindDoc="0" locked="0" layoutInCell="1" allowOverlap="1" wp14:anchorId="5FD68D12" wp14:editId="08FF9527">
                <wp:simplePos x="0" y="0"/>
                <wp:positionH relativeFrom="column">
                  <wp:posOffset>-114300</wp:posOffset>
                </wp:positionH>
                <wp:positionV relativeFrom="paragraph">
                  <wp:posOffset>1600200</wp:posOffset>
                </wp:positionV>
                <wp:extent cx="457200" cy="457200"/>
                <wp:effectExtent l="0" t="0" r="0" b="0"/>
                <wp:wrapSquare wrapText="bothSides"/>
                <wp:docPr id="273" name="Text Box 273"/>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99470A" w14:textId="77777777" w:rsidR="00E82D3B" w:rsidRPr="00804068" w:rsidRDefault="00E82D3B" w:rsidP="00091260">
                            <w:pPr>
                              <w:rPr>
                                <w:b/>
                              </w:rPr>
                            </w:pPr>
                            <w:proofErr w:type="gramStart"/>
                            <w:r w:rsidRPr="00804068">
                              <w:rPr>
                                <w:b/>
                              </w:rPr>
                              <w:t>b</w:t>
                            </w:r>
                            <w:proofErr w:type="gramEnd"/>
                            <w:r w:rsidRPr="0080406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3" o:spid="_x0000_s1092" type="#_x0000_t202" style="position:absolute;margin-left:-8.95pt;margin-top:126pt;width:36pt;height:36pt;z-index:25214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" filled="f" stroked="f">
                <v:textbox>
                  <w:txbxContent>
                    <w:p w14:paraId="6699470A" w14:textId="77777777" w:rsidR="000A1E0D" w:rsidRPr="00804068" w:rsidRDefault="000A1E0D" w:rsidP="00091260">
                      <w:pPr>
                        <w:rPr>
                          <w:b/>
                        </w:rPr>
                      </w:pPr>
                      <w:proofErr w:type="gramStart"/>
                      <w:r w:rsidRPr="00804068">
                        <w:rPr>
                          <w:b/>
                        </w:rPr>
                        <w:t>b</w:t>
                      </w:r>
                      <w:proofErr w:type="gramEnd"/>
                      <w:r w:rsidRPr="00804068">
                        <w:rPr>
                          <w:b/>
                        </w:rPr>
                        <w:t>.)</w:t>
                      </w:r>
                    </w:p>
                  </w:txbxContent>
                </v:textbox>
                <w10:wrap type="square"/>
              </v:shape>
            </w:pict>
          </mc:Fallback>
        </mc:AlternateContent>
      </w:r>
      <w:r w:rsidR="00907B02">
        <w:rPr>
          <w:rFonts w:ascii="Calibri" w:hAnsi="Calibri"/>
          <w:noProof/>
          <w:lang w:val="en-US"/>
        </w:rPr>
        <w:drawing>
          <wp:anchor distT="0" distB="0" distL="114300" distR="114300" simplePos="0" relativeHeight="252038144" behindDoc="0" locked="0" layoutInCell="1" allowOverlap="1" wp14:anchorId="1697AA85" wp14:editId="66AA974F">
            <wp:simplePos x="0" y="0"/>
            <wp:positionH relativeFrom="column">
              <wp:posOffset>-114300</wp:posOffset>
            </wp:positionH>
            <wp:positionV relativeFrom="paragraph">
              <wp:posOffset>-146050</wp:posOffset>
            </wp:positionV>
            <wp:extent cx="5486400" cy="1859915"/>
            <wp:effectExtent l="0" t="0" r="0" b="0"/>
            <wp:wrapTopAndBottom/>
            <wp:docPr id="288" name="Picture 288" descr="Macintosh HD:Users:ClairFellows:Desktop:Screen Shot 2017-09-07 at 11.5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09-07 at 11.51.3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1859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26ED7" w14:textId="76E56FAF" w:rsidR="00091260" w:rsidRPr="00530877" w:rsidRDefault="00091260" w:rsidP="00091260">
      <w:pPr>
        <w:rPr>
          <w:rFonts w:asciiTheme="majorHAnsi" w:hAnsiTheme="majorHAnsi"/>
          <w:sz w:val="28"/>
          <w:szCs w:val="28"/>
          <w:u w:val="single"/>
        </w:rPr>
      </w:pPr>
      <w:r>
        <w:rPr>
          <w:rFonts w:asciiTheme="majorHAnsi" w:hAnsiTheme="majorHAnsi"/>
          <w:sz w:val="28"/>
          <w:szCs w:val="28"/>
          <w:u w:val="single"/>
        </w:rPr>
        <w:t>3.9</w:t>
      </w:r>
      <w:r w:rsidRPr="00530877">
        <w:rPr>
          <w:rFonts w:asciiTheme="majorHAnsi" w:hAnsiTheme="majorHAnsi"/>
          <w:sz w:val="28"/>
          <w:szCs w:val="28"/>
          <w:u w:val="single"/>
        </w:rPr>
        <w:t xml:space="preserve"> Lentiviral CRISPR/Cas9 does not show stable expression</w:t>
      </w:r>
    </w:p>
    <w:p w14:paraId="19A2F6CA" w14:textId="77777777" w:rsidR="00091260" w:rsidRDefault="00091260" w:rsidP="00091260">
      <w:pPr>
        <w:spacing w:line="360" w:lineRule="auto"/>
        <w:jc w:val="both"/>
        <w:rPr>
          <w:rFonts w:asciiTheme="majorHAnsi" w:hAnsiTheme="majorHAnsi"/>
          <w:sz w:val="28"/>
          <w:szCs w:val="28"/>
          <w:u w:val="single"/>
        </w:rPr>
      </w:pPr>
    </w:p>
    <w:p w14:paraId="1BE25E34" w14:textId="6646A9E4" w:rsidR="00091260" w:rsidRDefault="00091260" w:rsidP="00091260">
      <w:pPr>
        <w:spacing w:line="360" w:lineRule="auto"/>
        <w:jc w:val="both"/>
        <w:rPr>
          <w:rFonts w:asciiTheme="majorHAnsi" w:hAnsiTheme="majorHAnsi"/>
        </w:rPr>
      </w:pPr>
      <w:r>
        <w:rPr>
          <w:rFonts w:asciiTheme="majorHAnsi" w:hAnsiTheme="majorHAnsi"/>
        </w:rPr>
        <w:t xml:space="preserve">There was some indication that the results of the above assays were not consistent between earlier and later repeats. Therefore, before carrying on with the assays in the SW480 clones, all the clones were again assessed for </w:t>
      </w:r>
      <w:r w:rsidRPr="00663BEE">
        <w:rPr>
          <w:rFonts w:asciiTheme="majorHAnsi" w:hAnsiTheme="majorHAnsi"/>
          <w:i/>
        </w:rPr>
        <w:t>SRCAP</w:t>
      </w:r>
      <w:r>
        <w:rPr>
          <w:rFonts w:asciiTheme="majorHAnsi" w:hAnsiTheme="majorHAnsi"/>
        </w:rPr>
        <w:t xml:space="preserve"> expression. SW480 clone 5 did not grow when scaled up from a plate to a flask and therefore was disregarded for the rest of the anal</w:t>
      </w:r>
      <w:r w:rsidR="00323D15">
        <w:rPr>
          <w:rFonts w:asciiTheme="majorHAnsi" w:hAnsiTheme="majorHAnsi"/>
        </w:rPr>
        <w:t>yses. All the HCT116 SRCAP over-</w:t>
      </w:r>
      <w:r>
        <w:rPr>
          <w:rFonts w:asciiTheme="majorHAnsi" w:hAnsiTheme="majorHAnsi"/>
        </w:rPr>
        <w:t xml:space="preserve">expressing CRISPR </w:t>
      </w:r>
      <w:r w:rsidR="00496DF9">
        <w:rPr>
          <w:rFonts w:asciiTheme="majorHAnsi" w:hAnsiTheme="majorHAnsi"/>
        </w:rPr>
        <w:t>clones;</w:t>
      </w:r>
      <w:r>
        <w:rPr>
          <w:rFonts w:asciiTheme="majorHAnsi" w:hAnsiTheme="majorHAnsi"/>
        </w:rPr>
        <w:t xml:space="preserve"> along with the SW480 clones no longer showed an increase in SRCAP mRNA levels compared to parental control cells after 6 weeks in culture (Figure 3.</w:t>
      </w:r>
      <w:r w:rsidR="00861277">
        <w:rPr>
          <w:rFonts w:asciiTheme="majorHAnsi" w:hAnsiTheme="majorHAnsi"/>
        </w:rPr>
        <w:t>23</w:t>
      </w:r>
      <w:r>
        <w:rPr>
          <w:rFonts w:asciiTheme="majorHAnsi" w:hAnsiTheme="majorHAnsi"/>
        </w:rPr>
        <w:t>a&amp;b).</w:t>
      </w:r>
    </w:p>
    <w:p w14:paraId="5644BAEB" w14:textId="77777777" w:rsidR="00091260" w:rsidRDefault="00091260" w:rsidP="00091260">
      <w:pPr>
        <w:spacing w:line="360" w:lineRule="auto"/>
        <w:jc w:val="both"/>
        <w:rPr>
          <w:rFonts w:asciiTheme="majorHAnsi" w:hAnsiTheme="majorHAnsi"/>
        </w:rPr>
      </w:pPr>
    </w:p>
    <w:p w14:paraId="25C3B4E5" w14:textId="6B3BD222" w:rsidR="00091260" w:rsidRDefault="00091260" w:rsidP="00091260">
      <w:pPr>
        <w:spacing w:line="360" w:lineRule="auto"/>
        <w:jc w:val="both"/>
        <w:rPr>
          <w:rFonts w:asciiTheme="majorHAnsi" w:hAnsiTheme="majorHAnsi"/>
        </w:rPr>
      </w:pPr>
      <w:r>
        <w:rPr>
          <w:rFonts w:asciiTheme="majorHAnsi" w:hAnsiTheme="majorHAnsi"/>
        </w:rPr>
        <w:t xml:space="preserve"> Although the clones had been subjected to antibiotic selection after three weeks during the experimental period in order to make sure the cells that were proliferating still contained the plasmids, this was </w:t>
      </w:r>
      <w:r w:rsidR="00A72B38">
        <w:rPr>
          <w:rFonts w:asciiTheme="majorHAnsi" w:hAnsiTheme="majorHAnsi"/>
        </w:rPr>
        <w:t>repeated</w:t>
      </w:r>
      <w:r>
        <w:rPr>
          <w:rFonts w:asciiTheme="majorHAnsi" w:hAnsiTheme="majorHAnsi"/>
        </w:rPr>
        <w:t xml:space="preserve"> again but for a prolonged period of two weeks with twice weekly </w:t>
      </w:r>
      <w:r w:rsidR="00F54A17">
        <w:rPr>
          <w:rFonts w:asciiTheme="majorHAnsi" w:hAnsiTheme="majorHAnsi"/>
        </w:rPr>
        <w:t>sub-culturing</w:t>
      </w:r>
      <w:r>
        <w:rPr>
          <w:rFonts w:asciiTheme="majorHAnsi" w:hAnsiTheme="majorHAnsi"/>
        </w:rPr>
        <w:t>. There was a rapid decrease in cell number, showing that a large percentage of the cells were no longer antibiotic resistant and so were likely not carrying the CRISPR plasmids. However, using a flask of parental HCT116 cells with antibiotic selection media as a control to determine when they had all died, a proportion of the CRISPR population for each clone continued to proliferate and it seemed as though these cells still carried the plasm</w:t>
      </w:r>
      <w:r w:rsidR="00323D15">
        <w:rPr>
          <w:rFonts w:asciiTheme="majorHAnsi" w:hAnsiTheme="majorHAnsi"/>
        </w:rPr>
        <w:t>ids and would therefore be over-</w:t>
      </w:r>
      <w:r>
        <w:rPr>
          <w:rFonts w:asciiTheme="majorHAnsi" w:hAnsiTheme="majorHAnsi"/>
        </w:rPr>
        <w:t xml:space="preserve">expressing </w:t>
      </w:r>
      <w:r w:rsidRPr="00663BEE">
        <w:rPr>
          <w:rFonts w:asciiTheme="majorHAnsi" w:hAnsiTheme="majorHAnsi"/>
          <w:i/>
        </w:rPr>
        <w:t>SRCAP</w:t>
      </w:r>
      <w:r>
        <w:rPr>
          <w:rFonts w:asciiTheme="majorHAnsi" w:hAnsiTheme="majorHAnsi"/>
        </w:rPr>
        <w:t xml:space="preserve">. However, upon </w:t>
      </w:r>
      <w:r w:rsidRPr="00663BEE">
        <w:rPr>
          <w:rFonts w:asciiTheme="majorHAnsi" w:hAnsiTheme="majorHAnsi"/>
          <w:i/>
        </w:rPr>
        <w:t>SRCAP</w:t>
      </w:r>
      <w:r>
        <w:rPr>
          <w:rFonts w:asciiTheme="majorHAnsi" w:hAnsiTheme="majorHAnsi"/>
        </w:rPr>
        <w:t xml:space="preserve"> expression determ</w:t>
      </w:r>
      <w:r w:rsidR="00323D15">
        <w:rPr>
          <w:rFonts w:asciiTheme="majorHAnsi" w:hAnsiTheme="majorHAnsi"/>
        </w:rPr>
        <w:t>ination there was again no over-</w:t>
      </w:r>
      <w:r>
        <w:rPr>
          <w:rFonts w:asciiTheme="majorHAnsi" w:hAnsiTheme="majorHAnsi"/>
        </w:rPr>
        <w:t>expression even after th</w:t>
      </w:r>
      <w:r w:rsidR="00861277">
        <w:rPr>
          <w:rFonts w:asciiTheme="majorHAnsi" w:hAnsiTheme="majorHAnsi"/>
        </w:rPr>
        <w:t>e antibiotic rescue (Figure 3.23</w:t>
      </w:r>
      <w:r w:rsidR="00B21D2E">
        <w:rPr>
          <w:rFonts w:asciiTheme="majorHAnsi" w:hAnsiTheme="majorHAnsi"/>
        </w:rPr>
        <w:t>c</w:t>
      </w:r>
      <w:r>
        <w:rPr>
          <w:rFonts w:asciiTheme="majorHAnsi" w:hAnsiTheme="majorHAnsi"/>
        </w:rPr>
        <w:t>). In parallel, new vials of frozen (-80</w:t>
      </w:r>
      <w:r w:rsidRPr="00307B08">
        <w:rPr>
          <w:rFonts w:asciiTheme="majorHAnsi" w:hAnsiTheme="majorHAnsi"/>
          <w:vertAlign w:val="superscript"/>
        </w:rPr>
        <w:t>o</w:t>
      </w:r>
      <w:r>
        <w:rPr>
          <w:rFonts w:asciiTheme="majorHAnsi" w:hAnsiTheme="majorHAnsi"/>
        </w:rPr>
        <w:t xml:space="preserve">C) HCT116 clones (which had been frozen on the same day as the initial expression </w:t>
      </w:r>
      <w:r w:rsidR="00861277">
        <w:rPr>
          <w:rFonts w:asciiTheme="majorHAnsi" w:hAnsiTheme="majorHAnsi"/>
        </w:rPr>
        <w:t>data was analysed in figure 3.16</w:t>
      </w:r>
      <w:r>
        <w:rPr>
          <w:rFonts w:asciiTheme="majorHAnsi" w:hAnsiTheme="majorHAnsi"/>
        </w:rPr>
        <w:t>), were thawed, placed in antibiotic selection media and grown. However, clones 14 and 17 were no longer viable. Expression of the remaining viable clones was also tested two weeks after thawing and interestingly there was again</w:t>
      </w:r>
      <w:r w:rsidR="00A72B38">
        <w:rPr>
          <w:rFonts w:asciiTheme="majorHAnsi" w:hAnsiTheme="majorHAnsi"/>
        </w:rPr>
        <w:t xml:space="preserve"> no over-</w:t>
      </w:r>
      <w:r w:rsidR="00861277">
        <w:rPr>
          <w:rFonts w:asciiTheme="majorHAnsi" w:hAnsiTheme="majorHAnsi"/>
        </w:rPr>
        <w:t>expression (Figure 3.23</w:t>
      </w:r>
      <w:r w:rsidR="00B21D2E">
        <w:rPr>
          <w:rFonts w:asciiTheme="majorHAnsi" w:hAnsiTheme="majorHAnsi"/>
        </w:rPr>
        <w:t>c</w:t>
      </w:r>
      <w:r>
        <w:rPr>
          <w:rFonts w:asciiTheme="majorHAnsi" w:hAnsiTheme="majorHAnsi"/>
        </w:rPr>
        <w:t xml:space="preserve">). </w:t>
      </w:r>
    </w:p>
    <w:p w14:paraId="5FFF81C4" w14:textId="77777777" w:rsidR="00091260" w:rsidRDefault="00091260" w:rsidP="00091260">
      <w:pPr>
        <w:spacing w:line="360" w:lineRule="auto"/>
        <w:jc w:val="both"/>
        <w:rPr>
          <w:rFonts w:asciiTheme="majorHAnsi" w:hAnsiTheme="majorHAnsi"/>
        </w:rPr>
      </w:pPr>
    </w:p>
    <w:p w14:paraId="68222E77" w14:textId="77777777" w:rsidR="00091260" w:rsidRDefault="00091260" w:rsidP="00091260">
      <w:pPr>
        <w:rPr>
          <w:rFonts w:asciiTheme="majorHAnsi" w:hAnsiTheme="majorHAnsi"/>
        </w:rPr>
      </w:pPr>
      <w:r>
        <w:rPr>
          <w:rFonts w:asciiTheme="majorHAnsi" w:hAnsiTheme="majorHAnsi"/>
        </w:rPr>
        <w:br w:type="page"/>
      </w:r>
    </w:p>
    <w:p w14:paraId="025D8B83" w14:textId="0977F71C" w:rsidR="00091260" w:rsidRDefault="00907B02" w:rsidP="00091260">
      <w:pPr>
        <w:rPr>
          <w:rFonts w:asciiTheme="majorHAnsi" w:hAnsiTheme="majorHAnsi"/>
        </w:rPr>
      </w:pPr>
      <w:r>
        <w:rPr>
          <w:rFonts w:asciiTheme="majorHAnsi" w:hAnsiTheme="majorHAnsi"/>
          <w:noProof/>
          <w:sz w:val="28"/>
          <w:szCs w:val="28"/>
          <w:u w:val="single"/>
          <w:lang w:val="en-US"/>
        </w:rPr>
        <mc:AlternateContent>
          <mc:Choice Requires="wps">
            <w:drawing>
              <wp:anchor distT="0" distB="0" distL="114300" distR="114300" simplePos="0" relativeHeight="252019712" behindDoc="0" locked="0" layoutInCell="1" allowOverlap="1" wp14:anchorId="2BB7C903" wp14:editId="5D8677AD">
                <wp:simplePos x="0" y="0"/>
                <wp:positionH relativeFrom="column">
                  <wp:posOffset>-114300</wp:posOffset>
                </wp:positionH>
                <wp:positionV relativeFrom="paragraph">
                  <wp:posOffset>5486400</wp:posOffset>
                </wp:positionV>
                <wp:extent cx="5600700" cy="2971800"/>
                <wp:effectExtent l="0" t="0" r="0" b="0"/>
                <wp:wrapSquare wrapText="bothSides"/>
                <wp:docPr id="279" name="Text Box 279"/>
                <wp:cNvGraphicFramePr/>
                <a:graphic xmlns:a="http://schemas.openxmlformats.org/drawingml/2006/main">
                  <a:graphicData uri="http://schemas.microsoft.com/office/word/2010/wordprocessingShape">
                    <wps:wsp>
                      <wps:cNvSpPr txBox="1"/>
                      <wps:spPr>
                        <a:xfrm>
                          <a:off x="0" y="0"/>
                          <a:ext cx="56007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BD5F99" w14:textId="4CED2448" w:rsidR="00E82D3B" w:rsidRDefault="00E82D3B" w:rsidP="00091260">
                            <w:pPr>
                              <w:jc w:val="both"/>
                              <w:rPr>
                                <w:b/>
                                <w:i/>
                                <w:sz w:val="22"/>
                              </w:rPr>
                            </w:pPr>
                            <w:r w:rsidRPr="00826B74">
                              <w:rPr>
                                <w:b/>
                                <w:i/>
                                <w:sz w:val="22"/>
                              </w:rPr>
                              <w:t>F</w:t>
                            </w:r>
                            <w:r>
                              <w:rPr>
                                <w:b/>
                                <w:i/>
                                <w:sz w:val="22"/>
                              </w:rPr>
                              <w:t>igure 3</w:t>
                            </w:r>
                            <w:r w:rsidRPr="00826B74">
                              <w:rPr>
                                <w:b/>
                                <w:i/>
                                <w:sz w:val="22"/>
                              </w:rPr>
                              <w:t>.</w:t>
                            </w:r>
                            <w:r>
                              <w:rPr>
                                <w:b/>
                                <w:i/>
                                <w:sz w:val="22"/>
                              </w:rPr>
                              <w:t>23</w:t>
                            </w:r>
                            <w:r w:rsidRPr="00826B74">
                              <w:rPr>
                                <w:b/>
                                <w:i/>
                                <w:sz w:val="22"/>
                              </w:rPr>
                              <w:t xml:space="preserve"> Retest of SRCAP expression</w:t>
                            </w:r>
                            <w:r>
                              <w:rPr>
                                <w:b/>
                                <w:i/>
                                <w:sz w:val="22"/>
                              </w:rPr>
                              <w:t xml:space="preserve"> in CRISPR clones shows no over-</w:t>
                            </w:r>
                            <w:r w:rsidRPr="00826B74">
                              <w:rPr>
                                <w:b/>
                                <w:i/>
                                <w:sz w:val="22"/>
                              </w:rPr>
                              <w:t>expression</w:t>
                            </w:r>
                            <w:r>
                              <w:rPr>
                                <w:b/>
                                <w:i/>
                                <w:sz w:val="22"/>
                              </w:rPr>
                              <w:t xml:space="preserve"> of SRCAP</w:t>
                            </w:r>
                          </w:p>
                          <w:p w14:paraId="76094579" w14:textId="4A2EFD1E" w:rsidR="00E82D3B" w:rsidRDefault="00E82D3B" w:rsidP="00091260">
                            <w:pPr>
                              <w:jc w:val="both"/>
                              <w:rPr>
                                <w:i/>
                                <w:sz w:val="22"/>
                              </w:rPr>
                            </w:pPr>
                            <w:r>
                              <w:rPr>
                                <w:i/>
                                <w:sz w:val="22"/>
                              </w:rPr>
                              <w:t>a.) HCT116 clones- 4, 11, 13, 14 and 17, along with the parental control cells had RNA extracted and assessed for SRCAP expression using the Taqman PCR assay. Expression levels had fallen sharply from what was seen in figure 3.16. HCT116 clones showed lower expression than control HCT116 cells. Graphs show the mean from three internal repeats of one experiment with the positive and negatives errors (n=1).</w:t>
                            </w:r>
                          </w:p>
                          <w:p w14:paraId="5CBB2B71" w14:textId="07B1555F" w:rsidR="00E82D3B" w:rsidRDefault="00E82D3B" w:rsidP="00091260">
                            <w:pPr>
                              <w:jc w:val="both"/>
                              <w:rPr>
                                <w:i/>
                                <w:sz w:val="22"/>
                              </w:rPr>
                            </w:pPr>
                            <w:r>
                              <w:rPr>
                                <w:i/>
                                <w:sz w:val="22"/>
                              </w:rPr>
                              <w:t>b.) SW480 clones-2, 3 and 9 were assessed for SRCAP expression in the same way.</w:t>
                            </w:r>
                            <w:r w:rsidRPr="00EF1915">
                              <w:rPr>
                                <w:i/>
                                <w:sz w:val="22"/>
                              </w:rPr>
                              <w:t xml:space="preserve"> </w:t>
                            </w:r>
                            <w:r>
                              <w:rPr>
                                <w:i/>
                                <w:sz w:val="22"/>
                              </w:rPr>
                              <w:t>The clones had slightly raised expression compared to control cells, however nowhere near the extent that was shown previously in figure 3.16 (n=1).</w:t>
                            </w:r>
                          </w:p>
                          <w:p w14:paraId="24FB2FD2" w14:textId="7C951B96" w:rsidR="00E82D3B" w:rsidRDefault="00E82D3B" w:rsidP="00907B02">
                            <w:pPr>
                              <w:jc w:val="both"/>
                              <w:rPr>
                                <w:i/>
                                <w:sz w:val="22"/>
                              </w:rPr>
                            </w:pPr>
                            <w:r>
                              <w:rPr>
                                <w:i/>
                                <w:sz w:val="22"/>
                              </w:rPr>
                              <w:t xml:space="preserve">c.) SRCAP expression was assessed in the same HCT116 clones as in Figure 3.23a but after two weeks of subjection to antibiotic selection media there was no SRCAP over-expression compared to control cells, these are on the left of the graph under the title of rescue. </w:t>
                            </w:r>
                          </w:p>
                          <w:p w14:paraId="536646EE" w14:textId="4A551550" w:rsidR="00E82D3B" w:rsidRPr="00E47A53" w:rsidRDefault="00E82D3B" w:rsidP="00907B02">
                            <w:pPr>
                              <w:jc w:val="both"/>
                              <w:rPr>
                                <w:i/>
                                <w:sz w:val="22"/>
                              </w:rPr>
                            </w:pPr>
                            <w:r>
                              <w:rPr>
                                <w:i/>
                                <w:sz w:val="22"/>
                              </w:rPr>
                              <w:t xml:space="preserve">New vials of the HCT116 over-expressing clones were thawed and also grown in selection media. There was again, no over-expression of SRCAP compared to control cells. The graphs show the mean of three internal repeats in the Taqman PCR along with positive and negative errors (n=1). </w:t>
                            </w:r>
                          </w:p>
                          <w:p w14:paraId="577EA500" w14:textId="51C245C3" w:rsidR="00E82D3B" w:rsidRPr="00826B74" w:rsidRDefault="00E82D3B" w:rsidP="00091260">
                            <w:pPr>
                              <w:jc w:val="both"/>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9" o:spid="_x0000_s1093" type="#_x0000_t202" style="position:absolute;margin-left:-8.95pt;margin-top:6in;width:441pt;height:234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" filled="f" stroked="f">
                <v:textbox>
                  <w:txbxContent>
                    <w:p w14:paraId="42BD5F99" w14:textId="4CED2448" w:rsidR="000A1E0D" w:rsidRDefault="000A1E0D" w:rsidP="00091260">
                      <w:pPr>
                        <w:jc w:val="both"/>
                        <w:rPr>
                          <w:b/>
                          <w:i/>
                          <w:sz w:val="22"/>
                        </w:rPr>
                      </w:pPr>
                      <w:r w:rsidRPr="00826B74">
                        <w:rPr>
                          <w:b/>
                          <w:i/>
                          <w:sz w:val="22"/>
                        </w:rPr>
                        <w:t>F</w:t>
                      </w:r>
                      <w:r>
                        <w:rPr>
                          <w:b/>
                          <w:i/>
                          <w:sz w:val="22"/>
                        </w:rPr>
                        <w:t>igure 3</w:t>
                      </w:r>
                      <w:r w:rsidRPr="00826B74">
                        <w:rPr>
                          <w:b/>
                          <w:i/>
                          <w:sz w:val="22"/>
                        </w:rPr>
                        <w:t>.</w:t>
                      </w:r>
                      <w:r>
                        <w:rPr>
                          <w:b/>
                          <w:i/>
                          <w:sz w:val="22"/>
                        </w:rPr>
                        <w:t>23</w:t>
                      </w:r>
                      <w:r w:rsidRPr="00826B74">
                        <w:rPr>
                          <w:b/>
                          <w:i/>
                          <w:sz w:val="22"/>
                        </w:rPr>
                        <w:t xml:space="preserve"> Retest of SRCAP expression</w:t>
                      </w:r>
                      <w:r>
                        <w:rPr>
                          <w:b/>
                          <w:i/>
                          <w:sz w:val="22"/>
                        </w:rPr>
                        <w:t xml:space="preserve"> in CRISPR clones shows no over-</w:t>
                      </w:r>
                      <w:r w:rsidRPr="00826B74">
                        <w:rPr>
                          <w:b/>
                          <w:i/>
                          <w:sz w:val="22"/>
                        </w:rPr>
                        <w:t>expression</w:t>
                      </w:r>
                      <w:r>
                        <w:rPr>
                          <w:b/>
                          <w:i/>
                          <w:sz w:val="22"/>
                        </w:rPr>
                        <w:t xml:space="preserve"> of SRCAP</w:t>
                      </w:r>
                    </w:p>
                    <w:p w14:paraId="76094579" w14:textId="4A2EFD1E" w:rsidR="000A1E0D" w:rsidRDefault="000A1E0D" w:rsidP="00091260">
                      <w:pPr>
                        <w:jc w:val="both"/>
                        <w:rPr>
                          <w:i/>
                          <w:sz w:val="22"/>
                        </w:rPr>
                      </w:pPr>
                      <w:r>
                        <w:rPr>
                          <w:i/>
                          <w:sz w:val="22"/>
                        </w:rPr>
                        <w:t>a.) HCT116 clones- 4, 11, 13, 14 and 17, along with the parental control cells had RNA extracted and assessed for SRCAP expression using the Taqman PCR assay. Expression levels had fallen sharply from what was seen in figure 3.16. HCT116 clones showed lower expression than control HCT116 cells. Graphs show the mean from three internal repeats of one experiment with the positive and negatives errors (n=1).</w:t>
                      </w:r>
                    </w:p>
                    <w:p w14:paraId="5CBB2B71" w14:textId="07B1555F" w:rsidR="000A1E0D" w:rsidRDefault="000A1E0D" w:rsidP="00091260">
                      <w:pPr>
                        <w:jc w:val="both"/>
                        <w:rPr>
                          <w:i/>
                          <w:sz w:val="22"/>
                        </w:rPr>
                      </w:pPr>
                      <w:r>
                        <w:rPr>
                          <w:i/>
                          <w:sz w:val="22"/>
                        </w:rPr>
                        <w:t>b.) SW480 clones-2, 3 and 9 were assessed for SRCAP expression in the same way.</w:t>
                      </w:r>
                      <w:r w:rsidRPr="00EF1915">
                        <w:rPr>
                          <w:i/>
                          <w:sz w:val="22"/>
                        </w:rPr>
                        <w:t xml:space="preserve"> </w:t>
                      </w:r>
                      <w:r>
                        <w:rPr>
                          <w:i/>
                          <w:sz w:val="22"/>
                        </w:rPr>
                        <w:t>The clones had slightly raised expression compared to control cells, however nowhere near the extent that was shown previously in figure 3.16 (n=1).</w:t>
                      </w:r>
                    </w:p>
                    <w:p w14:paraId="24FB2FD2" w14:textId="7C951B96" w:rsidR="000A1E0D" w:rsidRDefault="000A1E0D" w:rsidP="00907B02">
                      <w:pPr>
                        <w:jc w:val="both"/>
                        <w:rPr>
                          <w:i/>
                          <w:sz w:val="22"/>
                        </w:rPr>
                      </w:pPr>
                      <w:r>
                        <w:rPr>
                          <w:i/>
                          <w:sz w:val="22"/>
                        </w:rPr>
                        <w:t xml:space="preserve">c.) SRCAP expression was assessed in the same HCT116 clones as in Figure 3.23a but after two weeks of subjection to antibiotic selection media there was no SRCAP over-expression compared to control cells, these are on the left of the graph under the title of rescue. </w:t>
                      </w:r>
                    </w:p>
                    <w:p w14:paraId="536646EE" w14:textId="4A551550" w:rsidR="000A1E0D" w:rsidRPr="00E47A53" w:rsidRDefault="000A1E0D" w:rsidP="00907B02">
                      <w:pPr>
                        <w:jc w:val="both"/>
                        <w:rPr>
                          <w:i/>
                          <w:sz w:val="22"/>
                        </w:rPr>
                      </w:pPr>
                      <w:r>
                        <w:rPr>
                          <w:i/>
                          <w:sz w:val="22"/>
                        </w:rPr>
                        <w:t xml:space="preserve">New vials of the HCT116 over-expressing clones were thawed and also grown in selection media. There was again, no over-expression of SRCAP compared to control cells. The graphs show the mean of three internal repeats in the Taqman PCR along with positive and negative errors (n=1). </w:t>
                      </w:r>
                    </w:p>
                    <w:p w14:paraId="577EA500" w14:textId="51C245C3" w:rsidR="000A1E0D" w:rsidRPr="00826B74" w:rsidRDefault="000A1E0D" w:rsidP="00091260">
                      <w:pPr>
                        <w:jc w:val="both"/>
                        <w:rPr>
                          <w:i/>
                          <w:sz w:val="22"/>
                        </w:rPr>
                      </w:pPr>
                    </w:p>
                  </w:txbxContent>
                </v:textbox>
                <w10:wrap type="square"/>
              </v:shape>
            </w:pict>
          </mc:Fallback>
        </mc:AlternateContent>
      </w:r>
      <w:r>
        <w:rPr>
          <w:rFonts w:asciiTheme="majorHAnsi" w:hAnsiTheme="majorHAnsi"/>
          <w:noProof/>
          <w:sz w:val="28"/>
          <w:szCs w:val="28"/>
          <w:u w:val="single"/>
          <w:lang w:val="en-US"/>
        </w:rPr>
        <mc:AlternateContent>
          <mc:Choice Requires="wps">
            <w:drawing>
              <wp:anchor distT="0" distB="0" distL="114300" distR="114300" simplePos="0" relativeHeight="252147712" behindDoc="0" locked="0" layoutInCell="1" allowOverlap="1" wp14:anchorId="2A35FCB4" wp14:editId="4A36A8D9">
                <wp:simplePos x="0" y="0"/>
                <wp:positionH relativeFrom="column">
                  <wp:posOffset>0</wp:posOffset>
                </wp:positionH>
                <wp:positionV relativeFrom="paragraph">
                  <wp:posOffset>2286000</wp:posOffset>
                </wp:positionV>
                <wp:extent cx="685800" cy="342900"/>
                <wp:effectExtent l="0" t="0" r="0" b="12700"/>
                <wp:wrapSquare wrapText="bothSides"/>
                <wp:docPr id="378" name="Text Box 378"/>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422438" w14:textId="51BF041B" w:rsidR="00E82D3B" w:rsidRPr="0037119B" w:rsidRDefault="00E82D3B" w:rsidP="00907B02">
                            <w:pPr>
                              <w:rPr>
                                <w:b/>
                              </w:rPr>
                            </w:pPr>
                            <w:proofErr w:type="gramStart"/>
                            <w:r>
                              <w:rPr>
                                <w:b/>
                              </w:rPr>
                              <w:t>c</w:t>
                            </w:r>
                            <w:proofErr w:type="gramEnd"/>
                            <w:r w:rsidRPr="0037119B">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8" o:spid="_x0000_s1094" type="#_x0000_t202" style="position:absolute;margin-left:0;margin-top:180pt;width:54pt;height:27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" filled="f" stroked="f">
                <v:textbox>
                  <w:txbxContent>
                    <w:p w14:paraId="30422438" w14:textId="51BF041B" w:rsidR="000A1E0D" w:rsidRPr="0037119B" w:rsidRDefault="000A1E0D" w:rsidP="00907B02">
                      <w:pPr>
                        <w:rPr>
                          <w:b/>
                        </w:rPr>
                      </w:pPr>
                      <w:proofErr w:type="gramStart"/>
                      <w:r>
                        <w:rPr>
                          <w:b/>
                        </w:rPr>
                        <w:t>c</w:t>
                      </w:r>
                      <w:proofErr w:type="gramEnd"/>
                      <w:r w:rsidRPr="0037119B">
                        <w:rPr>
                          <w:b/>
                        </w:rPr>
                        <w:t>.)</w:t>
                      </w:r>
                    </w:p>
                  </w:txbxContent>
                </v:textbox>
                <w10:wrap type="square"/>
              </v:shape>
            </w:pict>
          </mc:Fallback>
        </mc:AlternateContent>
      </w:r>
      <w:r w:rsidRPr="00826B74">
        <w:rPr>
          <w:rFonts w:asciiTheme="majorHAnsi" w:hAnsiTheme="majorHAnsi"/>
          <w:noProof/>
          <w:sz w:val="28"/>
          <w:szCs w:val="28"/>
          <w:u w:val="single"/>
          <w:lang w:val="en-US"/>
        </w:rPr>
        <w:drawing>
          <wp:anchor distT="0" distB="0" distL="114300" distR="114300" simplePos="0" relativeHeight="252020736" behindDoc="0" locked="0" layoutInCell="1" allowOverlap="1" wp14:anchorId="471E2148" wp14:editId="0ACE7252">
            <wp:simplePos x="0" y="0"/>
            <wp:positionH relativeFrom="column">
              <wp:posOffset>457200</wp:posOffset>
            </wp:positionH>
            <wp:positionV relativeFrom="paragraph">
              <wp:posOffset>2514600</wp:posOffset>
            </wp:positionV>
            <wp:extent cx="4691380" cy="2726690"/>
            <wp:effectExtent l="0" t="0" r="33020" b="16510"/>
            <wp:wrapSquare wrapText="bothSides"/>
            <wp:docPr id="291"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r w:rsidR="00091260">
        <w:rPr>
          <w:rFonts w:asciiTheme="majorHAnsi" w:hAnsiTheme="majorHAnsi"/>
          <w:noProof/>
          <w:sz w:val="28"/>
          <w:szCs w:val="28"/>
          <w:u w:val="single"/>
          <w:lang w:val="en-US"/>
        </w:rPr>
        <mc:AlternateContent>
          <mc:Choice Requires="wps">
            <w:drawing>
              <wp:anchor distT="0" distB="0" distL="114300" distR="114300" simplePos="0" relativeHeight="252028928" behindDoc="0" locked="0" layoutInCell="1" allowOverlap="1" wp14:anchorId="61F369A6" wp14:editId="0158CCD1">
                <wp:simplePos x="0" y="0"/>
                <wp:positionH relativeFrom="column">
                  <wp:posOffset>2857500</wp:posOffset>
                </wp:positionH>
                <wp:positionV relativeFrom="paragraph">
                  <wp:posOffset>-228600</wp:posOffset>
                </wp:positionV>
                <wp:extent cx="685800" cy="342900"/>
                <wp:effectExtent l="0" t="0" r="0" b="12700"/>
                <wp:wrapSquare wrapText="bothSides"/>
                <wp:docPr id="280" name="Text Box 280"/>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D76253" w14:textId="77777777" w:rsidR="00E82D3B" w:rsidRPr="0037119B" w:rsidRDefault="00E82D3B" w:rsidP="00091260">
                            <w:pPr>
                              <w:rPr>
                                <w:b/>
                              </w:rPr>
                            </w:pPr>
                            <w:proofErr w:type="gramStart"/>
                            <w:r>
                              <w:rPr>
                                <w:b/>
                              </w:rPr>
                              <w:t>b</w:t>
                            </w:r>
                            <w:proofErr w:type="gramEnd"/>
                            <w:r w:rsidRPr="0037119B">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0" o:spid="_x0000_s1095" type="#_x0000_t202" style="position:absolute;margin-left:225pt;margin-top:-17.95pt;width:54pt;height:27pt;z-index:25202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bE0NMCAAAZ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" filled="f" stroked="f">
                <v:textbox>
                  <w:txbxContent>
                    <w:p w14:paraId="73D76253" w14:textId="77777777" w:rsidR="000A1E0D" w:rsidRPr="0037119B" w:rsidRDefault="000A1E0D" w:rsidP="00091260">
                      <w:pPr>
                        <w:rPr>
                          <w:b/>
                        </w:rPr>
                      </w:pPr>
                      <w:proofErr w:type="gramStart"/>
                      <w:r>
                        <w:rPr>
                          <w:b/>
                        </w:rPr>
                        <w:t>b</w:t>
                      </w:r>
                      <w:proofErr w:type="gramEnd"/>
                      <w:r w:rsidRPr="0037119B">
                        <w:rPr>
                          <w:b/>
                        </w:rPr>
                        <w:t>.)</w:t>
                      </w:r>
                    </w:p>
                  </w:txbxContent>
                </v:textbox>
                <w10:wrap type="square"/>
              </v:shape>
            </w:pict>
          </mc:Fallback>
        </mc:AlternateContent>
      </w:r>
      <w:r w:rsidR="00091260">
        <w:rPr>
          <w:rFonts w:asciiTheme="majorHAnsi" w:hAnsiTheme="majorHAnsi"/>
          <w:noProof/>
          <w:sz w:val="28"/>
          <w:szCs w:val="28"/>
          <w:u w:val="single"/>
          <w:lang w:val="en-US"/>
        </w:rPr>
        <mc:AlternateContent>
          <mc:Choice Requires="wps">
            <w:drawing>
              <wp:anchor distT="0" distB="0" distL="114300" distR="114300" simplePos="0" relativeHeight="252027904" behindDoc="0" locked="0" layoutInCell="1" allowOverlap="1" wp14:anchorId="076C8471" wp14:editId="69219686">
                <wp:simplePos x="0" y="0"/>
                <wp:positionH relativeFrom="column">
                  <wp:posOffset>-114300</wp:posOffset>
                </wp:positionH>
                <wp:positionV relativeFrom="paragraph">
                  <wp:posOffset>-228600</wp:posOffset>
                </wp:positionV>
                <wp:extent cx="685800" cy="342900"/>
                <wp:effectExtent l="0" t="0" r="0" b="12700"/>
                <wp:wrapSquare wrapText="bothSides"/>
                <wp:docPr id="281" name="Text Box 281"/>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A7EB3D" w14:textId="77777777" w:rsidR="00E82D3B" w:rsidRPr="0037119B" w:rsidRDefault="00E82D3B" w:rsidP="00091260">
                            <w:pPr>
                              <w:rPr>
                                <w:b/>
                              </w:rPr>
                            </w:pPr>
                            <w:proofErr w:type="gramStart"/>
                            <w:r w:rsidRPr="0037119B">
                              <w:rPr>
                                <w:b/>
                              </w:rPr>
                              <w:t>a</w:t>
                            </w:r>
                            <w:proofErr w:type="gramEnd"/>
                            <w:r w:rsidRPr="0037119B">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1" o:spid="_x0000_s1096" type="#_x0000_t202" style="position:absolute;margin-left:-8.95pt;margin-top:-17.95pt;width:54pt;height:27pt;z-index:25202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CDb9ICAAAZ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" filled="f" stroked="f">
                <v:textbox>
                  <w:txbxContent>
                    <w:p w14:paraId="4DA7EB3D" w14:textId="77777777" w:rsidR="000A1E0D" w:rsidRPr="0037119B" w:rsidRDefault="000A1E0D" w:rsidP="00091260">
                      <w:pPr>
                        <w:rPr>
                          <w:b/>
                        </w:rPr>
                      </w:pPr>
                      <w:proofErr w:type="gramStart"/>
                      <w:r w:rsidRPr="0037119B">
                        <w:rPr>
                          <w:b/>
                        </w:rPr>
                        <w:t>a</w:t>
                      </w:r>
                      <w:proofErr w:type="gramEnd"/>
                      <w:r w:rsidRPr="0037119B">
                        <w:rPr>
                          <w:b/>
                        </w:rPr>
                        <w:t>.)</w:t>
                      </w:r>
                    </w:p>
                  </w:txbxContent>
                </v:textbox>
                <w10:wrap type="square"/>
              </v:shape>
            </w:pict>
          </mc:Fallback>
        </mc:AlternateContent>
      </w:r>
      <w:r w:rsidR="00091260" w:rsidRPr="00C63E2B">
        <w:rPr>
          <w:rFonts w:asciiTheme="majorHAnsi" w:hAnsiTheme="majorHAnsi"/>
          <w:noProof/>
          <w:sz w:val="28"/>
          <w:szCs w:val="28"/>
          <w:u w:val="single"/>
          <w:lang w:val="en-US"/>
        </w:rPr>
        <w:drawing>
          <wp:anchor distT="0" distB="0" distL="114300" distR="114300" simplePos="0" relativeHeight="252017664" behindDoc="0" locked="0" layoutInCell="1" allowOverlap="1" wp14:anchorId="48988AB7" wp14:editId="136255F7">
            <wp:simplePos x="0" y="0"/>
            <wp:positionH relativeFrom="column">
              <wp:posOffset>-228600</wp:posOffset>
            </wp:positionH>
            <wp:positionV relativeFrom="paragraph">
              <wp:posOffset>0</wp:posOffset>
            </wp:positionV>
            <wp:extent cx="3200400" cy="2171700"/>
            <wp:effectExtent l="0" t="0" r="0" b="0"/>
            <wp:wrapSquare wrapText="bothSides"/>
            <wp:docPr id="292" name="Chart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page">
              <wp14:pctWidth>0</wp14:pctWidth>
            </wp14:sizeRelH>
            <wp14:sizeRelV relativeFrom="page">
              <wp14:pctHeight>0</wp14:pctHeight>
            </wp14:sizeRelV>
          </wp:anchor>
        </w:drawing>
      </w:r>
      <w:r w:rsidR="00091260" w:rsidRPr="00C63E2B">
        <w:rPr>
          <w:rFonts w:asciiTheme="majorHAnsi" w:hAnsiTheme="majorHAnsi"/>
          <w:noProof/>
          <w:sz w:val="28"/>
          <w:szCs w:val="28"/>
          <w:u w:val="single"/>
          <w:lang w:val="en-US"/>
        </w:rPr>
        <w:drawing>
          <wp:anchor distT="0" distB="0" distL="114300" distR="114300" simplePos="0" relativeHeight="252018688" behindDoc="0" locked="0" layoutInCell="1" allowOverlap="1" wp14:anchorId="06B3A43E" wp14:editId="1184E395">
            <wp:simplePos x="0" y="0"/>
            <wp:positionH relativeFrom="column">
              <wp:posOffset>2857500</wp:posOffset>
            </wp:positionH>
            <wp:positionV relativeFrom="paragraph">
              <wp:posOffset>0</wp:posOffset>
            </wp:positionV>
            <wp:extent cx="2971800" cy="2171700"/>
            <wp:effectExtent l="0" t="0" r="25400" b="12700"/>
            <wp:wrapSquare wrapText="bothSides"/>
            <wp:docPr id="293" name="Chart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page">
              <wp14:pctWidth>0</wp14:pctWidth>
            </wp14:sizeRelH>
            <wp14:sizeRelV relativeFrom="page">
              <wp14:pctHeight>0</wp14:pctHeight>
            </wp14:sizeRelV>
          </wp:anchor>
        </w:drawing>
      </w:r>
      <w:r w:rsidR="00091260">
        <w:rPr>
          <w:rFonts w:asciiTheme="majorHAnsi" w:hAnsiTheme="majorHAnsi"/>
        </w:rPr>
        <w:br w:type="page"/>
      </w:r>
    </w:p>
    <w:p w14:paraId="59BDD2DE" w14:textId="37CDA1E7" w:rsidR="00091260" w:rsidRDefault="00091260" w:rsidP="00091260">
      <w:pPr>
        <w:spacing w:line="360" w:lineRule="auto"/>
        <w:jc w:val="both"/>
        <w:rPr>
          <w:rFonts w:asciiTheme="majorHAnsi" w:hAnsiTheme="majorHAnsi"/>
        </w:rPr>
      </w:pPr>
      <w:r>
        <w:rPr>
          <w:rFonts w:asciiTheme="majorHAnsi" w:hAnsiTheme="majorHAnsi"/>
        </w:rPr>
        <w:t xml:space="preserve">With this is mind it was now uncertain whether the assays assessing the phenotypic attributes of the cells were valid, as there was no idea as to when the clones began to lose the </w:t>
      </w:r>
      <w:r w:rsidRPr="00663BEE">
        <w:rPr>
          <w:rFonts w:asciiTheme="majorHAnsi" w:hAnsiTheme="majorHAnsi"/>
          <w:i/>
        </w:rPr>
        <w:t>SRCAP</w:t>
      </w:r>
      <w:r w:rsidR="00323D15">
        <w:rPr>
          <w:rFonts w:asciiTheme="majorHAnsi" w:hAnsiTheme="majorHAnsi"/>
        </w:rPr>
        <w:t xml:space="preserve"> over-</w:t>
      </w:r>
      <w:r>
        <w:rPr>
          <w:rFonts w:asciiTheme="majorHAnsi" w:hAnsiTheme="majorHAnsi"/>
        </w:rPr>
        <w:t xml:space="preserve">expression. It could be reasonable to </w:t>
      </w:r>
      <w:r w:rsidR="00A72B38">
        <w:rPr>
          <w:rFonts w:asciiTheme="majorHAnsi" w:hAnsiTheme="majorHAnsi"/>
        </w:rPr>
        <w:t>hypothesize</w:t>
      </w:r>
      <w:r>
        <w:rPr>
          <w:rFonts w:asciiTheme="majorHAnsi" w:hAnsiTheme="majorHAnsi"/>
        </w:rPr>
        <w:t xml:space="preserve"> however that the variation </w:t>
      </w:r>
      <w:r w:rsidR="00A72B38">
        <w:rPr>
          <w:rFonts w:asciiTheme="majorHAnsi" w:hAnsiTheme="majorHAnsi"/>
        </w:rPr>
        <w:t xml:space="preserve">we observed </w:t>
      </w:r>
      <w:r>
        <w:rPr>
          <w:rFonts w:asciiTheme="majorHAnsi" w:hAnsiTheme="majorHAnsi"/>
        </w:rPr>
        <w:t xml:space="preserve">between </w:t>
      </w:r>
      <w:r w:rsidR="00A72B38">
        <w:rPr>
          <w:rFonts w:asciiTheme="majorHAnsi" w:hAnsiTheme="majorHAnsi"/>
        </w:rPr>
        <w:t xml:space="preserve">the </w:t>
      </w:r>
      <w:r>
        <w:rPr>
          <w:rFonts w:asciiTheme="majorHAnsi" w:hAnsiTheme="majorHAnsi"/>
        </w:rPr>
        <w:t xml:space="preserve">repeats </w:t>
      </w:r>
      <w:r w:rsidR="00A72B38">
        <w:rPr>
          <w:rFonts w:asciiTheme="majorHAnsi" w:hAnsiTheme="majorHAnsi"/>
        </w:rPr>
        <w:t>could be</w:t>
      </w:r>
      <w:r>
        <w:rPr>
          <w:rFonts w:asciiTheme="majorHAnsi" w:hAnsiTheme="majorHAnsi"/>
        </w:rPr>
        <w:t xml:space="preserve"> due to the gradual loss of </w:t>
      </w:r>
      <w:r w:rsidRPr="00663BEE">
        <w:rPr>
          <w:rFonts w:asciiTheme="majorHAnsi" w:hAnsiTheme="majorHAnsi"/>
          <w:i/>
        </w:rPr>
        <w:t>SRCAP</w:t>
      </w:r>
      <w:r w:rsidR="00323D15">
        <w:rPr>
          <w:rFonts w:asciiTheme="majorHAnsi" w:hAnsiTheme="majorHAnsi"/>
        </w:rPr>
        <w:t xml:space="preserve"> over-</w:t>
      </w:r>
      <w:r>
        <w:rPr>
          <w:rFonts w:asciiTheme="majorHAnsi" w:hAnsiTheme="majorHAnsi"/>
        </w:rPr>
        <w:t>expression over time.  Therefore in order to track the expression regularly after the initial transfection and antibiotic selection process and so see whether it was a gradual decline in expression or a loss after a specific time frame, we attempted to generate new HCT116 clone</w:t>
      </w:r>
      <w:r w:rsidR="00323D15">
        <w:rPr>
          <w:rFonts w:asciiTheme="majorHAnsi" w:hAnsiTheme="majorHAnsi"/>
        </w:rPr>
        <w:t>s over-</w:t>
      </w:r>
      <w:r>
        <w:rPr>
          <w:rFonts w:asciiTheme="majorHAnsi" w:hAnsiTheme="majorHAnsi"/>
        </w:rPr>
        <w:t xml:space="preserve">expressing </w:t>
      </w:r>
      <w:r w:rsidRPr="00663BEE">
        <w:rPr>
          <w:rFonts w:asciiTheme="majorHAnsi" w:hAnsiTheme="majorHAnsi"/>
          <w:i/>
        </w:rPr>
        <w:t>SRCAP</w:t>
      </w:r>
      <w:r>
        <w:rPr>
          <w:rFonts w:asciiTheme="majorHAnsi" w:hAnsiTheme="majorHAnsi"/>
        </w:rPr>
        <w:t>. However, with the remaining reagents, no over</w:t>
      </w:r>
      <w:r w:rsidR="00323D15">
        <w:rPr>
          <w:rFonts w:asciiTheme="majorHAnsi" w:hAnsiTheme="majorHAnsi"/>
        </w:rPr>
        <w:t>-</w:t>
      </w:r>
      <w:r>
        <w:rPr>
          <w:rFonts w:asciiTheme="majorHAnsi" w:hAnsiTheme="majorHAnsi"/>
        </w:rPr>
        <w:t>expressing clones were obtaine</w:t>
      </w:r>
      <w:r w:rsidR="00861277">
        <w:rPr>
          <w:rFonts w:asciiTheme="majorHAnsi" w:hAnsiTheme="majorHAnsi"/>
        </w:rPr>
        <w:t>d out of 18 tested, (Figure 3.24</w:t>
      </w:r>
      <w:r w:rsidR="00A72B38">
        <w:rPr>
          <w:rFonts w:asciiTheme="majorHAnsi" w:hAnsiTheme="majorHAnsi"/>
        </w:rPr>
        <w:t>). A possible</w:t>
      </w:r>
      <w:r>
        <w:rPr>
          <w:rFonts w:asciiTheme="majorHAnsi" w:hAnsiTheme="majorHAnsi"/>
        </w:rPr>
        <w:t xml:space="preserve"> explanation for this could be the repeat freeze thawing of the lentiviral plasmids or to loss of activity during the two months between transfections. Given the problems trying to make stable clones using the normal method of cDNA transfection mentioned earlier in this chapter, and the decrease in expression of </w:t>
      </w:r>
      <w:r w:rsidRPr="00663BEE">
        <w:rPr>
          <w:rFonts w:asciiTheme="majorHAnsi" w:hAnsiTheme="majorHAnsi"/>
          <w:i/>
        </w:rPr>
        <w:t>SRCAP</w:t>
      </w:r>
      <w:r>
        <w:rPr>
          <w:rFonts w:asciiTheme="majorHAnsi" w:hAnsiTheme="majorHAnsi"/>
        </w:rPr>
        <w:t xml:space="preserve"> within the clones, despite the antibiotic selection, and the large size of the SRCAP protein, it is possible that the continuous </w:t>
      </w:r>
      <w:r w:rsidRPr="00663BEE">
        <w:rPr>
          <w:rFonts w:asciiTheme="majorHAnsi" w:hAnsiTheme="majorHAnsi"/>
          <w:i/>
        </w:rPr>
        <w:t>SRCAP</w:t>
      </w:r>
      <w:r w:rsidR="00323D15">
        <w:rPr>
          <w:rFonts w:asciiTheme="majorHAnsi" w:hAnsiTheme="majorHAnsi"/>
        </w:rPr>
        <w:t xml:space="preserve"> over-</w:t>
      </w:r>
      <w:r>
        <w:rPr>
          <w:rFonts w:asciiTheme="majorHAnsi" w:hAnsiTheme="majorHAnsi"/>
        </w:rPr>
        <w:t xml:space="preserve">expression is actively selected against within the cell populations. However, another member of the lab group, who was using lentiviral CRISPR methods, also saw a similar decrease in expression </w:t>
      </w:r>
      <w:r w:rsidR="00323D15">
        <w:rPr>
          <w:rFonts w:asciiTheme="majorHAnsi" w:hAnsiTheme="majorHAnsi"/>
        </w:rPr>
        <w:t>when using the same stable over-</w:t>
      </w:r>
      <w:r>
        <w:rPr>
          <w:rFonts w:asciiTheme="majorHAnsi" w:hAnsiTheme="majorHAnsi"/>
        </w:rPr>
        <w:t>expression reagents, possibly pointing to a problem with the system itself</w:t>
      </w:r>
      <w:r w:rsidR="002F04E4">
        <w:rPr>
          <w:rFonts w:asciiTheme="majorHAnsi" w:hAnsiTheme="majorHAnsi"/>
        </w:rPr>
        <w:t>, such as promoter methylation silencing</w:t>
      </w:r>
      <w:r>
        <w:rPr>
          <w:rFonts w:asciiTheme="majorHAnsi" w:hAnsiTheme="majorHAnsi"/>
        </w:rPr>
        <w:t xml:space="preserve">. </w:t>
      </w:r>
    </w:p>
    <w:p w14:paraId="624F63EB" w14:textId="77777777" w:rsidR="00091260" w:rsidRPr="0023617E" w:rsidRDefault="00091260" w:rsidP="00091260">
      <w:pPr>
        <w:spacing w:line="360" w:lineRule="auto"/>
        <w:jc w:val="both"/>
        <w:rPr>
          <w:rFonts w:asciiTheme="majorHAnsi" w:hAnsiTheme="majorHAnsi"/>
        </w:rPr>
      </w:pPr>
      <w:r w:rsidRPr="00993ADE">
        <w:rPr>
          <w:rFonts w:asciiTheme="majorHAnsi" w:hAnsiTheme="majorHAnsi"/>
          <w:noProof/>
          <w:sz w:val="28"/>
          <w:szCs w:val="28"/>
          <w:u w:val="single"/>
          <w:lang w:val="en-US"/>
        </w:rPr>
        <w:drawing>
          <wp:anchor distT="0" distB="0" distL="114300" distR="114300" simplePos="0" relativeHeight="252015616" behindDoc="0" locked="0" layoutInCell="1" allowOverlap="1" wp14:anchorId="72C173FB" wp14:editId="46EEA882">
            <wp:simplePos x="0" y="0"/>
            <wp:positionH relativeFrom="column">
              <wp:posOffset>342900</wp:posOffset>
            </wp:positionH>
            <wp:positionV relativeFrom="paragraph">
              <wp:posOffset>120650</wp:posOffset>
            </wp:positionV>
            <wp:extent cx="4686300" cy="2127250"/>
            <wp:effectExtent l="0" t="0" r="12700" b="31750"/>
            <wp:wrapSquare wrapText="bothSides"/>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page">
              <wp14:pctWidth>0</wp14:pctWidth>
            </wp14:sizeRelH>
            <wp14:sizeRelV relativeFrom="page">
              <wp14:pctHeight>0</wp14:pctHeight>
            </wp14:sizeRelV>
          </wp:anchor>
        </w:drawing>
      </w:r>
    </w:p>
    <w:p w14:paraId="1AB913FA" w14:textId="77777777" w:rsidR="00091260" w:rsidRPr="0023617E" w:rsidRDefault="00091260" w:rsidP="00091260">
      <w:pPr>
        <w:spacing w:line="360" w:lineRule="auto"/>
        <w:jc w:val="both"/>
        <w:rPr>
          <w:rFonts w:asciiTheme="majorHAnsi" w:hAnsiTheme="majorHAnsi"/>
        </w:rPr>
      </w:pPr>
    </w:p>
    <w:p w14:paraId="49401CFC" w14:textId="77777777" w:rsidR="00091260" w:rsidRPr="00457643" w:rsidRDefault="00091260" w:rsidP="00091260">
      <w:pPr>
        <w:rPr>
          <w:rFonts w:asciiTheme="majorHAnsi" w:hAnsiTheme="majorHAnsi"/>
          <w:sz w:val="28"/>
          <w:szCs w:val="28"/>
          <w:u w:val="single"/>
        </w:rPr>
      </w:pPr>
      <w:r>
        <w:rPr>
          <w:rFonts w:asciiTheme="majorHAnsi" w:hAnsiTheme="majorHAnsi"/>
          <w:noProof/>
          <w:sz w:val="28"/>
          <w:szCs w:val="28"/>
          <w:u w:val="single"/>
          <w:lang w:val="en-US"/>
        </w:rPr>
        <mc:AlternateContent>
          <mc:Choice Requires="wps">
            <w:drawing>
              <wp:anchor distT="0" distB="0" distL="114300" distR="114300" simplePos="0" relativeHeight="252016640" behindDoc="0" locked="0" layoutInCell="1" allowOverlap="1" wp14:anchorId="39A52F8E" wp14:editId="1CA5D8B0">
                <wp:simplePos x="0" y="0"/>
                <wp:positionH relativeFrom="column">
                  <wp:posOffset>-114300</wp:posOffset>
                </wp:positionH>
                <wp:positionV relativeFrom="paragraph">
                  <wp:posOffset>1683385</wp:posOffset>
                </wp:positionV>
                <wp:extent cx="5600700" cy="1600200"/>
                <wp:effectExtent l="0" t="0" r="0" b="0"/>
                <wp:wrapSquare wrapText="bothSides"/>
                <wp:docPr id="282" name="Text Box 282"/>
                <wp:cNvGraphicFramePr/>
                <a:graphic xmlns:a="http://schemas.openxmlformats.org/drawingml/2006/main">
                  <a:graphicData uri="http://schemas.microsoft.com/office/word/2010/wordprocessingShape">
                    <wps:wsp>
                      <wps:cNvSpPr txBox="1"/>
                      <wps:spPr>
                        <a:xfrm>
                          <a:off x="0" y="0"/>
                          <a:ext cx="56007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E6713A" w14:textId="05B49CEB" w:rsidR="00E82D3B" w:rsidRPr="00C63E2B" w:rsidRDefault="00E82D3B" w:rsidP="00091260">
                            <w:pPr>
                              <w:jc w:val="both"/>
                              <w:rPr>
                                <w:b/>
                                <w:i/>
                                <w:sz w:val="22"/>
                              </w:rPr>
                            </w:pPr>
                            <w:r w:rsidRPr="00C63E2B">
                              <w:rPr>
                                <w:b/>
                                <w:i/>
                                <w:sz w:val="22"/>
                              </w:rPr>
                              <w:t>Figu</w:t>
                            </w:r>
                            <w:r>
                              <w:rPr>
                                <w:b/>
                                <w:i/>
                                <w:sz w:val="22"/>
                              </w:rPr>
                              <w:t>re 3.24 Lentiviral CRISPR clones over-</w:t>
                            </w:r>
                            <w:r w:rsidRPr="00C63E2B">
                              <w:rPr>
                                <w:b/>
                                <w:i/>
                                <w:sz w:val="22"/>
                              </w:rPr>
                              <w:t>expressing SRCAP are unable to be created.</w:t>
                            </w:r>
                          </w:p>
                          <w:p w14:paraId="2F92C3E5" w14:textId="569D129F" w:rsidR="00E82D3B" w:rsidRPr="00C63E2B" w:rsidRDefault="00E82D3B" w:rsidP="00091260">
                            <w:pPr>
                              <w:jc w:val="both"/>
                              <w:rPr>
                                <w:i/>
                                <w:sz w:val="22"/>
                              </w:rPr>
                            </w:pPr>
                            <w:r w:rsidRPr="00C63E2B">
                              <w:rPr>
                                <w:i/>
                                <w:sz w:val="22"/>
                              </w:rPr>
                              <w:t>HCT116 cells were transfected with SRCAP lentiviral CRISPR reagent, or mock transfected with ddH</w:t>
                            </w:r>
                            <w:r w:rsidRPr="00C63E2B">
                              <w:rPr>
                                <w:i/>
                                <w:sz w:val="22"/>
                                <w:vertAlign w:val="subscript"/>
                              </w:rPr>
                              <w:t>2</w:t>
                            </w:r>
                            <w:r w:rsidRPr="00C63E2B">
                              <w:rPr>
                                <w:i/>
                                <w:sz w:val="22"/>
                              </w:rPr>
                              <w:t xml:space="preserve">O, as stated in the methods, placed into antibiotic selection media containing puromycin, hygromycin and blasticidin and left until the control plate was dead and colonies had formed on the transfected </w:t>
                            </w:r>
                            <w:r>
                              <w:rPr>
                                <w:i/>
                                <w:sz w:val="22"/>
                              </w:rPr>
                              <w:t>dish</w:t>
                            </w:r>
                            <w:r w:rsidRPr="00C63E2B">
                              <w:rPr>
                                <w:i/>
                                <w:sz w:val="22"/>
                              </w:rPr>
                              <w:t>.</w:t>
                            </w:r>
                            <w:r>
                              <w:rPr>
                                <w:i/>
                                <w:sz w:val="22"/>
                              </w:rPr>
                              <w:t xml:space="preserve"> 18 c</w:t>
                            </w:r>
                            <w:r w:rsidRPr="00C63E2B">
                              <w:rPr>
                                <w:i/>
                                <w:sz w:val="22"/>
                              </w:rPr>
                              <w:t>olonies were picked and SRCAP expression assessed via RNA lysis and Taqman PCR</w:t>
                            </w:r>
                            <w:r>
                              <w:rPr>
                                <w:i/>
                                <w:sz w:val="22"/>
                              </w:rPr>
                              <w:t xml:space="preserve">, along with control parental cells and the mixed transfected population from lysing the rest of the dish.  None of the clones had SRCAP expression levels higher than the control population as shown by plotting the mean with positive and negative errors of three internal Taqman PCR repeats (n=1).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2" o:spid="_x0000_s1097" type="#_x0000_t202" style="position:absolute;margin-left:-8.95pt;margin-top:132.55pt;width:441pt;height:126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" filled="f" stroked="f">
                <v:textbox>
                  <w:txbxContent>
                    <w:p w14:paraId="7CE6713A" w14:textId="05B49CEB" w:rsidR="000A1E0D" w:rsidRPr="00C63E2B" w:rsidRDefault="000A1E0D" w:rsidP="00091260">
                      <w:pPr>
                        <w:jc w:val="both"/>
                        <w:rPr>
                          <w:b/>
                          <w:i/>
                          <w:sz w:val="22"/>
                        </w:rPr>
                      </w:pPr>
                      <w:r w:rsidRPr="00C63E2B">
                        <w:rPr>
                          <w:b/>
                          <w:i/>
                          <w:sz w:val="22"/>
                        </w:rPr>
                        <w:t>Figu</w:t>
                      </w:r>
                      <w:r>
                        <w:rPr>
                          <w:b/>
                          <w:i/>
                          <w:sz w:val="22"/>
                        </w:rPr>
                        <w:t>re 3.24 Lentiviral CRISPR clones over-</w:t>
                      </w:r>
                      <w:r w:rsidRPr="00C63E2B">
                        <w:rPr>
                          <w:b/>
                          <w:i/>
                          <w:sz w:val="22"/>
                        </w:rPr>
                        <w:t>expressing SRCAP are unable to be created.</w:t>
                      </w:r>
                    </w:p>
                    <w:p w14:paraId="2F92C3E5" w14:textId="569D129F" w:rsidR="000A1E0D" w:rsidRPr="00C63E2B" w:rsidRDefault="000A1E0D" w:rsidP="00091260">
                      <w:pPr>
                        <w:jc w:val="both"/>
                        <w:rPr>
                          <w:i/>
                          <w:sz w:val="22"/>
                        </w:rPr>
                      </w:pPr>
                      <w:r w:rsidRPr="00C63E2B">
                        <w:rPr>
                          <w:i/>
                          <w:sz w:val="22"/>
                        </w:rPr>
                        <w:t>HCT116 cells were transfected with SRCAP lentiviral CRISPR reagent, or mock transfected with ddH</w:t>
                      </w:r>
                      <w:r w:rsidRPr="00C63E2B">
                        <w:rPr>
                          <w:i/>
                          <w:sz w:val="22"/>
                          <w:vertAlign w:val="subscript"/>
                        </w:rPr>
                        <w:t>2</w:t>
                      </w:r>
                      <w:r w:rsidRPr="00C63E2B">
                        <w:rPr>
                          <w:i/>
                          <w:sz w:val="22"/>
                        </w:rPr>
                        <w:t xml:space="preserve">O, as stated in the methods, placed into antibiotic selection media containing puromycin, hygromycin and blasticidin and left until the control plate was dead and colonies had formed on the transfected </w:t>
                      </w:r>
                      <w:r>
                        <w:rPr>
                          <w:i/>
                          <w:sz w:val="22"/>
                        </w:rPr>
                        <w:t>dish</w:t>
                      </w:r>
                      <w:r w:rsidRPr="00C63E2B">
                        <w:rPr>
                          <w:i/>
                          <w:sz w:val="22"/>
                        </w:rPr>
                        <w:t>.</w:t>
                      </w:r>
                      <w:r>
                        <w:rPr>
                          <w:i/>
                          <w:sz w:val="22"/>
                        </w:rPr>
                        <w:t xml:space="preserve"> 18 c</w:t>
                      </w:r>
                      <w:r w:rsidRPr="00C63E2B">
                        <w:rPr>
                          <w:i/>
                          <w:sz w:val="22"/>
                        </w:rPr>
                        <w:t>olonies were picked and SRCAP expression assessed via RNA lysis and Taqman PCR</w:t>
                      </w:r>
                      <w:r>
                        <w:rPr>
                          <w:i/>
                          <w:sz w:val="22"/>
                        </w:rPr>
                        <w:t xml:space="preserve">, along with control parental cells and the mixed transfected population from lysing the rest of the dish.  None of the clones had SRCAP expression levels higher than the control population as shown by plotting the mean with positive and negative errors of three internal Taqman PCR repeats (n=1). </w:t>
                      </w:r>
                    </w:p>
                  </w:txbxContent>
                </v:textbox>
                <w10:wrap type="square"/>
              </v:shape>
            </w:pict>
          </mc:Fallback>
        </mc:AlternateContent>
      </w:r>
      <w:r>
        <w:rPr>
          <w:rFonts w:asciiTheme="majorHAnsi" w:hAnsiTheme="majorHAnsi"/>
          <w:sz w:val="28"/>
          <w:szCs w:val="28"/>
          <w:u w:val="single"/>
        </w:rPr>
        <w:br w:type="page"/>
      </w:r>
    </w:p>
    <w:p w14:paraId="3BA4CE1B" w14:textId="77777777" w:rsidR="00091260" w:rsidRDefault="00091260" w:rsidP="00091260">
      <w:pPr>
        <w:rPr>
          <w:rFonts w:asciiTheme="majorHAnsi" w:hAnsiTheme="majorHAnsi"/>
          <w:sz w:val="28"/>
          <w:szCs w:val="28"/>
          <w:u w:val="single"/>
        </w:rPr>
      </w:pPr>
      <w:r>
        <w:rPr>
          <w:rFonts w:asciiTheme="majorHAnsi" w:hAnsiTheme="majorHAnsi"/>
          <w:sz w:val="28"/>
          <w:szCs w:val="28"/>
          <w:u w:val="single"/>
        </w:rPr>
        <w:t>3.10 Discussion</w:t>
      </w:r>
    </w:p>
    <w:p w14:paraId="3C83C47D" w14:textId="77777777" w:rsidR="00091260" w:rsidRDefault="00091260" w:rsidP="00091260">
      <w:pPr>
        <w:spacing w:line="360" w:lineRule="auto"/>
        <w:jc w:val="both"/>
        <w:rPr>
          <w:rFonts w:asciiTheme="majorHAnsi" w:hAnsiTheme="majorHAnsi"/>
        </w:rPr>
      </w:pPr>
    </w:p>
    <w:p w14:paraId="2615D1B8" w14:textId="437062B5" w:rsidR="00091260" w:rsidRPr="00361162" w:rsidRDefault="00091260" w:rsidP="00091260">
      <w:pPr>
        <w:spacing w:line="360" w:lineRule="auto"/>
        <w:jc w:val="both"/>
        <w:rPr>
          <w:rFonts w:asciiTheme="majorHAnsi" w:hAnsiTheme="majorHAnsi"/>
        </w:rPr>
      </w:pPr>
      <w:r w:rsidRPr="00361162">
        <w:rPr>
          <w:rFonts w:asciiTheme="majorHAnsi" w:hAnsiTheme="majorHAnsi"/>
        </w:rPr>
        <w:t>In this chapter the creation of cell lines that over</w:t>
      </w:r>
      <w:r w:rsidR="00A72B38">
        <w:rPr>
          <w:rFonts w:asciiTheme="majorHAnsi" w:hAnsiTheme="majorHAnsi"/>
        </w:rPr>
        <w:t>-</w:t>
      </w:r>
      <w:r>
        <w:rPr>
          <w:rFonts w:asciiTheme="majorHAnsi" w:hAnsiTheme="majorHAnsi"/>
        </w:rPr>
        <w:t xml:space="preserve">expressed </w:t>
      </w:r>
      <w:r w:rsidRPr="00663BEE">
        <w:rPr>
          <w:rFonts w:asciiTheme="majorHAnsi" w:hAnsiTheme="majorHAnsi"/>
        </w:rPr>
        <w:t>SRCAP</w:t>
      </w:r>
      <w:r>
        <w:rPr>
          <w:rFonts w:asciiTheme="majorHAnsi" w:hAnsiTheme="majorHAnsi"/>
        </w:rPr>
        <w:t xml:space="preserve"> was attempted, using a number of different approaches. </w:t>
      </w:r>
      <w:r w:rsidRPr="00361162">
        <w:rPr>
          <w:rFonts w:asciiTheme="majorHAnsi" w:hAnsiTheme="majorHAnsi"/>
        </w:rPr>
        <w:t>Unfortunately it proved difficult to achieve a m</w:t>
      </w:r>
      <w:r w:rsidR="00A72B38">
        <w:rPr>
          <w:rFonts w:asciiTheme="majorHAnsi" w:hAnsiTheme="majorHAnsi"/>
        </w:rPr>
        <w:t>odel that stably exhibited over-</w:t>
      </w:r>
      <w:r w:rsidRPr="00361162">
        <w:rPr>
          <w:rFonts w:asciiTheme="majorHAnsi" w:hAnsiTheme="majorHAnsi"/>
        </w:rPr>
        <w:t>expression in such</w:t>
      </w:r>
      <w:r>
        <w:rPr>
          <w:rFonts w:asciiTheme="majorHAnsi" w:hAnsiTheme="majorHAnsi"/>
        </w:rPr>
        <w:t xml:space="preserve"> a way as to allow for phenotypic</w:t>
      </w:r>
      <w:r w:rsidRPr="00361162">
        <w:rPr>
          <w:rFonts w:asciiTheme="majorHAnsi" w:hAnsiTheme="majorHAnsi"/>
        </w:rPr>
        <w:t xml:space="preserve"> assays to be </w:t>
      </w:r>
      <w:r>
        <w:rPr>
          <w:rFonts w:asciiTheme="majorHAnsi" w:hAnsiTheme="majorHAnsi"/>
        </w:rPr>
        <w:t xml:space="preserve">reliably </w:t>
      </w:r>
      <w:r w:rsidRPr="00361162">
        <w:rPr>
          <w:rFonts w:asciiTheme="majorHAnsi" w:hAnsiTheme="majorHAnsi"/>
        </w:rPr>
        <w:t>conducted. It has previou</w:t>
      </w:r>
      <w:r w:rsidR="00A72B38">
        <w:rPr>
          <w:rFonts w:asciiTheme="majorHAnsi" w:hAnsiTheme="majorHAnsi"/>
        </w:rPr>
        <w:t xml:space="preserve">sly been shown that SRCAP is </w:t>
      </w:r>
      <w:proofErr w:type="gramStart"/>
      <w:r w:rsidR="00A72B38">
        <w:rPr>
          <w:rFonts w:asciiTheme="majorHAnsi" w:hAnsiTheme="majorHAnsi"/>
        </w:rPr>
        <w:t>up-</w:t>
      </w:r>
      <w:r w:rsidRPr="00361162">
        <w:rPr>
          <w:rFonts w:asciiTheme="majorHAnsi" w:hAnsiTheme="majorHAnsi"/>
        </w:rPr>
        <w:t>regulated</w:t>
      </w:r>
      <w:proofErr w:type="gramEnd"/>
      <w:r w:rsidRPr="00361162">
        <w:rPr>
          <w:rFonts w:asciiTheme="majorHAnsi" w:hAnsiTheme="majorHAnsi"/>
        </w:rPr>
        <w:t xml:space="preserve"> in breast and ovarian cancer primary tissue </w:t>
      </w:r>
      <w:r w:rsidRPr="00361162">
        <w:rPr>
          <w:rFonts w:asciiTheme="majorHAnsi" w:hAnsiTheme="majorHAnsi"/>
        </w:rPr>
        <w:fldChar w:fldCharType="begin">
          <w:fldData xml:space="preserve">PEVuZE5vdGU+PENpdGU+PEF1dGhvcj5TYW50aW48L0F1dGhvcj48WWVhcj4yMDA0PC9ZZWFyPjxJ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</w:fldData>
        </w:fldChar>
      </w:r>
      <w:r w:rsidRPr="00361162">
        <w:rPr>
          <w:rFonts w:asciiTheme="majorHAnsi" w:hAnsiTheme="majorHAnsi"/>
        </w:rPr>
        <w:instrText xml:space="preserve"> ADDIN EN.CITE </w:instrText>
      </w:r>
      <w:r w:rsidRPr="00361162">
        <w:rPr>
          <w:rFonts w:asciiTheme="majorHAnsi" w:hAnsiTheme="majorHAnsi"/>
        </w:rPr>
        <w:fldChar w:fldCharType="begin">
          <w:fldData xml:space="preserve">PEVuZE5vdGU+PENpdGU+PEF1dGhvcj5TYW50aW48L0F1dGhvcj48WWVhcj4yMDA0PC9ZZWFyPjxJ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</w:fldData>
        </w:fldChar>
      </w:r>
      <w:r w:rsidRPr="00361162">
        <w:rPr>
          <w:rFonts w:asciiTheme="majorHAnsi" w:hAnsiTheme="majorHAnsi"/>
        </w:rPr>
        <w:instrText xml:space="preserve"> ADDIN EN.CITE.DATA </w:instrText>
      </w:r>
      <w:r w:rsidRPr="00361162">
        <w:rPr>
          <w:rFonts w:asciiTheme="majorHAnsi" w:hAnsiTheme="majorHAnsi"/>
        </w:rPr>
      </w:r>
      <w:r w:rsidRPr="00361162">
        <w:rPr>
          <w:rFonts w:asciiTheme="majorHAnsi" w:hAnsiTheme="majorHAnsi"/>
        </w:rPr>
        <w:fldChar w:fldCharType="end"/>
      </w:r>
      <w:r w:rsidRPr="00361162">
        <w:rPr>
          <w:rFonts w:asciiTheme="majorHAnsi" w:hAnsiTheme="majorHAnsi"/>
        </w:rPr>
      </w:r>
      <w:r w:rsidRPr="00361162">
        <w:rPr>
          <w:rFonts w:asciiTheme="majorHAnsi" w:hAnsiTheme="majorHAnsi"/>
        </w:rPr>
        <w:fldChar w:fldCharType="separate"/>
      </w:r>
      <w:r w:rsidRPr="00361162">
        <w:rPr>
          <w:rFonts w:asciiTheme="majorHAnsi" w:hAnsiTheme="majorHAnsi"/>
          <w:noProof/>
        </w:rPr>
        <w:t>(Santin et al., 2004, Zucchi et al., 2004)</w:t>
      </w:r>
      <w:r w:rsidRPr="00361162">
        <w:rPr>
          <w:rFonts w:asciiTheme="majorHAnsi" w:hAnsiTheme="majorHAnsi"/>
        </w:rPr>
        <w:fldChar w:fldCharType="end"/>
      </w:r>
      <w:r w:rsidRPr="00361162">
        <w:rPr>
          <w:rFonts w:asciiTheme="majorHAnsi" w:hAnsiTheme="majorHAnsi"/>
        </w:rPr>
        <w:t>, and the justification behind looking into SRCA</w:t>
      </w:r>
      <w:r>
        <w:rPr>
          <w:rFonts w:asciiTheme="majorHAnsi" w:hAnsiTheme="majorHAnsi"/>
        </w:rPr>
        <w:t xml:space="preserve">P function within CRC was that </w:t>
      </w:r>
      <w:r w:rsidRPr="00361162">
        <w:rPr>
          <w:rFonts w:asciiTheme="majorHAnsi" w:hAnsiTheme="majorHAnsi"/>
        </w:rPr>
        <w:t xml:space="preserve">patients with microsatellite stable CRC tumours displayed amplification of the </w:t>
      </w:r>
      <w:r w:rsidRPr="00663BEE">
        <w:rPr>
          <w:rFonts w:asciiTheme="majorHAnsi" w:hAnsiTheme="majorHAnsi"/>
          <w:i/>
        </w:rPr>
        <w:t>SRCAP</w:t>
      </w:r>
      <w:r w:rsidRPr="00361162">
        <w:rPr>
          <w:rFonts w:asciiTheme="majorHAnsi" w:hAnsiTheme="majorHAnsi"/>
        </w:rPr>
        <w:t xml:space="preserve"> gene</w:t>
      </w:r>
      <w:r>
        <w:rPr>
          <w:rFonts w:asciiTheme="majorHAnsi" w:hAnsiTheme="majorHAnsi"/>
        </w:rPr>
        <w:t xml:space="preserve"> (See Chapter 1-Introduction)</w:t>
      </w:r>
      <w:r w:rsidRPr="00361162">
        <w:rPr>
          <w:rFonts w:asciiTheme="majorHAnsi" w:hAnsiTheme="majorHAnsi"/>
        </w:rPr>
        <w:t xml:space="preserve">. </w:t>
      </w:r>
      <w:r>
        <w:rPr>
          <w:rFonts w:asciiTheme="majorHAnsi" w:hAnsiTheme="majorHAnsi"/>
        </w:rPr>
        <w:t xml:space="preserve">These results suggest </w:t>
      </w:r>
      <w:r w:rsidRPr="00361162">
        <w:rPr>
          <w:rFonts w:asciiTheme="majorHAnsi" w:hAnsiTheme="majorHAnsi"/>
        </w:rPr>
        <w:t xml:space="preserve">that </w:t>
      </w:r>
      <w:r w:rsidR="00323D15">
        <w:rPr>
          <w:rFonts w:asciiTheme="majorHAnsi" w:hAnsiTheme="majorHAnsi"/>
        </w:rPr>
        <w:t>over-</w:t>
      </w:r>
      <w:r>
        <w:rPr>
          <w:rFonts w:asciiTheme="majorHAnsi" w:hAnsiTheme="majorHAnsi"/>
        </w:rPr>
        <w:t>expression</w:t>
      </w:r>
      <w:r w:rsidRPr="00361162">
        <w:rPr>
          <w:rFonts w:asciiTheme="majorHAnsi" w:hAnsiTheme="majorHAnsi"/>
        </w:rPr>
        <w:t xml:space="preserve"> </w:t>
      </w:r>
      <w:r>
        <w:rPr>
          <w:rFonts w:asciiTheme="majorHAnsi" w:hAnsiTheme="majorHAnsi"/>
        </w:rPr>
        <w:t xml:space="preserve">of SRCAP </w:t>
      </w:r>
      <w:r w:rsidRPr="00361162">
        <w:rPr>
          <w:rFonts w:asciiTheme="majorHAnsi" w:hAnsiTheme="majorHAnsi"/>
        </w:rPr>
        <w:t>may play a role within driving tumour progression</w:t>
      </w:r>
      <w:r>
        <w:rPr>
          <w:rFonts w:asciiTheme="majorHAnsi" w:hAnsiTheme="majorHAnsi"/>
        </w:rPr>
        <w:t>, but we have not been able to reliably assess this hypothesis</w:t>
      </w:r>
      <w:r w:rsidRPr="00361162">
        <w:rPr>
          <w:rFonts w:asciiTheme="majorHAnsi" w:hAnsiTheme="majorHAnsi"/>
        </w:rPr>
        <w:t xml:space="preserve">. </w:t>
      </w:r>
    </w:p>
    <w:p w14:paraId="2E1B3F4F" w14:textId="77777777" w:rsidR="00091260" w:rsidRPr="00AA2033" w:rsidRDefault="00091260" w:rsidP="00091260">
      <w:pPr>
        <w:spacing w:line="360" w:lineRule="auto"/>
        <w:jc w:val="both"/>
        <w:rPr>
          <w:rFonts w:asciiTheme="majorHAnsi" w:hAnsiTheme="majorHAnsi"/>
          <w:b/>
          <w:i/>
        </w:rPr>
      </w:pPr>
    </w:p>
    <w:p w14:paraId="66588DC4" w14:textId="77777777" w:rsidR="00091260" w:rsidRPr="00AA2033" w:rsidRDefault="00091260" w:rsidP="00E6223C">
      <w:pPr>
        <w:pStyle w:val="ListParagraph"/>
        <w:numPr>
          <w:ilvl w:val="0"/>
          <w:numId w:val="8"/>
        </w:numPr>
        <w:spacing w:line="360" w:lineRule="auto"/>
        <w:jc w:val="both"/>
        <w:rPr>
          <w:rFonts w:asciiTheme="majorHAnsi" w:hAnsiTheme="majorHAnsi"/>
          <w:b/>
          <w:i/>
        </w:rPr>
      </w:pPr>
      <w:r w:rsidRPr="00AA2033">
        <w:rPr>
          <w:rFonts w:asciiTheme="majorHAnsi" w:hAnsiTheme="majorHAnsi"/>
          <w:b/>
          <w:i/>
        </w:rPr>
        <w:t>Transfection efficiencies and antibodies hindered expression analysis</w:t>
      </w:r>
    </w:p>
    <w:p w14:paraId="6E4390C3" w14:textId="6E11DE19" w:rsidR="00091260" w:rsidRDefault="00091260" w:rsidP="00091260">
      <w:pPr>
        <w:spacing w:line="360" w:lineRule="auto"/>
        <w:jc w:val="both"/>
        <w:rPr>
          <w:rFonts w:asciiTheme="majorHAnsi" w:hAnsiTheme="majorHAnsi"/>
        </w:rPr>
      </w:pPr>
      <w:r>
        <w:rPr>
          <w:rFonts w:asciiTheme="majorHAnsi" w:hAnsiTheme="majorHAnsi"/>
        </w:rPr>
        <w:t>C</w:t>
      </w:r>
      <w:r w:rsidRPr="00361162">
        <w:rPr>
          <w:rFonts w:asciiTheme="majorHAnsi" w:hAnsiTheme="majorHAnsi"/>
        </w:rPr>
        <w:t xml:space="preserve">ommercial antibodies </w:t>
      </w:r>
      <w:r>
        <w:rPr>
          <w:rFonts w:asciiTheme="majorHAnsi" w:hAnsiTheme="majorHAnsi"/>
        </w:rPr>
        <w:t xml:space="preserve">towards SRCAP were sparse. From </w:t>
      </w:r>
      <w:r w:rsidRPr="00361162">
        <w:rPr>
          <w:rFonts w:asciiTheme="majorHAnsi" w:hAnsiTheme="majorHAnsi"/>
        </w:rPr>
        <w:t>the two that were purchased</w:t>
      </w:r>
      <w:r>
        <w:rPr>
          <w:rFonts w:asciiTheme="majorHAnsi" w:hAnsiTheme="majorHAnsi"/>
        </w:rPr>
        <w:t>,</w:t>
      </w:r>
      <w:r w:rsidRPr="00361162">
        <w:rPr>
          <w:rFonts w:asciiTheme="majorHAnsi" w:hAnsiTheme="majorHAnsi"/>
        </w:rPr>
        <w:t xml:space="preserve"> only one had been </w:t>
      </w:r>
      <w:r>
        <w:rPr>
          <w:rFonts w:asciiTheme="majorHAnsi" w:hAnsiTheme="majorHAnsi"/>
        </w:rPr>
        <w:t xml:space="preserve">cited within the </w:t>
      </w:r>
      <w:r w:rsidRPr="00361162">
        <w:rPr>
          <w:rFonts w:asciiTheme="majorHAnsi" w:hAnsiTheme="majorHAnsi"/>
        </w:rPr>
        <w:t xml:space="preserve">published </w:t>
      </w:r>
      <w:r>
        <w:rPr>
          <w:rFonts w:asciiTheme="majorHAnsi" w:hAnsiTheme="majorHAnsi"/>
        </w:rPr>
        <w:t xml:space="preserve">literature </w:t>
      </w:r>
      <w:r>
        <w:rPr>
          <w:rFonts w:asciiTheme="majorHAnsi" w:hAnsiTheme="majorHAnsi"/>
        </w:rPr>
        <w:fldChar w:fldCharType="begin">
          <w:fldData xml:space="preserve">PEVuZE5vdGU+PENpdGU+PEF1dGhvcj5Jd2FpPC9BdXRob3I+PFllYXI+MjAxMTwvWWVhcj48SURU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PEVuZE5vdGU+PENpdGU+PEF1dGhvcj5Jd2FpPC9BdXRob3I+PFllYXI+MjAxMTwvWWVhcj48SURU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(Iwai et al., 2011)</w:t>
      </w:r>
      <w:r>
        <w:rPr>
          <w:rFonts w:asciiTheme="majorHAnsi" w:hAnsiTheme="majorHAnsi"/>
        </w:rPr>
        <w:fldChar w:fldCharType="end"/>
      </w:r>
      <w:r w:rsidRPr="00361162">
        <w:rPr>
          <w:rFonts w:asciiTheme="majorHAnsi" w:hAnsiTheme="majorHAnsi"/>
        </w:rPr>
        <w:t xml:space="preserve">. However, endogenous levels of SRCAP were unable to be </w:t>
      </w:r>
      <w:r>
        <w:rPr>
          <w:rFonts w:asciiTheme="majorHAnsi" w:hAnsiTheme="majorHAnsi"/>
        </w:rPr>
        <w:t>observed</w:t>
      </w:r>
      <w:r w:rsidRPr="00361162">
        <w:rPr>
          <w:rFonts w:asciiTheme="majorHAnsi" w:hAnsiTheme="majorHAnsi"/>
        </w:rPr>
        <w:t xml:space="preserve"> by western blotting techniques even after several </w:t>
      </w:r>
      <w:r w:rsidRPr="00E83A72">
        <w:rPr>
          <w:rFonts w:asciiTheme="majorHAnsi" w:hAnsiTheme="majorHAnsi"/>
        </w:rPr>
        <w:t xml:space="preserve">optimisation steps used for other large proteins within the laboratory such as ATM (~350 KDa). </w:t>
      </w:r>
      <w:r w:rsidR="00304562" w:rsidRPr="00E83A72">
        <w:rPr>
          <w:rFonts w:asciiTheme="majorHAnsi" w:hAnsiTheme="majorHAnsi"/>
        </w:rPr>
        <w:t>Further optimisation could have been used to deduce whether the SRCAP antibodies were working efficiently or not. For example the lowest concentration used was 1:250, this was due to the small amount of antibody provided and financial issues which meant we couldn’t be using large quantities of an antibody for one test. Although several colorectal and non-</w:t>
      </w:r>
      <w:r w:rsidR="002852C7" w:rsidRPr="00E83A72">
        <w:rPr>
          <w:rFonts w:asciiTheme="majorHAnsi" w:hAnsiTheme="majorHAnsi"/>
        </w:rPr>
        <w:t>colorectal</w:t>
      </w:r>
      <w:r w:rsidR="00304562" w:rsidRPr="00E83A72">
        <w:rPr>
          <w:rFonts w:asciiTheme="majorHAnsi" w:hAnsiTheme="majorHAnsi"/>
        </w:rPr>
        <w:t xml:space="preserve"> cell lines</w:t>
      </w:r>
      <w:r w:rsidR="002852C7" w:rsidRPr="00E83A72">
        <w:rPr>
          <w:rFonts w:asciiTheme="majorHAnsi" w:hAnsiTheme="majorHAnsi"/>
        </w:rPr>
        <w:t xml:space="preserve"> were used throughout western blotting optimisation, it could have also been beneficial to use a panel of cell lines that we knew were supposed to express SRCAP highly.</w:t>
      </w:r>
      <w:r w:rsidR="00304562" w:rsidRPr="00E83A72">
        <w:rPr>
          <w:rFonts w:asciiTheme="majorHAnsi" w:hAnsiTheme="majorHAnsi"/>
        </w:rPr>
        <w:t xml:space="preserve"> Also we could have purchased a recombinant SRCAP protein </w:t>
      </w:r>
      <w:r w:rsidR="002852C7" w:rsidRPr="00E83A72">
        <w:rPr>
          <w:rFonts w:asciiTheme="majorHAnsi" w:hAnsiTheme="majorHAnsi"/>
        </w:rPr>
        <w:t xml:space="preserve">and this should have given us a more definitive answer as to whether the antibodies were efficient at detecting the specific molecular weight of SRCAP or not. </w:t>
      </w:r>
      <w:r w:rsidRPr="00E83A72">
        <w:rPr>
          <w:rFonts w:asciiTheme="majorHAnsi" w:hAnsiTheme="majorHAnsi"/>
        </w:rPr>
        <w:t>It</w:t>
      </w:r>
      <w:r w:rsidRPr="00361162">
        <w:rPr>
          <w:rFonts w:asciiTheme="majorHAnsi" w:hAnsiTheme="majorHAnsi"/>
        </w:rPr>
        <w:t xml:space="preserve"> was concluded that expression of SRCAP may be low in the cell lines </w:t>
      </w:r>
      <w:r w:rsidR="002852C7">
        <w:rPr>
          <w:rFonts w:asciiTheme="majorHAnsi" w:hAnsiTheme="majorHAnsi"/>
        </w:rPr>
        <w:t xml:space="preserve">we used </w:t>
      </w:r>
      <w:r w:rsidRPr="00361162">
        <w:rPr>
          <w:rFonts w:asciiTheme="majorHAnsi" w:hAnsiTheme="majorHAnsi"/>
        </w:rPr>
        <w:t>and therefore only by over</w:t>
      </w:r>
      <w:r w:rsidR="00A72B38">
        <w:rPr>
          <w:rFonts w:asciiTheme="majorHAnsi" w:hAnsiTheme="majorHAnsi"/>
        </w:rPr>
        <w:t>-</w:t>
      </w:r>
      <w:r w:rsidRPr="00361162">
        <w:rPr>
          <w:rFonts w:asciiTheme="majorHAnsi" w:hAnsiTheme="majorHAnsi"/>
        </w:rPr>
        <w:t>expressing it would protein be able to be visualised</w:t>
      </w:r>
      <w:r>
        <w:rPr>
          <w:rFonts w:asciiTheme="majorHAnsi" w:hAnsiTheme="majorHAnsi"/>
        </w:rPr>
        <w:t xml:space="preserve"> using these antibodies</w:t>
      </w:r>
      <w:r w:rsidRPr="00361162">
        <w:rPr>
          <w:rFonts w:asciiTheme="majorHAnsi" w:hAnsiTheme="majorHAnsi"/>
        </w:rPr>
        <w:t xml:space="preserve">. </w:t>
      </w:r>
    </w:p>
    <w:p w14:paraId="31156CA5" w14:textId="77777777" w:rsidR="00091260" w:rsidRDefault="00091260" w:rsidP="00091260">
      <w:pPr>
        <w:spacing w:line="360" w:lineRule="auto"/>
        <w:jc w:val="both"/>
        <w:rPr>
          <w:rFonts w:asciiTheme="majorHAnsi" w:hAnsiTheme="majorHAnsi"/>
        </w:rPr>
      </w:pPr>
    </w:p>
    <w:p w14:paraId="1DF5CDAF" w14:textId="437449E7" w:rsidR="00091260" w:rsidRDefault="00091260" w:rsidP="00091260">
      <w:pPr>
        <w:spacing w:line="360" w:lineRule="auto"/>
        <w:jc w:val="both"/>
        <w:rPr>
          <w:rFonts w:asciiTheme="majorHAnsi" w:hAnsiTheme="majorHAnsi"/>
        </w:rPr>
      </w:pPr>
      <w:r>
        <w:rPr>
          <w:rFonts w:asciiTheme="majorHAnsi" w:hAnsiTheme="majorHAnsi"/>
        </w:rPr>
        <w:t xml:space="preserve">Therefore </w:t>
      </w:r>
      <w:r w:rsidRPr="00663BEE">
        <w:rPr>
          <w:rFonts w:asciiTheme="majorHAnsi" w:hAnsiTheme="majorHAnsi"/>
          <w:i/>
        </w:rPr>
        <w:t>SRCAP</w:t>
      </w:r>
      <w:r>
        <w:rPr>
          <w:rFonts w:asciiTheme="majorHAnsi" w:hAnsiTheme="majorHAnsi"/>
        </w:rPr>
        <w:t xml:space="preserve"> cDNA was successfully cloned into a number of destination vectors and transfected into cell lines in o</w:t>
      </w:r>
      <w:r w:rsidR="00A72B38">
        <w:rPr>
          <w:rFonts w:asciiTheme="majorHAnsi" w:hAnsiTheme="majorHAnsi"/>
        </w:rPr>
        <w:t>rder to create a transient over-</w:t>
      </w:r>
      <w:r>
        <w:rPr>
          <w:rFonts w:asciiTheme="majorHAnsi" w:hAnsiTheme="majorHAnsi"/>
        </w:rPr>
        <w:t>expression model. However, no over</w:t>
      </w:r>
      <w:r w:rsidR="00A72B38">
        <w:rPr>
          <w:rFonts w:asciiTheme="majorHAnsi" w:hAnsiTheme="majorHAnsi"/>
        </w:rPr>
        <w:t>-</w:t>
      </w:r>
      <w:r>
        <w:rPr>
          <w:rFonts w:asciiTheme="majorHAnsi" w:hAnsiTheme="majorHAnsi"/>
        </w:rPr>
        <w:t>expression could be detected using either the SRCAP antibodies or the antibodies towards the tags within the destination vectors. After immunofluorescence analysis of the localisation of the YFP SRCAP construct, it was observed to be non-nuclear. This led us to check the construct sequences for abnormalities</w:t>
      </w:r>
      <w:r w:rsidR="00A72B38">
        <w:rPr>
          <w:rFonts w:asciiTheme="majorHAnsi" w:hAnsiTheme="majorHAnsi"/>
        </w:rPr>
        <w:t>,</w:t>
      </w:r>
      <w:r>
        <w:rPr>
          <w:rFonts w:asciiTheme="majorHAnsi" w:hAnsiTheme="majorHAnsi"/>
        </w:rPr>
        <w:t xml:space="preserve"> and a Kozak sequence was found on the </w:t>
      </w:r>
      <w:r w:rsidRPr="00663BEE">
        <w:rPr>
          <w:rFonts w:asciiTheme="majorHAnsi" w:hAnsiTheme="majorHAnsi"/>
          <w:i/>
        </w:rPr>
        <w:t>SRCAP</w:t>
      </w:r>
      <w:r>
        <w:rPr>
          <w:rFonts w:asciiTheme="majorHAnsi" w:hAnsiTheme="majorHAnsi"/>
        </w:rPr>
        <w:t xml:space="preserve"> cDNA as well as on the tag. This double Kozak could have been initiating </w:t>
      </w:r>
      <w:r w:rsidR="002F04E4">
        <w:rPr>
          <w:rFonts w:asciiTheme="majorHAnsi" w:hAnsiTheme="majorHAnsi"/>
        </w:rPr>
        <w:t>translation</w:t>
      </w:r>
      <w:r>
        <w:rPr>
          <w:rFonts w:asciiTheme="majorHAnsi" w:hAnsiTheme="majorHAnsi"/>
        </w:rPr>
        <w:t xml:space="preserve"> from two different points and therefore not forming the correct protein structure for SRCAP. </w:t>
      </w:r>
    </w:p>
    <w:p w14:paraId="79E080F2" w14:textId="77777777" w:rsidR="00091260" w:rsidRDefault="00091260" w:rsidP="00091260">
      <w:pPr>
        <w:spacing w:line="360" w:lineRule="auto"/>
        <w:jc w:val="both"/>
        <w:rPr>
          <w:rFonts w:asciiTheme="majorHAnsi" w:hAnsiTheme="majorHAnsi"/>
        </w:rPr>
      </w:pPr>
    </w:p>
    <w:p w14:paraId="7EB2706E" w14:textId="722D34C4" w:rsidR="00C878F4" w:rsidRDefault="00091260" w:rsidP="00091260">
      <w:pPr>
        <w:spacing w:line="360" w:lineRule="auto"/>
        <w:jc w:val="both"/>
        <w:rPr>
          <w:rFonts w:asciiTheme="majorHAnsi" w:hAnsiTheme="majorHAnsi"/>
        </w:rPr>
      </w:pPr>
      <w:r>
        <w:rPr>
          <w:rFonts w:asciiTheme="majorHAnsi" w:hAnsiTheme="majorHAnsi"/>
        </w:rPr>
        <w:t>After the Kozak sequence was deleted by site-directed mutagenesis, and the constructs re-transfected back in to cells, the localisation of YFP SRCAP was now observed to be nuclear</w:t>
      </w:r>
      <w:r w:rsidR="00323D15">
        <w:rPr>
          <w:rFonts w:asciiTheme="majorHAnsi" w:hAnsiTheme="majorHAnsi"/>
        </w:rPr>
        <w:t>. However, again no over-</w:t>
      </w:r>
      <w:r>
        <w:rPr>
          <w:rFonts w:asciiTheme="majorHAnsi" w:hAnsiTheme="majorHAnsi"/>
        </w:rPr>
        <w:t xml:space="preserve">expression could be detected via western blot or Taqman PCR. This could have been due to the low transfection efficiency, which was consistently less than 10% using various transfection reagents. Reports that used transfected vectors containing SRCAP either seemed to use Lipofectamine reagents </w:t>
      </w:r>
      <w:r>
        <w:rPr>
          <w:rFonts w:asciiTheme="majorHAnsi" w:hAnsiTheme="majorHAnsi"/>
        </w:rPr>
        <w:fldChar w:fldCharType="begin">
          <w:fldData xml:space="preserve">PEVuZE5vdGU+PENpdGU+PEF1dGhvcj5Kb2huc3RvbjwvQXV0aG9yPjxZZWFyPjE5OTk8L1llYXI+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PEVuZE5vdGU+PENpdGU+PEF1dGhvcj5Kb2huc3RvbjwvQXV0aG9yPjxZZWFyPjE5OTk8L1llYXI+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(Johnston et al., 1999a, Monroy et al., 2003)</w:t>
      </w:r>
      <w:r>
        <w:rPr>
          <w:rFonts w:asciiTheme="majorHAnsi" w:hAnsiTheme="majorHAnsi"/>
        </w:rPr>
        <w:fldChar w:fldCharType="end"/>
      </w:r>
      <w:r>
        <w:rPr>
          <w:rFonts w:asciiTheme="majorHAnsi" w:hAnsiTheme="majorHAnsi"/>
        </w:rPr>
        <w:t xml:space="preserve"> or Fugene </w:t>
      </w:r>
      <w:r>
        <w:rPr>
          <w:rFonts w:asciiTheme="majorHAnsi" w:hAnsiTheme="majorHAnsi"/>
        </w:rPr>
        <w:fldChar w:fldCharType="begin">
          <w:fldData xml:space="preserve">PEVuZE5vdGU+PENpdGU+PEF1dGhvcj5Hw6l2cnk8L0F1dGhvcj48WWVhcj4yMDA3PC9ZZWFyPjxJ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PEVuZE5vdGU+PENpdGU+PEF1dGhvcj5Hw6l2cnk8L0F1dGhvcj48WWVhcj4yMDA3PC9ZZWFyPjxJ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(Gévry et al., 2007, Slupianek et al., 2010)</w:t>
      </w:r>
      <w:r>
        <w:rPr>
          <w:rFonts w:asciiTheme="majorHAnsi" w:hAnsiTheme="majorHAnsi"/>
        </w:rPr>
        <w:fldChar w:fldCharType="end"/>
      </w:r>
      <w:r>
        <w:rPr>
          <w:rFonts w:asciiTheme="majorHAnsi" w:hAnsiTheme="majorHAnsi"/>
        </w:rPr>
        <w:t xml:space="preserve">, both of which were trialled here. </w:t>
      </w:r>
    </w:p>
    <w:p w14:paraId="1974562E" w14:textId="77777777" w:rsidR="00C878F4" w:rsidRDefault="00C878F4" w:rsidP="00091260">
      <w:pPr>
        <w:spacing w:line="360" w:lineRule="auto"/>
        <w:jc w:val="both"/>
        <w:rPr>
          <w:rFonts w:asciiTheme="majorHAnsi" w:hAnsiTheme="majorHAnsi"/>
        </w:rPr>
      </w:pPr>
    </w:p>
    <w:p w14:paraId="34BFC3F8" w14:textId="177F5990" w:rsidR="00091260" w:rsidRDefault="00091260" w:rsidP="00091260">
      <w:pPr>
        <w:spacing w:line="360" w:lineRule="auto"/>
        <w:jc w:val="both"/>
        <w:rPr>
          <w:rFonts w:asciiTheme="majorHAnsi" w:hAnsiTheme="majorHAnsi"/>
        </w:rPr>
      </w:pPr>
      <w:r w:rsidRPr="007561A6">
        <w:rPr>
          <w:rFonts w:asciiTheme="majorHAnsi" w:hAnsiTheme="majorHAnsi"/>
          <w:i/>
        </w:rPr>
        <w:t>SRCAP</w:t>
      </w:r>
      <w:r>
        <w:rPr>
          <w:rFonts w:asciiTheme="majorHAnsi" w:hAnsiTheme="majorHAnsi"/>
        </w:rPr>
        <w:t xml:space="preserve"> is a large gene and so the cDNA was transformed through XL10 Gold ultra competent cells as these are specifically designed to propagate large genes, whereas previously DH5</w:t>
      </w:r>
      <w:r>
        <w:rPr>
          <w:rFonts w:ascii="Calibri" w:hAnsi="Calibri"/>
        </w:rPr>
        <w:t>α</w:t>
      </w:r>
      <w:r>
        <w:rPr>
          <w:rFonts w:asciiTheme="majorHAnsi" w:hAnsiTheme="majorHAnsi"/>
        </w:rPr>
        <w:t xml:space="preserve"> </w:t>
      </w:r>
      <w:r w:rsidRPr="003667FE">
        <w:rPr>
          <w:rFonts w:asciiTheme="majorHAnsi" w:hAnsiTheme="majorHAnsi"/>
          <w:i/>
        </w:rPr>
        <w:t>E.Coli</w:t>
      </w:r>
      <w:r>
        <w:rPr>
          <w:rFonts w:asciiTheme="majorHAnsi" w:hAnsiTheme="majorHAnsi"/>
          <w:i/>
        </w:rPr>
        <w:t xml:space="preserve"> </w:t>
      </w:r>
      <w:r>
        <w:rPr>
          <w:rFonts w:asciiTheme="majorHAnsi" w:hAnsiTheme="majorHAnsi"/>
        </w:rPr>
        <w:t xml:space="preserve">cells had been used and this could have </w:t>
      </w:r>
      <w:r w:rsidR="00A72B38">
        <w:rPr>
          <w:rFonts w:asciiTheme="majorHAnsi" w:hAnsiTheme="majorHAnsi"/>
        </w:rPr>
        <w:t>contributed</w:t>
      </w:r>
      <w:r>
        <w:rPr>
          <w:rFonts w:asciiTheme="majorHAnsi" w:hAnsiTheme="majorHAnsi"/>
        </w:rPr>
        <w:t xml:space="preserve"> to degradation of the construct. After XL10 transformation the purified </w:t>
      </w:r>
      <w:r w:rsidRPr="007561A6">
        <w:rPr>
          <w:rFonts w:asciiTheme="majorHAnsi" w:hAnsiTheme="majorHAnsi"/>
          <w:i/>
        </w:rPr>
        <w:t>YFP</w:t>
      </w:r>
      <w:r>
        <w:rPr>
          <w:rFonts w:asciiTheme="majorHAnsi" w:hAnsiTheme="majorHAnsi"/>
        </w:rPr>
        <w:t xml:space="preserve"> and </w:t>
      </w:r>
      <w:r w:rsidRPr="007561A6">
        <w:rPr>
          <w:rFonts w:asciiTheme="majorHAnsi" w:hAnsiTheme="majorHAnsi"/>
          <w:i/>
        </w:rPr>
        <w:t>MYC</w:t>
      </w:r>
      <w:r>
        <w:rPr>
          <w:rFonts w:asciiTheme="majorHAnsi" w:hAnsiTheme="majorHAnsi"/>
        </w:rPr>
        <w:t xml:space="preserve"> constructs showed </w:t>
      </w:r>
      <w:r w:rsidRPr="007561A6">
        <w:rPr>
          <w:rFonts w:asciiTheme="majorHAnsi" w:hAnsiTheme="majorHAnsi"/>
          <w:i/>
        </w:rPr>
        <w:t>SRCAP</w:t>
      </w:r>
      <w:r w:rsidR="00A72B38">
        <w:rPr>
          <w:rFonts w:asciiTheme="majorHAnsi" w:hAnsiTheme="majorHAnsi"/>
        </w:rPr>
        <w:t xml:space="preserve"> over-</w:t>
      </w:r>
      <w:r>
        <w:rPr>
          <w:rFonts w:asciiTheme="majorHAnsi" w:hAnsiTheme="majorHAnsi"/>
        </w:rPr>
        <w:t xml:space="preserve">expression compared to untransfected samples via Taqman PCR. </w:t>
      </w:r>
      <w:r w:rsidR="00A72B38">
        <w:rPr>
          <w:rFonts w:asciiTheme="majorHAnsi" w:hAnsiTheme="majorHAnsi"/>
        </w:rPr>
        <w:t>However, yet again protein over-</w:t>
      </w:r>
      <w:r>
        <w:rPr>
          <w:rFonts w:asciiTheme="majorHAnsi" w:hAnsiTheme="majorHAnsi"/>
        </w:rPr>
        <w:t xml:space="preserve">expression was not seen, this could be partly due to the antibodies not being efficient but also due to the low transfection efficiency. Stable transfections were therefore attempted but results suggested that the cells containing the construct had died. Consistent with this, cell cycle profiles up to 72hrs after transfection showed a large increase in the sub G1 population, which is indicative of the accumulation of dead cells. </w:t>
      </w:r>
    </w:p>
    <w:p w14:paraId="3BCDC4E8" w14:textId="77777777" w:rsidR="00091260" w:rsidRDefault="00091260" w:rsidP="00091260">
      <w:pPr>
        <w:spacing w:line="360" w:lineRule="auto"/>
        <w:jc w:val="both"/>
        <w:rPr>
          <w:rFonts w:asciiTheme="majorHAnsi" w:hAnsiTheme="majorHAnsi"/>
        </w:rPr>
      </w:pPr>
    </w:p>
    <w:p w14:paraId="6007BA84" w14:textId="2A341C92" w:rsidR="00091260" w:rsidRDefault="00A72B38" w:rsidP="00091260">
      <w:pPr>
        <w:spacing w:line="360" w:lineRule="auto"/>
        <w:jc w:val="both"/>
        <w:rPr>
          <w:rFonts w:asciiTheme="majorHAnsi" w:hAnsiTheme="majorHAnsi"/>
        </w:rPr>
      </w:pPr>
      <w:r>
        <w:rPr>
          <w:rFonts w:asciiTheme="majorHAnsi" w:hAnsiTheme="majorHAnsi"/>
        </w:rPr>
        <w:t>Use of</w:t>
      </w:r>
      <w:r w:rsidR="00091260">
        <w:rPr>
          <w:rFonts w:asciiTheme="majorHAnsi" w:hAnsiTheme="majorHAnsi"/>
        </w:rPr>
        <w:t xml:space="preserve"> a Tet inducible system was thought to be a solution to this as the </w:t>
      </w:r>
      <w:r w:rsidR="00091260" w:rsidRPr="007561A6">
        <w:rPr>
          <w:rFonts w:asciiTheme="majorHAnsi" w:hAnsiTheme="majorHAnsi"/>
        </w:rPr>
        <w:t>SRCAP</w:t>
      </w:r>
      <w:r>
        <w:rPr>
          <w:rFonts w:asciiTheme="majorHAnsi" w:hAnsiTheme="majorHAnsi"/>
        </w:rPr>
        <w:t xml:space="preserve"> over-</w:t>
      </w:r>
      <w:r w:rsidR="00091260">
        <w:rPr>
          <w:rFonts w:asciiTheme="majorHAnsi" w:hAnsiTheme="majorHAnsi"/>
        </w:rPr>
        <w:t xml:space="preserve">expression could be switched on </w:t>
      </w:r>
      <w:r>
        <w:rPr>
          <w:rFonts w:asciiTheme="majorHAnsi" w:hAnsiTheme="majorHAnsi"/>
        </w:rPr>
        <w:t xml:space="preserve">when required </w:t>
      </w:r>
      <w:r w:rsidR="00091260">
        <w:rPr>
          <w:rFonts w:asciiTheme="majorHAnsi" w:hAnsiTheme="majorHAnsi"/>
        </w:rPr>
        <w:t>and assays conducted in a restricted time frame.</w:t>
      </w:r>
      <w:r w:rsidR="00323D15">
        <w:rPr>
          <w:rFonts w:asciiTheme="majorHAnsi" w:hAnsiTheme="majorHAnsi"/>
        </w:rPr>
        <w:t xml:space="preserve"> However, although protein over-</w:t>
      </w:r>
      <w:r w:rsidR="00091260">
        <w:rPr>
          <w:rFonts w:asciiTheme="majorHAnsi" w:hAnsiTheme="majorHAnsi"/>
        </w:rPr>
        <w:t xml:space="preserve">expression was </w:t>
      </w:r>
      <w:r w:rsidR="00F54A17">
        <w:rPr>
          <w:rFonts w:asciiTheme="majorHAnsi" w:hAnsiTheme="majorHAnsi"/>
        </w:rPr>
        <w:t>observed</w:t>
      </w:r>
      <w:r w:rsidR="00091260">
        <w:rPr>
          <w:rFonts w:asciiTheme="majorHAnsi" w:hAnsiTheme="majorHAnsi"/>
        </w:rPr>
        <w:t xml:space="preserve"> at 72hrs </w:t>
      </w:r>
      <w:r w:rsidR="00F54A17">
        <w:rPr>
          <w:rFonts w:asciiTheme="majorHAnsi" w:hAnsiTheme="majorHAnsi"/>
        </w:rPr>
        <w:t>post-Tet induction</w:t>
      </w:r>
      <w:r w:rsidR="00091260">
        <w:rPr>
          <w:rFonts w:asciiTheme="majorHAnsi" w:hAnsiTheme="majorHAnsi"/>
        </w:rPr>
        <w:t xml:space="preserve">, the mRNA levels of </w:t>
      </w:r>
      <w:r w:rsidR="00091260" w:rsidRPr="007561A6">
        <w:rPr>
          <w:rFonts w:asciiTheme="majorHAnsi" w:hAnsiTheme="majorHAnsi"/>
          <w:i/>
        </w:rPr>
        <w:t>SRCAP</w:t>
      </w:r>
      <w:r w:rsidR="00091260">
        <w:rPr>
          <w:rFonts w:asciiTheme="majorHAnsi" w:hAnsiTheme="majorHAnsi"/>
        </w:rPr>
        <w:t xml:space="preserve"> varied between samples. Calculation of the percentage of cells expressing the construct when Tet was added was less than 50%, which although was an improvement from the previous transient transfections, may have impacted on the</w:t>
      </w:r>
      <w:r w:rsidR="00F54A17">
        <w:rPr>
          <w:rFonts w:asciiTheme="majorHAnsi" w:hAnsiTheme="majorHAnsi"/>
        </w:rPr>
        <w:t xml:space="preserve"> data derived from these cells</w:t>
      </w:r>
      <w:r w:rsidR="00091260">
        <w:rPr>
          <w:rFonts w:asciiTheme="majorHAnsi" w:hAnsiTheme="majorHAnsi"/>
        </w:rPr>
        <w:t xml:space="preserve">. It was also </w:t>
      </w:r>
      <w:r w:rsidR="00F54A17">
        <w:rPr>
          <w:rFonts w:asciiTheme="majorHAnsi" w:hAnsiTheme="majorHAnsi"/>
        </w:rPr>
        <w:t>determined</w:t>
      </w:r>
      <w:r w:rsidR="00091260">
        <w:rPr>
          <w:rFonts w:asciiTheme="majorHAnsi" w:hAnsiTheme="majorHAnsi"/>
        </w:rPr>
        <w:t xml:space="preserve"> that the </w:t>
      </w:r>
      <w:r w:rsidR="00F54A17">
        <w:rPr>
          <w:rFonts w:asciiTheme="majorHAnsi" w:hAnsiTheme="majorHAnsi"/>
        </w:rPr>
        <w:t xml:space="preserve">induction </w:t>
      </w:r>
      <w:r w:rsidR="00091260">
        <w:rPr>
          <w:rFonts w:asciiTheme="majorHAnsi" w:hAnsiTheme="majorHAnsi"/>
        </w:rPr>
        <w:t xml:space="preserve">system was ‘leaky’ as samples with no Tet addition </w:t>
      </w:r>
      <w:r w:rsidR="00F54A17">
        <w:rPr>
          <w:rFonts w:asciiTheme="majorHAnsi" w:hAnsiTheme="majorHAnsi"/>
        </w:rPr>
        <w:t xml:space="preserve">exhibited low level </w:t>
      </w:r>
      <w:r w:rsidR="00091260">
        <w:rPr>
          <w:rFonts w:asciiTheme="majorHAnsi" w:hAnsiTheme="majorHAnsi"/>
        </w:rPr>
        <w:t xml:space="preserve">expression of </w:t>
      </w:r>
      <w:r w:rsidR="00F54A17">
        <w:rPr>
          <w:rFonts w:asciiTheme="majorHAnsi" w:hAnsiTheme="majorHAnsi"/>
        </w:rPr>
        <w:t>YFP SRCAP.</w:t>
      </w:r>
      <w:r w:rsidR="00091260">
        <w:rPr>
          <w:rFonts w:asciiTheme="majorHAnsi" w:hAnsiTheme="majorHAnsi"/>
        </w:rPr>
        <w:t xml:space="preserve"> Interestingly there was no difference in DNA dam</w:t>
      </w:r>
      <w:r w:rsidR="00323D15">
        <w:rPr>
          <w:rFonts w:asciiTheme="majorHAnsi" w:hAnsiTheme="majorHAnsi"/>
        </w:rPr>
        <w:t>age markers when SRCAP was over-</w:t>
      </w:r>
      <w:r w:rsidR="00091260">
        <w:rPr>
          <w:rFonts w:asciiTheme="majorHAnsi" w:hAnsiTheme="majorHAnsi"/>
        </w:rPr>
        <w:t xml:space="preserve">expressed compared to the cells not expressing the construct with or without Tet induction. This is contradictory to what would be hypothesised, as it is thought an increase in SRCAP is driving tumour progression and hence possibly an increase in genome instability. </w:t>
      </w:r>
    </w:p>
    <w:p w14:paraId="238B49AC" w14:textId="77777777" w:rsidR="00091260" w:rsidRDefault="00091260" w:rsidP="00091260">
      <w:pPr>
        <w:spacing w:line="360" w:lineRule="auto"/>
        <w:jc w:val="both"/>
        <w:rPr>
          <w:rFonts w:asciiTheme="majorHAnsi" w:hAnsiTheme="majorHAnsi"/>
        </w:rPr>
      </w:pPr>
    </w:p>
    <w:p w14:paraId="31961EA8" w14:textId="77777777" w:rsidR="00091260" w:rsidRPr="00AA2033" w:rsidRDefault="00091260" w:rsidP="00E6223C">
      <w:pPr>
        <w:pStyle w:val="ListParagraph"/>
        <w:numPr>
          <w:ilvl w:val="0"/>
          <w:numId w:val="8"/>
        </w:numPr>
        <w:spacing w:line="360" w:lineRule="auto"/>
        <w:jc w:val="both"/>
        <w:rPr>
          <w:rFonts w:asciiTheme="majorHAnsi" w:hAnsiTheme="majorHAnsi"/>
          <w:b/>
          <w:i/>
        </w:rPr>
      </w:pPr>
      <w:r w:rsidRPr="00AA2033">
        <w:rPr>
          <w:rFonts w:asciiTheme="majorHAnsi" w:hAnsiTheme="majorHAnsi"/>
          <w:b/>
          <w:i/>
        </w:rPr>
        <w:t>SRCAP constructs already published</w:t>
      </w:r>
    </w:p>
    <w:p w14:paraId="6722DE55" w14:textId="00B36724" w:rsidR="00091260" w:rsidRDefault="00091260" w:rsidP="00091260">
      <w:pPr>
        <w:spacing w:line="360" w:lineRule="auto"/>
        <w:jc w:val="both"/>
        <w:rPr>
          <w:rFonts w:asciiTheme="majorHAnsi" w:hAnsiTheme="majorHAnsi"/>
        </w:rPr>
      </w:pPr>
      <w:r>
        <w:rPr>
          <w:rFonts w:asciiTheme="majorHAnsi" w:hAnsiTheme="majorHAnsi"/>
        </w:rPr>
        <w:t>Previous publications have</w:t>
      </w:r>
      <w:r w:rsidR="00323D15">
        <w:rPr>
          <w:rFonts w:asciiTheme="majorHAnsi" w:hAnsiTheme="majorHAnsi"/>
        </w:rPr>
        <w:t xml:space="preserve"> successfully showed SRCAP over-</w:t>
      </w:r>
      <w:r>
        <w:rPr>
          <w:rFonts w:asciiTheme="majorHAnsi" w:hAnsiTheme="majorHAnsi"/>
        </w:rPr>
        <w:t xml:space="preserve">expression using in house or externally made antibodies </w:t>
      </w:r>
      <w:r>
        <w:rPr>
          <w:rFonts w:asciiTheme="majorHAnsi" w:hAnsiTheme="majorHAns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U2x1cGlhbmVrIGV0IGFsLiwgMjAxMCwgRG9uZyBldCBhbC4sIDIwMTQpPC9EaXNwbGF5VGV4dD48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==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U2x1cGlhbmVrIGV0IGFsLiwgMjAxMCwgRG9uZyBldCBhbC4sIDIwMTQpPC9EaXNwbGF5VGV4dD48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==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(Slupianek et al., 2010, Dong et al., 2014)</w:t>
      </w:r>
      <w:r>
        <w:rPr>
          <w:rFonts w:asciiTheme="majorHAnsi" w:hAnsiTheme="majorHAnsi"/>
        </w:rPr>
        <w:fldChar w:fldCharType="end"/>
      </w:r>
      <w:r>
        <w:rPr>
          <w:rFonts w:asciiTheme="majorHAnsi" w:hAnsiTheme="majorHAnsi"/>
        </w:rPr>
        <w:t xml:space="preserve">. Although several of these laboratories were contacted to either ask for advice or for use of the antibody, none responded. An early paper only used amino acids 1275-2971 of the </w:t>
      </w:r>
      <w:r w:rsidRPr="007561A6">
        <w:rPr>
          <w:rFonts w:asciiTheme="majorHAnsi" w:hAnsiTheme="majorHAnsi"/>
          <w:i/>
        </w:rPr>
        <w:t>SRCAP</w:t>
      </w:r>
      <w:r>
        <w:rPr>
          <w:rFonts w:asciiTheme="majorHAnsi" w:hAnsiTheme="majorHAnsi"/>
        </w:rPr>
        <w:t xml:space="preserve"> gene as the plasmid insert, whereas the cDNA used here was for the entire 3230 amino acids </w:t>
      </w:r>
      <w:r>
        <w:rPr>
          <w:rFonts w:asciiTheme="majorHAnsi" w:hAnsiTheme="majorHAnsi"/>
        </w:rPr>
        <w:fldChar w:fldCharType="begin"/>
      </w:r>
      <w:r>
        <w:rPr>
          <w:rFonts w:asciiTheme="majorHAnsi" w:hAnsiTheme="majorHAnsi"/>
        </w:rPr>
        <w:instrText xml:space="preserve"> ADDIN EN.CITE &lt;EndNote&gt;&lt;Cite&gt;&lt;Author&gt;Johnston&lt;/Author&gt;&lt;Year&gt;1999&lt;/Year&gt;&lt;IDText&gt;Identification of a novel SNF2/SWI2 protein family member, SRCAP, which interacts with CREB-binding protein&lt;/IDText&gt;&lt;DisplayText&gt;(Johnston et al., 1999b)&lt;/DisplayText&gt;&lt;record&gt;&lt;dates&gt;&lt;pub-dates&gt;&lt;date&gt;Jun&lt;/date&gt;&lt;/pub-dates&gt;&lt;year&gt;1999&lt;/year&gt;&lt;/dates&gt;&lt;keywords&gt;&lt;keyword&gt;Adenosine Triphosphatases&lt;/keyword&gt;&lt;keyword&gt;Adenovirus E1A Proteins&lt;/keyword&gt;&lt;keyword&gt;Amino Acid Sequence&lt;/keyword&gt;&lt;keyword&gt;CREB-Binding Protein&lt;/keyword&gt;&lt;keyword&gt;Gene Library&lt;/keyword&gt;&lt;keyword&gt;HeLa Cells&lt;/keyword&gt;&lt;keyword&gt;Humans&lt;/keyword&gt;&lt;keyword&gt;Molecular Sequence Data&lt;/keyword&gt;&lt;keyword&gt;Nuclear Proteins&lt;/keyword&gt;&lt;keyword&gt;Trans-Activators&lt;/keyword&gt;&lt;keyword&gt;Transcriptional Activation&lt;/keyword&gt;&lt;/keywords&gt;&lt;urls&gt;&lt;related-urls&gt;&lt;url&gt;https://www.ncbi.nlm.nih.gov/pubmed/10347196&lt;/url&gt;&lt;/related-urls&gt;&lt;/urls&gt;&lt;isbn&gt;0021-9258&lt;/isbn&gt;&lt;titles&gt;&lt;title&gt;Identification of a novel SNF2/SWI2 protein family member, SRCAP, which interacts with CREB-binding protein&lt;/title&gt;&lt;secondary-title&gt;J Biol Chem&lt;/secondary-title&gt;&lt;/titles&gt;&lt;pages&gt;16370-6&lt;/pages&gt;&lt;number&gt;23&lt;/number&gt;&lt;contributors&gt;&lt;authors&gt;&lt;author&gt;Johnston, H.&lt;/author&gt;&lt;author&gt;Kneer, J.&lt;/author&gt;&lt;author&gt;Chackalaparampil, I.&lt;/author&gt;&lt;author&gt;Yaciuk, P.&lt;/author&gt;&lt;author&gt;Chrivia, J.&lt;/author&gt;&lt;/authors&gt;&lt;/contributors&gt;&lt;language&gt;eng&lt;/language&gt;&lt;added-date format="utc"&gt;1500979956&lt;/added-date&gt;&lt;ref-type name="Journal Article"&gt;17&lt;/ref-type&gt;&lt;rec-number&gt;202&lt;/rec-number&gt;&lt;last-updated-date format="utc"&gt;1500979956&lt;/last-updated-date&gt;&lt;accession-num&gt;10347196&lt;/accession-num&gt;&lt;volume&gt;274&lt;/volume&gt;&lt;/record&gt;&lt;/Cite&gt;&lt;/EndNote&gt;</w:instrText>
      </w:r>
      <w:r>
        <w:rPr>
          <w:rFonts w:asciiTheme="majorHAnsi" w:hAnsiTheme="majorHAnsi"/>
        </w:rPr>
        <w:fldChar w:fldCharType="separate"/>
      </w:r>
      <w:r>
        <w:rPr>
          <w:rFonts w:asciiTheme="majorHAnsi" w:hAnsiTheme="majorHAnsi"/>
          <w:noProof/>
        </w:rPr>
        <w:t>(Johnston et al., 1999b)</w:t>
      </w:r>
      <w:r>
        <w:rPr>
          <w:rFonts w:asciiTheme="majorHAnsi" w:hAnsiTheme="majorHAnsi"/>
        </w:rPr>
        <w:fldChar w:fldCharType="end"/>
      </w:r>
      <w:r>
        <w:rPr>
          <w:rFonts w:asciiTheme="majorHAnsi" w:hAnsiTheme="majorHAnsi"/>
        </w:rPr>
        <w:t xml:space="preserve">. A later paper used a </w:t>
      </w:r>
      <w:r w:rsidRPr="007561A6">
        <w:rPr>
          <w:rFonts w:asciiTheme="majorHAnsi" w:hAnsiTheme="majorHAnsi"/>
          <w:i/>
        </w:rPr>
        <w:t>SRCAP</w:t>
      </w:r>
      <w:r>
        <w:rPr>
          <w:rFonts w:asciiTheme="majorHAnsi" w:hAnsiTheme="majorHAnsi"/>
        </w:rPr>
        <w:t xml:space="preserve"> plasmid with 1-2971 amino acids </w:t>
      </w:r>
      <w:r>
        <w:rPr>
          <w:rFonts w:asciiTheme="majorHAnsi" w:hAnsiTheme="majorHAnsi"/>
        </w:rPr>
        <w:fldChar w:fldCharType="begin"/>
      </w:r>
      <w:r>
        <w:rPr>
          <w:rFonts w:asciiTheme="majorHAnsi" w:hAnsiTheme="majorHAnsi"/>
        </w:rPr>
        <w:instrText xml:space="preserve"> ADDIN EN.CITE &lt;EndNote&gt;&lt;Cite&gt;&lt;Author&gt;Bowman&lt;/Author&gt;&lt;Year&gt;2011&lt;/Year&gt;&lt;IDText&gt;Loss of H2A.Z Is Not Sufficient to Determine Transcriptional Activity of Snf2-Related CBP Activator Protein or p400 Complexes&lt;/IDText&gt;&lt;DisplayText&gt;(Bowman et al., 2011)&lt;/DisplayText&gt;&lt;record&gt;&lt;isbn&gt;1687-8884 (Electronic)&amp;#xD;1687-8876 (Linking)&lt;/isbn&gt;&lt;custom2&gt;PMC3140016&lt;/custom2&gt;&lt;titles&gt;&lt;title&gt;Loss of H2A.Z Is Not Sufficient to Determine Transcriptional Activity of Snf2-Related CBP Activator Protein or p400 Complexes&lt;/title&gt;&lt;secondary-title&gt;Int J Cell Biol&lt;/secondary-title&gt;&lt;/titles&gt;&lt;pages&gt;715642&lt;/pages&gt;&lt;contributors&gt;&lt;authors&gt;&lt;author&gt;Bowman, T. A.&lt;/author&gt;&lt;author&gt;Wong, M. M.&lt;/author&gt;&lt;author&gt;Cox, L. K.&lt;/author&gt;&lt;author&gt;Baldassare, J. J.&lt;/author&gt;&lt;author&gt;Chrivia, J. C.&lt;/author&gt;&lt;/authors&gt;&lt;/contributors&gt;&lt;edition&gt;2011/07/26&lt;/edition&gt;&lt;language&gt;eng&lt;/language&gt;&lt;added-date format="utc"&gt;1425383064&lt;/added-date&gt;&lt;ref-type name="Journal Article"&gt;17&lt;/ref-type&gt;&lt;auth-address&gt;Department of Pharmacological and Physiological Science, Saint Louis University School of Medicine, 1402 South Grand Boulevard, Saint Louis, MO 63104, USA.&lt;/auth-address&gt;&lt;dates&gt;&lt;year&gt;2011&lt;/year&gt;&lt;/dates&gt;&lt;remote-database-provider&gt;NLM&lt;/remote-database-provider&gt;&lt;rec-number&gt;4&lt;/rec-number&gt;&lt;last-updated-date format="utc"&gt;1447343623&lt;/last-updated-date&gt;&lt;accession-num&gt;21785598&lt;/accession-num&gt;&lt;electronic-resource-num&gt;10.1155/2011/715642&lt;/electronic-resource-num&gt;&lt;volume&gt;2011&lt;/volume&gt;&lt;/record&gt;&lt;/Cite&gt;&lt;/EndNote&gt;</w:instrText>
      </w:r>
      <w:r>
        <w:rPr>
          <w:rFonts w:asciiTheme="majorHAnsi" w:hAnsiTheme="majorHAnsi"/>
        </w:rPr>
        <w:fldChar w:fldCharType="separate"/>
      </w:r>
      <w:r>
        <w:rPr>
          <w:rFonts w:asciiTheme="majorHAnsi" w:hAnsiTheme="majorHAnsi"/>
          <w:noProof/>
        </w:rPr>
        <w:t>(Bowman et al., 2011)</w:t>
      </w:r>
      <w:r>
        <w:rPr>
          <w:rFonts w:asciiTheme="majorHAnsi" w:hAnsiTheme="majorHAnsi"/>
        </w:rPr>
        <w:fldChar w:fldCharType="end"/>
      </w:r>
      <w:r>
        <w:rPr>
          <w:rFonts w:asciiTheme="majorHAnsi" w:hAnsiTheme="majorHAnsi"/>
        </w:rPr>
        <w:t xml:space="preserve">. In fact the earlier publications only show a gene map of 2971 amino acids </w:t>
      </w:r>
      <w:r>
        <w:rPr>
          <w:rFonts w:asciiTheme="majorHAnsi" w:hAnsiTheme="majorHAnsi"/>
        </w:rPr>
        <w:fldChar w:fldCharType="begin">
          <w:fldData xml:space="preserve">PEVuZE5vdGU+PENpdGU+PEF1dGhvcj5Nb25yb3k8L0F1dGhvcj48WWVhcj4yMDAxPC9ZZWFyPjxJ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==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PEVuZE5vdGU+PENpdGU+PEF1dGhvcj5Nb25yb3k8L0F1dGhvcj48WWVhcj4yMDAxPC9ZZWFyPjxJ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==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(Monroy et al., 2001, Johnston et al., 1999b)</w:t>
      </w:r>
      <w:r>
        <w:rPr>
          <w:rFonts w:asciiTheme="majorHAnsi" w:hAnsiTheme="majorHAnsi"/>
        </w:rPr>
        <w:fldChar w:fldCharType="end"/>
      </w:r>
      <w:r>
        <w:rPr>
          <w:rFonts w:asciiTheme="majorHAnsi" w:hAnsiTheme="majorHAnsi"/>
        </w:rPr>
        <w:t xml:space="preserve">. Whereas Iwai et al. (2011), which was the paper that used the SRCAP Santa Cruz antibody, showed a gene map extending to 3230. Therefore, with so many papers not using the full length </w:t>
      </w:r>
      <w:r w:rsidRPr="007561A6">
        <w:rPr>
          <w:rFonts w:asciiTheme="majorHAnsi" w:hAnsiTheme="majorHAnsi"/>
          <w:i/>
        </w:rPr>
        <w:t>SRCAP</w:t>
      </w:r>
      <w:r>
        <w:rPr>
          <w:rFonts w:asciiTheme="majorHAnsi" w:hAnsiTheme="majorHAnsi"/>
        </w:rPr>
        <w:t xml:space="preserve"> insert, it may be that the C terminal region affects correct expression of the protein and cell survival within the system described in this chapter. After 2971 amino acids there are AT hooks, which aid in binding to the DNA, however deletion of the 2972-3230 amino acids appears to have no affect on the ability of SRCAP to catalyse the ATP dependent exchange of H2A for H2A.Z. Iwai et al. (2011) d</w:t>
      </w:r>
      <w:r w:rsidR="00323D15">
        <w:rPr>
          <w:rFonts w:asciiTheme="majorHAnsi" w:hAnsiTheme="majorHAnsi"/>
        </w:rPr>
        <w:t>id successfully show SRCAP over-</w:t>
      </w:r>
      <w:r>
        <w:rPr>
          <w:rFonts w:asciiTheme="majorHAnsi" w:hAnsiTheme="majorHAnsi"/>
        </w:rPr>
        <w:t>expression using the full 3230 amino acid insert as well as a partial coding region of 1639-1990, contradicting the possibility that the ina</w:t>
      </w:r>
      <w:r w:rsidR="00A72B38">
        <w:rPr>
          <w:rFonts w:asciiTheme="majorHAnsi" w:hAnsiTheme="majorHAnsi"/>
        </w:rPr>
        <w:t>bility here to show stable over-</w:t>
      </w:r>
      <w:r>
        <w:rPr>
          <w:rFonts w:asciiTheme="majorHAnsi" w:hAnsiTheme="majorHAnsi"/>
        </w:rPr>
        <w:t>expressio</w:t>
      </w:r>
      <w:r w:rsidR="00C878F4">
        <w:rPr>
          <w:rFonts w:asciiTheme="majorHAnsi" w:hAnsiTheme="majorHAnsi"/>
        </w:rPr>
        <w:t>n was due to not removing the c-</w:t>
      </w:r>
      <w:r>
        <w:rPr>
          <w:rFonts w:asciiTheme="majorHAnsi" w:hAnsiTheme="majorHAnsi"/>
        </w:rPr>
        <w:t xml:space="preserve">terminal from the </w:t>
      </w:r>
      <w:r w:rsidRPr="007561A6">
        <w:rPr>
          <w:rFonts w:asciiTheme="majorHAnsi" w:hAnsiTheme="majorHAnsi"/>
          <w:i/>
        </w:rPr>
        <w:t>SRCAP</w:t>
      </w:r>
      <w:r>
        <w:rPr>
          <w:rFonts w:asciiTheme="majorHAnsi" w:hAnsiTheme="majorHAnsi"/>
        </w:rPr>
        <w:t xml:space="preserve"> cDNA. </w:t>
      </w:r>
    </w:p>
    <w:p w14:paraId="3FB851C6" w14:textId="77777777" w:rsidR="00091260" w:rsidRDefault="00091260" w:rsidP="00091260">
      <w:pPr>
        <w:spacing w:line="360" w:lineRule="auto"/>
        <w:jc w:val="both"/>
        <w:rPr>
          <w:rFonts w:asciiTheme="majorHAnsi" w:hAnsiTheme="majorHAnsi"/>
        </w:rPr>
      </w:pPr>
    </w:p>
    <w:p w14:paraId="1D25EC2D" w14:textId="79AFEA4F" w:rsidR="00091260" w:rsidRPr="00AA2033" w:rsidRDefault="00323D15" w:rsidP="00E6223C">
      <w:pPr>
        <w:pStyle w:val="ListParagraph"/>
        <w:numPr>
          <w:ilvl w:val="0"/>
          <w:numId w:val="8"/>
        </w:numPr>
        <w:spacing w:line="360" w:lineRule="auto"/>
        <w:jc w:val="both"/>
        <w:rPr>
          <w:rFonts w:asciiTheme="majorHAnsi" w:hAnsiTheme="majorHAnsi"/>
          <w:b/>
          <w:i/>
        </w:rPr>
      </w:pPr>
      <w:r>
        <w:rPr>
          <w:rFonts w:asciiTheme="majorHAnsi" w:hAnsiTheme="majorHAnsi"/>
          <w:b/>
          <w:i/>
        </w:rPr>
        <w:t>Endogenous over-</w:t>
      </w:r>
      <w:r w:rsidR="00091260" w:rsidRPr="00AA2033">
        <w:rPr>
          <w:rFonts w:asciiTheme="majorHAnsi" w:hAnsiTheme="majorHAnsi"/>
          <w:b/>
          <w:i/>
        </w:rPr>
        <w:t>expression as an alternative approach</w:t>
      </w:r>
    </w:p>
    <w:p w14:paraId="52E24C9E" w14:textId="1828A1FC" w:rsidR="00091260" w:rsidRDefault="00091260" w:rsidP="00091260">
      <w:pPr>
        <w:spacing w:line="360" w:lineRule="auto"/>
        <w:jc w:val="both"/>
        <w:rPr>
          <w:rFonts w:asciiTheme="majorHAnsi" w:hAnsiTheme="majorHAnsi"/>
        </w:rPr>
      </w:pPr>
      <w:r>
        <w:rPr>
          <w:rFonts w:asciiTheme="majorHAnsi" w:hAnsiTheme="majorHAnsi"/>
        </w:rPr>
        <w:t xml:space="preserve">A </w:t>
      </w:r>
      <w:r w:rsidR="00A72B38">
        <w:rPr>
          <w:rFonts w:asciiTheme="majorHAnsi" w:hAnsiTheme="majorHAnsi"/>
        </w:rPr>
        <w:t>possible</w:t>
      </w:r>
      <w:r>
        <w:rPr>
          <w:rFonts w:asciiTheme="majorHAnsi" w:hAnsiTheme="majorHAnsi"/>
        </w:rPr>
        <w:t xml:space="preserve"> solutio</w:t>
      </w:r>
      <w:r w:rsidR="00A72B38">
        <w:rPr>
          <w:rFonts w:asciiTheme="majorHAnsi" w:hAnsiTheme="majorHAnsi"/>
        </w:rPr>
        <w:t>n to these problems was to over-</w:t>
      </w:r>
      <w:r>
        <w:rPr>
          <w:rFonts w:asciiTheme="majorHAnsi" w:hAnsiTheme="majorHAnsi"/>
        </w:rPr>
        <w:t xml:space="preserve">express endogenous levels of SRCAP using the CRISPR/dCas9 activation technique. However, the transient system could not be utilised </w:t>
      </w:r>
      <w:r w:rsidR="00A72B38">
        <w:rPr>
          <w:rFonts w:asciiTheme="majorHAnsi" w:hAnsiTheme="majorHAnsi"/>
        </w:rPr>
        <w:t>since</w:t>
      </w:r>
      <w:r>
        <w:rPr>
          <w:rFonts w:asciiTheme="majorHAnsi" w:hAnsiTheme="majorHAnsi"/>
        </w:rPr>
        <w:t xml:space="preserve"> the control plasmid resulted in significantly reduced cell proliferation in a range of cell lines. The lentiviral CRISPR/dCas9 technology pro</w:t>
      </w:r>
      <w:r w:rsidR="00A72B38">
        <w:rPr>
          <w:rFonts w:asciiTheme="majorHAnsi" w:hAnsiTheme="majorHAnsi"/>
        </w:rPr>
        <w:t>ved interesting as over-</w:t>
      </w:r>
      <w:r>
        <w:rPr>
          <w:rFonts w:asciiTheme="majorHAnsi" w:hAnsiTheme="majorHAnsi"/>
        </w:rPr>
        <w:t>expressing clones were established in two CRC cell lines. However, normal cell lines t</w:t>
      </w:r>
      <w:r w:rsidR="00A72B38">
        <w:rPr>
          <w:rFonts w:asciiTheme="majorHAnsi" w:hAnsiTheme="majorHAnsi"/>
        </w:rPr>
        <w:t>hat had been immortalised were no</w:t>
      </w:r>
      <w:r>
        <w:rPr>
          <w:rFonts w:asciiTheme="majorHAnsi" w:hAnsiTheme="majorHAnsi"/>
        </w:rPr>
        <w:t xml:space="preserve">t able to show </w:t>
      </w:r>
      <w:r w:rsidRPr="007561A6">
        <w:rPr>
          <w:rFonts w:asciiTheme="majorHAnsi" w:hAnsiTheme="majorHAnsi"/>
          <w:i/>
        </w:rPr>
        <w:t>SRCAP</w:t>
      </w:r>
      <w:r w:rsidR="0000087D">
        <w:rPr>
          <w:rFonts w:asciiTheme="majorHAnsi" w:hAnsiTheme="majorHAnsi"/>
        </w:rPr>
        <w:t xml:space="preserve"> over-</w:t>
      </w:r>
      <w:r>
        <w:rPr>
          <w:rFonts w:asciiTheme="majorHAnsi" w:hAnsiTheme="majorHAnsi"/>
        </w:rPr>
        <w:t xml:space="preserve">expression possibly because of previous antibiotic selection during the immortalisation process the cell lines would have been subjected to when first being established. </w:t>
      </w:r>
    </w:p>
    <w:p w14:paraId="5348995E" w14:textId="77777777" w:rsidR="00C878F4" w:rsidRDefault="00C878F4" w:rsidP="00091260">
      <w:pPr>
        <w:spacing w:line="360" w:lineRule="auto"/>
        <w:jc w:val="both"/>
        <w:rPr>
          <w:rFonts w:asciiTheme="majorHAnsi" w:hAnsiTheme="majorHAnsi"/>
        </w:rPr>
      </w:pPr>
    </w:p>
    <w:p w14:paraId="4EA2342C" w14:textId="6FF23166" w:rsidR="00091260" w:rsidRDefault="00323D15" w:rsidP="00091260">
      <w:pPr>
        <w:spacing w:line="360" w:lineRule="auto"/>
        <w:jc w:val="both"/>
        <w:rPr>
          <w:rFonts w:asciiTheme="majorHAnsi" w:hAnsiTheme="majorHAnsi"/>
        </w:rPr>
      </w:pPr>
      <w:r>
        <w:rPr>
          <w:rFonts w:asciiTheme="majorHAnsi" w:hAnsiTheme="majorHAnsi"/>
        </w:rPr>
        <w:t>The over-</w:t>
      </w:r>
      <w:r w:rsidR="00091260">
        <w:rPr>
          <w:rFonts w:asciiTheme="majorHAnsi" w:hAnsiTheme="majorHAnsi"/>
        </w:rPr>
        <w:t xml:space="preserve">expressing HCT116 clones did not show any difference in growth </w:t>
      </w:r>
      <w:r w:rsidR="009C7307">
        <w:rPr>
          <w:rFonts w:asciiTheme="majorHAnsi" w:hAnsiTheme="majorHAnsi"/>
        </w:rPr>
        <w:t>compared to control cells</w:t>
      </w:r>
      <w:r w:rsidR="00091260">
        <w:rPr>
          <w:rFonts w:asciiTheme="majorHAnsi" w:hAnsiTheme="majorHAnsi"/>
        </w:rPr>
        <w:t xml:space="preserve">. This is contradictory to what would be hypothesised, as it has been shown that increased levels of H2A.Z were associated with an increase in cell proliferation </w:t>
      </w:r>
      <w:r w:rsidR="00091260">
        <w:rPr>
          <w:rFonts w:asciiTheme="majorHAnsi" w:hAnsiTheme="majorHAnsi"/>
        </w:rPr>
        <w:fldChar w:fldCharType="begin"/>
      </w:r>
      <w:r w:rsidR="00091260">
        <w:rPr>
          <w:rFonts w:asciiTheme="majorHAnsi" w:hAnsiTheme="majorHAnsi"/>
        </w:rPr>
        <w:instrText xml:space="preserve"> ADDIN EN.CITE &lt;EndNote&gt;&lt;Cite&gt;&lt;Author&gt;Rangasamy&lt;/Author&gt;&lt;Year&gt;2010&lt;/Year&gt;&lt;IDText&gt;Histone variant H2A.Z can serve as a new target for breast cancer therapy&lt;/IDText&gt;&lt;DisplayText&gt;(Rangasamy, 2010)&lt;/DisplayText&gt;&lt;record&gt;&lt;keywords&gt;&lt;keyword&gt;Breast Neoplasms&lt;/keyword&gt;&lt;keyword&gt;Chromosome Segregation&lt;/keyword&gt;&lt;keyword&gt;Epigenesis, Genetic&lt;/keyword&gt;&lt;keyword&gt;Female&lt;/keyword&gt;&lt;keyword&gt;Genomic Instability&lt;/keyword&gt;&lt;keyword&gt;Histones&lt;/keyword&gt;&lt;keyword&gt;Humans&lt;/keyword&gt;&lt;keyword&gt;Proto-Oncogene Proteins c-myc&lt;/keyword&gt;&lt;/keywords&gt;&lt;urls&gt;&lt;related-urls&gt;&lt;url&gt;http://www.ncbi.nlm.nih.gov/pubmed/20666725&lt;/url&gt;&lt;/related-urls&gt;&lt;/urls&gt;&lt;isbn&gt;1875-533X&lt;/isbn&gt;&lt;titles&gt;&lt;title&gt;Histone variant H2A.Z can serve as a new target for breast cancer therapy&lt;/title&gt;&lt;secondary-title&gt;Curr Med Chem&lt;/secondary-title&gt;&lt;/titles&gt;&lt;pages&gt;3155-61&lt;/pages&gt;&lt;number&gt;28&lt;/number&gt;&lt;contributors&gt;&lt;authors&gt;&lt;author&gt;Rangasamy, D.&lt;/author&gt;&lt;/authors&gt;&lt;/contributors&gt;&lt;language&gt;eng&lt;/language&gt;&lt;added-date format="utc"&gt;1425998419&lt;/added-date&gt;&lt;ref-type name="Journal Article"&gt;17&lt;/ref-type&gt;&lt;dates&gt;&lt;year&gt;2010&lt;/year&gt;&lt;/dates&gt;&lt;rec-number&gt;88&lt;/rec-number&gt;&lt;last-updated-date format="utc"&gt;1447344248&lt;/last-updated-date&gt;&lt;accession-num&gt;20666725&lt;/accession-num&gt;&lt;volume&gt;17&lt;/volume&gt;&lt;/record&gt;&lt;/Cite&gt;&lt;/EndNote&gt;</w:instrText>
      </w:r>
      <w:r w:rsidR="00091260">
        <w:rPr>
          <w:rFonts w:asciiTheme="majorHAnsi" w:hAnsiTheme="majorHAnsi"/>
        </w:rPr>
        <w:fldChar w:fldCharType="separate"/>
      </w:r>
      <w:r w:rsidR="00091260">
        <w:rPr>
          <w:rFonts w:asciiTheme="majorHAnsi" w:hAnsiTheme="majorHAnsi"/>
          <w:noProof/>
        </w:rPr>
        <w:t>(Rangasamy, 2010)</w:t>
      </w:r>
      <w:r w:rsidR="00091260">
        <w:rPr>
          <w:rFonts w:asciiTheme="majorHAnsi" w:hAnsiTheme="majorHAnsi"/>
        </w:rPr>
        <w:fldChar w:fldCharType="end"/>
      </w:r>
      <w:r w:rsidR="00091260">
        <w:rPr>
          <w:rFonts w:asciiTheme="majorHAnsi" w:hAnsiTheme="majorHAnsi"/>
        </w:rPr>
        <w:t xml:space="preserve">. Therefore, </w:t>
      </w:r>
      <w:r>
        <w:rPr>
          <w:rFonts w:asciiTheme="majorHAnsi" w:hAnsiTheme="majorHAnsi"/>
        </w:rPr>
        <w:t>we would expect that SRCAP over-</w:t>
      </w:r>
      <w:r w:rsidR="00091260">
        <w:rPr>
          <w:rFonts w:asciiTheme="majorHAnsi" w:hAnsiTheme="majorHAnsi"/>
        </w:rPr>
        <w:t xml:space="preserve">expression would in turn increase H2A.Z deposition into the nucleosome, enhancing transcription and elevating proliferation rates.  </w:t>
      </w:r>
    </w:p>
    <w:p w14:paraId="3FB84F9B" w14:textId="77777777" w:rsidR="00091260" w:rsidRDefault="00091260" w:rsidP="00091260">
      <w:pPr>
        <w:spacing w:line="360" w:lineRule="auto"/>
        <w:jc w:val="both"/>
        <w:rPr>
          <w:rFonts w:asciiTheme="majorHAnsi" w:hAnsiTheme="majorHAnsi"/>
        </w:rPr>
      </w:pPr>
    </w:p>
    <w:p w14:paraId="1CD2BC10" w14:textId="04AB4055" w:rsidR="00091260" w:rsidRDefault="00091260" w:rsidP="00091260">
      <w:pPr>
        <w:spacing w:line="360" w:lineRule="auto"/>
        <w:jc w:val="both"/>
        <w:rPr>
          <w:rFonts w:asciiTheme="majorHAnsi" w:hAnsiTheme="majorHAnsi"/>
        </w:rPr>
      </w:pPr>
      <w:r>
        <w:rPr>
          <w:rFonts w:asciiTheme="majorHAnsi" w:hAnsiTheme="majorHAnsi"/>
        </w:rPr>
        <w:t>DNA damage w</w:t>
      </w:r>
      <w:r w:rsidR="0000087D">
        <w:rPr>
          <w:rFonts w:asciiTheme="majorHAnsi" w:hAnsiTheme="majorHAnsi"/>
        </w:rPr>
        <w:t>as increased in the HCT116 over-</w:t>
      </w:r>
      <w:r>
        <w:rPr>
          <w:rFonts w:asciiTheme="majorHAnsi" w:hAnsiTheme="majorHAnsi"/>
        </w:rPr>
        <w:t xml:space="preserve">expressing clones both by IF for damage markers and using the alkaline comet assay. There was some evidence for an increase in nuclear abnormalities when </w:t>
      </w:r>
      <w:r w:rsidRPr="007561A6">
        <w:rPr>
          <w:rFonts w:asciiTheme="majorHAnsi" w:hAnsiTheme="majorHAnsi"/>
          <w:i/>
        </w:rPr>
        <w:t>SRCAP</w:t>
      </w:r>
      <w:r w:rsidR="00323D15">
        <w:rPr>
          <w:rFonts w:asciiTheme="majorHAnsi" w:hAnsiTheme="majorHAnsi"/>
        </w:rPr>
        <w:t xml:space="preserve"> was over-</w:t>
      </w:r>
      <w:r>
        <w:rPr>
          <w:rFonts w:asciiTheme="majorHAnsi" w:hAnsiTheme="majorHAnsi"/>
        </w:rPr>
        <w:t>expressed; however high variability between repeats meant that no firm conclusions could be drawn. Looking at cell cycle profiling there was no difference between any of the clones and control cells, nor was there any difference in apoptosis levels</w:t>
      </w:r>
      <w:r w:rsidRPr="00E83A72">
        <w:rPr>
          <w:rFonts w:asciiTheme="majorHAnsi" w:hAnsiTheme="majorHAnsi"/>
        </w:rPr>
        <w:t xml:space="preserve">. </w:t>
      </w:r>
      <w:r w:rsidR="00812BFE" w:rsidRPr="00E83A72">
        <w:rPr>
          <w:rFonts w:asciiTheme="majorHAnsi" w:hAnsiTheme="majorHAnsi"/>
        </w:rPr>
        <w:t>The increase in genome instability when SRCAP was increased could be contradictory to what we expected, as Dong et al. (2004) highlighted that SRCAP played an integral role in CtIP recruitment at d</w:t>
      </w:r>
      <w:r w:rsidR="00EF1CB0" w:rsidRPr="00E83A72">
        <w:rPr>
          <w:rFonts w:asciiTheme="majorHAnsi" w:hAnsiTheme="majorHAnsi"/>
        </w:rPr>
        <w:t>ouble strand breaks in order for end resection and HR. When SRCAP was knocked down consequently DNA damage repair was impeded, so increasing the amount of DNA damage markers seen (discussed further in Chapter 4.1). Therefore if SCRAP is up regulated should there be an increase in HR mediated damage repair? Would this have a protective effect and decrease the number of double strand breaks seen? However, this was not the result seen in this thesis, the increase in genomic instability could possibly be due to the lentiviral system itself</w:t>
      </w:r>
      <w:r w:rsidR="00661DEC" w:rsidRPr="00E83A72">
        <w:rPr>
          <w:rFonts w:asciiTheme="majorHAnsi" w:hAnsiTheme="majorHAnsi"/>
        </w:rPr>
        <w:t>, and by making use of a control gRNA in the lentiviral system, which shouldn’t induce DNA damage, this could be assessed.</w:t>
      </w:r>
    </w:p>
    <w:p w14:paraId="5B85619E" w14:textId="77777777" w:rsidR="00091260" w:rsidRDefault="00091260" w:rsidP="00091260">
      <w:pPr>
        <w:spacing w:line="360" w:lineRule="auto"/>
        <w:jc w:val="both"/>
        <w:rPr>
          <w:rFonts w:asciiTheme="majorHAnsi" w:hAnsiTheme="majorHAnsi"/>
        </w:rPr>
      </w:pPr>
    </w:p>
    <w:p w14:paraId="26FEBFE5" w14:textId="3A6F9626" w:rsidR="00091260" w:rsidRDefault="00091260" w:rsidP="00091260">
      <w:pPr>
        <w:spacing w:line="360" w:lineRule="auto"/>
        <w:jc w:val="both"/>
        <w:rPr>
          <w:rFonts w:asciiTheme="majorHAnsi" w:hAnsiTheme="majorHAnsi"/>
        </w:rPr>
      </w:pPr>
      <w:r>
        <w:rPr>
          <w:rFonts w:asciiTheme="majorHAnsi" w:hAnsiTheme="majorHAnsi"/>
        </w:rPr>
        <w:t xml:space="preserve">Compounding the above results, at some point over the six weeks in culture the clones began losing their </w:t>
      </w:r>
      <w:r w:rsidRPr="007561A6">
        <w:rPr>
          <w:rFonts w:asciiTheme="majorHAnsi" w:hAnsiTheme="majorHAnsi"/>
          <w:i/>
        </w:rPr>
        <w:t>SRCAP</w:t>
      </w:r>
      <w:r w:rsidR="0000087D">
        <w:rPr>
          <w:rFonts w:asciiTheme="majorHAnsi" w:hAnsiTheme="majorHAnsi"/>
        </w:rPr>
        <w:t xml:space="preserve"> over-</w:t>
      </w:r>
      <w:r>
        <w:rPr>
          <w:rFonts w:asciiTheme="majorHAnsi" w:hAnsiTheme="majorHAnsi"/>
        </w:rPr>
        <w:t xml:space="preserve">expression and this could explain why some of the </w:t>
      </w:r>
      <w:r w:rsidR="0000087D">
        <w:rPr>
          <w:rFonts w:asciiTheme="majorHAnsi" w:hAnsiTheme="majorHAnsi"/>
        </w:rPr>
        <w:t xml:space="preserve">previous </w:t>
      </w:r>
      <w:r>
        <w:rPr>
          <w:rFonts w:asciiTheme="majorHAnsi" w:hAnsiTheme="majorHAnsi"/>
        </w:rPr>
        <w:t xml:space="preserve">results were variable. After antibiotic selection rescue and new frozen samples were thawed, there was still no </w:t>
      </w:r>
      <w:r w:rsidRPr="007561A6">
        <w:rPr>
          <w:rFonts w:asciiTheme="majorHAnsi" w:hAnsiTheme="majorHAnsi"/>
          <w:i/>
        </w:rPr>
        <w:t>SRCAP</w:t>
      </w:r>
      <w:r w:rsidR="00323D15">
        <w:rPr>
          <w:rFonts w:asciiTheme="majorHAnsi" w:hAnsiTheme="majorHAnsi"/>
        </w:rPr>
        <w:t xml:space="preserve"> over-</w:t>
      </w:r>
      <w:r>
        <w:rPr>
          <w:rFonts w:asciiTheme="majorHAnsi" w:hAnsiTheme="majorHAnsi"/>
        </w:rPr>
        <w:t>expres</w:t>
      </w:r>
      <w:r w:rsidR="00323D15">
        <w:rPr>
          <w:rFonts w:asciiTheme="majorHAnsi" w:hAnsiTheme="majorHAnsi"/>
        </w:rPr>
        <w:t>sion observed. The loss of over-</w:t>
      </w:r>
      <w:r>
        <w:rPr>
          <w:rFonts w:asciiTheme="majorHAnsi" w:hAnsiTheme="majorHAnsi"/>
        </w:rPr>
        <w:t xml:space="preserve">expression may not be specific to the </w:t>
      </w:r>
      <w:r w:rsidRPr="007561A6">
        <w:rPr>
          <w:rFonts w:asciiTheme="majorHAnsi" w:hAnsiTheme="majorHAnsi"/>
          <w:i/>
        </w:rPr>
        <w:t>SRCAP</w:t>
      </w:r>
      <w:r>
        <w:rPr>
          <w:rFonts w:asciiTheme="majorHAnsi" w:hAnsiTheme="majorHAnsi"/>
        </w:rPr>
        <w:t xml:space="preserve"> gene, but may relate to a more general problem with the CRISPR/dCas9 activation system, as another member of the same laboratory showed a similar decrease in clone expression levels.</w:t>
      </w:r>
    </w:p>
    <w:p w14:paraId="192B1B69" w14:textId="77777777" w:rsidR="00C878F4" w:rsidRDefault="00C878F4" w:rsidP="00C878F4">
      <w:pPr>
        <w:pStyle w:val="ListParagraph"/>
        <w:spacing w:line="360" w:lineRule="auto"/>
        <w:jc w:val="both"/>
        <w:rPr>
          <w:rFonts w:asciiTheme="majorHAnsi" w:hAnsiTheme="majorHAnsi"/>
          <w:b/>
          <w:i/>
        </w:rPr>
      </w:pPr>
    </w:p>
    <w:p w14:paraId="294CAC1D" w14:textId="77777777" w:rsidR="00091260" w:rsidRPr="00AA2033" w:rsidRDefault="00091260" w:rsidP="00E6223C">
      <w:pPr>
        <w:pStyle w:val="ListParagraph"/>
        <w:numPr>
          <w:ilvl w:val="0"/>
          <w:numId w:val="8"/>
        </w:numPr>
        <w:spacing w:line="360" w:lineRule="auto"/>
        <w:jc w:val="both"/>
        <w:rPr>
          <w:rFonts w:asciiTheme="majorHAnsi" w:hAnsiTheme="majorHAnsi"/>
          <w:b/>
          <w:i/>
        </w:rPr>
      </w:pPr>
      <w:r w:rsidRPr="00AA2033">
        <w:rPr>
          <w:rFonts w:asciiTheme="majorHAnsi" w:hAnsiTheme="majorHAnsi"/>
          <w:b/>
          <w:i/>
        </w:rPr>
        <w:t>CRISPR/Cas9 Limitations</w:t>
      </w:r>
    </w:p>
    <w:p w14:paraId="7D738D07" w14:textId="468AFAA9" w:rsidR="00091260" w:rsidRDefault="00091260" w:rsidP="00091260">
      <w:pPr>
        <w:spacing w:line="360" w:lineRule="auto"/>
        <w:jc w:val="both"/>
        <w:rPr>
          <w:rFonts w:asciiTheme="majorHAnsi" w:hAnsiTheme="majorHAnsi"/>
        </w:rPr>
      </w:pPr>
      <w:r>
        <w:rPr>
          <w:rFonts w:asciiTheme="majorHAnsi" w:hAnsiTheme="majorHAnsi"/>
        </w:rPr>
        <w:t xml:space="preserve">An interesting paper explored the idea that </w:t>
      </w:r>
      <w:r w:rsidRPr="007B60E4">
        <w:rPr>
          <w:rFonts w:asciiTheme="majorHAnsi" w:hAnsiTheme="majorHAnsi"/>
        </w:rPr>
        <w:t xml:space="preserve">the Cas9 system might have </w:t>
      </w:r>
      <w:r w:rsidR="00F54A17">
        <w:rPr>
          <w:rFonts w:asciiTheme="majorHAnsi" w:hAnsiTheme="majorHAnsi"/>
        </w:rPr>
        <w:t xml:space="preserve">a </w:t>
      </w:r>
      <w:r>
        <w:rPr>
          <w:rFonts w:asciiTheme="majorHAnsi" w:hAnsiTheme="majorHAnsi"/>
        </w:rPr>
        <w:t>reduced ability to bind to the DNA and cause</w:t>
      </w:r>
      <w:r w:rsidRPr="007B60E4">
        <w:rPr>
          <w:rFonts w:asciiTheme="majorHAnsi" w:hAnsiTheme="majorHAnsi"/>
        </w:rPr>
        <w:t xml:space="preserve"> nicks </w:t>
      </w:r>
      <w:r>
        <w:rPr>
          <w:rFonts w:asciiTheme="majorHAnsi" w:hAnsiTheme="majorHAnsi"/>
        </w:rPr>
        <w:t xml:space="preserve">in eukaryotic cells </w:t>
      </w:r>
      <w:r w:rsidRPr="007B60E4">
        <w:rPr>
          <w:rFonts w:asciiTheme="majorHAnsi" w:hAnsiTheme="majorHAnsi"/>
        </w:rPr>
        <w:t>due to the nucleosome packaging not found in the bacteria</w:t>
      </w:r>
      <w:r>
        <w:rPr>
          <w:rFonts w:asciiTheme="majorHAnsi" w:hAnsiTheme="majorHAnsi"/>
        </w:rPr>
        <w:t>l</w:t>
      </w:r>
      <w:r w:rsidRPr="007B60E4">
        <w:rPr>
          <w:rFonts w:asciiTheme="majorHAnsi" w:hAnsiTheme="majorHAnsi"/>
        </w:rPr>
        <w:t xml:space="preserve"> genome, which inhibits binding of sequence specific factors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&lt;EndNote&gt;&lt;Cite&gt;&lt;Author&gt;Isaac&lt;/Author&gt;&lt;Year&gt;2016&lt;/Year&gt;&lt;IDText&gt;Nucleosome breathing and remodeling constrain CRISPR-Cas9 function&lt;/IDText&gt;&lt;DisplayText&gt;(Isaac et al., 2016)&lt;/DisplayText&gt;&lt;record&gt;&lt;urls&gt;&lt;related-urls&gt;&lt;url&gt;https://www.ncbi.nlm.nih.gov/pubmed/27130520&lt;/url&gt;&lt;/related-urls&gt;&lt;/urls&gt;&lt;isbn&gt;2050-084X&lt;/isbn&gt;&lt;custom2&gt;PMC4880442&lt;/custom2&gt;&lt;titles&gt;&lt;title&gt;Nucleosome breathing and remodeling constrain CRISPR-Cas9 function&lt;/title&gt;&lt;secondary-title&gt;Elife&lt;/secondary-title&gt;&lt;/titles&gt;&lt;contributors&gt;&lt;authors&gt;&lt;author&gt;Isaac, R. S.&lt;/author&gt;&lt;author&gt;Jiang, F.&lt;/author&gt;&lt;author&gt;Doudna, J. A.&lt;/author&gt;&lt;author&gt;Lim, W. A.&lt;/author&gt;&lt;author&gt;Narlikar, G. J.&lt;/author&gt;&lt;author&gt;Almeida, R.&lt;/author&gt;&lt;/authors&gt;&lt;/contributors&gt;&lt;language&gt;eng&lt;/language&gt;&lt;added-date format="utc"&gt;1469459989&lt;/added-date&gt;&lt;ref-type name="Journal Article"&gt;17&lt;/ref-type&gt;&lt;dates&gt;&lt;year&gt;2016&lt;/year&gt;&lt;/dates&gt;&lt;rec-number&gt;162&lt;/rec-number&gt;&lt;last-updated-date format="utc"&gt;1469459989&lt;/last-updated-date&gt;&lt;accession-num&gt;27130520&lt;/accession-num&gt;&lt;electronic-resource-num&gt;10.7554/eLife.13450&lt;/electronic-resource-num&gt;&lt;volume&gt;5&lt;/volume&gt;&lt;/record&gt;&lt;/Cite&gt;&lt;/EndNote&gt;</w:instrText>
      </w:r>
      <w:r>
        <w:rPr>
          <w:rFonts w:asciiTheme="majorHAnsi" w:hAnsiTheme="majorHAnsi"/>
        </w:rPr>
        <w:fldChar w:fldCharType="separate"/>
      </w:r>
      <w:r>
        <w:rPr>
          <w:rFonts w:asciiTheme="majorHAnsi" w:hAnsiTheme="majorHAnsi"/>
          <w:noProof/>
        </w:rPr>
        <w:t>(Isaac et al., 2016)</w:t>
      </w:r>
      <w:r>
        <w:rPr>
          <w:rFonts w:asciiTheme="majorHAnsi" w:hAnsiTheme="majorHAnsi"/>
        </w:rPr>
        <w:fldChar w:fldCharType="end"/>
      </w:r>
      <w:r w:rsidRPr="007B60E4">
        <w:rPr>
          <w:rFonts w:asciiTheme="majorHAnsi" w:hAnsiTheme="majorHAnsi"/>
        </w:rPr>
        <w:t>. However, Cas9 inhibition</w:t>
      </w:r>
      <w:r>
        <w:rPr>
          <w:rFonts w:asciiTheme="majorHAnsi" w:hAnsiTheme="majorHAnsi"/>
        </w:rPr>
        <w:t xml:space="preserve"> by nucleosome packaging does not</w:t>
      </w:r>
      <w:r w:rsidRPr="007B60E4">
        <w:rPr>
          <w:rFonts w:asciiTheme="majorHAnsi" w:hAnsiTheme="majorHAnsi"/>
        </w:rPr>
        <w:t xml:space="preserve"> appear to </w:t>
      </w:r>
      <w:r>
        <w:rPr>
          <w:rFonts w:asciiTheme="majorHAnsi" w:hAnsiTheme="majorHAnsi"/>
        </w:rPr>
        <w:t>occur</w:t>
      </w:r>
      <w:r w:rsidRPr="007B60E4">
        <w:rPr>
          <w:rFonts w:asciiTheme="majorHAnsi" w:hAnsiTheme="majorHAnsi"/>
        </w:rPr>
        <w:t xml:space="preserve">, as rates of Cas9 binding </w:t>
      </w:r>
      <w:r>
        <w:rPr>
          <w:rFonts w:asciiTheme="majorHAnsi" w:hAnsiTheme="majorHAnsi"/>
        </w:rPr>
        <w:t>are</w:t>
      </w:r>
      <w:r w:rsidRPr="007B60E4">
        <w:rPr>
          <w:rFonts w:asciiTheme="majorHAnsi" w:hAnsiTheme="majorHAnsi"/>
        </w:rPr>
        <w:t xml:space="preserve"> equivalent to </w:t>
      </w:r>
      <w:r>
        <w:rPr>
          <w:rFonts w:asciiTheme="majorHAnsi" w:hAnsiTheme="majorHAnsi"/>
        </w:rPr>
        <w:t xml:space="preserve">those </w:t>
      </w:r>
      <w:r w:rsidRPr="007B60E4">
        <w:rPr>
          <w:rFonts w:asciiTheme="majorHAnsi" w:hAnsiTheme="majorHAnsi"/>
        </w:rPr>
        <w:t>on naked DNA. This is probably due to a phenomenon known as nucleosome breathing, where DNA separates from the histones and then re-anneals</w:t>
      </w:r>
      <w:r>
        <w:rPr>
          <w:rFonts w:asciiTheme="majorHAnsi" w:hAnsiTheme="majorHAnsi"/>
        </w:rPr>
        <w:t>,</w:t>
      </w:r>
      <w:r w:rsidRPr="007B60E4">
        <w:rPr>
          <w:rFonts w:asciiTheme="majorHAnsi" w:hAnsiTheme="majorHAnsi"/>
        </w:rPr>
        <w:t xml:space="preserve"> or because of chromatin remodelling factors. In this way DNA is free and Cas9 able to bind</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&lt;EndNote&gt;&lt;Cite&gt;&lt;Author&gt;Isaac&lt;/Author&gt;&lt;Year&gt;2016&lt;/Year&gt;&lt;IDText&gt;Nucleosome breathing and remodeling constrain CRISPR-Cas9 function&lt;/IDText&gt;&lt;DisplayText&gt;(Isaac et al., 2016)&lt;/DisplayText&gt;&lt;record&gt;&lt;urls&gt;&lt;related-urls&gt;&lt;url&gt;https://www.ncbi.nlm.nih.gov/pubmed/27130520&lt;/url&gt;&lt;/related-urls&gt;&lt;/urls&gt;&lt;isbn&gt;2050-084X&lt;/isbn&gt;&lt;custom2&gt;PMC4880442&lt;/custom2&gt;&lt;titles&gt;&lt;title&gt;Nucleosome breathing and remodeling constrain CRISPR-Cas9 function&lt;/title&gt;&lt;secondary-title&gt;Elife&lt;/secondary-title&gt;&lt;/titles&gt;&lt;contributors&gt;&lt;authors&gt;&lt;author&gt;Isaac, R. S.&lt;/author&gt;&lt;author&gt;Jiang, F.&lt;/author&gt;&lt;author&gt;Doudna, J. A.&lt;/author&gt;&lt;author&gt;Lim, W. A.&lt;/author&gt;&lt;author&gt;Narlikar, G. J.&lt;/author&gt;&lt;author&gt;Almeida, R.&lt;/author&gt;&lt;/authors&gt;&lt;/contributors&gt;&lt;language&gt;eng&lt;/language&gt;&lt;added-date format="utc"&gt;1469459989&lt;/added-date&gt;&lt;ref-type name="Journal Article"&gt;17&lt;/ref-type&gt;&lt;dates&gt;&lt;year&gt;2016&lt;/year&gt;&lt;/dates&gt;&lt;rec-number&gt;162&lt;/rec-number&gt;&lt;last-updated-date format="utc"&gt;1469459989&lt;/last-updated-date&gt;&lt;accession-num&gt;27130520&lt;/accession-num&gt;&lt;electronic-resource-num&gt;10.7554/eLife.13450&lt;/electronic-resource-num&gt;&lt;volume&gt;5&lt;/volume&gt;&lt;/record&gt;&lt;/Cite&gt;&lt;/EndNote&gt;</w:instrText>
      </w:r>
      <w:r>
        <w:rPr>
          <w:rFonts w:asciiTheme="majorHAnsi" w:hAnsiTheme="majorHAnsi"/>
        </w:rPr>
        <w:fldChar w:fldCharType="separate"/>
      </w:r>
      <w:r>
        <w:rPr>
          <w:rFonts w:asciiTheme="majorHAnsi" w:hAnsiTheme="majorHAnsi"/>
          <w:noProof/>
        </w:rPr>
        <w:t>(Isaac et al., 2016)</w:t>
      </w:r>
      <w:r>
        <w:rPr>
          <w:rFonts w:asciiTheme="majorHAnsi" w:hAnsiTheme="majorHAnsi"/>
        </w:rPr>
        <w:fldChar w:fldCharType="end"/>
      </w:r>
      <w:r w:rsidRPr="007B60E4">
        <w:rPr>
          <w:rFonts w:asciiTheme="majorHAnsi" w:hAnsiTheme="majorHAnsi"/>
        </w:rPr>
        <w:t>.</w:t>
      </w:r>
      <w:r w:rsidR="0000087D">
        <w:rPr>
          <w:rFonts w:asciiTheme="majorHAnsi" w:hAnsiTheme="majorHAnsi"/>
        </w:rPr>
        <w:t xml:space="preserve"> Therefore, the up-</w:t>
      </w:r>
      <w:r>
        <w:rPr>
          <w:rFonts w:asciiTheme="majorHAnsi" w:hAnsiTheme="majorHAnsi"/>
        </w:rPr>
        <w:t xml:space="preserve">regulation of SRCAP could be interfering with the specific binding of dCas9 to the DNA and so not allowing for the system to work efficiently, leading to reduced SRCAP expression. It has also been found that co-transfection of four </w:t>
      </w:r>
      <w:proofErr w:type="spellStart"/>
      <w:r>
        <w:rPr>
          <w:rFonts w:asciiTheme="majorHAnsi" w:hAnsiTheme="majorHAnsi"/>
        </w:rPr>
        <w:t>gRNAs</w:t>
      </w:r>
      <w:proofErr w:type="spellEnd"/>
      <w:r>
        <w:rPr>
          <w:rFonts w:asciiTheme="majorHAnsi" w:hAnsiTheme="majorHAnsi"/>
        </w:rPr>
        <w:t xml:space="preserve"> targeting different sequences of the same gene, along with the dCas9 and VP64 activator, produce a much higher increase in expression of the gene of interest than when just one gRNA was used alone </w:t>
      </w:r>
      <w:r>
        <w:rPr>
          <w:rFonts w:asciiTheme="majorHAnsi" w:hAnsiTheme="majorHAnsi"/>
        </w:rPr>
        <w:fldChar w:fldCharType="begin"/>
      </w:r>
      <w:r>
        <w:rPr>
          <w:rFonts w:asciiTheme="majorHAnsi" w:hAnsiTheme="majorHAnsi"/>
        </w:rPr>
        <w:instrText xml:space="preserve"> ADDIN EN.CITE &lt;EndNote&gt;&lt;Cite&gt;&lt;Author&gt;Perez-Pinera&lt;/Author&gt;&lt;Year&gt;2013&lt;/Year&gt;&lt;IDText&gt;RNA-guided gene activation by CRISPR-Cas9-based transcription factors&lt;/IDText&gt;&lt;DisplayText&gt;(Perez-Pinera et al., 2013)&lt;/DisplayText&gt;&lt;record&gt;&lt;dates&gt;&lt;pub-dates&gt;&lt;date&gt;Oct&lt;/date&gt;&lt;/pub-dates&gt;&lt;year&gt;2013&lt;/year&gt;&lt;/dates&gt;&lt;keywords&gt;&lt;keyword&gt;Clustered Regularly Interspaced Short Palindromic Repeats&lt;/keyword&gt;&lt;keyword&gt;HEK293 Cells&lt;/keyword&gt;&lt;keyword&gt;High-Throughput Nucleotide Sequencing&lt;/keyword&gt;&lt;keyword&gt;Humans&lt;/keyword&gt;&lt;keyword&gt;Interleukin 1 Receptor Antagonist Protein&lt;/keyword&gt;&lt;keyword&gt;Protein Engineering&lt;/keyword&gt;&lt;keyword&gt;RNA Editing&lt;/keyword&gt;&lt;keyword&gt;RNA, Guide&lt;/keyword&gt;&lt;keyword&gt;Ribonucleases&lt;/keyword&gt;&lt;keyword&gt;Transcription Factors&lt;/keyword&gt;&lt;keyword&gt;Transcriptional Activation&lt;/keyword&gt;&lt;/keywords&gt;&lt;urls&gt;&lt;related-urls&gt;&lt;url&gt;https://www.ncbi.nlm.nih.gov/pubmed/23892895&lt;/url&gt;&lt;/related-urls&gt;&lt;/urls&gt;&lt;isbn&gt;1548-7105&lt;/isbn&gt;&lt;custom2&gt;PMC3911785&lt;/custom2&gt;&lt;titles&gt;&lt;title&gt;RNA-guided gene activation by CRISPR-Cas9-based transcription factors&lt;/title&gt;&lt;secondary-title&gt;Nat Methods&lt;/secondary-title&gt;&lt;/titles&gt;&lt;pages&gt;973-6&lt;/pages&gt;&lt;number&gt;10&lt;/number&gt;&lt;contributors&gt;&lt;authors&gt;&lt;author&gt;Perez-Pinera, P.&lt;/author&gt;&lt;author&gt;Kocak, D. D.&lt;/author&gt;&lt;author&gt;Vockley, C. M.&lt;/author&gt;&lt;author&gt;Adler, A. F.&lt;/author&gt;&lt;author&gt;Kabadi, A. M.&lt;/author&gt;&lt;author&gt;Polstein, L. R.&lt;/author&gt;&lt;author&gt;Thakore, P. I.&lt;/author&gt;&lt;author&gt;Glass, K. A.&lt;/author&gt;&lt;author&gt;Ousterout, D. G.&lt;/author&gt;&lt;author&gt;Leong, K. W.&lt;/author&gt;&lt;author&gt;Guilak, F.&lt;/author&gt;&lt;author&gt;Crawford, G. E.&lt;/author&gt;&lt;author&gt;Reddy, T. E.&lt;/author&gt;&lt;author&gt;Gersbach, C. A.&lt;/author&gt;&lt;/authors&gt;&lt;/contributors&gt;&lt;edition&gt;2013/07/25&lt;/edition&gt;&lt;language&gt;eng&lt;/language&gt;&lt;added-date format="utc"&gt;1504623163&lt;/added-date&gt;&lt;ref-type name="Journal Article"&gt;17&lt;/ref-type&gt;&lt;rec-number&gt;268&lt;/rec-number&gt;&lt;last-updated-date format="utc"&gt;1504623163&lt;/last-updated-date&gt;&lt;accession-num&gt;23892895&lt;/accession-num&gt;&lt;electronic-resource-num&gt;10.1038/nmeth.2600&lt;/electronic-resource-num&gt;&lt;volume&gt;10&lt;/volume&gt;&lt;/record&gt;&lt;/Cite&gt;&lt;/EndNote&gt;</w:instrText>
      </w:r>
      <w:r>
        <w:rPr>
          <w:rFonts w:asciiTheme="majorHAnsi" w:hAnsiTheme="majorHAnsi"/>
        </w:rPr>
        <w:fldChar w:fldCharType="separate"/>
      </w:r>
      <w:r>
        <w:rPr>
          <w:rFonts w:asciiTheme="majorHAnsi" w:hAnsiTheme="majorHAnsi"/>
          <w:noProof/>
        </w:rPr>
        <w:t>(Perez-Pinera et al., 2013)</w:t>
      </w:r>
      <w:r>
        <w:rPr>
          <w:rFonts w:asciiTheme="majorHAnsi" w:hAnsiTheme="majorHAnsi"/>
        </w:rPr>
        <w:fldChar w:fldCharType="end"/>
      </w:r>
      <w:r>
        <w:rPr>
          <w:rFonts w:asciiTheme="majorHAnsi" w:hAnsiTheme="majorHAnsi"/>
        </w:rPr>
        <w:t>. Therefore, the system used in this thesis may become more robust if more than one gRNA was utilised.</w:t>
      </w:r>
    </w:p>
    <w:p w14:paraId="0652642F" w14:textId="77777777" w:rsidR="006528B3" w:rsidRDefault="006528B3" w:rsidP="00091260">
      <w:pPr>
        <w:spacing w:line="360" w:lineRule="auto"/>
        <w:jc w:val="both"/>
        <w:rPr>
          <w:rFonts w:asciiTheme="majorHAnsi" w:hAnsiTheme="majorHAnsi"/>
        </w:rPr>
      </w:pPr>
    </w:p>
    <w:p w14:paraId="21DA0B82" w14:textId="36F12858" w:rsidR="006528B3" w:rsidRDefault="006528B3" w:rsidP="00091260">
      <w:pPr>
        <w:spacing w:line="360" w:lineRule="auto"/>
        <w:jc w:val="both"/>
        <w:rPr>
          <w:rFonts w:asciiTheme="majorHAnsi" w:hAnsiTheme="majorHAnsi"/>
        </w:rPr>
      </w:pPr>
      <w:r w:rsidRPr="00E83A72">
        <w:rPr>
          <w:rFonts w:asciiTheme="majorHAnsi" w:hAnsiTheme="majorHAnsi"/>
        </w:rPr>
        <w:t>The decrease in expression of SRCAP in the lentiviral dCas9 system could possibly be explained due to promoter silencing by methylation. This may be a consequence of the cells actively selecting against the over-expression of SRCAP</w:t>
      </w:r>
      <w:r w:rsidR="004F0F63" w:rsidRPr="00E83A72">
        <w:rPr>
          <w:rFonts w:asciiTheme="majorHAnsi" w:hAnsiTheme="majorHAnsi"/>
        </w:rPr>
        <w:t>. However, we also don’t know for sure that the gRNA and dCas9 bound in the correct place and wasn’t causing off target effects. A recent paper discussed using chromatin immunoprecipitation and</w:t>
      </w:r>
      <w:r w:rsidR="00F43342" w:rsidRPr="00E83A72">
        <w:rPr>
          <w:rFonts w:asciiTheme="majorHAnsi" w:hAnsiTheme="majorHAnsi"/>
        </w:rPr>
        <w:t xml:space="preserve"> DNA</w:t>
      </w:r>
      <w:r w:rsidR="004F0F63" w:rsidRPr="00E83A72">
        <w:rPr>
          <w:rFonts w:asciiTheme="majorHAnsi" w:hAnsiTheme="majorHAnsi"/>
        </w:rPr>
        <w:t xml:space="preserve"> sequencing (</w:t>
      </w:r>
      <w:proofErr w:type="spellStart"/>
      <w:r w:rsidR="004F0F63" w:rsidRPr="00E83A72">
        <w:rPr>
          <w:rFonts w:asciiTheme="majorHAnsi" w:hAnsiTheme="majorHAnsi"/>
        </w:rPr>
        <w:t>ChIP-seq</w:t>
      </w:r>
      <w:proofErr w:type="spellEnd"/>
      <w:r w:rsidR="004F0F63" w:rsidRPr="00E83A72">
        <w:rPr>
          <w:rFonts w:asciiTheme="majorHAnsi" w:hAnsiTheme="majorHAnsi"/>
        </w:rPr>
        <w:t>) in order to analyse where dCas9 was binding. In fact it appears that a</w:t>
      </w:r>
      <w:r w:rsidR="00F43342" w:rsidRPr="00E83A72">
        <w:rPr>
          <w:rFonts w:asciiTheme="majorHAnsi" w:hAnsiTheme="majorHAnsi"/>
        </w:rPr>
        <w:t>ll though Cas9 has high rates o</w:t>
      </w:r>
      <w:r w:rsidR="004F0F63" w:rsidRPr="00E83A72">
        <w:rPr>
          <w:rFonts w:asciiTheme="majorHAnsi" w:hAnsiTheme="majorHAnsi"/>
        </w:rPr>
        <w:t>f off-target binding</w:t>
      </w:r>
      <w:r w:rsidR="00F43342" w:rsidRPr="00E83A72">
        <w:rPr>
          <w:rFonts w:asciiTheme="majorHAnsi" w:hAnsiTheme="majorHAnsi"/>
        </w:rPr>
        <w:t>,</w:t>
      </w:r>
      <w:r w:rsidR="004F0F63" w:rsidRPr="00E83A72">
        <w:rPr>
          <w:rFonts w:asciiTheme="majorHAnsi" w:hAnsiTheme="majorHAnsi"/>
        </w:rPr>
        <w:t xml:space="preserve"> dCas9 </w:t>
      </w:r>
      <w:r w:rsidR="00F43342" w:rsidRPr="00E83A72">
        <w:rPr>
          <w:rFonts w:asciiTheme="majorHAnsi" w:hAnsiTheme="majorHAnsi"/>
        </w:rPr>
        <w:t>binds much more efficiently possibly because it has a smaller window of binding which must be adjacent to transcriptional start sites. Therefore even though off target-binding will occur, it is much less likely to cause a phenotype as they may not be efficient to modulate transcription</w:t>
      </w:r>
      <w:r w:rsidR="009A2238" w:rsidRPr="00E83A72">
        <w:rPr>
          <w:rFonts w:asciiTheme="majorHAnsi" w:hAnsiTheme="majorHAnsi"/>
        </w:rPr>
        <w:t xml:space="preserve"> </w:t>
      </w:r>
      <w:r w:rsidR="009A2238" w:rsidRPr="00E83A72">
        <w:rPr>
          <w:rFonts w:asciiTheme="majorHAnsi" w:hAnsiTheme="majorHAnsi"/>
        </w:rPr>
        <w:fldChar w:fldCharType="begin"/>
      </w:r>
      <w:r w:rsidR="009A2238" w:rsidRPr="00E83A72">
        <w:rPr>
          <w:rFonts w:asciiTheme="majorHAnsi" w:hAnsiTheme="majorHAnsi"/>
        </w:rPr>
        <w:instrText xml:space="preserve"> ADDIN EN.CITE &lt;EndNote&gt;&lt;Cite&gt;&lt;Author&gt;Dominguez&lt;/Author&gt;&lt;Year&gt;2016&lt;/Year&gt;&lt;IDText&gt;Beyond editing: repurposing CRISPR-Cas9 for precision genome regulation and interrogation&lt;/IDText&gt;&lt;DisplayText&gt;(Dominguez et al., 2016)&lt;/DisplayText&gt;&lt;record&gt;&lt;dates&gt;&lt;pub-dates&gt;&lt;date&gt;Jan&lt;/date&gt;&lt;/pub-dates&gt;&lt;year&gt;2016&lt;/year&gt;&lt;/dates&gt;&lt;keywords&gt;&lt;keyword&gt;Animals&lt;/keyword&gt;&lt;keyword&gt;CRISPR-Cas Systems&lt;/keyword&gt;&lt;keyword&gt;Genome&lt;/keyword&gt;&lt;keyword&gt;Genomics&lt;/keyword&gt;&lt;keyword&gt;Humans&lt;/keyword&gt;&lt;keyword&gt;Models, Genetic&lt;/keyword&gt;&lt;keyword&gt;RNA Editing&lt;/keyword&gt;&lt;keyword&gt;Transcription, Genetic&lt;/keyword&gt;&lt;/keywords&gt;&lt;urls&gt;&lt;related-urls&gt;&lt;url&gt;https://www.ncbi.nlm.nih.gov/pubmed/26670017&lt;/url&gt;&lt;/related-urls&gt;&lt;/urls&gt;&lt;isbn&gt;1471-0080&lt;/isbn&gt;&lt;custom2&gt;PMC4922510&lt;/custom2&gt;&lt;titles&gt;&lt;title&gt;Beyond editing: repurposing CRISPR-Cas9 for precision genome regulation and interrogation&lt;/title&gt;&lt;secondary-title&gt;Nat Rev Mol Cell Biol&lt;/secondary-title&gt;&lt;/titles&gt;&lt;pages&gt;5-15&lt;/pages&gt;&lt;number&gt;1&lt;/number&gt;&lt;contributors&gt;&lt;authors&gt;&lt;author&gt;Dominguez, A. A.&lt;/author&gt;&lt;author&gt;Lim, W. A.&lt;/author&gt;&lt;author&gt;Qi, L. S.&lt;/author&gt;&lt;/authors&gt;&lt;/contributors&gt;&lt;edition&gt;2015/12/16&lt;/edition&gt;&lt;language&gt;eng&lt;/language&gt;&lt;added-date format="utc"&gt;1522923025&lt;/added-date&gt;&lt;ref-type name="Journal Article"&gt;17&lt;/ref-type&gt;&lt;rec-number&gt;396&lt;/rec-number&gt;&lt;last-updated-date format="utc"&gt;1522923025&lt;/last-updated-date&gt;&lt;accession-num&gt;26670017&lt;/accession-num&gt;&lt;electronic-resource-num&gt;10.1038/nrm.2015.2&lt;/electronic-resource-num&gt;&lt;volume&gt;17&lt;/volume&gt;&lt;/record&gt;&lt;/Cite&gt;&lt;/EndNote&gt;</w:instrText>
      </w:r>
      <w:r w:rsidR="009A2238" w:rsidRPr="00E83A72">
        <w:rPr>
          <w:rFonts w:asciiTheme="majorHAnsi" w:hAnsiTheme="majorHAnsi"/>
        </w:rPr>
        <w:fldChar w:fldCharType="separate"/>
      </w:r>
      <w:r w:rsidR="009A2238" w:rsidRPr="00E83A72">
        <w:rPr>
          <w:rFonts w:asciiTheme="majorHAnsi" w:hAnsiTheme="majorHAnsi"/>
          <w:noProof/>
        </w:rPr>
        <w:t>(Dominguez et al., 2016)</w:t>
      </w:r>
      <w:r w:rsidR="009A2238" w:rsidRPr="00E83A72">
        <w:rPr>
          <w:rFonts w:asciiTheme="majorHAnsi" w:hAnsiTheme="majorHAnsi"/>
        </w:rPr>
        <w:fldChar w:fldCharType="end"/>
      </w:r>
      <w:r w:rsidR="00F43342" w:rsidRPr="00E83A72">
        <w:rPr>
          <w:rFonts w:asciiTheme="majorHAnsi" w:hAnsiTheme="majorHAnsi"/>
        </w:rPr>
        <w:t>.</w:t>
      </w:r>
      <w:r w:rsidR="00F43342">
        <w:rPr>
          <w:rFonts w:asciiTheme="majorHAnsi" w:hAnsiTheme="majorHAnsi"/>
        </w:rPr>
        <w:t xml:space="preserve"> </w:t>
      </w:r>
    </w:p>
    <w:p w14:paraId="54F64419" w14:textId="77777777" w:rsidR="00091260" w:rsidRDefault="00091260" w:rsidP="00091260">
      <w:pPr>
        <w:spacing w:line="360" w:lineRule="auto"/>
        <w:jc w:val="both"/>
        <w:rPr>
          <w:rFonts w:asciiTheme="majorHAnsi" w:hAnsiTheme="majorHAnsi"/>
        </w:rPr>
      </w:pPr>
    </w:p>
    <w:p w14:paraId="069F44FC" w14:textId="77777777" w:rsidR="00091260" w:rsidRPr="003762A9" w:rsidRDefault="00091260" w:rsidP="00E6223C">
      <w:pPr>
        <w:pStyle w:val="ListParagraph"/>
        <w:numPr>
          <w:ilvl w:val="0"/>
          <w:numId w:val="8"/>
        </w:numPr>
        <w:spacing w:line="360" w:lineRule="auto"/>
        <w:jc w:val="both"/>
        <w:rPr>
          <w:rFonts w:asciiTheme="majorHAnsi" w:hAnsiTheme="majorHAnsi"/>
          <w:b/>
          <w:i/>
        </w:rPr>
      </w:pPr>
      <w:r w:rsidRPr="003762A9">
        <w:rPr>
          <w:rFonts w:asciiTheme="majorHAnsi" w:hAnsiTheme="majorHAnsi"/>
          <w:b/>
          <w:i/>
        </w:rPr>
        <w:t>Experimental Limitations</w:t>
      </w:r>
    </w:p>
    <w:p w14:paraId="2726191E" w14:textId="45364BAD" w:rsidR="00091260" w:rsidRDefault="00091260" w:rsidP="00091260">
      <w:pPr>
        <w:spacing w:line="360" w:lineRule="auto"/>
        <w:jc w:val="both"/>
        <w:rPr>
          <w:rFonts w:asciiTheme="majorHAnsi" w:hAnsiTheme="majorHAnsi"/>
        </w:rPr>
      </w:pPr>
      <w:r>
        <w:rPr>
          <w:rFonts w:asciiTheme="majorHAnsi" w:hAnsiTheme="majorHAnsi"/>
        </w:rPr>
        <w:t>Unfortunately, due to these technical difficulties a deta</w:t>
      </w:r>
      <w:r w:rsidR="0000087D">
        <w:rPr>
          <w:rFonts w:asciiTheme="majorHAnsi" w:hAnsiTheme="majorHAnsi"/>
        </w:rPr>
        <w:t>iled assessment of how the over-</w:t>
      </w:r>
      <w:r>
        <w:rPr>
          <w:rFonts w:asciiTheme="majorHAnsi" w:hAnsiTheme="majorHAnsi"/>
        </w:rPr>
        <w:t xml:space="preserve">expression of SRCAP affected cellular phenotypes related to the hallmarks of cancer such as proliferation and genome instability </w:t>
      </w:r>
      <w:r w:rsidR="0000087D">
        <w:rPr>
          <w:rFonts w:asciiTheme="majorHAnsi" w:hAnsiTheme="majorHAnsi"/>
        </w:rPr>
        <w:t>was not possible. Over-</w:t>
      </w:r>
      <w:r>
        <w:rPr>
          <w:rFonts w:asciiTheme="majorHAnsi" w:hAnsiTheme="majorHAnsi"/>
        </w:rPr>
        <w:t xml:space="preserve">expression using cDNA proved difficult due to low transfection efficiency, and the large size of the </w:t>
      </w:r>
      <w:r w:rsidRPr="007561A6">
        <w:rPr>
          <w:rFonts w:asciiTheme="majorHAnsi" w:hAnsiTheme="majorHAnsi"/>
          <w:i/>
        </w:rPr>
        <w:t>SRCAP</w:t>
      </w:r>
      <w:r>
        <w:rPr>
          <w:rFonts w:asciiTheme="majorHAnsi" w:hAnsiTheme="majorHAnsi"/>
        </w:rPr>
        <w:t xml:space="preserve"> encoding plasmid, which may ha</w:t>
      </w:r>
      <w:r w:rsidR="00323D15">
        <w:rPr>
          <w:rFonts w:asciiTheme="majorHAnsi" w:hAnsiTheme="majorHAnsi"/>
        </w:rPr>
        <w:t>ve also effected long-term over-</w:t>
      </w:r>
      <w:r>
        <w:rPr>
          <w:rFonts w:asciiTheme="majorHAnsi" w:hAnsiTheme="majorHAnsi"/>
        </w:rPr>
        <w:t xml:space="preserve">expression. To </w:t>
      </w:r>
      <w:r w:rsidR="0000087D">
        <w:rPr>
          <w:rFonts w:asciiTheme="majorHAnsi" w:hAnsiTheme="majorHAnsi"/>
        </w:rPr>
        <w:t>circumvent</w:t>
      </w:r>
      <w:r>
        <w:rPr>
          <w:rFonts w:asciiTheme="majorHAnsi" w:hAnsiTheme="majorHAnsi"/>
        </w:rPr>
        <w:t xml:space="preserve"> the low transfection efficiency of the transient transfection, </w:t>
      </w:r>
      <w:r w:rsidRPr="007561A6">
        <w:rPr>
          <w:rFonts w:asciiTheme="majorHAnsi" w:hAnsiTheme="majorHAnsi"/>
          <w:i/>
        </w:rPr>
        <w:t>YFP SRCAP</w:t>
      </w:r>
      <w:r>
        <w:rPr>
          <w:rFonts w:asciiTheme="majorHAnsi" w:hAnsiTheme="majorHAnsi"/>
        </w:rPr>
        <w:t xml:space="preserve"> transfected cell populations were sorted via FACS for positive and negative YFP expressing cells to gain a pure </w:t>
      </w:r>
      <w:r w:rsidRPr="00CA556C">
        <w:rPr>
          <w:rFonts w:asciiTheme="majorHAnsi" w:hAnsiTheme="majorHAnsi"/>
          <w:i/>
        </w:rPr>
        <w:t>SRCAP</w:t>
      </w:r>
      <w:r w:rsidR="00323D15">
        <w:rPr>
          <w:rFonts w:asciiTheme="majorHAnsi" w:hAnsiTheme="majorHAnsi"/>
        </w:rPr>
        <w:t xml:space="preserve"> over-</w:t>
      </w:r>
      <w:r>
        <w:rPr>
          <w:rFonts w:asciiTheme="majorHAnsi" w:hAnsiTheme="majorHAnsi"/>
        </w:rPr>
        <w:t xml:space="preserve">expressing population. This will be further reported in results Chapter 6. </w:t>
      </w:r>
    </w:p>
    <w:p w14:paraId="7876A5AC" w14:textId="77777777" w:rsidR="00E83A72" w:rsidRDefault="00E83A72" w:rsidP="00091260">
      <w:pPr>
        <w:spacing w:line="360" w:lineRule="auto"/>
        <w:jc w:val="both"/>
        <w:rPr>
          <w:rFonts w:asciiTheme="majorHAnsi" w:hAnsiTheme="majorHAnsi"/>
        </w:rPr>
      </w:pPr>
    </w:p>
    <w:p w14:paraId="1CE78286" w14:textId="5F43FDBB" w:rsidR="00EA75E4" w:rsidRDefault="00091260" w:rsidP="00EA75E4">
      <w:pPr>
        <w:spacing w:line="360" w:lineRule="auto"/>
        <w:jc w:val="both"/>
        <w:rPr>
          <w:rFonts w:asciiTheme="majorHAnsi" w:hAnsiTheme="majorHAnsi"/>
        </w:rPr>
      </w:pPr>
      <w:r>
        <w:rPr>
          <w:rFonts w:asciiTheme="majorHAnsi" w:hAnsiTheme="majorHAnsi"/>
        </w:rPr>
        <w:t>The lentiviral CRISPR/</w:t>
      </w:r>
      <w:r w:rsidR="002F04E4">
        <w:rPr>
          <w:rFonts w:asciiTheme="majorHAnsi" w:hAnsiTheme="majorHAnsi"/>
        </w:rPr>
        <w:t>d</w:t>
      </w:r>
      <w:r>
        <w:rPr>
          <w:rFonts w:asciiTheme="majorHAnsi" w:hAnsiTheme="majorHAnsi"/>
        </w:rPr>
        <w:t>Cas9 system appeared to be the solution at first, as this approach successfully led to over</w:t>
      </w:r>
      <w:r w:rsidR="00323D15">
        <w:rPr>
          <w:rFonts w:asciiTheme="majorHAnsi" w:hAnsiTheme="majorHAnsi"/>
        </w:rPr>
        <w:t>-</w:t>
      </w:r>
      <w:r>
        <w:rPr>
          <w:rFonts w:asciiTheme="majorHAnsi" w:hAnsiTheme="majorHAnsi"/>
        </w:rPr>
        <w:t xml:space="preserve">expressed endogenous levels of </w:t>
      </w:r>
      <w:r w:rsidRPr="00CA556C">
        <w:rPr>
          <w:rFonts w:asciiTheme="majorHAnsi" w:hAnsiTheme="majorHAnsi"/>
          <w:i/>
        </w:rPr>
        <w:t>SRCAP</w:t>
      </w:r>
      <w:r>
        <w:rPr>
          <w:rFonts w:asciiTheme="majorHAnsi" w:hAnsiTheme="majorHAnsi"/>
        </w:rPr>
        <w:t>, and was able to produce clones of differing e</w:t>
      </w:r>
      <w:r w:rsidR="00323D15">
        <w:rPr>
          <w:rFonts w:asciiTheme="majorHAnsi" w:hAnsiTheme="majorHAnsi"/>
        </w:rPr>
        <w:t>xpression levels. However, over-</w:t>
      </w:r>
      <w:r>
        <w:rPr>
          <w:rFonts w:asciiTheme="majorHAnsi" w:hAnsiTheme="majorHAnsi"/>
        </w:rPr>
        <w:t xml:space="preserve">expression of </w:t>
      </w:r>
      <w:r w:rsidRPr="00CA556C">
        <w:rPr>
          <w:rFonts w:asciiTheme="majorHAnsi" w:hAnsiTheme="majorHAnsi"/>
          <w:i/>
        </w:rPr>
        <w:t>SRCAP</w:t>
      </w:r>
      <w:r w:rsidR="00F54A17">
        <w:rPr>
          <w:rFonts w:asciiTheme="majorHAnsi" w:hAnsiTheme="majorHAnsi"/>
        </w:rPr>
        <w:t xml:space="preserve"> could not be sustained over several weeks in culture</w:t>
      </w:r>
      <w:r>
        <w:rPr>
          <w:rFonts w:asciiTheme="majorHAnsi" w:hAnsiTheme="majorHAnsi"/>
        </w:rPr>
        <w:t xml:space="preserve">. Overall, we cannot conclusively say that the amplification of </w:t>
      </w:r>
      <w:r w:rsidRPr="00526E02">
        <w:rPr>
          <w:rFonts w:asciiTheme="majorHAnsi" w:hAnsiTheme="majorHAnsi"/>
          <w:i/>
        </w:rPr>
        <w:t>SRCAP</w:t>
      </w:r>
      <w:r>
        <w:rPr>
          <w:rFonts w:asciiTheme="majorHAnsi" w:hAnsiTheme="majorHAnsi"/>
        </w:rPr>
        <w:t xml:space="preserve"> seen in CRC patient’s samples contributed to driving tumour progression, as the cell line studies did </w:t>
      </w:r>
      <w:r w:rsidR="00323D15">
        <w:rPr>
          <w:rFonts w:asciiTheme="majorHAnsi" w:hAnsiTheme="majorHAnsi"/>
        </w:rPr>
        <w:t>not effectively reveal how over-</w:t>
      </w:r>
      <w:r>
        <w:rPr>
          <w:rFonts w:asciiTheme="majorHAnsi" w:hAnsiTheme="majorHAnsi"/>
        </w:rPr>
        <w:t>expression of SRCAP contributes to a cancer phenotype</w:t>
      </w:r>
      <w:r w:rsidR="00EA75E4">
        <w:rPr>
          <w:rFonts w:asciiTheme="majorHAnsi" w:hAnsiTheme="majorHAnsi"/>
        </w:rPr>
        <w:t>.</w:t>
      </w:r>
    </w:p>
    <w:p w14:paraId="23BBE5B8" w14:textId="77777777" w:rsidR="0093456A" w:rsidRDefault="0093456A" w:rsidP="00EA75E4">
      <w:pPr>
        <w:spacing w:line="360" w:lineRule="auto"/>
        <w:jc w:val="both"/>
        <w:rPr>
          <w:rFonts w:asciiTheme="majorHAnsi" w:hAnsiTheme="majorHAnsi"/>
        </w:rPr>
      </w:pPr>
    </w:p>
    <w:p w14:paraId="748754CA" w14:textId="77777777" w:rsidR="004146C7" w:rsidRDefault="004146C7">
      <w:pPr>
        <w:rPr>
          <w:rFonts w:asciiTheme="majorHAnsi" w:hAnsiTheme="majorHAnsi"/>
        </w:rPr>
      </w:pPr>
      <w:r>
        <w:br w:type="page"/>
      </w:r>
    </w:p>
    <w:p w14:paraId="58371884" w14:textId="7CE4E738" w:rsidR="00E7213F" w:rsidRPr="001854F8" w:rsidRDefault="00E7213F" w:rsidP="00E7213F">
      <w:pPr>
        <w:pStyle w:val="Title"/>
        <w:rPr>
          <w:color w:val="auto"/>
          <w:sz w:val="44"/>
          <w:szCs w:val="44"/>
        </w:rPr>
      </w:pPr>
      <w:r>
        <w:rPr>
          <w:color w:val="auto"/>
          <w:sz w:val="44"/>
          <w:szCs w:val="44"/>
        </w:rPr>
        <w:t>Chapter 4: Investigating the e</w:t>
      </w:r>
      <w:r w:rsidRPr="00EF0D67">
        <w:rPr>
          <w:color w:val="auto"/>
          <w:sz w:val="44"/>
          <w:szCs w:val="44"/>
        </w:rPr>
        <w:t xml:space="preserve">ffect of </w:t>
      </w:r>
      <w:r w:rsidRPr="006E0476">
        <w:rPr>
          <w:color w:val="auto"/>
          <w:sz w:val="44"/>
          <w:szCs w:val="44"/>
        </w:rPr>
        <w:t>SRCAP</w:t>
      </w:r>
      <w:r w:rsidRPr="00EF0D67">
        <w:rPr>
          <w:color w:val="auto"/>
          <w:sz w:val="44"/>
          <w:szCs w:val="44"/>
        </w:rPr>
        <w:t xml:space="preserve"> knockdown on the </w:t>
      </w:r>
      <w:r>
        <w:rPr>
          <w:color w:val="auto"/>
          <w:sz w:val="44"/>
          <w:szCs w:val="44"/>
        </w:rPr>
        <w:t>DDR in CRC cells</w:t>
      </w:r>
    </w:p>
    <w:p w14:paraId="54B46E9F" w14:textId="77777777" w:rsidR="00E7213F" w:rsidRDefault="00E7213F" w:rsidP="00E7213F">
      <w:pPr>
        <w:tabs>
          <w:tab w:val="left" w:pos="5360"/>
        </w:tabs>
        <w:rPr>
          <w:rFonts w:asciiTheme="majorHAnsi" w:hAnsiTheme="majorHAnsi"/>
        </w:rPr>
      </w:pPr>
    </w:p>
    <w:p w14:paraId="2904AE78" w14:textId="77777777" w:rsidR="00E7213F" w:rsidRPr="00FC0FB4" w:rsidRDefault="00E7213F" w:rsidP="00E7213F">
      <w:pPr>
        <w:tabs>
          <w:tab w:val="left" w:pos="5360"/>
        </w:tabs>
        <w:spacing w:line="360" w:lineRule="auto"/>
        <w:jc w:val="both"/>
        <w:rPr>
          <w:rFonts w:asciiTheme="majorHAnsi" w:hAnsiTheme="majorHAnsi"/>
        </w:rPr>
      </w:pPr>
      <w:r w:rsidRPr="00FC0FB4">
        <w:rPr>
          <w:rFonts w:asciiTheme="majorHAnsi" w:hAnsiTheme="majorHAnsi"/>
        </w:rPr>
        <w:t>4.1 Introduction</w:t>
      </w:r>
    </w:p>
    <w:p w14:paraId="33A5E9DE" w14:textId="62082973" w:rsidR="00E7213F" w:rsidRPr="00FC0FB4" w:rsidRDefault="00E7213F" w:rsidP="00E7213F">
      <w:pPr>
        <w:tabs>
          <w:tab w:val="left" w:pos="5360"/>
        </w:tabs>
        <w:spacing w:line="360" w:lineRule="auto"/>
        <w:jc w:val="both"/>
        <w:rPr>
          <w:rFonts w:asciiTheme="majorHAnsi" w:hAnsiTheme="majorHAnsi"/>
        </w:rPr>
      </w:pPr>
      <w:r w:rsidRPr="00FC0FB4">
        <w:rPr>
          <w:rFonts w:asciiTheme="majorHAnsi" w:hAnsiTheme="majorHAnsi"/>
        </w:rPr>
        <w:t xml:space="preserve">4.2 Confirming the </w:t>
      </w:r>
      <w:r w:rsidRPr="00F166A3">
        <w:rPr>
          <w:rFonts w:asciiTheme="majorHAnsi" w:hAnsiTheme="majorHAnsi"/>
          <w:i/>
        </w:rPr>
        <w:t>SRCAP</w:t>
      </w:r>
      <w:r w:rsidRPr="00FC0FB4">
        <w:rPr>
          <w:rFonts w:asciiTheme="majorHAnsi" w:hAnsiTheme="majorHAnsi"/>
        </w:rPr>
        <w:t xml:space="preserve"> knockdown</w:t>
      </w:r>
    </w:p>
    <w:p w14:paraId="7F09ACEE" w14:textId="6E2B01F5" w:rsidR="00E7213F" w:rsidRPr="00FC0FB4" w:rsidRDefault="00E7213F" w:rsidP="00E7213F">
      <w:pPr>
        <w:tabs>
          <w:tab w:val="left" w:pos="5360"/>
        </w:tabs>
        <w:spacing w:line="360" w:lineRule="auto"/>
        <w:jc w:val="both"/>
        <w:rPr>
          <w:rFonts w:asciiTheme="majorHAnsi" w:hAnsiTheme="majorHAnsi"/>
        </w:rPr>
      </w:pPr>
      <w:r w:rsidRPr="00FC0FB4">
        <w:rPr>
          <w:rFonts w:asciiTheme="majorHAnsi" w:hAnsiTheme="majorHAnsi"/>
        </w:rPr>
        <w:t xml:space="preserve">4.3 </w:t>
      </w:r>
      <w:r w:rsidRPr="00F166A3">
        <w:rPr>
          <w:rFonts w:asciiTheme="majorHAnsi" w:hAnsiTheme="majorHAnsi"/>
          <w:i/>
        </w:rPr>
        <w:t>SRCAP</w:t>
      </w:r>
      <w:r w:rsidRPr="00FC0FB4">
        <w:rPr>
          <w:rFonts w:asciiTheme="majorHAnsi" w:hAnsiTheme="majorHAnsi"/>
        </w:rPr>
        <w:t xml:space="preserve"> knockdown induces genomic instability </w:t>
      </w:r>
    </w:p>
    <w:p w14:paraId="313C2B03" w14:textId="77777777" w:rsidR="00E7213F" w:rsidRPr="00FC0FB4" w:rsidRDefault="00E7213F" w:rsidP="00E7213F">
      <w:pPr>
        <w:tabs>
          <w:tab w:val="left" w:pos="5360"/>
        </w:tabs>
        <w:spacing w:line="360" w:lineRule="auto"/>
        <w:jc w:val="both"/>
        <w:rPr>
          <w:rFonts w:asciiTheme="majorHAnsi" w:hAnsiTheme="majorHAnsi"/>
        </w:rPr>
      </w:pPr>
      <w:r w:rsidRPr="00FC0FB4">
        <w:rPr>
          <w:rFonts w:asciiTheme="majorHAnsi" w:hAnsiTheme="majorHAnsi"/>
        </w:rPr>
        <w:t xml:space="preserve">4.4 Chromatin changes are a feature of </w:t>
      </w:r>
      <w:r w:rsidRPr="00F166A3">
        <w:rPr>
          <w:rFonts w:asciiTheme="majorHAnsi" w:hAnsiTheme="majorHAnsi"/>
          <w:i/>
        </w:rPr>
        <w:t>SRCAP</w:t>
      </w:r>
      <w:r w:rsidRPr="00FC0FB4">
        <w:rPr>
          <w:rFonts w:asciiTheme="majorHAnsi" w:hAnsiTheme="majorHAnsi"/>
        </w:rPr>
        <w:t xml:space="preserve"> depletion</w:t>
      </w:r>
    </w:p>
    <w:p w14:paraId="6C4AD200" w14:textId="02F70467" w:rsidR="00E7213F" w:rsidRPr="00FC0FB4" w:rsidRDefault="00E7213F" w:rsidP="00E7213F">
      <w:pPr>
        <w:tabs>
          <w:tab w:val="left" w:pos="5360"/>
        </w:tabs>
        <w:spacing w:line="360" w:lineRule="auto"/>
        <w:jc w:val="both"/>
        <w:rPr>
          <w:rFonts w:asciiTheme="majorHAnsi" w:hAnsiTheme="majorHAnsi"/>
        </w:rPr>
      </w:pPr>
      <w:r w:rsidRPr="00FC0FB4">
        <w:rPr>
          <w:rFonts w:asciiTheme="majorHAnsi" w:hAnsiTheme="majorHAnsi"/>
        </w:rPr>
        <w:t xml:space="preserve">4.5 </w:t>
      </w:r>
      <w:r w:rsidRPr="00F166A3">
        <w:rPr>
          <w:rFonts w:asciiTheme="majorHAnsi" w:hAnsiTheme="majorHAnsi"/>
          <w:i/>
        </w:rPr>
        <w:t>SRCAP</w:t>
      </w:r>
      <w:r w:rsidRPr="00FC0FB4">
        <w:rPr>
          <w:rFonts w:asciiTheme="majorHAnsi" w:hAnsiTheme="majorHAnsi"/>
        </w:rPr>
        <w:t xml:space="preserve"> knockdown produces cell cycle changes </w:t>
      </w:r>
    </w:p>
    <w:p w14:paraId="0D6747E2" w14:textId="59708236" w:rsidR="00E7213F" w:rsidRPr="00FC0FB4" w:rsidRDefault="00E7213F" w:rsidP="00E7213F">
      <w:pPr>
        <w:tabs>
          <w:tab w:val="left" w:pos="5360"/>
        </w:tabs>
        <w:spacing w:line="360" w:lineRule="auto"/>
        <w:jc w:val="both"/>
        <w:rPr>
          <w:rFonts w:asciiTheme="majorHAnsi" w:hAnsiTheme="majorHAnsi"/>
        </w:rPr>
      </w:pPr>
      <w:r w:rsidRPr="00FC0FB4">
        <w:rPr>
          <w:rFonts w:asciiTheme="majorHAnsi" w:hAnsiTheme="majorHAnsi"/>
        </w:rPr>
        <w:t xml:space="preserve">4.6 Combining </w:t>
      </w:r>
      <w:r w:rsidRPr="00F166A3">
        <w:rPr>
          <w:rFonts w:asciiTheme="majorHAnsi" w:hAnsiTheme="majorHAnsi"/>
          <w:i/>
        </w:rPr>
        <w:t>SRCAP</w:t>
      </w:r>
      <w:r w:rsidRPr="00FC0FB4">
        <w:rPr>
          <w:rFonts w:asciiTheme="majorHAnsi" w:hAnsiTheme="majorHAnsi"/>
        </w:rPr>
        <w:t xml:space="preserve"> knockdown with clinical treatments</w:t>
      </w:r>
    </w:p>
    <w:p w14:paraId="4E3D6292" w14:textId="77777777" w:rsidR="00E7213F" w:rsidRPr="00FC0FB4" w:rsidRDefault="00E7213F" w:rsidP="00E6223C">
      <w:pPr>
        <w:pStyle w:val="ListParagraph"/>
        <w:numPr>
          <w:ilvl w:val="0"/>
          <w:numId w:val="4"/>
        </w:numPr>
        <w:tabs>
          <w:tab w:val="left" w:pos="5360"/>
        </w:tabs>
        <w:spacing w:line="360" w:lineRule="auto"/>
        <w:jc w:val="both"/>
        <w:rPr>
          <w:rFonts w:asciiTheme="majorHAnsi" w:hAnsiTheme="majorHAnsi"/>
        </w:rPr>
      </w:pPr>
      <w:r w:rsidRPr="00FC0FB4">
        <w:rPr>
          <w:rFonts w:asciiTheme="majorHAnsi" w:hAnsiTheme="majorHAnsi"/>
        </w:rPr>
        <w:t>5-Flurouracil</w:t>
      </w:r>
    </w:p>
    <w:p w14:paraId="23FB6118" w14:textId="77777777" w:rsidR="00E7213F" w:rsidRPr="00FC0FB4" w:rsidRDefault="00E7213F" w:rsidP="00E6223C">
      <w:pPr>
        <w:pStyle w:val="ListParagraph"/>
        <w:numPr>
          <w:ilvl w:val="0"/>
          <w:numId w:val="4"/>
        </w:numPr>
        <w:tabs>
          <w:tab w:val="left" w:pos="5360"/>
        </w:tabs>
        <w:spacing w:line="360" w:lineRule="auto"/>
        <w:jc w:val="both"/>
        <w:rPr>
          <w:rFonts w:asciiTheme="majorHAnsi" w:hAnsiTheme="majorHAnsi"/>
        </w:rPr>
      </w:pPr>
      <w:r w:rsidRPr="00FC0FB4">
        <w:rPr>
          <w:rFonts w:asciiTheme="majorHAnsi" w:hAnsiTheme="majorHAnsi"/>
        </w:rPr>
        <w:t>Irinotecan/Camptothecin</w:t>
      </w:r>
    </w:p>
    <w:p w14:paraId="7DC89854" w14:textId="77777777" w:rsidR="00E7213F" w:rsidRPr="00FC0FB4" w:rsidRDefault="00E7213F" w:rsidP="00E6223C">
      <w:pPr>
        <w:pStyle w:val="ListParagraph"/>
        <w:numPr>
          <w:ilvl w:val="0"/>
          <w:numId w:val="4"/>
        </w:numPr>
        <w:tabs>
          <w:tab w:val="left" w:pos="5360"/>
        </w:tabs>
        <w:spacing w:line="360" w:lineRule="auto"/>
        <w:jc w:val="both"/>
        <w:rPr>
          <w:rFonts w:asciiTheme="majorHAnsi" w:hAnsiTheme="majorHAnsi"/>
        </w:rPr>
      </w:pPr>
      <w:r w:rsidRPr="00FC0FB4">
        <w:rPr>
          <w:rFonts w:asciiTheme="majorHAnsi" w:hAnsiTheme="majorHAnsi"/>
        </w:rPr>
        <w:t>Oxaliplatin/Cisplatin</w:t>
      </w:r>
    </w:p>
    <w:p w14:paraId="1388BAB7" w14:textId="77777777" w:rsidR="00E7213F" w:rsidRDefault="00E7213F" w:rsidP="00E7213F">
      <w:pPr>
        <w:tabs>
          <w:tab w:val="left" w:pos="5360"/>
        </w:tabs>
        <w:spacing w:line="360" w:lineRule="auto"/>
        <w:jc w:val="both"/>
        <w:rPr>
          <w:rFonts w:asciiTheme="majorHAnsi" w:hAnsiTheme="majorHAnsi"/>
        </w:rPr>
      </w:pPr>
      <w:r w:rsidRPr="00FC0FB4">
        <w:rPr>
          <w:rFonts w:asciiTheme="majorHAnsi" w:hAnsiTheme="majorHAnsi"/>
        </w:rPr>
        <w:t>4.7 Discussion</w:t>
      </w:r>
    </w:p>
    <w:p w14:paraId="7F6FBD0B" w14:textId="77777777" w:rsidR="00E7213F" w:rsidRDefault="00E7213F" w:rsidP="00E6223C">
      <w:pPr>
        <w:pStyle w:val="ListParagraph"/>
        <w:numPr>
          <w:ilvl w:val="0"/>
          <w:numId w:val="5"/>
        </w:numPr>
        <w:tabs>
          <w:tab w:val="left" w:pos="5360"/>
        </w:tabs>
        <w:spacing w:line="360" w:lineRule="auto"/>
        <w:jc w:val="both"/>
        <w:rPr>
          <w:rFonts w:asciiTheme="majorHAnsi" w:hAnsiTheme="majorHAnsi"/>
        </w:rPr>
      </w:pPr>
      <w:r>
        <w:rPr>
          <w:rFonts w:asciiTheme="majorHAnsi" w:hAnsiTheme="majorHAnsi"/>
        </w:rPr>
        <w:t>SRCAP depletion increases genomic instability</w:t>
      </w:r>
    </w:p>
    <w:p w14:paraId="7CB44288" w14:textId="77777777" w:rsidR="00E7213F" w:rsidRDefault="00E7213F" w:rsidP="00E6223C">
      <w:pPr>
        <w:pStyle w:val="ListParagraph"/>
        <w:numPr>
          <w:ilvl w:val="0"/>
          <w:numId w:val="5"/>
        </w:numPr>
        <w:tabs>
          <w:tab w:val="left" w:pos="5360"/>
        </w:tabs>
        <w:spacing w:line="360" w:lineRule="auto"/>
        <w:jc w:val="both"/>
        <w:rPr>
          <w:rFonts w:asciiTheme="majorHAnsi" w:hAnsiTheme="majorHAnsi"/>
        </w:rPr>
      </w:pPr>
      <w:r>
        <w:rPr>
          <w:rFonts w:asciiTheme="majorHAnsi" w:hAnsiTheme="majorHAnsi"/>
        </w:rPr>
        <w:t>SRCAP depletion creates cell cycling aberrations</w:t>
      </w:r>
    </w:p>
    <w:p w14:paraId="2A695F35" w14:textId="77777777" w:rsidR="00E7213F" w:rsidRDefault="00E7213F" w:rsidP="00E6223C">
      <w:pPr>
        <w:pStyle w:val="ListParagraph"/>
        <w:numPr>
          <w:ilvl w:val="0"/>
          <w:numId w:val="5"/>
        </w:numPr>
        <w:tabs>
          <w:tab w:val="left" w:pos="5360"/>
        </w:tabs>
        <w:spacing w:line="360" w:lineRule="auto"/>
        <w:jc w:val="both"/>
        <w:rPr>
          <w:rFonts w:asciiTheme="majorHAnsi" w:hAnsiTheme="majorHAnsi"/>
        </w:rPr>
      </w:pPr>
      <w:r>
        <w:rPr>
          <w:rFonts w:asciiTheme="majorHAnsi" w:hAnsiTheme="majorHAnsi"/>
        </w:rPr>
        <w:t>SRCAP as a possible novel therapeutic in CRC</w:t>
      </w:r>
    </w:p>
    <w:p w14:paraId="27763B36" w14:textId="77777777" w:rsidR="00E7213F" w:rsidRPr="00230B78" w:rsidRDefault="00E7213F" w:rsidP="00E6223C">
      <w:pPr>
        <w:pStyle w:val="ListParagraph"/>
        <w:numPr>
          <w:ilvl w:val="0"/>
          <w:numId w:val="5"/>
        </w:numPr>
        <w:tabs>
          <w:tab w:val="left" w:pos="5360"/>
        </w:tabs>
        <w:spacing w:line="360" w:lineRule="auto"/>
        <w:jc w:val="both"/>
        <w:rPr>
          <w:rFonts w:asciiTheme="majorHAnsi" w:hAnsiTheme="majorHAnsi"/>
        </w:rPr>
      </w:pPr>
      <w:r>
        <w:rPr>
          <w:rFonts w:asciiTheme="majorHAnsi" w:hAnsiTheme="majorHAnsi"/>
        </w:rPr>
        <w:t>Study Limitations and Future Directions</w:t>
      </w:r>
    </w:p>
    <w:p w14:paraId="7DCA60FA" w14:textId="77777777" w:rsidR="00E7213F" w:rsidRPr="00930B87" w:rsidRDefault="00E7213F" w:rsidP="00E7213F">
      <w:pPr>
        <w:tabs>
          <w:tab w:val="left" w:pos="5360"/>
        </w:tabs>
        <w:spacing w:line="360" w:lineRule="auto"/>
        <w:rPr>
          <w:rFonts w:asciiTheme="majorHAnsi" w:hAnsiTheme="majorHAnsi"/>
        </w:rPr>
      </w:pPr>
    </w:p>
    <w:p w14:paraId="57F75945" w14:textId="7626A00D" w:rsidR="00E7213F" w:rsidRDefault="00E7213F" w:rsidP="007053FB">
      <w:pPr>
        <w:rPr>
          <w:rFonts w:asciiTheme="majorHAnsi" w:hAnsiTheme="majorHAnsi"/>
          <w:sz w:val="28"/>
          <w:u w:val="single"/>
        </w:rPr>
      </w:pPr>
      <w:r w:rsidRPr="00292588">
        <w:rPr>
          <w:rFonts w:asciiTheme="majorHAnsi" w:hAnsiTheme="majorHAnsi"/>
          <w:sz w:val="28"/>
          <w:u w:val="single"/>
        </w:rPr>
        <w:t>List of Figures</w:t>
      </w:r>
    </w:p>
    <w:p w14:paraId="47288F0C" w14:textId="77777777"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i/>
          <w:sz w:val="22"/>
        </w:rPr>
        <w:t xml:space="preserve">4.1 </w:t>
      </w:r>
      <w:r w:rsidRPr="00C77145">
        <w:rPr>
          <w:rFonts w:asciiTheme="majorHAnsi" w:hAnsiTheme="majorHAnsi"/>
          <w:bCs/>
          <w:i/>
          <w:iCs/>
          <w:sz w:val="22"/>
        </w:rPr>
        <w:t>siRNA transfection shows knock</w:t>
      </w:r>
      <w:r>
        <w:rPr>
          <w:rFonts w:asciiTheme="majorHAnsi" w:hAnsiTheme="majorHAnsi"/>
          <w:bCs/>
          <w:i/>
          <w:iCs/>
          <w:sz w:val="22"/>
        </w:rPr>
        <w:t xml:space="preserve"> </w:t>
      </w:r>
      <w:r w:rsidRPr="00C77145">
        <w:rPr>
          <w:rFonts w:asciiTheme="majorHAnsi" w:hAnsiTheme="majorHAnsi"/>
          <w:bCs/>
          <w:i/>
          <w:iCs/>
          <w:sz w:val="22"/>
        </w:rPr>
        <w:t>down at the mRNA level</w:t>
      </w:r>
    </w:p>
    <w:p w14:paraId="7A04972C" w14:textId="4C40448F"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w:t>
      </w:r>
      <w:proofErr w:type="gramStart"/>
      <w:r w:rsidRPr="00C77145">
        <w:rPr>
          <w:rFonts w:asciiTheme="majorHAnsi" w:hAnsiTheme="majorHAnsi"/>
          <w:bCs/>
          <w:i/>
          <w:iCs/>
          <w:sz w:val="22"/>
        </w:rPr>
        <w:t>.2 siRNA</w:t>
      </w:r>
      <w:proofErr w:type="gramEnd"/>
      <w:r w:rsidRPr="00C77145">
        <w:rPr>
          <w:rFonts w:asciiTheme="majorHAnsi" w:hAnsiTheme="majorHAnsi"/>
          <w:bCs/>
          <w:i/>
          <w:iCs/>
          <w:sz w:val="22"/>
        </w:rPr>
        <w:t xml:space="preserve"> knockdown of SRCAP cannot be visualised at the protein level</w:t>
      </w:r>
    </w:p>
    <w:p w14:paraId="1D286EB2" w14:textId="589304DA"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4.3 SRCAP knockdown has no effect on p400 levels</w:t>
      </w:r>
    </w:p>
    <w:p w14:paraId="332B51F2" w14:textId="1B2E1669"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 xml:space="preserve">4.4 H2AX/53BP1 detection in SRCAP knockdown cells shows increased DNA damage. </w:t>
      </w:r>
    </w:p>
    <w:p w14:paraId="1FF37BFF" w14:textId="77777777"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 xml:space="preserve">4.5 Differences in pan-nuclear </w:t>
      </w:r>
      <w:r>
        <w:rPr>
          <w:rFonts w:ascii="STIXGeneral-Regular" w:hAnsi="STIXGeneral-Regular" w:cs="STIXGeneral-Regular"/>
          <w:bCs/>
          <w:i/>
          <w:iCs/>
          <w:sz w:val="22"/>
        </w:rPr>
        <w:t>𝛾</w:t>
      </w:r>
      <w:r w:rsidRPr="00C77145">
        <w:rPr>
          <w:rFonts w:asciiTheme="majorHAnsi" w:hAnsiTheme="majorHAnsi"/>
          <w:bCs/>
          <w:i/>
          <w:iCs/>
          <w:sz w:val="22"/>
        </w:rPr>
        <w:t>H2AX were not seen after SRCAP knockdown</w:t>
      </w:r>
    </w:p>
    <w:p w14:paraId="5AE89943" w14:textId="03E7F044"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 xml:space="preserve">4.6 Alkaline comet assay shows increased DNA damage after SRCAP knockdown </w:t>
      </w:r>
    </w:p>
    <w:p w14:paraId="284C7EF3" w14:textId="521E6D3F"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4.7</w:t>
      </w:r>
      <w:r w:rsidRPr="00C77145">
        <w:rPr>
          <w:i/>
          <w:sz w:val="18"/>
          <w:szCs w:val="22"/>
        </w:rPr>
        <w:t xml:space="preserve"> </w:t>
      </w:r>
      <w:r w:rsidRPr="00C77145">
        <w:rPr>
          <w:rFonts w:asciiTheme="majorHAnsi" w:hAnsiTheme="majorHAnsi"/>
          <w:bCs/>
          <w:i/>
          <w:iCs/>
          <w:sz w:val="22"/>
        </w:rPr>
        <w:t>Cells with SRCAP knockdown show increased nuclear abnormalities</w:t>
      </w:r>
    </w:p>
    <w:p w14:paraId="19AF016D" w14:textId="77777777"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4.8 Micrococcal Nuclease digestion of chromatin with SRCAP depletion shows distinctive patterns of digestion</w:t>
      </w:r>
    </w:p>
    <w:p w14:paraId="69D68192" w14:textId="77777777"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 xml:space="preserve">4.9 Quantitative results of MNase digestion </w:t>
      </w:r>
      <w:proofErr w:type="gramStart"/>
      <w:r w:rsidRPr="00C77145">
        <w:rPr>
          <w:rFonts w:asciiTheme="majorHAnsi" w:hAnsiTheme="majorHAnsi"/>
          <w:bCs/>
          <w:i/>
          <w:iCs/>
          <w:sz w:val="22"/>
        </w:rPr>
        <w:t>shows</w:t>
      </w:r>
      <w:proofErr w:type="gramEnd"/>
      <w:r w:rsidRPr="00C77145">
        <w:rPr>
          <w:rFonts w:asciiTheme="majorHAnsi" w:hAnsiTheme="majorHAnsi"/>
          <w:bCs/>
          <w:i/>
          <w:iCs/>
          <w:sz w:val="22"/>
        </w:rPr>
        <w:t xml:space="preserve"> differing patterns depending on cell line</w:t>
      </w:r>
    </w:p>
    <w:p w14:paraId="6535A91C" w14:textId="77777777"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4.10 Cell growth over</w:t>
      </w:r>
      <w:r>
        <w:rPr>
          <w:rFonts w:asciiTheme="majorHAnsi" w:hAnsiTheme="majorHAnsi"/>
          <w:bCs/>
          <w:i/>
          <w:iCs/>
          <w:sz w:val="22"/>
        </w:rPr>
        <w:t xml:space="preserve"> </w:t>
      </w:r>
      <w:r w:rsidRPr="00C77145">
        <w:rPr>
          <w:rFonts w:asciiTheme="majorHAnsi" w:hAnsiTheme="majorHAnsi"/>
          <w:bCs/>
          <w:i/>
          <w:iCs/>
          <w:sz w:val="22"/>
        </w:rPr>
        <w:t>time is decreased when SRCAP is knocked down</w:t>
      </w:r>
    </w:p>
    <w:p w14:paraId="56A586AA" w14:textId="7451DF14"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4.11 Apoptosis levels after SRCAP knockdown aren’t significantly different to control</w:t>
      </w:r>
    </w:p>
    <w:p w14:paraId="272C0C63" w14:textId="77777777"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4.12 Cell Cycle profile differences after SRCAP knock</w:t>
      </w:r>
      <w:r>
        <w:rPr>
          <w:rFonts w:asciiTheme="majorHAnsi" w:hAnsiTheme="majorHAnsi"/>
          <w:bCs/>
          <w:i/>
          <w:iCs/>
          <w:sz w:val="22"/>
        </w:rPr>
        <w:t xml:space="preserve"> </w:t>
      </w:r>
      <w:r w:rsidRPr="00C77145">
        <w:rPr>
          <w:rFonts w:asciiTheme="majorHAnsi" w:hAnsiTheme="majorHAnsi"/>
          <w:bCs/>
          <w:i/>
          <w:iCs/>
          <w:sz w:val="22"/>
        </w:rPr>
        <w:t>down</w:t>
      </w:r>
    </w:p>
    <w:p w14:paraId="5FE409A1" w14:textId="77777777"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4.13 EdU incorporation showed no difference in S phase cells</w:t>
      </w:r>
    </w:p>
    <w:p w14:paraId="4A525342" w14:textId="77777777" w:rsidR="00E7213F" w:rsidRPr="00C77145" w:rsidRDefault="00E7213F" w:rsidP="00091260">
      <w:pPr>
        <w:tabs>
          <w:tab w:val="left" w:pos="5360"/>
        </w:tabs>
        <w:spacing w:line="360" w:lineRule="auto"/>
        <w:jc w:val="both"/>
        <w:rPr>
          <w:rFonts w:asciiTheme="majorHAnsi" w:hAnsiTheme="majorHAnsi"/>
          <w:bCs/>
          <w:i/>
          <w:iCs/>
          <w:sz w:val="22"/>
        </w:rPr>
      </w:pPr>
      <w:r w:rsidRPr="00C77145">
        <w:rPr>
          <w:rFonts w:asciiTheme="majorHAnsi" w:hAnsiTheme="majorHAnsi"/>
          <w:bCs/>
          <w:i/>
          <w:iCs/>
          <w:sz w:val="22"/>
        </w:rPr>
        <w:t>4.14 The mitotic fraction of SRCAP depleted cells is decreased compared to control cells</w:t>
      </w:r>
    </w:p>
    <w:p w14:paraId="5350E8C9" w14:textId="77777777" w:rsidR="00E7213F" w:rsidRPr="00C77145" w:rsidRDefault="00E7213F" w:rsidP="00091260">
      <w:pPr>
        <w:tabs>
          <w:tab w:val="left" w:pos="5360"/>
        </w:tabs>
        <w:spacing w:line="360" w:lineRule="auto"/>
        <w:jc w:val="both"/>
        <w:rPr>
          <w:rFonts w:asciiTheme="majorHAnsi" w:hAnsiTheme="majorHAnsi"/>
          <w:bCs/>
          <w:i/>
          <w:iCs/>
        </w:rPr>
      </w:pPr>
      <w:r w:rsidRPr="00C77145">
        <w:rPr>
          <w:rFonts w:asciiTheme="majorHAnsi" w:hAnsiTheme="majorHAnsi"/>
          <w:i/>
          <w:sz w:val="22"/>
        </w:rPr>
        <w:t>4.15 5-FU treatment plus SRCAP knockdown causes both resistance and sensitisation depending on cell line</w:t>
      </w:r>
    </w:p>
    <w:p w14:paraId="61FF50BE" w14:textId="77777777" w:rsidR="00E7213F" w:rsidRPr="00C77145" w:rsidRDefault="00E7213F" w:rsidP="00091260">
      <w:pPr>
        <w:tabs>
          <w:tab w:val="left" w:pos="5360"/>
        </w:tabs>
        <w:spacing w:line="360" w:lineRule="auto"/>
        <w:jc w:val="both"/>
        <w:rPr>
          <w:rFonts w:asciiTheme="majorHAnsi" w:hAnsiTheme="majorHAnsi"/>
          <w:bCs/>
          <w:i/>
          <w:iCs/>
        </w:rPr>
      </w:pPr>
      <w:r>
        <w:rPr>
          <w:rFonts w:asciiTheme="majorHAnsi" w:hAnsiTheme="majorHAnsi"/>
          <w:i/>
          <w:sz w:val="22"/>
          <w:szCs w:val="22"/>
        </w:rPr>
        <w:t>4.16 TP</w:t>
      </w:r>
      <w:r w:rsidRPr="00C77145">
        <w:rPr>
          <w:rFonts w:asciiTheme="majorHAnsi" w:hAnsiTheme="majorHAnsi"/>
          <w:i/>
          <w:sz w:val="22"/>
          <w:szCs w:val="22"/>
        </w:rPr>
        <w:t>53 deficient HCT116 cells show differin</w:t>
      </w:r>
      <w:r>
        <w:rPr>
          <w:rFonts w:asciiTheme="majorHAnsi" w:hAnsiTheme="majorHAnsi"/>
          <w:i/>
          <w:sz w:val="22"/>
          <w:szCs w:val="22"/>
        </w:rPr>
        <w:t>g response to 5-FU compared to TP</w:t>
      </w:r>
      <w:r w:rsidRPr="00C77145">
        <w:rPr>
          <w:rFonts w:asciiTheme="majorHAnsi" w:hAnsiTheme="majorHAnsi"/>
          <w:i/>
          <w:sz w:val="22"/>
          <w:szCs w:val="22"/>
        </w:rPr>
        <w:t>53 wild type HCT116 cells</w:t>
      </w:r>
    </w:p>
    <w:p w14:paraId="1AC96E2E" w14:textId="73F906B0" w:rsidR="00E7213F" w:rsidRPr="00C77145" w:rsidRDefault="00E7213F" w:rsidP="00091260">
      <w:pPr>
        <w:tabs>
          <w:tab w:val="left" w:pos="5360"/>
        </w:tabs>
        <w:spacing w:line="360" w:lineRule="auto"/>
        <w:jc w:val="both"/>
        <w:rPr>
          <w:rFonts w:asciiTheme="majorHAnsi" w:hAnsiTheme="majorHAnsi"/>
          <w:i/>
          <w:sz w:val="22"/>
        </w:rPr>
      </w:pPr>
      <w:r w:rsidRPr="00C77145">
        <w:rPr>
          <w:rFonts w:asciiTheme="majorHAnsi" w:hAnsiTheme="majorHAnsi"/>
          <w:i/>
          <w:sz w:val="22"/>
        </w:rPr>
        <w:t>4.17 Clonogenic assays correlate to MTT data with 5-FU and SRCAP knockdown</w:t>
      </w:r>
    </w:p>
    <w:p w14:paraId="3C94966E" w14:textId="338291AA" w:rsidR="00E7213F" w:rsidRPr="00C77145" w:rsidRDefault="00E7213F" w:rsidP="00091260">
      <w:pPr>
        <w:spacing w:line="360" w:lineRule="auto"/>
        <w:jc w:val="both"/>
        <w:rPr>
          <w:rFonts w:asciiTheme="majorHAnsi" w:hAnsiTheme="majorHAnsi"/>
          <w:i/>
          <w:sz w:val="22"/>
        </w:rPr>
      </w:pPr>
      <w:r w:rsidRPr="00C77145">
        <w:rPr>
          <w:rFonts w:asciiTheme="majorHAnsi" w:hAnsiTheme="majorHAnsi"/>
          <w:i/>
          <w:sz w:val="22"/>
        </w:rPr>
        <w:t>4.18 Camptothecin plus SRCAP knockdown shows no difference to control cells</w:t>
      </w:r>
    </w:p>
    <w:p w14:paraId="2B5BCAE3" w14:textId="77777777" w:rsidR="00E7213F" w:rsidRPr="00C77145" w:rsidRDefault="00E7213F" w:rsidP="00091260">
      <w:pPr>
        <w:spacing w:line="360" w:lineRule="auto"/>
        <w:jc w:val="both"/>
        <w:rPr>
          <w:rFonts w:asciiTheme="majorHAnsi" w:hAnsiTheme="majorHAnsi"/>
          <w:i/>
          <w:sz w:val="22"/>
        </w:rPr>
      </w:pPr>
      <w:r w:rsidRPr="00C77145">
        <w:rPr>
          <w:rFonts w:asciiTheme="majorHAnsi" w:hAnsiTheme="majorHAnsi"/>
          <w:i/>
          <w:sz w:val="22"/>
        </w:rPr>
        <w:t>4.19 MTT cell survival data follows same trend of resistance/sensitisation as was shown with 5-FU</w:t>
      </w:r>
    </w:p>
    <w:p w14:paraId="7B832088" w14:textId="331AE6D3" w:rsidR="00E7213F" w:rsidRPr="00C77145" w:rsidRDefault="00E7213F" w:rsidP="00091260">
      <w:pPr>
        <w:spacing w:line="360" w:lineRule="auto"/>
        <w:jc w:val="both"/>
        <w:rPr>
          <w:rFonts w:asciiTheme="majorHAnsi" w:hAnsiTheme="majorHAnsi"/>
          <w:i/>
          <w:sz w:val="22"/>
        </w:rPr>
      </w:pPr>
      <w:r w:rsidRPr="00C77145">
        <w:rPr>
          <w:rFonts w:asciiTheme="majorHAnsi" w:hAnsiTheme="majorHAnsi"/>
          <w:i/>
          <w:sz w:val="22"/>
        </w:rPr>
        <w:t>4.20 Cisplatin plus SRCAP knockdown only causes a significant difference in HCT116 cells by clonogenic assay</w:t>
      </w:r>
    </w:p>
    <w:p w14:paraId="7083F8D7" w14:textId="77777777" w:rsidR="00E7213F" w:rsidRPr="00C77145" w:rsidRDefault="00E7213F" w:rsidP="00091260">
      <w:pPr>
        <w:spacing w:line="360" w:lineRule="auto"/>
        <w:jc w:val="both"/>
        <w:rPr>
          <w:rFonts w:asciiTheme="majorHAnsi" w:hAnsiTheme="majorHAnsi"/>
          <w:i/>
          <w:sz w:val="22"/>
        </w:rPr>
      </w:pPr>
      <w:r>
        <w:rPr>
          <w:rFonts w:asciiTheme="majorHAnsi" w:hAnsiTheme="majorHAnsi"/>
          <w:i/>
          <w:sz w:val="22"/>
        </w:rPr>
        <w:t>4.21 TP</w:t>
      </w:r>
      <w:r w:rsidRPr="00C77145">
        <w:rPr>
          <w:rFonts w:asciiTheme="majorHAnsi" w:hAnsiTheme="majorHAnsi"/>
          <w:i/>
          <w:sz w:val="22"/>
        </w:rPr>
        <w:t>53-/- HCT116 cells show differing responses to cisplatin in comparison to wild type cells</w:t>
      </w:r>
    </w:p>
    <w:p w14:paraId="11EE3EA1" w14:textId="77777777" w:rsidR="00E7213F" w:rsidRPr="00C77145" w:rsidRDefault="00E7213F" w:rsidP="00091260">
      <w:pPr>
        <w:tabs>
          <w:tab w:val="left" w:pos="5360"/>
        </w:tabs>
        <w:spacing w:line="360" w:lineRule="auto"/>
        <w:jc w:val="both"/>
        <w:rPr>
          <w:rFonts w:asciiTheme="majorHAnsi" w:hAnsiTheme="majorHAnsi"/>
          <w:bCs/>
          <w:i/>
          <w:iCs/>
          <w:sz w:val="28"/>
        </w:rPr>
      </w:pPr>
    </w:p>
    <w:p w14:paraId="7BE556F7" w14:textId="77777777" w:rsidR="00E7213F" w:rsidRPr="00F31FF4" w:rsidRDefault="00E7213F" w:rsidP="00091260">
      <w:pPr>
        <w:spacing w:line="360" w:lineRule="auto"/>
        <w:jc w:val="both"/>
        <w:rPr>
          <w:rFonts w:asciiTheme="majorHAnsi" w:hAnsiTheme="majorHAnsi"/>
          <w:szCs w:val="28"/>
          <w:u w:val="single"/>
        </w:rPr>
      </w:pPr>
    </w:p>
    <w:p w14:paraId="28462F94" w14:textId="77777777" w:rsidR="00E7213F" w:rsidRDefault="00E7213F" w:rsidP="00091260">
      <w:pPr>
        <w:spacing w:line="360" w:lineRule="auto"/>
        <w:rPr>
          <w:rFonts w:asciiTheme="majorHAnsi" w:hAnsiTheme="majorHAnsi"/>
          <w:sz w:val="28"/>
          <w:szCs w:val="28"/>
          <w:u w:val="single"/>
        </w:rPr>
      </w:pPr>
      <w:r>
        <w:rPr>
          <w:rFonts w:asciiTheme="majorHAnsi" w:hAnsiTheme="majorHAnsi"/>
          <w:sz w:val="28"/>
          <w:szCs w:val="28"/>
          <w:u w:val="single"/>
        </w:rPr>
        <w:br w:type="page"/>
      </w:r>
    </w:p>
    <w:p w14:paraId="279BFF55" w14:textId="77777777" w:rsidR="00E7213F" w:rsidRDefault="00E7213F" w:rsidP="00E7213F">
      <w:pPr>
        <w:rPr>
          <w:rFonts w:asciiTheme="majorHAnsi" w:hAnsiTheme="majorHAnsi"/>
          <w:sz w:val="28"/>
          <w:szCs w:val="28"/>
          <w:u w:val="single"/>
        </w:rPr>
      </w:pPr>
      <w:r>
        <w:rPr>
          <w:rFonts w:asciiTheme="majorHAnsi" w:hAnsiTheme="majorHAnsi"/>
          <w:sz w:val="28"/>
          <w:szCs w:val="28"/>
          <w:u w:val="single"/>
        </w:rPr>
        <w:t>4.1 Introduction</w:t>
      </w:r>
    </w:p>
    <w:p w14:paraId="269F2D0F" w14:textId="77777777" w:rsidR="00E7213F" w:rsidRDefault="00E7213F" w:rsidP="00E7213F">
      <w:pPr>
        <w:rPr>
          <w:rFonts w:asciiTheme="majorHAnsi" w:hAnsiTheme="majorHAnsi"/>
          <w:sz w:val="28"/>
          <w:szCs w:val="28"/>
          <w:u w:val="single"/>
        </w:rPr>
      </w:pPr>
    </w:p>
    <w:p w14:paraId="43904F5F" w14:textId="2A15EBBE" w:rsidR="00E7213F" w:rsidRDefault="00E7213F" w:rsidP="00E7213F">
      <w:pPr>
        <w:spacing w:line="360" w:lineRule="auto"/>
        <w:jc w:val="both"/>
        <w:rPr>
          <w:rFonts w:asciiTheme="majorHAnsi" w:hAnsiTheme="majorHAnsi"/>
          <w:szCs w:val="28"/>
        </w:rPr>
      </w:pPr>
      <w:r>
        <w:rPr>
          <w:rFonts w:asciiTheme="majorHAnsi" w:hAnsiTheme="majorHAnsi"/>
          <w:szCs w:val="28"/>
        </w:rPr>
        <w:t>Patient samples, both in house and from othe</w:t>
      </w:r>
      <w:r w:rsidR="008E0293">
        <w:rPr>
          <w:rFonts w:asciiTheme="majorHAnsi" w:hAnsiTheme="majorHAnsi"/>
          <w:szCs w:val="28"/>
        </w:rPr>
        <w:t>r published articles, show over-</w:t>
      </w:r>
      <w:r>
        <w:rPr>
          <w:rFonts w:asciiTheme="majorHAnsi" w:hAnsiTheme="majorHAnsi"/>
          <w:szCs w:val="28"/>
        </w:rPr>
        <w:t>expression of SRCAP in varying types of cancers, and with this comes an increased invasiveness trait. Ther</w:t>
      </w:r>
      <w:r w:rsidR="008E0293">
        <w:rPr>
          <w:rFonts w:asciiTheme="majorHAnsi" w:hAnsiTheme="majorHAnsi"/>
          <w:szCs w:val="28"/>
        </w:rPr>
        <w:t xml:space="preserve">efore, </w:t>
      </w:r>
      <w:proofErr w:type="spellStart"/>
      <w:r w:rsidR="008E0293">
        <w:rPr>
          <w:rFonts w:asciiTheme="majorHAnsi" w:hAnsiTheme="majorHAnsi"/>
          <w:szCs w:val="28"/>
        </w:rPr>
        <w:t>Slupianek</w:t>
      </w:r>
      <w:proofErr w:type="spellEnd"/>
      <w:r w:rsidR="008E0293">
        <w:rPr>
          <w:rFonts w:asciiTheme="majorHAnsi" w:hAnsiTheme="majorHAnsi"/>
          <w:szCs w:val="28"/>
        </w:rPr>
        <w:t xml:space="preserve"> and colleagues</w:t>
      </w:r>
      <w:r>
        <w:rPr>
          <w:rFonts w:asciiTheme="majorHAnsi" w:hAnsiTheme="majorHAnsi"/>
          <w:szCs w:val="28"/>
        </w:rPr>
        <w:t xml:space="preserve"> hypothesised that SRCAP </w:t>
      </w:r>
      <w:r w:rsidR="008E0293">
        <w:rPr>
          <w:rFonts w:asciiTheme="majorHAnsi" w:hAnsiTheme="majorHAnsi"/>
          <w:szCs w:val="28"/>
        </w:rPr>
        <w:t>knock</w:t>
      </w:r>
      <w:r>
        <w:rPr>
          <w:rFonts w:asciiTheme="majorHAnsi" w:hAnsiTheme="majorHAnsi"/>
          <w:szCs w:val="28"/>
        </w:rPr>
        <w:t xml:space="preserve">down may decrease the proliferative nature of prostate cancer cells </w:t>
      </w:r>
      <w:r>
        <w:rPr>
          <w:rFonts w:asciiTheme="majorHAnsi" w:hAnsiTheme="majorHAnsi"/>
          <w:szCs w:val="28"/>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Pr>
          <w:rFonts w:asciiTheme="majorHAnsi" w:hAnsiTheme="majorHAnsi"/>
          <w:szCs w:val="28"/>
        </w:rPr>
        <w:instrText xml:space="preserve"> ADDIN EN.CITE </w:instrText>
      </w:r>
      <w:r>
        <w:rPr>
          <w:rFonts w:asciiTheme="majorHAnsi" w:hAnsiTheme="majorHAnsi"/>
          <w:szCs w:val="28"/>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Pr>
          <w:rFonts w:asciiTheme="majorHAnsi" w:hAnsiTheme="majorHAnsi"/>
          <w:szCs w:val="28"/>
        </w:rPr>
        <w:instrText xml:space="preserve"> ADDIN EN.CITE.DATA </w:instrText>
      </w:r>
      <w:r>
        <w:rPr>
          <w:rFonts w:asciiTheme="majorHAnsi" w:hAnsiTheme="majorHAnsi"/>
          <w:szCs w:val="28"/>
        </w:rPr>
      </w:r>
      <w:r>
        <w:rPr>
          <w:rFonts w:asciiTheme="majorHAnsi" w:hAnsiTheme="majorHAnsi"/>
          <w:szCs w:val="28"/>
        </w:rPr>
        <w:fldChar w:fldCharType="end"/>
      </w:r>
      <w:r>
        <w:rPr>
          <w:rFonts w:asciiTheme="majorHAnsi" w:hAnsiTheme="majorHAnsi"/>
          <w:szCs w:val="28"/>
        </w:rPr>
      </w:r>
      <w:r>
        <w:rPr>
          <w:rFonts w:asciiTheme="majorHAnsi" w:hAnsiTheme="majorHAnsi"/>
          <w:szCs w:val="28"/>
        </w:rPr>
        <w:fldChar w:fldCharType="separate"/>
      </w:r>
      <w:r>
        <w:rPr>
          <w:rFonts w:asciiTheme="majorHAnsi" w:hAnsiTheme="majorHAnsi"/>
          <w:noProof/>
          <w:szCs w:val="28"/>
        </w:rPr>
        <w:t>(Slupianek et al., 2010)</w:t>
      </w:r>
      <w:r>
        <w:rPr>
          <w:rFonts w:asciiTheme="majorHAnsi" w:hAnsiTheme="majorHAnsi"/>
          <w:szCs w:val="28"/>
        </w:rPr>
        <w:fldChar w:fldCharType="end"/>
      </w:r>
      <w:r>
        <w:rPr>
          <w:rFonts w:asciiTheme="majorHAnsi" w:hAnsiTheme="majorHAnsi"/>
          <w:szCs w:val="28"/>
        </w:rPr>
        <w:t xml:space="preserve">. Indeed, when </w:t>
      </w:r>
      <w:r w:rsidRPr="00C45ED3">
        <w:rPr>
          <w:rFonts w:asciiTheme="majorHAnsi" w:hAnsiTheme="majorHAnsi"/>
        </w:rPr>
        <w:t xml:space="preserve">SRCAP was knocked down in </w:t>
      </w:r>
      <w:r>
        <w:rPr>
          <w:rFonts w:asciiTheme="majorHAnsi" w:hAnsiTheme="majorHAnsi"/>
        </w:rPr>
        <w:t xml:space="preserve">the </w:t>
      </w:r>
      <w:r w:rsidRPr="00C45ED3">
        <w:rPr>
          <w:rFonts w:asciiTheme="majorHAnsi" w:hAnsiTheme="majorHAnsi"/>
        </w:rPr>
        <w:t xml:space="preserve">22RVI prostate cancer cell line this not only resulted in decreased cellular proliferation in an androgen-dependent manner </w:t>
      </w:r>
      <w:r>
        <w:rPr>
          <w:rFonts w:asciiTheme="majorHAnsi" w:hAnsiTheme="majorHAnsi"/>
        </w:rPr>
        <w:t>but also correlated to a decrease in</w:t>
      </w:r>
      <w:r w:rsidRPr="00C45ED3">
        <w:rPr>
          <w:rFonts w:asciiTheme="majorHAnsi" w:hAnsiTheme="majorHAnsi"/>
        </w:rPr>
        <w:t xml:space="preserve"> binding of H2A</w:t>
      </w:r>
      <w:r>
        <w:rPr>
          <w:rFonts w:asciiTheme="majorHAnsi" w:hAnsiTheme="majorHAnsi"/>
        </w:rPr>
        <w:t>.</w:t>
      </w:r>
      <w:r w:rsidRPr="00C45ED3">
        <w:rPr>
          <w:rFonts w:asciiTheme="majorHAnsi" w:hAnsiTheme="majorHAnsi"/>
        </w:rPr>
        <w:t xml:space="preserve">Z to the </w:t>
      </w:r>
      <w:r>
        <w:rPr>
          <w:rFonts w:asciiTheme="majorHAnsi" w:hAnsiTheme="majorHAnsi"/>
        </w:rPr>
        <w:t xml:space="preserve">PSA </w:t>
      </w:r>
      <w:r w:rsidRPr="00C45ED3">
        <w:rPr>
          <w:rFonts w:asciiTheme="majorHAnsi" w:hAnsiTheme="majorHAnsi"/>
        </w:rPr>
        <w:t>promoter</w:t>
      </w:r>
      <w:r>
        <w:rPr>
          <w:rFonts w:asciiTheme="majorHAnsi" w:hAnsiTheme="majorHAnsi"/>
        </w:rPr>
        <w:t xml:space="preserve"> and its </w:t>
      </w:r>
      <w:r w:rsidR="008E0293">
        <w:rPr>
          <w:rFonts w:asciiTheme="majorHAnsi" w:hAnsiTheme="majorHAnsi"/>
        </w:rPr>
        <w:t>consequent</w:t>
      </w:r>
      <w:r>
        <w:rPr>
          <w:rFonts w:asciiTheme="majorHAnsi" w:hAnsiTheme="majorHAnsi"/>
        </w:rPr>
        <w:t xml:space="preserve"> down-regulation. These results suggest that SRCAP does have activities relevant for driving tumour progression, and if it could be targeted with inhibitors this may have the potential to decrease tumour growth</w:t>
      </w:r>
      <w:r w:rsidR="008E0293">
        <w:rPr>
          <w:rFonts w:asciiTheme="majorHAnsi" w:hAnsiTheme="majorHAnsi"/>
        </w:rPr>
        <w:t>, with potential therapeutic relevance</w:t>
      </w:r>
      <w:r w:rsidR="00D06201">
        <w:rPr>
          <w:rFonts w:asciiTheme="majorHAnsi" w:hAnsiTheme="majorHAnsi"/>
        </w:rPr>
        <w:t>.</w:t>
      </w:r>
    </w:p>
    <w:p w14:paraId="1241CED3" w14:textId="77777777" w:rsidR="00E7213F" w:rsidRDefault="00E7213F" w:rsidP="00E7213F">
      <w:pPr>
        <w:spacing w:line="360" w:lineRule="auto"/>
        <w:jc w:val="both"/>
        <w:rPr>
          <w:rFonts w:asciiTheme="majorHAnsi" w:hAnsiTheme="majorHAnsi"/>
          <w:szCs w:val="28"/>
        </w:rPr>
      </w:pPr>
    </w:p>
    <w:p w14:paraId="01A829EE" w14:textId="29BB00D7" w:rsidR="00E7213F" w:rsidRDefault="00E7213F" w:rsidP="00E7213F">
      <w:pPr>
        <w:spacing w:line="360" w:lineRule="auto"/>
        <w:jc w:val="both"/>
        <w:rPr>
          <w:rFonts w:asciiTheme="majorHAnsi" w:hAnsiTheme="majorHAnsi"/>
          <w:szCs w:val="28"/>
        </w:rPr>
      </w:pPr>
      <w:r w:rsidRPr="00C45ED3">
        <w:rPr>
          <w:rFonts w:asciiTheme="majorHAnsi" w:hAnsiTheme="majorHAnsi"/>
        </w:rPr>
        <w:t xml:space="preserve">More recently data has emerged implicating SRCAP within the DNA damage response pathway, which could therefore have implications </w:t>
      </w:r>
      <w:r>
        <w:rPr>
          <w:rFonts w:asciiTheme="majorHAnsi" w:hAnsiTheme="majorHAnsi"/>
        </w:rPr>
        <w:t>as to</w:t>
      </w:r>
      <w:r w:rsidRPr="00C45ED3">
        <w:rPr>
          <w:rFonts w:asciiTheme="majorHAnsi" w:hAnsiTheme="majorHAnsi"/>
        </w:rPr>
        <w:t xml:space="preserve"> whether SRCAP could become a therapeutic target or not. It was shown that Hela cells were </w:t>
      </w:r>
      <w:r>
        <w:rPr>
          <w:rFonts w:asciiTheme="majorHAnsi" w:hAnsiTheme="majorHAnsi"/>
        </w:rPr>
        <w:t>sensitised</w:t>
      </w:r>
      <w:r w:rsidRPr="00C45ED3">
        <w:rPr>
          <w:rFonts w:asciiTheme="majorHAnsi" w:hAnsiTheme="majorHAnsi"/>
        </w:rPr>
        <w:t xml:space="preserve"> to irradiation or mitomycin </w:t>
      </w:r>
      <w:r>
        <w:rPr>
          <w:rFonts w:asciiTheme="majorHAnsi" w:hAnsiTheme="majorHAnsi"/>
        </w:rPr>
        <w:t xml:space="preserve">following </w:t>
      </w:r>
      <w:proofErr w:type="spellStart"/>
      <w:r w:rsidR="008E0293">
        <w:rPr>
          <w:rFonts w:asciiTheme="majorHAnsi" w:hAnsiTheme="majorHAnsi"/>
        </w:rPr>
        <w:t>shRNA</w:t>
      </w:r>
      <w:proofErr w:type="spellEnd"/>
      <w:r w:rsidRPr="00C45ED3">
        <w:rPr>
          <w:rFonts w:asciiTheme="majorHAnsi" w:hAnsiTheme="majorHAnsi"/>
        </w:rPr>
        <w:t xml:space="preserve"> </w:t>
      </w:r>
      <w:r>
        <w:rPr>
          <w:rFonts w:asciiTheme="majorHAnsi" w:hAnsiTheme="majorHAnsi"/>
        </w:rPr>
        <w:t xml:space="preserve">mediated </w:t>
      </w:r>
      <w:r w:rsidR="008E0293">
        <w:rPr>
          <w:rFonts w:asciiTheme="majorHAnsi" w:hAnsiTheme="majorHAnsi"/>
        </w:rPr>
        <w:t>knock</w:t>
      </w:r>
      <w:r w:rsidRPr="00C45ED3">
        <w:rPr>
          <w:rFonts w:asciiTheme="majorHAnsi" w:hAnsiTheme="majorHAnsi"/>
        </w:rPr>
        <w:t>down</w:t>
      </w:r>
      <w:r>
        <w:rPr>
          <w:rFonts w:asciiTheme="majorHAnsi" w:hAnsiTheme="majorHAnsi"/>
        </w:rPr>
        <w:t xml:space="preserve"> </w:t>
      </w:r>
      <w:r w:rsidRPr="00C45ED3">
        <w:rPr>
          <w:rFonts w:asciiTheme="majorHAnsi" w:hAnsiTheme="majorHAnsi"/>
        </w:rPr>
        <w:fldChar w:fldCharType="begin"/>
      </w:r>
      <w:r w:rsidRPr="00C45ED3">
        <w:rPr>
          <w:rFonts w:asciiTheme="majorHAnsi" w:hAnsiTheme="majorHAnsi"/>
        </w:rPr>
        <w:instrText xml:space="preserve"> ADDIN EN.CITE &lt;EndNote&gt;&lt;Cite&gt;&lt;Author&gt;Dong&lt;/Author&gt;&lt;Year&gt;2014&lt;/Year&gt;&lt;IDText&gt;The human SRCAP chromatin remodeling complex promotes DNA-end resection&lt;/IDText&gt;&lt;DisplayText&gt;(Dong et al., 2014)&lt;/DisplayText&gt;&lt;record&gt;&lt;dates&gt;&lt;pub-dates&gt;&lt;date&gt;Sep&lt;/date&gt;&lt;/pub-dates&gt;&lt;year&gt;2014&lt;/year&gt;&lt;/dates&gt;&lt;keywords&gt;&lt;keyword&gt;Abnormalities, Multiple&lt;/keyword&gt;&lt;keyword&gt;Adenosine Triphosphatases&lt;/keyword&gt;&lt;keyword&gt;Chromatin&lt;/keyword&gt;&lt;keyword&gt;Chromatin Assembly and Disassembly&lt;/keyword&gt;&lt;keyword&gt;Craniofacial Abnormalities&lt;/keyword&gt;&lt;keyword&gt;DNA Breaks, Double-Stranded&lt;/keyword&gt;&lt;keyword&gt;DNA Damage&lt;/keyword&gt;&lt;keyword&gt;Fluorescent Antibody Technique&lt;/keyword&gt;&lt;keyword&gt;Growth Disorders&lt;/keyword&gt;&lt;keyword&gt;HeLa Cells&lt;/keyword&gt;&lt;keyword&gt;Heart Septal Defects, Ventricular&lt;/keyword&gt;&lt;keyword&gt;Homologous Recombination&lt;/keyword&gt;&lt;keyword&gt;Humans&lt;/keyword&gt;&lt;keyword&gt;Polymerase Chain Reaction&lt;/keyword&gt;&lt;/keywords&gt;&lt;urls&gt;&lt;related-urls&gt;&lt;url&gt;http://www.ncbi.nlm.nih.gov/pubmed/25176633&lt;/url&gt;&lt;/related-urls&gt;&lt;/urls&gt;&lt;isbn&gt;1879-0445&lt;/isbn&gt;&lt;titles&gt;&lt;title&gt;The human SRCAP chromatin remodeling complex promotes DNA-end resection&lt;/title&gt;&lt;secondary-title&gt;Curr Biol&lt;/secondary-title&gt;&lt;/titles&gt;&lt;pages&gt;2097-110&lt;/pages&gt;&lt;number&gt;18&lt;/number&gt;&lt;contributors&gt;&lt;authors&gt;&lt;author&gt;Dong, S.&lt;/author&gt;&lt;author&gt;Han, J.&lt;/author&gt;&lt;author&gt;Chen, H.&lt;/author&gt;&lt;author&gt;Liu, T.&lt;/author&gt;&lt;author&gt;Huen, M. S.&lt;/author&gt;&lt;author&gt;Yang, Y.&lt;/author&gt;&lt;author&gt;Guo, C.&lt;/author&gt;&lt;author&gt;Huang, J.&lt;/author&gt;&lt;/authors&gt;&lt;/contributors&gt;&lt;language&gt;eng&lt;/language&gt;&lt;added-date format="utc"&gt;1448295007&lt;/added-date&gt;&lt;ref-type name="Journal Article"&gt;17&lt;/ref-type&gt;&lt;rec-number&gt;144&lt;/rec-number&gt;&lt;last-updated-date format="utc"&gt;1448295007&lt;/last-updated-date&gt;&lt;accession-num&gt;25176633&lt;/accession-num&gt;&lt;electronic-resource-num&gt;10.1016/j.cub.2014.07.081&lt;/electronic-resource-num&gt;&lt;volume&gt;24&lt;/volume&gt;&lt;/record&gt;&lt;/Cite&gt;&lt;/EndNote&gt;</w:instrText>
      </w:r>
      <w:r w:rsidRPr="00C45ED3">
        <w:rPr>
          <w:rFonts w:asciiTheme="majorHAnsi" w:hAnsiTheme="majorHAnsi"/>
        </w:rPr>
        <w:fldChar w:fldCharType="separate"/>
      </w:r>
      <w:r w:rsidRPr="00C45ED3">
        <w:rPr>
          <w:rFonts w:asciiTheme="majorHAnsi" w:hAnsiTheme="majorHAnsi"/>
        </w:rPr>
        <w:t>(Dong et al., 2014)</w:t>
      </w:r>
      <w:r w:rsidRPr="00C45ED3">
        <w:rPr>
          <w:rFonts w:asciiTheme="majorHAnsi" w:hAnsiTheme="majorHAnsi"/>
        </w:rPr>
        <w:fldChar w:fldCharType="end"/>
      </w:r>
      <w:r w:rsidRPr="00C45ED3">
        <w:rPr>
          <w:rFonts w:asciiTheme="majorHAnsi" w:hAnsiTheme="majorHAnsi"/>
        </w:rPr>
        <w:t xml:space="preserve">, thus indicating that SRCAP may be essential for cell survival after DNA damage. The </w:t>
      </w:r>
      <w:r>
        <w:rPr>
          <w:rFonts w:asciiTheme="majorHAnsi" w:hAnsiTheme="majorHAnsi"/>
        </w:rPr>
        <w:t>article</w:t>
      </w:r>
      <w:r w:rsidRPr="00C45ED3">
        <w:rPr>
          <w:rFonts w:asciiTheme="majorHAnsi" w:hAnsiTheme="majorHAnsi"/>
        </w:rPr>
        <w:t xml:space="preserve"> then went on the show that SRCAP </w:t>
      </w:r>
      <w:r>
        <w:rPr>
          <w:rFonts w:asciiTheme="majorHAnsi" w:hAnsiTheme="majorHAnsi"/>
        </w:rPr>
        <w:t>played</w:t>
      </w:r>
      <w:r w:rsidRPr="00C45ED3">
        <w:rPr>
          <w:rFonts w:asciiTheme="majorHAnsi" w:hAnsiTheme="majorHAnsi"/>
        </w:rPr>
        <w:t xml:space="preserve"> a major role in DSB repair as depletion of SRCAP levels produced a decrease in homologous recombination </w:t>
      </w:r>
      <w:r>
        <w:rPr>
          <w:rFonts w:asciiTheme="majorHAnsi" w:hAnsiTheme="majorHAnsi"/>
        </w:rPr>
        <w:t>(HR), reduced recruitment of RAD</w:t>
      </w:r>
      <w:r w:rsidRPr="00C45ED3">
        <w:rPr>
          <w:rFonts w:asciiTheme="majorHAnsi" w:hAnsiTheme="majorHAnsi"/>
        </w:rPr>
        <w:t>51 and RPA2</w:t>
      </w:r>
      <w:r>
        <w:rPr>
          <w:rFonts w:asciiTheme="majorHAnsi" w:hAnsiTheme="majorHAnsi"/>
        </w:rPr>
        <w:t>,</w:t>
      </w:r>
      <w:r w:rsidRPr="00C45ED3">
        <w:rPr>
          <w:rFonts w:asciiTheme="majorHAnsi" w:hAnsiTheme="majorHAnsi"/>
        </w:rPr>
        <w:t xml:space="preserve"> and that these effects could be due to the decrease in recruitment of CtIP to DNA damage sites after SRCAP knockdown. </w:t>
      </w:r>
      <w:r>
        <w:rPr>
          <w:rFonts w:asciiTheme="majorHAnsi" w:hAnsiTheme="majorHAnsi"/>
        </w:rPr>
        <w:t>These results</w:t>
      </w:r>
      <w:r w:rsidRPr="00C45ED3">
        <w:rPr>
          <w:rFonts w:asciiTheme="majorHAnsi" w:hAnsiTheme="majorHAnsi"/>
        </w:rPr>
        <w:t xml:space="preserve"> </w:t>
      </w:r>
      <w:r>
        <w:rPr>
          <w:rFonts w:asciiTheme="majorHAnsi" w:hAnsiTheme="majorHAnsi"/>
        </w:rPr>
        <w:t xml:space="preserve">suggest that SRCAP plays a role </w:t>
      </w:r>
      <w:r w:rsidRPr="00C45ED3">
        <w:rPr>
          <w:rFonts w:asciiTheme="majorHAnsi" w:hAnsiTheme="majorHAnsi"/>
        </w:rPr>
        <w:t>in the end resection of DNA following DSBs</w:t>
      </w:r>
      <w:r>
        <w:rPr>
          <w:rFonts w:asciiTheme="majorHAnsi" w:hAnsiTheme="majorHAnsi"/>
        </w:rPr>
        <w:t>,</w:t>
      </w:r>
      <w:r w:rsidRPr="00C45ED3">
        <w:rPr>
          <w:rFonts w:asciiTheme="majorHAnsi" w:hAnsiTheme="majorHAnsi"/>
        </w:rPr>
        <w:t xml:space="preserve"> </w:t>
      </w:r>
      <w:r>
        <w:rPr>
          <w:rFonts w:asciiTheme="majorHAnsi" w:hAnsiTheme="majorHAnsi"/>
        </w:rPr>
        <w:t>necessary</w:t>
      </w:r>
      <w:r w:rsidRPr="00C45ED3">
        <w:rPr>
          <w:rFonts w:asciiTheme="majorHAnsi" w:hAnsiTheme="majorHAnsi"/>
        </w:rPr>
        <w:t xml:space="preserve"> for HR and cellular survival after damage. </w:t>
      </w:r>
      <w:r>
        <w:rPr>
          <w:rFonts w:asciiTheme="majorHAnsi" w:hAnsiTheme="majorHAnsi"/>
        </w:rPr>
        <w:t>The authors</w:t>
      </w:r>
      <w:r w:rsidRPr="00C45ED3">
        <w:rPr>
          <w:rFonts w:asciiTheme="majorHAnsi" w:hAnsiTheme="majorHAnsi"/>
        </w:rPr>
        <w:t xml:space="preserve"> found a functional interaction between SRCAP and CtIP, providing a stabilisation of CtIP at DSBs. So although SRCAP can have an indirect role on DNA damage repair, by altering chromatin architecture to allow access to the DNA by repair proteins, it appears to also have a crucial direct role in actual recruitment of essential signalling and repair proteins.</w:t>
      </w:r>
      <w:r w:rsidRPr="00C45ED3">
        <w:rPr>
          <w:rFonts w:asciiTheme="majorHAnsi" w:hAnsiTheme="majorHAnsi"/>
          <w:szCs w:val="28"/>
        </w:rPr>
        <w:t xml:space="preserve"> </w:t>
      </w:r>
    </w:p>
    <w:p w14:paraId="2B5D488F" w14:textId="77777777" w:rsidR="00E7213F" w:rsidRDefault="00E7213F" w:rsidP="00E7213F">
      <w:pPr>
        <w:spacing w:line="360" w:lineRule="auto"/>
        <w:jc w:val="both"/>
        <w:rPr>
          <w:rFonts w:asciiTheme="majorHAnsi" w:hAnsiTheme="majorHAnsi"/>
          <w:szCs w:val="28"/>
        </w:rPr>
      </w:pPr>
    </w:p>
    <w:p w14:paraId="34B55929" w14:textId="38E69B8E" w:rsidR="00E7213F" w:rsidRDefault="00E7213F" w:rsidP="00E7213F">
      <w:pPr>
        <w:spacing w:line="360" w:lineRule="auto"/>
        <w:jc w:val="both"/>
        <w:rPr>
          <w:rFonts w:asciiTheme="majorHAnsi" w:hAnsiTheme="majorHAnsi"/>
          <w:szCs w:val="28"/>
          <w:lang w:val="en-US"/>
        </w:rPr>
      </w:pPr>
      <w:r>
        <w:rPr>
          <w:rFonts w:asciiTheme="majorHAnsi" w:hAnsiTheme="majorHAnsi"/>
          <w:szCs w:val="28"/>
        </w:rPr>
        <w:t xml:space="preserve">The concept of a direct role for SRCAP in DDR is consistent with the second screen that formed the initial analysis for this project, in which </w:t>
      </w:r>
      <w:r w:rsidRPr="00F3763C">
        <w:rPr>
          <w:rFonts w:asciiTheme="majorHAnsi" w:hAnsiTheme="majorHAnsi"/>
          <w:szCs w:val="28"/>
          <w:lang w:val="en-US"/>
        </w:rPr>
        <w:t xml:space="preserve">a genome-wide human siRNA screen </w:t>
      </w:r>
      <w:r>
        <w:rPr>
          <w:rFonts w:asciiTheme="majorHAnsi" w:hAnsiTheme="majorHAnsi"/>
          <w:szCs w:val="28"/>
          <w:lang w:val="en-US"/>
        </w:rPr>
        <w:t xml:space="preserve">was </w:t>
      </w:r>
      <w:r w:rsidRPr="00F3763C">
        <w:rPr>
          <w:rFonts w:asciiTheme="majorHAnsi" w:hAnsiTheme="majorHAnsi"/>
          <w:szCs w:val="28"/>
          <w:lang w:val="en-US"/>
        </w:rPr>
        <w:t>carried out in H</w:t>
      </w:r>
      <w:r>
        <w:rPr>
          <w:rFonts w:asciiTheme="majorHAnsi" w:hAnsiTheme="majorHAnsi"/>
          <w:szCs w:val="28"/>
          <w:lang w:val="en-US"/>
        </w:rPr>
        <w:t xml:space="preserve">CT116 cells using increased </w:t>
      </w:r>
      <w:r>
        <w:rPr>
          <w:rFonts w:ascii="Calibri" w:hAnsi="Calibri"/>
          <w:szCs w:val="28"/>
          <w:lang w:val="en-US"/>
        </w:rPr>
        <w:t>γ</w:t>
      </w:r>
      <w:r w:rsidRPr="00F3763C">
        <w:rPr>
          <w:rFonts w:asciiTheme="majorHAnsi" w:hAnsiTheme="majorHAnsi"/>
          <w:szCs w:val="28"/>
          <w:lang w:val="en-US"/>
        </w:rPr>
        <w:t xml:space="preserve">H2AX as a </w:t>
      </w:r>
      <w:r>
        <w:rPr>
          <w:rFonts w:asciiTheme="majorHAnsi" w:hAnsiTheme="majorHAnsi"/>
          <w:szCs w:val="28"/>
          <w:lang w:val="en-US"/>
        </w:rPr>
        <w:t xml:space="preserve">marker of increased DNA damage </w:t>
      </w:r>
      <w:r w:rsidRPr="00F3763C">
        <w:rPr>
          <w:rFonts w:asciiTheme="majorHAnsi" w:hAnsiTheme="majorHAnsi"/>
          <w:szCs w:val="28"/>
          <w:lang w:val="en-US"/>
        </w:rPr>
        <w:t xml:space="preserve">to identify potential novel regulators of genome stability. </w:t>
      </w:r>
      <w:r w:rsidRPr="00096F64">
        <w:rPr>
          <w:rFonts w:asciiTheme="majorHAnsi" w:hAnsiTheme="majorHAnsi"/>
          <w:i/>
          <w:szCs w:val="28"/>
          <w:lang w:val="en-US"/>
        </w:rPr>
        <w:t>SRCAP</w:t>
      </w:r>
      <w:r>
        <w:rPr>
          <w:rFonts w:asciiTheme="majorHAnsi" w:hAnsiTheme="majorHAnsi"/>
          <w:szCs w:val="28"/>
          <w:lang w:val="en-US"/>
        </w:rPr>
        <w:t xml:space="preserve"> had a z score of 2.27</w:t>
      </w:r>
      <w:r w:rsidRPr="00F3763C">
        <w:rPr>
          <w:rFonts w:asciiTheme="majorHAnsi" w:hAnsiTheme="majorHAnsi"/>
          <w:szCs w:val="28"/>
          <w:lang w:val="en-US"/>
        </w:rPr>
        <w:t xml:space="preserve"> </w:t>
      </w:r>
      <w:r>
        <w:rPr>
          <w:rFonts w:asciiTheme="majorHAnsi" w:hAnsiTheme="majorHAnsi"/>
          <w:szCs w:val="28"/>
          <w:lang w:val="en-US"/>
        </w:rPr>
        <w:t xml:space="preserve">indicating levels of </w:t>
      </w:r>
      <w:r>
        <w:rPr>
          <w:rFonts w:ascii="Calibri" w:hAnsi="Calibri"/>
          <w:szCs w:val="28"/>
          <w:lang w:val="en-US"/>
        </w:rPr>
        <w:t>γ</w:t>
      </w:r>
      <w:r w:rsidRPr="00F3763C">
        <w:rPr>
          <w:rFonts w:asciiTheme="majorHAnsi" w:hAnsiTheme="majorHAnsi"/>
          <w:szCs w:val="28"/>
          <w:lang w:val="en-US"/>
        </w:rPr>
        <w:t xml:space="preserve">H2AX staining were </w:t>
      </w:r>
      <w:r>
        <w:rPr>
          <w:rFonts w:asciiTheme="majorHAnsi" w:hAnsiTheme="majorHAnsi"/>
          <w:szCs w:val="28"/>
          <w:lang w:val="en-US"/>
        </w:rPr>
        <w:t xml:space="preserve">elevated </w:t>
      </w:r>
      <w:r w:rsidR="008E0293">
        <w:rPr>
          <w:rFonts w:asciiTheme="majorHAnsi" w:hAnsiTheme="majorHAnsi"/>
          <w:szCs w:val="28"/>
          <w:lang w:val="en-US"/>
        </w:rPr>
        <w:t xml:space="preserve">over two standard deviations higher then the mean of </w:t>
      </w:r>
      <w:r>
        <w:rPr>
          <w:rFonts w:asciiTheme="majorHAnsi" w:hAnsiTheme="majorHAnsi"/>
          <w:szCs w:val="28"/>
          <w:lang w:val="en-US"/>
        </w:rPr>
        <w:t xml:space="preserve">the </w:t>
      </w:r>
      <w:r w:rsidRPr="00F3763C">
        <w:rPr>
          <w:rFonts w:asciiTheme="majorHAnsi" w:hAnsiTheme="majorHAnsi"/>
          <w:szCs w:val="28"/>
          <w:lang w:val="en-US"/>
        </w:rPr>
        <w:t>negative control cells</w:t>
      </w:r>
      <w:r>
        <w:rPr>
          <w:rFonts w:asciiTheme="majorHAnsi" w:hAnsiTheme="majorHAnsi"/>
          <w:szCs w:val="28"/>
          <w:lang w:val="en-US"/>
        </w:rPr>
        <w:t>. Therefore, it does indeed appear that SRCAP plays an integral role in the repair of DNA damage and that when levels are depleted the repair mechanism</w:t>
      </w:r>
      <w:r w:rsidR="008E0293">
        <w:rPr>
          <w:rFonts w:asciiTheme="majorHAnsi" w:hAnsiTheme="majorHAnsi"/>
          <w:szCs w:val="28"/>
          <w:lang w:val="en-US"/>
        </w:rPr>
        <w:t>s are not</w:t>
      </w:r>
      <w:r>
        <w:rPr>
          <w:rFonts w:asciiTheme="majorHAnsi" w:hAnsiTheme="majorHAnsi"/>
          <w:szCs w:val="28"/>
          <w:lang w:val="en-US"/>
        </w:rPr>
        <w:t xml:space="preserve"> able to function as efficiently</w:t>
      </w:r>
      <w:r w:rsidR="00C878F4">
        <w:rPr>
          <w:rFonts w:asciiTheme="majorHAnsi" w:hAnsiTheme="majorHAnsi"/>
          <w:szCs w:val="28"/>
          <w:lang w:val="en-US"/>
        </w:rPr>
        <w:t>, thus enhancing genomic instability</w:t>
      </w:r>
      <w:r>
        <w:rPr>
          <w:rFonts w:asciiTheme="majorHAnsi" w:hAnsiTheme="majorHAnsi"/>
          <w:szCs w:val="28"/>
          <w:lang w:val="en-US"/>
        </w:rPr>
        <w:t>.</w:t>
      </w:r>
    </w:p>
    <w:p w14:paraId="2C2A5C9D" w14:textId="77777777" w:rsidR="00E7213F" w:rsidRDefault="00E7213F" w:rsidP="00E7213F">
      <w:pPr>
        <w:spacing w:line="360" w:lineRule="auto"/>
        <w:jc w:val="both"/>
        <w:rPr>
          <w:rFonts w:asciiTheme="majorHAnsi" w:hAnsiTheme="majorHAnsi"/>
          <w:szCs w:val="28"/>
          <w:lang w:val="en-US"/>
        </w:rPr>
      </w:pPr>
    </w:p>
    <w:p w14:paraId="393A6F66" w14:textId="53F796F8" w:rsidR="000670CD" w:rsidRDefault="00E7213F" w:rsidP="00D01D43">
      <w:pPr>
        <w:spacing w:line="360" w:lineRule="auto"/>
        <w:jc w:val="both"/>
        <w:rPr>
          <w:rFonts w:asciiTheme="majorHAnsi" w:hAnsiTheme="majorHAnsi"/>
          <w:b/>
          <w:sz w:val="28"/>
          <w:szCs w:val="28"/>
          <w:u w:val="single"/>
        </w:rPr>
      </w:pPr>
      <w:r>
        <w:rPr>
          <w:rFonts w:asciiTheme="majorHAnsi" w:hAnsiTheme="majorHAnsi"/>
          <w:szCs w:val="28"/>
          <w:lang w:val="en-US"/>
        </w:rPr>
        <w:t xml:space="preserve">Given the above observations, this results chapter focuses on establishing CRC cell line models in which </w:t>
      </w:r>
      <w:r w:rsidRPr="00096F64">
        <w:rPr>
          <w:rFonts w:asciiTheme="majorHAnsi" w:hAnsiTheme="majorHAnsi"/>
          <w:i/>
          <w:szCs w:val="28"/>
          <w:lang w:val="en-US"/>
        </w:rPr>
        <w:t>SRCAP</w:t>
      </w:r>
      <w:r>
        <w:rPr>
          <w:rFonts w:asciiTheme="majorHAnsi" w:hAnsiTheme="majorHAnsi"/>
          <w:szCs w:val="28"/>
          <w:lang w:val="en-US"/>
        </w:rPr>
        <w:t xml:space="preserve"> can be depleted, and the cellular consequences of this </w:t>
      </w:r>
      <w:r w:rsidR="00A40F61">
        <w:rPr>
          <w:rFonts w:asciiTheme="majorHAnsi" w:hAnsiTheme="majorHAnsi"/>
          <w:szCs w:val="28"/>
          <w:lang w:val="en-US"/>
        </w:rPr>
        <w:t>knock</w:t>
      </w:r>
      <w:r>
        <w:rPr>
          <w:rFonts w:asciiTheme="majorHAnsi" w:hAnsiTheme="majorHAnsi"/>
          <w:szCs w:val="28"/>
          <w:lang w:val="en-US"/>
        </w:rPr>
        <w:t xml:space="preserve">down. We also examined how clinically used treatments and </w:t>
      </w:r>
      <w:r w:rsidRPr="00096F64">
        <w:rPr>
          <w:rFonts w:asciiTheme="majorHAnsi" w:hAnsiTheme="majorHAnsi"/>
          <w:i/>
          <w:szCs w:val="28"/>
          <w:lang w:val="en-US"/>
        </w:rPr>
        <w:t>SRCAP</w:t>
      </w:r>
      <w:r w:rsidR="00A40F61">
        <w:rPr>
          <w:rFonts w:asciiTheme="majorHAnsi" w:hAnsiTheme="majorHAnsi"/>
          <w:szCs w:val="28"/>
          <w:lang w:val="en-US"/>
        </w:rPr>
        <w:t xml:space="preserve"> knock</w:t>
      </w:r>
      <w:r>
        <w:rPr>
          <w:rFonts w:asciiTheme="majorHAnsi" w:hAnsiTheme="majorHAnsi"/>
          <w:szCs w:val="28"/>
          <w:lang w:val="en-US"/>
        </w:rPr>
        <w:t xml:space="preserve">down together affect cell survival and so whether SRCAP could become a novel therapeutic target. </w:t>
      </w:r>
    </w:p>
    <w:p w14:paraId="04534EDC" w14:textId="77777777" w:rsidR="000670CD" w:rsidRDefault="000670CD" w:rsidP="00D01D43">
      <w:pPr>
        <w:spacing w:line="360" w:lineRule="auto"/>
        <w:jc w:val="both"/>
        <w:rPr>
          <w:rFonts w:asciiTheme="majorHAnsi" w:hAnsiTheme="majorHAnsi"/>
          <w:b/>
          <w:sz w:val="28"/>
          <w:szCs w:val="28"/>
          <w:u w:val="single"/>
        </w:rPr>
      </w:pPr>
    </w:p>
    <w:p w14:paraId="73BE1B86" w14:textId="7B65C926" w:rsidR="00E7213F" w:rsidRPr="00D01D43" w:rsidRDefault="00E7213F" w:rsidP="00D01D43">
      <w:pPr>
        <w:spacing w:line="360" w:lineRule="auto"/>
        <w:jc w:val="both"/>
        <w:rPr>
          <w:rFonts w:asciiTheme="majorHAnsi" w:hAnsiTheme="majorHAnsi"/>
          <w:szCs w:val="28"/>
          <w:lang w:val="en-US"/>
        </w:rPr>
      </w:pPr>
      <w:r>
        <w:rPr>
          <w:rFonts w:asciiTheme="majorHAnsi" w:hAnsiTheme="majorHAnsi"/>
          <w:sz w:val="28"/>
          <w:szCs w:val="28"/>
          <w:u w:val="single"/>
        </w:rPr>
        <w:t xml:space="preserve">4.2 </w:t>
      </w:r>
      <w:r w:rsidRPr="00292588">
        <w:rPr>
          <w:rFonts w:asciiTheme="majorHAnsi" w:hAnsiTheme="majorHAnsi"/>
          <w:sz w:val="28"/>
          <w:szCs w:val="28"/>
          <w:u w:val="single"/>
        </w:rPr>
        <w:t xml:space="preserve">Confirming </w:t>
      </w:r>
      <w:r>
        <w:rPr>
          <w:rFonts w:asciiTheme="majorHAnsi" w:hAnsiTheme="majorHAnsi"/>
          <w:sz w:val="28"/>
          <w:szCs w:val="28"/>
          <w:u w:val="single"/>
        </w:rPr>
        <w:t xml:space="preserve">the </w:t>
      </w:r>
      <w:r w:rsidRPr="00096F64">
        <w:rPr>
          <w:rFonts w:asciiTheme="majorHAnsi" w:hAnsiTheme="majorHAnsi"/>
          <w:i/>
          <w:sz w:val="28"/>
          <w:szCs w:val="28"/>
          <w:u w:val="single"/>
        </w:rPr>
        <w:t>SRCAP</w:t>
      </w:r>
      <w:r w:rsidRPr="00292588">
        <w:rPr>
          <w:rFonts w:asciiTheme="majorHAnsi" w:hAnsiTheme="majorHAnsi"/>
          <w:sz w:val="28"/>
          <w:szCs w:val="28"/>
          <w:u w:val="single"/>
        </w:rPr>
        <w:t xml:space="preserve"> knockdown</w:t>
      </w:r>
    </w:p>
    <w:p w14:paraId="5F32DE56" w14:textId="77777777" w:rsidR="00E7213F" w:rsidRDefault="00E7213F" w:rsidP="00E7213F">
      <w:pPr>
        <w:pStyle w:val="ListParagraph"/>
        <w:tabs>
          <w:tab w:val="left" w:pos="2901"/>
        </w:tabs>
        <w:spacing w:line="360" w:lineRule="auto"/>
        <w:rPr>
          <w:rFonts w:asciiTheme="majorHAnsi" w:hAnsiTheme="majorHAnsi"/>
          <w:b/>
          <w:i/>
        </w:rPr>
      </w:pPr>
      <w:r>
        <w:rPr>
          <w:rFonts w:asciiTheme="majorHAnsi" w:hAnsiTheme="majorHAnsi"/>
          <w:b/>
          <w:i/>
        </w:rPr>
        <w:tab/>
      </w:r>
    </w:p>
    <w:p w14:paraId="3D88706B" w14:textId="10D11F8E" w:rsidR="00E7213F" w:rsidRPr="00223570" w:rsidRDefault="00E7213F" w:rsidP="00E7213F">
      <w:pPr>
        <w:spacing w:line="360" w:lineRule="auto"/>
        <w:jc w:val="both"/>
        <w:rPr>
          <w:rFonts w:asciiTheme="majorHAnsi" w:hAnsiTheme="majorHAnsi"/>
        </w:rPr>
      </w:pPr>
      <w:r w:rsidRPr="00930B87">
        <w:rPr>
          <w:rFonts w:asciiTheme="majorHAnsi" w:hAnsiTheme="majorHAnsi"/>
        </w:rPr>
        <w:t xml:space="preserve">Previous studies have proved that SRCAP knockdown using </w:t>
      </w:r>
      <w:proofErr w:type="spellStart"/>
      <w:r>
        <w:rPr>
          <w:rFonts w:asciiTheme="majorHAnsi" w:hAnsiTheme="majorHAnsi"/>
        </w:rPr>
        <w:t>shRNA</w:t>
      </w:r>
      <w:proofErr w:type="spellEnd"/>
      <w:r>
        <w:rPr>
          <w:rFonts w:asciiTheme="majorHAnsi" w:hAnsiTheme="majorHAnsi"/>
        </w:rPr>
        <w:t xml:space="preserve"> transfection was suitable to produce an effect on cellular assays such as proliferation, cell survival and DNA damage </w:t>
      </w:r>
      <w:r>
        <w:rPr>
          <w:rFonts w:asciiTheme="majorHAnsi" w:hAnsiTheme="majorHAns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U2x1cGlhbmVrIGV0IGFsLiwgMjAxMCwgRG9uZyBldCBhbC4sIDIwMTQpPC9EaXNwbGF5VGV4dD48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==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U2x1cGlhbmVrIGV0IGFsLiwgMjAxMCwgRG9uZyBldCBhbC4sIDIwMTQpPC9EaXNwbGF5VGV4dD48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==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(Slupianek et al., 2010, Dong et al., 2014)</w:t>
      </w:r>
      <w:r>
        <w:rPr>
          <w:rFonts w:asciiTheme="majorHAnsi" w:hAnsiTheme="majorHAnsi"/>
        </w:rPr>
        <w:fldChar w:fldCharType="end"/>
      </w:r>
      <w:r>
        <w:rPr>
          <w:rFonts w:asciiTheme="majorHAnsi" w:hAnsiTheme="majorHAnsi"/>
        </w:rPr>
        <w:t xml:space="preserve">. </w:t>
      </w:r>
      <w:r>
        <w:rPr>
          <w:rFonts w:ascii="Calibri" w:hAnsi="Calibri"/>
        </w:rPr>
        <w:t xml:space="preserve"> In order to test how depletion of </w:t>
      </w:r>
      <w:r w:rsidRPr="00096F64">
        <w:rPr>
          <w:rFonts w:ascii="Calibri" w:hAnsi="Calibri"/>
          <w:i/>
        </w:rPr>
        <w:t>SRCAP</w:t>
      </w:r>
      <w:r>
        <w:rPr>
          <w:rFonts w:ascii="Calibri" w:hAnsi="Calibri"/>
        </w:rPr>
        <w:t xml:space="preserve"> affects these and other cancer phenotypes, </w:t>
      </w:r>
      <w:r w:rsidR="008E0293">
        <w:rPr>
          <w:rFonts w:ascii="Calibri" w:hAnsi="Calibri"/>
        </w:rPr>
        <w:t>I established a</w:t>
      </w:r>
      <w:r>
        <w:rPr>
          <w:rFonts w:ascii="Calibri" w:hAnsi="Calibri"/>
        </w:rPr>
        <w:t xml:space="preserve"> robust knockdown cell line model using the </w:t>
      </w:r>
      <w:r w:rsidRPr="00FC4592">
        <w:rPr>
          <w:rFonts w:ascii="Calibri" w:hAnsi="Calibri"/>
        </w:rPr>
        <w:t xml:space="preserve">SW480 and HCT116 human colorectal cancer </w:t>
      </w:r>
      <w:r>
        <w:rPr>
          <w:rFonts w:ascii="Calibri" w:hAnsi="Calibri"/>
        </w:rPr>
        <w:t>cell lines. These</w:t>
      </w:r>
      <w:r w:rsidRPr="00FC4592">
        <w:rPr>
          <w:rFonts w:ascii="Calibri" w:hAnsi="Calibri"/>
        </w:rPr>
        <w:t xml:space="preserve"> were transfected with 4 different </w:t>
      </w:r>
      <w:r w:rsidR="008E0293">
        <w:rPr>
          <w:rFonts w:asciiTheme="majorHAnsi" w:hAnsiTheme="majorHAnsi"/>
          <w:lang w:val="en-US"/>
        </w:rPr>
        <w:t>small double-</w:t>
      </w:r>
      <w:r w:rsidRPr="00223570">
        <w:rPr>
          <w:rFonts w:asciiTheme="majorHAnsi" w:hAnsiTheme="majorHAnsi"/>
          <w:lang w:val="en-US"/>
        </w:rPr>
        <w:t xml:space="preserve">stranded interfering RNAs </w:t>
      </w:r>
      <w:r>
        <w:rPr>
          <w:rFonts w:asciiTheme="majorHAnsi" w:hAnsiTheme="majorHAnsi"/>
          <w:lang w:val="en-US"/>
        </w:rPr>
        <w:t>(</w:t>
      </w:r>
      <w:r w:rsidRPr="00FC4592">
        <w:rPr>
          <w:rFonts w:ascii="Calibri" w:hAnsi="Calibri"/>
        </w:rPr>
        <w:t>siRNA</w:t>
      </w:r>
      <w:r>
        <w:rPr>
          <w:rFonts w:ascii="Calibri" w:hAnsi="Calibri"/>
        </w:rPr>
        <w:t>)</w:t>
      </w:r>
      <w:r w:rsidRPr="00FC4592">
        <w:rPr>
          <w:rFonts w:ascii="Calibri" w:hAnsi="Calibri"/>
        </w:rPr>
        <w:t xml:space="preserve"> designed to cover a region of the </w:t>
      </w:r>
      <w:r w:rsidRPr="00096F64">
        <w:rPr>
          <w:rFonts w:ascii="Calibri" w:hAnsi="Calibri"/>
          <w:i/>
        </w:rPr>
        <w:t>SRCAP</w:t>
      </w:r>
      <w:r w:rsidRPr="00FC4592">
        <w:rPr>
          <w:rFonts w:ascii="Calibri" w:hAnsi="Calibri"/>
        </w:rPr>
        <w:t xml:space="preserve"> gene</w:t>
      </w:r>
      <w:r w:rsidR="006F3899">
        <w:rPr>
          <w:rFonts w:ascii="Calibri" w:hAnsi="Calibri"/>
        </w:rPr>
        <w:t xml:space="preserve"> (section 2.2.</w:t>
      </w:r>
      <w:r w:rsidR="00C219AA">
        <w:rPr>
          <w:rFonts w:ascii="Calibri" w:hAnsi="Calibri"/>
        </w:rPr>
        <w:t>II.j)</w:t>
      </w:r>
      <w:r>
        <w:rPr>
          <w:rFonts w:ascii="Calibri" w:hAnsi="Calibri"/>
        </w:rPr>
        <w:t>.</w:t>
      </w:r>
      <w:r w:rsidRPr="00FC4592">
        <w:rPr>
          <w:rFonts w:ascii="Calibri" w:hAnsi="Calibri"/>
        </w:rPr>
        <w:t xml:space="preserve"> </w:t>
      </w:r>
      <w:r w:rsidRPr="00223570">
        <w:rPr>
          <w:rFonts w:asciiTheme="majorHAnsi" w:hAnsiTheme="majorHAnsi"/>
          <w:lang w:val="en-US"/>
        </w:rPr>
        <w:t>The RNA-induced silencing complex (RISC) uses the siRNA as a template for locating the target mRNA which is then cleaved by ribonuclease. In this way transcription is silenced and therefore a reduction in protein production should also be seen</w:t>
      </w:r>
      <w:r w:rsidRPr="00FC4592">
        <w:rPr>
          <w:rFonts w:ascii="Calibri" w:hAnsi="Calibri"/>
        </w:rPr>
        <w:t xml:space="preserve">. </w:t>
      </w:r>
    </w:p>
    <w:p w14:paraId="364D9748" w14:textId="77777777" w:rsidR="00E7213F" w:rsidRDefault="00E7213F" w:rsidP="00E7213F">
      <w:pPr>
        <w:spacing w:line="360" w:lineRule="auto"/>
        <w:jc w:val="both"/>
        <w:rPr>
          <w:rFonts w:ascii="Calibri" w:hAnsi="Calibri"/>
        </w:rPr>
      </w:pPr>
    </w:p>
    <w:p w14:paraId="79EEA6F4" w14:textId="36C3C421" w:rsidR="000670CD" w:rsidRDefault="00E7213F" w:rsidP="00E7213F">
      <w:pPr>
        <w:spacing w:line="360" w:lineRule="auto"/>
        <w:jc w:val="both"/>
        <w:rPr>
          <w:rFonts w:ascii="Calibri" w:hAnsi="Calibri"/>
        </w:rPr>
      </w:pPr>
      <w:r w:rsidRPr="00FC4592">
        <w:rPr>
          <w:rFonts w:ascii="Calibri" w:hAnsi="Calibri"/>
        </w:rPr>
        <w:t>After 48</w:t>
      </w:r>
      <w:r>
        <w:rPr>
          <w:rFonts w:ascii="Calibri" w:hAnsi="Calibri"/>
        </w:rPr>
        <w:t>hrs</w:t>
      </w:r>
      <w:r w:rsidRPr="00FC4592">
        <w:rPr>
          <w:rFonts w:ascii="Calibri" w:hAnsi="Calibri"/>
        </w:rPr>
        <w:t xml:space="preserve"> the cells were harvested </w:t>
      </w:r>
      <w:r>
        <w:rPr>
          <w:rFonts w:ascii="Calibri" w:hAnsi="Calibri"/>
        </w:rPr>
        <w:t xml:space="preserve">and the RNA extracted for reverse transcription; the resulting cDNA then underwent quantitative PCR using a </w:t>
      </w:r>
      <w:r w:rsidRPr="00096F64">
        <w:rPr>
          <w:rFonts w:ascii="Calibri" w:hAnsi="Calibri"/>
          <w:i/>
        </w:rPr>
        <w:t>SRCAP</w:t>
      </w:r>
      <w:r>
        <w:rPr>
          <w:rFonts w:ascii="Calibri" w:hAnsi="Calibri"/>
        </w:rPr>
        <w:t xml:space="preserve"> Taqman probe and primers, compared to an </w:t>
      </w:r>
      <w:r w:rsidRPr="00096F64">
        <w:rPr>
          <w:rFonts w:ascii="Calibri" w:hAnsi="Calibri"/>
          <w:i/>
        </w:rPr>
        <w:t>18S</w:t>
      </w:r>
      <w:r>
        <w:rPr>
          <w:rFonts w:ascii="Calibri" w:hAnsi="Calibri"/>
        </w:rPr>
        <w:t xml:space="preserve"> control probe/primer set</w:t>
      </w:r>
      <w:r w:rsidRPr="00FC4592">
        <w:rPr>
          <w:rFonts w:ascii="Calibri" w:hAnsi="Calibri"/>
        </w:rPr>
        <w:t xml:space="preserve">. The Taqman assay results show a reduction in mRNA levels of </w:t>
      </w:r>
      <w:r w:rsidRPr="00096F64">
        <w:rPr>
          <w:rFonts w:ascii="Calibri" w:hAnsi="Calibri"/>
          <w:i/>
        </w:rPr>
        <w:t>SRCAP</w:t>
      </w:r>
      <w:r w:rsidRPr="00FC4592">
        <w:rPr>
          <w:rFonts w:ascii="Calibri" w:hAnsi="Calibri"/>
        </w:rPr>
        <w:t xml:space="preserve"> for all four siRNA compared to a non-specific scrambled control </w:t>
      </w:r>
      <w:r>
        <w:rPr>
          <w:rFonts w:ascii="Calibri" w:hAnsi="Calibri"/>
        </w:rPr>
        <w:t>siRNA</w:t>
      </w:r>
      <w:r w:rsidRPr="00FC4592">
        <w:rPr>
          <w:rFonts w:ascii="Calibri" w:hAnsi="Calibri"/>
        </w:rPr>
        <w:t xml:space="preserve"> </w:t>
      </w:r>
      <w:r>
        <w:rPr>
          <w:rFonts w:ascii="Calibri" w:hAnsi="Calibri"/>
        </w:rPr>
        <w:t>in both cell lines (Figure 4.1a</w:t>
      </w:r>
      <w:r w:rsidRPr="00FC4592">
        <w:rPr>
          <w:rFonts w:ascii="Calibri" w:hAnsi="Calibri"/>
        </w:rPr>
        <w:t xml:space="preserve">). Therefore, all four </w:t>
      </w:r>
      <w:r>
        <w:rPr>
          <w:rFonts w:ascii="Calibri" w:hAnsi="Calibri"/>
        </w:rPr>
        <w:t>siRNA</w:t>
      </w:r>
      <w:r w:rsidRPr="00FC4592">
        <w:rPr>
          <w:rFonts w:ascii="Calibri" w:hAnsi="Calibri"/>
        </w:rPr>
        <w:t xml:space="preserve"> would </w:t>
      </w:r>
      <w:r>
        <w:rPr>
          <w:rFonts w:ascii="Calibri" w:hAnsi="Calibri"/>
        </w:rPr>
        <w:t>have been</w:t>
      </w:r>
      <w:r w:rsidRPr="00FC4592">
        <w:rPr>
          <w:rFonts w:ascii="Calibri" w:hAnsi="Calibri"/>
        </w:rPr>
        <w:t xml:space="preserve"> suitable for use in further experiments as they</w:t>
      </w:r>
      <w:r w:rsidR="00A40F61">
        <w:rPr>
          <w:rFonts w:ascii="Calibri" w:hAnsi="Calibri"/>
        </w:rPr>
        <w:t xml:space="preserve"> knock</w:t>
      </w:r>
      <w:r>
        <w:rPr>
          <w:rFonts w:ascii="Calibri" w:hAnsi="Calibri"/>
        </w:rPr>
        <w:t>down</w:t>
      </w:r>
      <w:r w:rsidRPr="00FC4592">
        <w:rPr>
          <w:rFonts w:ascii="Calibri" w:hAnsi="Calibri"/>
        </w:rPr>
        <w:t xml:space="preserve"> the </w:t>
      </w:r>
      <w:r w:rsidRPr="00096F64">
        <w:rPr>
          <w:rFonts w:ascii="Calibri" w:hAnsi="Calibri"/>
          <w:i/>
        </w:rPr>
        <w:t>SRCAP</w:t>
      </w:r>
      <w:r w:rsidRPr="00FC4592">
        <w:rPr>
          <w:rFonts w:ascii="Calibri" w:hAnsi="Calibri"/>
        </w:rPr>
        <w:t xml:space="preserve"> gene </w:t>
      </w:r>
      <w:r>
        <w:rPr>
          <w:rFonts w:ascii="Calibri" w:hAnsi="Calibri"/>
        </w:rPr>
        <w:t xml:space="preserve">expression </w:t>
      </w:r>
      <w:r w:rsidRPr="00FC4592">
        <w:rPr>
          <w:rFonts w:ascii="Calibri" w:hAnsi="Calibri"/>
        </w:rPr>
        <w:t xml:space="preserve">to </w:t>
      </w:r>
      <w:r>
        <w:rPr>
          <w:rFonts w:ascii="Calibri" w:hAnsi="Calibri"/>
        </w:rPr>
        <w:t>some degree (Figure 4.1b)</w:t>
      </w:r>
      <w:r w:rsidRPr="00FC4592">
        <w:rPr>
          <w:rFonts w:ascii="Calibri" w:hAnsi="Calibri"/>
        </w:rPr>
        <w:t xml:space="preserve">. However, it was decided that si6 and si7 would be </w:t>
      </w:r>
      <w:r>
        <w:rPr>
          <w:rFonts w:ascii="Calibri" w:hAnsi="Calibri"/>
        </w:rPr>
        <w:t>selected</w:t>
      </w:r>
      <w:r w:rsidRPr="00FC4592">
        <w:rPr>
          <w:rFonts w:ascii="Calibri" w:hAnsi="Calibri"/>
        </w:rPr>
        <w:t xml:space="preserve"> for further studies at the 48hr </w:t>
      </w:r>
      <w:r>
        <w:rPr>
          <w:rFonts w:ascii="Calibri" w:hAnsi="Calibri"/>
        </w:rPr>
        <w:t xml:space="preserve">transfection </w:t>
      </w:r>
      <w:r w:rsidRPr="00FC4592">
        <w:rPr>
          <w:rFonts w:ascii="Calibri" w:hAnsi="Calibri"/>
        </w:rPr>
        <w:t>time point.</w:t>
      </w:r>
      <w:r>
        <w:rPr>
          <w:rFonts w:ascii="Calibri" w:hAnsi="Calibri"/>
        </w:rPr>
        <w:t xml:space="preserve"> It may be sig</w:t>
      </w:r>
      <w:r w:rsidR="00A40F61">
        <w:rPr>
          <w:rFonts w:ascii="Calibri" w:hAnsi="Calibri"/>
        </w:rPr>
        <w:t>nificant to note that the knock</w:t>
      </w:r>
      <w:r>
        <w:rPr>
          <w:rFonts w:ascii="Calibri" w:hAnsi="Calibri"/>
        </w:rPr>
        <w:t xml:space="preserve">down was at a greater percentage in SW480 cells, and that HCT116 control cells had a slightly higher amount of </w:t>
      </w:r>
      <w:r w:rsidRPr="00096F64">
        <w:rPr>
          <w:rFonts w:ascii="Calibri" w:hAnsi="Calibri"/>
          <w:i/>
        </w:rPr>
        <w:t>SRCAP</w:t>
      </w:r>
      <w:r>
        <w:rPr>
          <w:rFonts w:ascii="Calibri" w:hAnsi="Calibri"/>
        </w:rPr>
        <w:t xml:space="preserve"> mRNA than the SW480 control cells.</w:t>
      </w:r>
      <w:r w:rsidR="00FE58E9">
        <w:rPr>
          <w:rFonts w:ascii="Calibri" w:hAnsi="Calibri"/>
        </w:rPr>
        <w:t xml:space="preserve"> </w:t>
      </w:r>
      <w:r w:rsidR="00FE58E9" w:rsidRPr="00E83A72">
        <w:rPr>
          <w:rFonts w:ascii="Calibri" w:hAnsi="Calibri"/>
        </w:rPr>
        <w:t>Knock down at 72hrs was assessed as well and showed similar SRCAP expression levels</w:t>
      </w:r>
      <w:r w:rsidR="00EA5A1A" w:rsidRPr="00E83A72">
        <w:rPr>
          <w:rFonts w:ascii="Calibri" w:hAnsi="Calibri"/>
        </w:rPr>
        <w:t xml:space="preserve"> as at 48hrs</w:t>
      </w:r>
      <w:r w:rsidR="00FE58E9" w:rsidRPr="00E83A72">
        <w:rPr>
          <w:rFonts w:ascii="Calibri" w:hAnsi="Calibri"/>
        </w:rPr>
        <w:t xml:space="preserve">. It was decided not to look at the knock down expression levels past 72hrs as this is standard practice in our laboratory, and for subsequent assays the time point for harvesting would be after 48hrs of knock down. Even though assays like MTT and clonogenics last beyond 48hrs, this was the time point that drugs </w:t>
      </w:r>
      <w:r w:rsidR="00EA5A1A" w:rsidRPr="00E83A72">
        <w:rPr>
          <w:rFonts w:ascii="Calibri" w:hAnsi="Calibri"/>
          <w:noProof/>
          <w:lang w:val="en-US"/>
        </w:rPr>
        <mc:AlternateContent>
          <mc:Choice Requires="wps">
            <w:drawing>
              <wp:anchor distT="0" distB="0" distL="114300" distR="114300" simplePos="0" relativeHeight="252277760" behindDoc="0" locked="0" layoutInCell="1" allowOverlap="1" wp14:anchorId="49AD950E" wp14:editId="0A06F56B">
                <wp:simplePos x="0" y="0"/>
                <wp:positionH relativeFrom="column">
                  <wp:posOffset>228600</wp:posOffset>
                </wp:positionH>
                <wp:positionV relativeFrom="paragraph">
                  <wp:posOffset>3429000</wp:posOffset>
                </wp:positionV>
                <wp:extent cx="457200" cy="342900"/>
                <wp:effectExtent l="0" t="0" r="0" b="12700"/>
                <wp:wrapSquare wrapText="bothSides"/>
                <wp:docPr id="158" name="Text Box 158"/>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0D16BD" w14:textId="77777777" w:rsidR="00E82D3B" w:rsidRPr="00292588" w:rsidRDefault="00E82D3B" w:rsidP="00E7213F">
                            <w:pPr>
                              <w:rPr>
                                <w:b/>
                              </w:rPr>
                            </w:pPr>
                            <w:proofErr w:type="gramStart"/>
                            <w:r w:rsidRPr="00292588">
                              <w:rPr>
                                <w:b/>
                              </w:rPr>
                              <w:t>a</w:t>
                            </w:r>
                            <w:proofErr w:type="gramEnd"/>
                            <w:r w:rsidRPr="0029258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8" o:spid="_x0000_s1098" type="#_x0000_t202" style="position:absolute;left:0;text-align:left;margin-left:18pt;margin-top:270pt;width:36pt;height:27pt;z-index:25227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zngNECAAAZ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" filled="f" stroked="f">
                <v:textbox>
                  <w:txbxContent>
                    <w:p w14:paraId="6A0D16BD" w14:textId="77777777" w:rsidR="000A1E0D" w:rsidRPr="00292588" w:rsidRDefault="000A1E0D" w:rsidP="00E7213F">
                      <w:pPr>
                        <w:rPr>
                          <w:b/>
                        </w:rPr>
                      </w:pPr>
                      <w:proofErr w:type="gramStart"/>
                      <w:r w:rsidRPr="00292588">
                        <w:rPr>
                          <w:b/>
                        </w:rPr>
                        <w:t>a</w:t>
                      </w:r>
                      <w:proofErr w:type="gramEnd"/>
                      <w:r w:rsidRPr="00292588">
                        <w:rPr>
                          <w:b/>
                        </w:rPr>
                        <w:t>.)</w:t>
                      </w:r>
                    </w:p>
                  </w:txbxContent>
                </v:textbox>
                <w10:wrap type="square"/>
              </v:shape>
            </w:pict>
          </mc:Fallback>
        </mc:AlternateContent>
      </w:r>
      <w:r w:rsidR="00EA5A1A" w:rsidRPr="00E83A72">
        <w:rPr>
          <w:rFonts w:ascii="Calibri" w:hAnsi="Calibri"/>
          <w:noProof/>
          <w:lang w:val="en-US"/>
        </w:rPr>
        <mc:AlternateContent>
          <mc:Choice Requires="wps">
            <w:drawing>
              <wp:anchor distT="0" distB="0" distL="114300" distR="114300" simplePos="0" relativeHeight="252276736" behindDoc="0" locked="0" layoutInCell="1" allowOverlap="1" wp14:anchorId="5398B3F9" wp14:editId="2C2DB70C">
                <wp:simplePos x="0" y="0"/>
                <wp:positionH relativeFrom="column">
                  <wp:posOffset>228600</wp:posOffset>
                </wp:positionH>
                <wp:positionV relativeFrom="paragraph">
                  <wp:posOffset>5372100</wp:posOffset>
                </wp:positionV>
                <wp:extent cx="457200" cy="457200"/>
                <wp:effectExtent l="0" t="0" r="0" b="0"/>
                <wp:wrapSquare wrapText="bothSides"/>
                <wp:docPr id="159" name="Text Box 159"/>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2E51D7" w14:textId="13C3CA62" w:rsidR="00E82D3B" w:rsidRPr="00292588" w:rsidRDefault="00E82D3B" w:rsidP="00E7213F">
                            <w:pPr>
                              <w:rPr>
                                <w:b/>
                              </w:rPr>
                            </w:pPr>
                            <w:proofErr w:type="gramStart"/>
                            <w:r w:rsidRPr="00292588">
                              <w:rPr>
                                <w:b/>
                              </w:rPr>
                              <w:t>b</w:t>
                            </w:r>
                            <w:proofErr w:type="gramEnd"/>
                            <w:r w:rsidRPr="0029258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9" o:spid="_x0000_s1099" type="#_x0000_t202" style="position:absolute;left:0;text-align:left;margin-left:18pt;margin-top:423pt;width:36pt;height:36pt;z-index:25227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" filled="f" stroked="f">
                <v:textbox>
                  <w:txbxContent>
                    <w:p w14:paraId="132E51D7" w14:textId="13C3CA62" w:rsidR="000A1E0D" w:rsidRPr="00292588" w:rsidRDefault="000A1E0D" w:rsidP="00E7213F">
                      <w:pPr>
                        <w:rPr>
                          <w:b/>
                        </w:rPr>
                      </w:pPr>
                      <w:proofErr w:type="gramStart"/>
                      <w:r w:rsidRPr="00292588">
                        <w:rPr>
                          <w:b/>
                        </w:rPr>
                        <w:t>b</w:t>
                      </w:r>
                      <w:proofErr w:type="gramEnd"/>
                      <w:r w:rsidRPr="00292588">
                        <w:rPr>
                          <w:b/>
                        </w:rPr>
                        <w:t>)</w:t>
                      </w:r>
                    </w:p>
                  </w:txbxContent>
                </v:textbox>
                <w10:wrap type="square"/>
              </v:shape>
            </w:pict>
          </mc:Fallback>
        </mc:AlternateContent>
      </w:r>
      <w:r w:rsidR="00EA5A1A" w:rsidRPr="00E83A72">
        <w:rPr>
          <w:rFonts w:ascii="Calibri" w:hAnsi="Calibri"/>
          <w:noProof/>
          <w:lang w:val="en-US"/>
        </w:rPr>
        <w:drawing>
          <wp:anchor distT="0" distB="0" distL="114300" distR="114300" simplePos="0" relativeHeight="251734016" behindDoc="0" locked="0" layoutInCell="1" allowOverlap="1" wp14:anchorId="23B3A15D" wp14:editId="6574A507">
            <wp:simplePos x="0" y="0"/>
            <wp:positionH relativeFrom="column">
              <wp:posOffset>2857500</wp:posOffset>
            </wp:positionH>
            <wp:positionV relativeFrom="paragraph">
              <wp:posOffset>5715000</wp:posOffset>
            </wp:positionV>
            <wp:extent cx="2743200" cy="914400"/>
            <wp:effectExtent l="0" t="0" r="0" b="0"/>
            <wp:wrapTight wrapText="bothSides">
              <wp:wrapPolygon edited="0">
                <wp:start x="0" y="0"/>
                <wp:lineTo x="0" y="21000"/>
                <wp:lineTo x="21400" y="21000"/>
                <wp:lineTo x="21400" y="0"/>
                <wp:lineTo x="0" y="0"/>
              </wp:wrapPolygon>
            </wp:wrapTight>
            <wp:docPr id="170" name="Picture 170" descr="Macintosh HD:Users:ClairFellows:Desktop:Screen Shot 2017-07-20 at 11.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07-20 at 11.10.4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5A1A" w:rsidRPr="00E83A72">
        <w:rPr>
          <w:rFonts w:ascii="Calibri" w:hAnsi="Calibri"/>
          <w:noProof/>
          <w:lang w:val="en-US"/>
        </w:rPr>
        <w:drawing>
          <wp:anchor distT="0" distB="0" distL="114300" distR="114300" simplePos="0" relativeHeight="251732992" behindDoc="0" locked="0" layoutInCell="1" allowOverlap="1" wp14:anchorId="2D32B822" wp14:editId="102062EE">
            <wp:simplePos x="0" y="0"/>
            <wp:positionH relativeFrom="column">
              <wp:posOffset>114300</wp:posOffset>
            </wp:positionH>
            <wp:positionV relativeFrom="paragraph">
              <wp:posOffset>5715000</wp:posOffset>
            </wp:positionV>
            <wp:extent cx="2758440" cy="914400"/>
            <wp:effectExtent l="0" t="0" r="10160" b="0"/>
            <wp:wrapSquare wrapText="bothSides"/>
            <wp:docPr id="171" name="Picture 171" descr="Macintosh HD:Users:ClairFellows:Desktop:Screen Shot 2017-07-20 at 11.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07-20 at 11.10.3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5844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5A1A" w:rsidRPr="00E83A72">
        <w:rPr>
          <w:noProof/>
          <w:lang w:val="en-US"/>
        </w:rPr>
        <w:drawing>
          <wp:anchor distT="0" distB="0" distL="114300" distR="114300" simplePos="0" relativeHeight="252255232" behindDoc="0" locked="0" layoutInCell="1" allowOverlap="1" wp14:anchorId="7CC676DB" wp14:editId="5EC80FCC">
            <wp:simplePos x="0" y="0"/>
            <wp:positionH relativeFrom="column">
              <wp:posOffset>228600</wp:posOffset>
            </wp:positionH>
            <wp:positionV relativeFrom="paragraph">
              <wp:posOffset>3429000</wp:posOffset>
            </wp:positionV>
            <wp:extent cx="5029200" cy="2094865"/>
            <wp:effectExtent l="0" t="0" r="0" b="0"/>
            <wp:wrapTopAndBottom/>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29200" cy="2094865"/>
                    </a:xfrm>
                    <a:prstGeom prst="rect">
                      <a:avLst/>
                    </a:prstGeom>
                    <a:noFill/>
                    <a:ln>
                      <a:noFill/>
                    </a:ln>
                  </pic:spPr>
                </pic:pic>
              </a:graphicData>
            </a:graphic>
            <wp14:sizeRelH relativeFrom="page">
              <wp14:pctWidth>0</wp14:pctWidth>
            </wp14:sizeRelH>
            <wp14:sizeRelV relativeFrom="page">
              <wp14:pctHeight>0</wp14:pctHeight>
            </wp14:sizeRelV>
          </wp:anchor>
        </w:drawing>
      </w:r>
      <w:r w:rsidR="00EA5A1A" w:rsidRPr="00E83A72">
        <w:rPr>
          <w:rFonts w:ascii="Calibri" w:hAnsi="Calibri"/>
          <w:i/>
          <w:noProof/>
          <w:lang w:val="en-US"/>
        </w:rPr>
        <mc:AlternateContent>
          <mc:Choice Requires="wps">
            <w:drawing>
              <wp:anchor distT="0" distB="0" distL="114300" distR="114300" simplePos="0" relativeHeight="251736064" behindDoc="0" locked="0" layoutInCell="1" allowOverlap="1" wp14:anchorId="5E871504" wp14:editId="0C8D0AF9">
                <wp:simplePos x="0" y="0"/>
                <wp:positionH relativeFrom="column">
                  <wp:posOffset>0</wp:posOffset>
                </wp:positionH>
                <wp:positionV relativeFrom="paragraph">
                  <wp:posOffset>6743700</wp:posOffset>
                </wp:positionV>
                <wp:extent cx="5486400" cy="2286000"/>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54864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065E46" w14:textId="77777777" w:rsidR="00E82D3B" w:rsidRPr="002B6976" w:rsidRDefault="00E82D3B" w:rsidP="00E7213F">
                            <w:pPr>
                              <w:jc w:val="both"/>
                              <w:rPr>
                                <w:b/>
                                <w:bCs/>
                                <w:i/>
                                <w:iCs/>
                                <w:sz w:val="22"/>
                                <w:szCs w:val="22"/>
                              </w:rPr>
                            </w:pPr>
                            <w:r>
                              <w:rPr>
                                <w:b/>
                                <w:bCs/>
                                <w:i/>
                                <w:iCs/>
                                <w:sz w:val="22"/>
                                <w:szCs w:val="22"/>
                              </w:rPr>
                              <w:t>Figure 4</w:t>
                            </w:r>
                            <w:proofErr w:type="gramStart"/>
                            <w:r w:rsidRPr="002B6976">
                              <w:rPr>
                                <w:b/>
                                <w:bCs/>
                                <w:i/>
                                <w:iCs/>
                                <w:sz w:val="22"/>
                                <w:szCs w:val="22"/>
                              </w:rPr>
                              <w:t>.1 siRNA</w:t>
                            </w:r>
                            <w:proofErr w:type="gramEnd"/>
                            <w:r w:rsidRPr="002B6976">
                              <w:rPr>
                                <w:b/>
                                <w:bCs/>
                                <w:i/>
                                <w:iCs/>
                                <w:sz w:val="22"/>
                                <w:szCs w:val="22"/>
                              </w:rPr>
                              <w:t xml:space="preserve"> transfection shows knockdown at the mRNA level.</w:t>
                            </w:r>
                          </w:p>
                          <w:p w14:paraId="565B93F9" w14:textId="20885EC0" w:rsidR="00E82D3B" w:rsidRPr="002B6976" w:rsidRDefault="00E82D3B" w:rsidP="00E7213F">
                            <w:pPr>
                              <w:jc w:val="both"/>
                              <w:rPr>
                                <w:i/>
                                <w:iCs/>
                                <w:sz w:val="22"/>
                                <w:szCs w:val="22"/>
                              </w:rPr>
                            </w:pPr>
                            <w:r w:rsidRPr="002B6976">
                              <w:rPr>
                                <w:bCs/>
                                <w:i/>
                                <w:iCs/>
                                <w:sz w:val="22"/>
                                <w:szCs w:val="22"/>
                              </w:rPr>
                              <w:t xml:space="preserve">a.) </w:t>
                            </w:r>
                            <w:r w:rsidRPr="002B6976">
                              <w:rPr>
                                <w:i/>
                                <w:iCs/>
                                <w:sz w:val="22"/>
                                <w:szCs w:val="22"/>
                              </w:rPr>
                              <w:t xml:space="preserve">At 48hrs siRNA transfection of all four siRNA, in SW480 cells (n=2) and HCT116 (n=3), significantly knockdowns the mRNA expression of SRCAP when compared to a non-specific low GC scrambled probe. Each symbol represents an individual experiment each of which consisted of three repeats and the </w:t>
                            </w:r>
                            <w:r>
                              <w:rPr>
                                <w:i/>
                                <w:iCs/>
                                <w:sz w:val="22"/>
                                <w:szCs w:val="22"/>
                              </w:rPr>
                              <w:t xml:space="preserve">median and range </w:t>
                            </w:r>
                            <w:r w:rsidRPr="002B6976">
                              <w:rPr>
                                <w:i/>
                                <w:iCs/>
                                <w:sz w:val="22"/>
                                <w:szCs w:val="22"/>
                              </w:rPr>
                              <w:t>of the experiments</w:t>
                            </w:r>
                            <w:r w:rsidRPr="002B6976">
                              <w:rPr>
                                <w:i/>
                                <w:sz w:val="22"/>
                                <w:szCs w:val="22"/>
                                <w:lang w:val="en-US"/>
                              </w:rPr>
                              <w:t xml:space="preserve"> </w:t>
                            </w:r>
                            <w:r w:rsidRPr="002B6976">
                              <w:rPr>
                                <w:i/>
                                <w:iCs/>
                                <w:sz w:val="22"/>
                                <w:szCs w:val="22"/>
                              </w:rPr>
                              <w:t>are shown on the graph</w:t>
                            </w:r>
                            <w:r>
                              <w:rPr>
                                <w:i/>
                                <w:iCs/>
                                <w:sz w:val="22"/>
                                <w:szCs w:val="22"/>
                              </w:rPr>
                              <w:t>s</w:t>
                            </w:r>
                            <w:r w:rsidRPr="002B6976">
                              <w:rPr>
                                <w:i/>
                                <w:iCs/>
                                <w:sz w:val="22"/>
                                <w:szCs w:val="22"/>
                              </w:rPr>
                              <w:t xml:space="preserve">. A Kruskal Wallis non-parametric test gave the following </w:t>
                            </w:r>
                            <w:r>
                              <w:rPr>
                                <w:i/>
                                <w:iCs/>
                                <w:sz w:val="22"/>
                                <w:szCs w:val="22"/>
                              </w:rPr>
                              <w:t xml:space="preserve">overall </w:t>
                            </w:r>
                            <w:r w:rsidRPr="002B6976">
                              <w:rPr>
                                <w:i/>
                                <w:iCs/>
                                <w:sz w:val="22"/>
                                <w:szCs w:val="22"/>
                              </w:rPr>
                              <w:t xml:space="preserve">p values, SW480: p=0.1016 (n/s), HCT116: p=0.0043 (significant). </w:t>
                            </w:r>
                            <w:r>
                              <w:rPr>
                                <w:i/>
                                <w:iCs/>
                                <w:sz w:val="22"/>
                                <w:szCs w:val="22"/>
                              </w:rPr>
                              <w:t>Comparing each siRNA to the control gave significant knockdown with si6 and si7 in SW480 cells and si5 and si7 in HCT116 cells (* = p≤0.05, **=p≤ 0.01</w:t>
                            </w:r>
                            <w:r w:rsidRPr="002B6976">
                              <w:rPr>
                                <w:i/>
                                <w:iCs/>
                                <w:sz w:val="22"/>
                                <w:szCs w:val="22"/>
                              </w:rPr>
                              <w:t>).</w:t>
                            </w:r>
                          </w:p>
                          <w:p w14:paraId="12488AB5" w14:textId="77777777" w:rsidR="00E82D3B" w:rsidRPr="002B6976" w:rsidRDefault="00E82D3B" w:rsidP="00E7213F">
                            <w:pPr>
                              <w:jc w:val="both"/>
                              <w:rPr>
                                <w:i/>
                                <w:sz w:val="22"/>
                                <w:szCs w:val="22"/>
                              </w:rPr>
                            </w:pPr>
                            <w:r w:rsidRPr="002B6976">
                              <w:rPr>
                                <w:i/>
                                <w:sz w:val="22"/>
                                <w:szCs w:val="22"/>
                              </w:rPr>
                              <w:t xml:space="preserve">b.) The average delta </w:t>
                            </w:r>
                            <w:proofErr w:type="spellStart"/>
                            <w:r w:rsidRPr="002B6976">
                              <w:rPr>
                                <w:i/>
                                <w:sz w:val="22"/>
                                <w:szCs w:val="22"/>
                              </w:rPr>
                              <w:t>delta</w:t>
                            </w:r>
                            <w:proofErr w:type="spellEnd"/>
                            <w:r w:rsidRPr="002B6976">
                              <w:rPr>
                                <w:i/>
                                <w:sz w:val="22"/>
                                <w:szCs w:val="22"/>
                              </w:rPr>
                              <w:t xml:space="preserve"> Ct value was calculated for each cell line and then the following calculation </w:t>
                            </w:r>
                            <w:r>
                              <w:rPr>
                                <w:i/>
                                <w:sz w:val="22"/>
                                <w:szCs w:val="22"/>
                              </w:rPr>
                              <w:t>applied:</w:t>
                            </w:r>
                            <w:r w:rsidRPr="002B6976">
                              <w:rPr>
                                <w:i/>
                                <w:sz w:val="22"/>
                                <w:szCs w:val="22"/>
                              </w:rPr>
                              <w:t xml:space="preserve"> 1- (average expression of each siRNA probe/ average expression of the control probe)*100. </w:t>
                            </w:r>
                            <w:r>
                              <w:rPr>
                                <w:i/>
                                <w:sz w:val="22"/>
                                <w:szCs w:val="22"/>
                              </w:rPr>
                              <w:t>This gave the average percentage that each siRNA probe knocked down SRCAP in comparison to the non-specific control probe.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100" type="#_x0000_t202" style="position:absolute;left:0;text-align:left;margin-left:0;margin-top:531pt;width:6in;height:180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" filled="f" stroked="f">
                <v:textbox>
                  <w:txbxContent>
                    <w:p w14:paraId="73065E46" w14:textId="77777777" w:rsidR="000A1E0D" w:rsidRPr="002B6976" w:rsidRDefault="000A1E0D" w:rsidP="00E7213F">
                      <w:pPr>
                        <w:jc w:val="both"/>
                        <w:rPr>
                          <w:b/>
                          <w:bCs/>
                          <w:i/>
                          <w:iCs/>
                          <w:sz w:val="22"/>
                          <w:szCs w:val="22"/>
                        </w:rPr>
                      </w:pPr>
                      <w:r>
                        <w:rPr>
                          <w:b/>
                          <w:bCs/>
                          <w:i/>
                          <w:iCs/>
                          <w:sz w:val="22"/>
                          <w:szCs w:val="22"/>
                        </w:rPr>
                        <w:t>Figure 4</w:t>
                      </w:r>
                      <w:proofErr w:type="gramStart"/>
                      <w:r w:rsidRPr="002B6976">
                        <w:rPr>
                          <w:b/>
                          <w:bCs/>
                          <w:i/>
                          <w:iCs/>
                          <w:sz w:val="22"/>
                          <w:szCs w:val="22"/>
                        </w:rPr>
                        <w:t>.1 siRNA</w:t>
                      </w:r>
                      <w:proofErr w:type="gramEnd"/>
                      <w:r w:rsidRPr="002B6976">
                        <w:rPr>
                          <w:b/>
                          <w:bCs/>
                          <w:i/>
                          <w:iCs/>
                          <w:sz w:val="22"/>
                          <w:szCs w:val="22"/>
                        </w:rPr>
                        <w:t xml:space="preserve"> transfection shows knockdown at the mRNA level.</w:t>
                      </w:r>
                    </w:p>
                    <w:p w14:paraId="565B93F9" w14:textId="20885EC0" w:rsidR="000A1E0D" w:rsidRPr="002B6976" w:rsidRDefault="000A1E0D" w:rsidP="00E7213F">
                      <w:pPr>
                        <w:jc w:val="both"/>
                        <w:rPr>
                          <w:i/>
                          <w:iCs/>
                          <w:sz w:val="22"/>
                          <w:szCs w:val="22"/>
                        </w:rPr>
                      </w:pPr>
                      <w:r w:rsidRPr="002B6976">
                        <w:rPr>
                          <w:bCs/>
                          <w:i/>
                          <w:iCs/>
                          <w:sz w:val="22"/>
                          <w:szCs w:val="22"/>
                        </w:rPr>
                        <w:t xml:space="preserve">a.) </w:t>
                      </w:r>
                      <w:r w:rsidRPr="002B6976">
                        <w:rPr>
                          <w:i/>
                          <w:iCs/>
                          <w:sz w:val="22"/>
                          <w:szCs w:val="22"/>
                        </w:rPr>
                        <w:t xml:space="preserve">At 48hrs siRNA transfection of all four siRNA, in SW480 cells (n=2) and HCT116 (n=3), significantly knockdowns the mRNA expression of SRCAP when compared to a non-specific low GC scrambled probe. Each symbol represents an individual experiment each of which consisted of three repeats and the </w:t>
                      </w:r>
                      <w:r>
                        <w:rPr>
                          <w:i/>
                          <w:iCs/>
                          <w:sz w:val="22"/>
                          <w:szCs w:val="22"/>
                        </w:rPr>
                        <w:t xml:space="preserve">median and range </w:t>
                      </w:r>
                      <w:r w:rsidRPr="002B6976">
                        <w:rPr>
                          <w:i/>
                          <w:iCs/>
                          <w:sz w:val="22"/>
                          <w:szCs w:val="22"/>
                        </w:rPr>
                        <w:t>of the experiments</w:t>
                      </w:r>
                      <w:r w:rsidRPr="002B6976">
                        <w:rPr>
                          <w:i/>
                          <w:sz w:val="22"/>
                          <w:szCs w:val="22"/>
                          <w:lang w:val="en-US"/>
                        </w:rPr>
                        <w:t xml:space="preserve"> </w:t>
                      </w:r>
                      <w:r w:rsidRPr="002B6976">
                        <w:rPr>
                          <w:i/>
                          <w:iCs/>
                          <w:sz w:val="22"/>
                          <w:szCs w:val="22"/>
                        </w:rPr>
                        <w:t>are shown on the graph</w:t>
                      </w:r>
                      <w:r>
                        <w:rPr>
                          <w:i/>
                          <w:iCs/>
                          <w:sz w:val="22"/>
                          <w:szCs w:val="22"/>
                        </w:rPr>
                        <w:t>s</w:t>
                      </w:r>
                      <w:r w:rsidRPr="002B6976">
                        <w:rPr>
                          <w:i/>
                          <w:iCs/>
                          <w:sz w:val="22"/>
                          <w:szCs w:val="22"/>
                        </w:rPr>
                        <w:t xml:space="preserve">. A Kruskal Wallis non-parametric test gave the following </w:t>
                      </w:r>
                      <w:r>
                        <w:rPr>
                          <w:i/>
                          <w:iCs/>
                          <w:sz w:val="22"/>
                          <w:szCs w:val="22"/>
                        </w:rPr>
                        <w:t xml:space="preserve">overall </w:t>
                      </w:r>
                      <w:r w:rsidRPr="002B6976">
                        <w:rPr>
                          <w:i/>
                          <w:iCs/>
                          <w:sz w:val="22"/>
                          <w:szCs w:val="22"/>
                        </w:rPr>
                        <w:t xml:space="preserve">p values, SW480: p=0.1016 (n/s), HCT116: p=0.0043 (significant). </w:t>
                      </w:r>
                      <w:r>
                        <w:rPr>
                          <w:i/>
                          <w:iCs/>
                          <w:sz w:val="22"/>
                          <w:szCs w:val="22"/>
                        </w:rPr>
                        <w:t>Comparing each siRNA to the control gave significant knockdown with si6 and si7 in SW480 cells and si5 and si7 in HCT116 cells (* = p≤0.05, **=p≤ 0.01</w:t>
                      </w:r>
                      <w:r w:rsidRPr="002B6976">
                        <w:rPr>
                          <w:i/>
                          <w:iCs/>
                          <w:sz w:val="22"/>
                          <w:szCs w:val="22"/>
                        </w:rPr>
                        <w:t>).</w:t>
                      </w:r>
                    </w:p>
                    <w:p w14:paraId="12488AB5" w14:textId="77777777" w:rsidR="000A1E0D" w:rsidRPr="002B6976" w:rsidRDefault="000A1E0D" w:rsidP="00E7213F">
                      <w:pPr>
                        <w:jc w:val="both"/>
                        <w:rPr>
                          <w:i/>
                          <w:sz w:val="22"/>
                          <w:szCs w:val="22"/>
                        </w:rPr>
                      </w:pPr>
                      <w:r w:rsidRPr="002B6976">
                        <w:rPr>
                          <w:i/>
                          <w:sz w:val="22"/>
                          <w:szCs w:val="22"/>
                        </w:rPr>
                        <w:t xml:space="preserve">b.) The average delta </w:t>
                      </w:r>
                      <w:proofErr w:type="spellStart"/>
                      <w:r w:rsidRPr="002B6976">
                        <w:rPr>
                          <w:i/>
                          <w:sz w:val="22"/>
                          <w:szCs w:val="22"/>
                        </w:rPr>
                        <w:t>delta</w:t>
                      </w:r>
                      <w:proofErr w:type="spellEnd"/>
                      <w:r w:rsidRPr="002B6976">
                        <w:rPr>
                          <w:i/>
                          <w:sz w:val="22"/>
                          <w:szCs w:val="22"/>
                        </w:rPr>
                        <w:t xml:space="preserve"> Ct value was calculated for each cell line and then the following calculation </w:t>
                      </w:r>
                      <w:r>
                        <w:rPr>
                          <w:i/>
                          <w:sz w:val="22"/>
                          <w:szCs w:val="22"/>
                        </w:rPr>
                        <w:t>applied:</w:t>
                      </w:r>
                      <w:r w:rsidRPr="002B6976">
                        <w:rPr>
                          <w:i/>
                          <w:sz w:val="22"/>
                          <w:szCs w:val="22"/>
                        </w:rPr>
                        <w:t xml:space="preserve"> 1- (average expression of each siRNA probe/ average expression of the control probe)*100. </w:t>
                      </w:r>
                      <w:r>
                        <w:rPr>
                          <w:i/>
                          <w:sz w:val="22"/>
                          <w:szCs w:val="22"/>
                        </w:rPr>
                        <w:t>This gave the average percentage that each siRNA probe knocked down SRCAP in comparison to the non-specific control probe.</w:t>
                      </w:r>
                    </w:p>
                  </w:txbxContent>
                </v:textbox>
                <w10:wrap type="square"/>
              </v:shape>
            </w:pict>
          </mc:Fallback>
        </mc:AlternateContent>
      </w:r>
      <w:r w:rsidR="00FE58E9" w:rsidRPr="00E83A72">
        <w:rPr>
          <w:rFonts w:ascii="Calibri" w:hAnsi="Calibri"/>
        </w:rPr>
        <w:t>were added and that lesions would have occurred.</w:t>
      </w:r>
      <w:r w:rsidR="00FE58E9">
        <w:rPr>
          <w:rFonts w:ascii="Calibri" w:hAnsi="Calibri"/>
        </w:rPr>
        <w:t xml:space="preserve"> </w:t>
      </w:r>
    </w:p>
    <w:p w14:paraId="3D806586" w14:textId="0701BD41" w:rsidR="00E7213F" w:rsidRPr="00FC4592" w:rsidRDefault="00E7213F" w:rsidP="00E7213F">
      <w:pPr>
        <w:spacing w:line="360" w:lineRule="auto"/>
        <w:jc w:val="both"/>
        <w:rPr>
          <w:rFonts w:ascii="Calibri" w:hAnsi="Calibri"/>
        </w:rPr>
      </w:pPr>
      <w:r w:rsidRPr="00E83A72">
        <w:rPr>
          <w:rFonts w:ascii="Calibri" w:hAnsi="Calibri"/>
        </w:rPr>
        <w:t xml:space="preserve">Having confirmed </w:t>
      </w:r>
      <w:r w:rsidR="00A272CE" w:rsidRPr="00E83A72">
        <w:rPr>
          <w:rFonts w:ascii="Calibri" w:hAnsi="Calibri"/>
        </w:rPr>
        <w:t xml:space="preserve">in figure 4.1 </w:t>
      </w:r>
      <w:r w:rsidRPr="00E83A72">
        <w:rPr>
          <w:rFonts w:ascii="Calibri" w:hAnsi="Calibri"/>
        </w:rPr>
        <w:t xml:space="preserve">that siRNA transfection does decrease </w:t>
      </w:r>
      <w:r w:rsidR="00A272CE" w:rsidRPr="00E83A72">
        <w:rPr>
          <w:rFonts w:ascii="Calibri" w:hAnsi="Calibri"/>
        </w:rPr>
        <w:t xml:space="preserve">SRCAP </w:t>
      </w:r>
      <w:r w:rsidRPr="00E83A72">
        <w:rPr>
          <w:rFonts w:ascii="Calibri" w:hAnsi="Calibri"/>
        </w:rPr>
        <w:t>mRNA levels, the</w:t>
      </w:r>
      <w:r>
        <w:rPr>
          <w:rFonts w:ascii="Calibri" w:hAnsi="Calibri"/>
        </w:rPr>
        <w:t xml:space="preserve"> next step was to assess </w:t>
      </w:r>
      <w:r w:rsidR="00222D21">
        <w:rPr>
          <w:rFonts w:ascii="Calibri" w:hAnsi="Calibri"/>
        </w:rPr>
        <w:t>whether</w:t>
      </w:r>
      <w:r>
        <w:rPr>
          <w:rFonts w:ascii="Calibri" w:hAnsi="Calibri"/>
        </w:rPr>
        <w:t xml:space="preserve"> this affected the protein levels via SDS-PAGE gel and western blotting. As previously mentioned, commercial SRCAP antibodies were limited and although several optimisation methods were employed, neither antibody </w:t>
      </w:r>
      <w:r w:rsidR="00222D21">
        <w:rPr>
          <w:rFonts w:ascii="Calibri" w:hAnsi="Calibri"/>
        </w:rPr>
        <w:t>revealed</w:t>
      </w:r>
      <w:r>
        <w:rPr>
          <w:rFonts w:ascii="Calibri" w:hAnsi="Calibri"/>
        </w:rPr>
        <w:t xml:space="preserve"> protein bands at the correct molecular weight for SRCAP of 340kDa (Figure 4.2a&amp;b). Due to the significant decrease in mRNA after siRNA transfection and the inability to visualise endogenous or over-expressed SRCAP by western blot, it was therefore assumed that siRNA were reducing </w:t>
      </w:r>
      <w:r w:rsidRPr="00096F64">
        <w:rPr>
          <w:rFonts w:ascii="Calibri" w:hAnsi="Calibri"/>
        </w:rPr>
        <w:t>SRCAP</w:t>
      </w:r>
      <w:r>
        <w:rPr>
          <w:rFonts w:ascii="Calibri" w:hAnsi="Calibri"/>
        </w:rPr>
        <w:t xml:space="preserve"> levels. </w:t>
      </w:r>
    </w:p>
    <w:p w14:paraId="01C3A0CC" w14:textId="6765AF8E" w:rsidR="00E7213F" w:rsidRDefault="00E7213F" w:rsidP="00E7213F">
      <w:pPr>
        <w:spacing w:line="360" w:lineRule="auto"/>
        <w:jc w:val="both"/>
        <w:rPr>
          <w:rFonts w:ascii="Calibri" w:hAnsi="Calibri"/>
        </w:rPr>
      </w:pPr>
      <w:r>
        <w:rPr>
          <w:rFonts w:ascii="Calibri" w:hAnsi="Calibri"/>
          <w:noProof/>
          <w:lang w:val="en-US"/>
        </w:rPr>
        <mc:AlternateContent>
          <mc:Choice Requires="wps">
            <w:drawing>
              <wp:anchor distT="0" distB="0" distL="114300" distR="114300" simplePos="0" relativeHeight="251741184" behindDoc="0" locked="0" layoutInCell="1" allowOverlap="1" wp14:anchorId="4FD69AFE" wp14:editId="7704D777">
                <wp:simplePos x="0" y="0"/>
                <wp:positionH relativeFrom="column">
                  <wp:posOffset>2857500</wp:posOffset>
                </wp:positionH>
                <wp:positionV relativeFrom="paragraph">
                  <wp:posOffset>228600</wp:posOffset>
                </wp:positionV>
                <wp:extent cx="457200" cy="457200"/>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FDEDAA" w14:textId="77777777" w:rsidR="00E82D3B" w:rsidRPr="00292588" w:rsidRDefault="00E82D3B" w:rsidP="00E7213F">
                            <w:pPr>
                              <w:rPr>
                                <w:b/>
                              </w:rPr>
                            </w:pPr>
                            <w:proofErr w:type="gramStart"/>
                            <w:r w:rsidRPr="00292588">
                              <w:rPr>
                                <w:b/>
                              </w:rPr>
                              <w:t>b</w:t>
                            </w:r>
                            <w:proofErr w:type="gramEnd"/>
                            <w:r w:rsidRPr="0029258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8" o:spid="_x0000_s1101" type="#_x0000_t202" style="position:absolute;left:0;text-align:left;margin-left:225pt;margin-top:18pt;width:36pt;height:3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" filled="f" stroked="f">
                <v:textbox>
                  <w:txbxContent>
                    <w:p w14:paraId="03FDEDAA" w14:textId="77777777" w:rsidR="000A1E0D" w:rsidRPr="00292588" w:rsidRDefault="000A1E0D" w:rsidP="00E7213F">
                      <w:pPr>
                        <w:rPr>
                          <w:b/>
                        </w:rPr>
                      </w:pPr>
                      <w:proofErr w:type="gramStart"/>
                      <w:r w:rsidRPr="00292588">
                        <w:rPr>
                          <w:b/>
                        </w:rPr>
                        <w:t>b</w:t>
                      </w:r>
                      <w:proofErr w:type="gramEnd"/>
                      <w:r w:rsidRPr="00292588">
                        <w:rPr>
                          <w:b/>
                        </w:rPr>
                        <w:t>.)</w:t>
                      </w:r>
                    </w:p>
                  </w:txbxContent>
                </v:textbox>
                <w10:wrap type="square"/>
              </v:shape>
            </w:pict>
          </mc:Fallback>
        </mc:AlternateContent>
      </w:r>
      <w:r w:rsidRPr="004D3424">
        <w:rPr>
          <w:rFonts w:ascii="Calibri" w:hAnsi="Calibri"/>
          <w:noProof/>
          <w:lang w:val="en-US"/>
        </w:rPr>
        <w:drawing>
          <wp:anchor distT="0" distB="0" distL="114300" distR="114300" simplePos="0" relativeHeight="251737088" behindDoc="0" locked="0" layoutInCell="1" allowOverlap="1" wp14:anchorId="0FCADE3A" wp14:editId="74BC236B">
            <wp:simplePos x="0" y="0"/>
            <wp:positionH relativeFrom="column">
              <wp:posOffset>2971800</wp:posOffset>
            </wp:positionH>
            <wp:positionV relativeFrom="paragraph">
              <wp:posOffset>342900</wp:posOffset>
            </wp:positionV>
            <wp:extent cx="2216785" cy="2286000"/>
            <wp:effectExtent l="0" t="0" r="0" b="0"/>
            <wp:wrapTopAndBottom/>
            <wp:docPr id="65" name="Picture 21" descr="Screen Shot 2017-07-19 at 11.1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Screen Shot 2017-07-19 at 11.18.11.png"/>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2216785" cy="2286000"/>
                    </a:xfrm>
                    <a:prstGeom prst="rect">
                      <a:avLst/>
                    </a:prstGeom>
                  </pic:spPr>
                </pic:pic>
              </a:graphicData>
            </a:graphic>
            <wp14:sizeRelH relativeFrom="page">
              <wp14:pctWidth>0</wp14:pctWidth>
            </wp14:sizeRelH>
            <wp14:sizeRelV relativeFrom="page">
              <wp14:pctHeight>0</wp14:pctHeight>
            </wp14:sizeRelV>
          </wp:anchor>
        </w:drawing>
      </w:r>
      <w:r w:rsidRPr="004D3424">
        <w:rPr>
          <w:rFonts w:ascii="Calibri" w:hAnsi="Calibri"/>
          <w:noProof/>
          <w:lang w:val="en-US"/>
        </w:rPr>
        <w:drawing>
          <wp:anchor distT="0" distB="0" distL="114300" distR="114300" simplePos="0" relativeHeight="251738112" behindDoc="1" locked="0" layoutInCell="1" allowOverlap="1" wp14:anchorId="70A7C398" wp14:editId="6F0784A5">
            <wp:simplePos x="0" y="0"/>
            <wp:positionH relativeFrom="column">
              <wp:posOffset>228600</wp:posOffset>
            </wp:positionH>
            <wp:positionV relativeFrom="paragraph">
              <wp:posOffset>685800</wp:posOffset>
            </wp:positionV>
            <wp:extent cx="2515870" cy="1898650"/>
            <wp:effectExtent l="0" t="0" r="0" b="6350"/>
            <wp:wrapTopAndBottom/>
            <wp:docPr id="172" name="Picture 24" descr="Screen Shot 2017-07-18 at 16.2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Screen Shot 2017-07-18 at 16.24.38.png"/>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2515870" cy="1898650"/>
                    </a:xfrm>
                    <a:prstGeom prst="rect">
                      <a:avLst/>
                    </a:prstGeom>
                  </pic:spPr>
                </pic:pic>
              </a:graphicData>
            </a:graphic>
            <wp14:sizeRelH relativeFrom="page">
              <wp14:pctWidth>0</wp14:pctWidth>
            </wp14:sizeRelH>
            <wp14:sizeRelV relativeFrom="page">
              <wp14:pctHeight>0</wp14:pctHeight>
            </wp14:sizeRelV>
          </wp:anchor>
        </w:drawing>
      </w:r>
    </w:p>
    <w:p w14:paraId="48FC60CA" w14:textId="666EE35A" w:rsidR="00E7213F" w:rsidRDefault="000670CD" w:rsidP="00E7213F">
      <w:pPr>
        <w:spacing w:line="360" w:lineRule="auto"/>
        <w:jc w:val="both"/>
        <w:rPr>
          <w:rFonts w:ascii="Calibri" w:hAnsi="Calibri"/>
        </w:rPr>
      </w:pPr>
      <w:r>
        <w:rPr>
          <w:rFonts w:ascii="Calibri" w:hAnsi="Calibri"/>
          <w:i/>
          <w:noProof/>
          <w:lang w:val="en-US"/>
        </w:rPr>
        <mc:AlternateContent>
          <mc:Choice Requires="wps">
            <w:drawing>
              <wp:anchor distT="0" distB="0" distL="114300" distR="114300" simplePos="0" relativeHeight="251739136" behindDoc="0" locked="0" layoutInCell="1" allowOverlap="1" wp14:anchorId="17D937B9" wp14:editId="6A946AC7">
                <wp:simplePos x="0" y="0"/>
                <wp:positionH relativeFrom="column">
                  <wp:posOffset>-114300</wp:posOffset>
                </wp:positionH>
                <wp:positionV relativeFrom="paragraph">
                  <wp:posOffset>2403475</wp:posOffset>
                </wp:positionV>
                <wp:extent cx="5372100" cy="1943100"/>
                <wp:effectExtent l="0" t="0" r="0" b="12700"/>
                <wp:wrapSquare wrapText="bothSides"/>
                <wp:docPr id="66" name="Text Box 66"/>
                <wp:cNvGraphicFramePr/>
                <a:graphic xmlns:a="http://schemas.openxmlformats.org/drawingml/2006/main">
                  <a:graphicData uri="http://schemas.microsoft.com/office/word/2010/wordprocessingShape">
                    <wps:wsp>
                      <wps:cNvSpPr txBox="1"/>
                      <wps:spPr>
                        <a:xfrm>
                          <a:off x="0" y="0"/>
                          <a:ext cx="53721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83E03F" w14:textId="77777777" w:rsidR="00E82D3B" w:rsidRDefault="00E82D3B" w:rsidP="00E7213F">
                            <w:pPr>
                              <w:jc w:val="both"/>
                              <w:rPr>
                                <w:b/>
                                <w:i/>
                                <w:sz w:val="22"/>
                              </w:rPr>
                            </w:pPr>
                            <w:r w:rsidRPr="00A46624">
                              <w:rPr>
                                <w:b/>
                                <w:i/>
                                <w:sz w:val="22"/>
                              </w:rPr>
                              <w:t>F</w:t>
                            </w:r>
                            <w:r>
                              <w:rPr>
                                <w:b/>
                                <w:i/>
                                <w:sz w:val="22"/>
                              </w:rPr>
                              <w:t>igure 4</w:t>
                            </w:r>
                            <w:r w:rsidRPr="00A46624">
                              <w:rPr>
                                <w:b/>
                                <w:i/>
                                <w:sz w:val="22"/>
                              </w:rPr>
                              <w:t>.2 siRNA knock</w:t>
                            </w:r>
                            <w:r>
                              <w:rPr>
                                <w:b/>
                                <w:i/>
                                <w:sz w:val="22"/>
                              </w:rPr>
                              <w:t xml:space="preserve"> </w:t>
                            </w:r>
                            <w:r w:rsidRPr="00A46624">
                              <w:rPr>
                                <w:b/>
                                <w:i/>
                                <w:sz w:val="22"/>
                              </w:rPr>
                              <w:t>down of SRCAP cannot be visualised at the protein level.</w:t>
                            </w:r>
                          </w:p>
                          <w:p w14:paraId="683E7945" w14:textId="0EF0BFF5" w:rsidR="00E82D3B" w:rsidRDefault="00E82D3B" w:rsidP="00E7213F">
                            <w:pPr>
                              <w:jc w:val="both"/>
                              <w:rPr>
                                <w:i/>
                                <w:sz w:val="22"/>
                              </w:rPr>
                            </w:pPr>
                            <w:r>
                              <w:rPr>
                                <w:i/>
                                <w:sz w:val="22"/>
                              </w:rPr>
                              <w:t>a.) SW480 cells were transfected with control siRNA probe or si5, 6, 7, or 8, and lysed for protein 48hrs later. 40</w:t>
                            </w:r>
                            <w:r>
                              <w:rPr>
                                <w:rFonts w:ascii="Cambria" w:hAnsi="Cambria"/>
                                <w:i/>
                                <w:sz w:val="22"/>
                              </w:rPr>
                              <w:t>μ</w:t>
                            </w:r>
                            <w:r>
                              <w:rPr>
                                <w:i/>
                                <w:sz w:val="22"/>
                              </w:rPr>
                              <w:t>g of protein was loaded onto an 8% poured gel. Primary antibodies were left on over night at 4</w:t>
                            </w:r>
                            <w:r w:rsidRPr="00AB0F3D">
                              <w:rPr>
                                <w:i/>
                                <w:sz w:val="22"/>
                                <w:vertAlign w:val="superscript"/>
                              </w:rPr>
                              <w:t>o</w:t>
                            </w:r>
                            <w:r>
                              <w:rPr>
                                <w:i/>
                                <w:sz w:val="22"/>
                              </w:rPr>
                              <w:t>C in 5% milk (SRCAP 1:500 (Abcam), Actin 1:1000 (Abcam)). Bands are seen in all lanes just below the 250kDa marker.</w:t>
                            </w:r>
                          </w:p>
                          <w:p w14:paraId="3FBF4899" w14:textId="4500DAAB" w:rsidR="00E82D3B" w:rsidRDefault="00E82D3B" w:rsidP="00E7213F">
                            <w:pPr>
                              <w:jc w:val="both"/>
                              <w:rPr>
                                <w:i/>
                                <w:sz w:val="22"/>
                              </w:rPr>
                            </w:pPr>
                            <w:r w:rsidRPr="00AB0F3D">
                              <w:rPr>
                                <w:i/>
                                <w:sz w:val="22"/>
                                <w:szCs w:val="22"/>
                              </w:rPr>
                              <w:t>b.) SW480 cells were</w:t>
                            </w:r>
                            <w:r>
                              <w:rPr>
                                <w:i/>
                                <w:sz w:val="22"/>
                                <w:szCs w:val="22"/>
                              </w:rPr>
                              <w:t xml:space="preserve"> transfected for 48hrs with control, si6 or si7</w:t>
                            </w:r>
                            <w:r w:rsidRPr="00AB0F3D">
                              <w:rPr>
                                <w:i/>
                                <w:sz w:val="22"/>
                                <w:szCs w:val="22"/>
                              </w:rPr>
                              <w:t xml:space="preserve"> </w:t>
                            </w:r>
                            <w:r>
                              <w:rPr>
                                <w:i/>
                                <w:sz w:val="22"/>
                                <w:szCs w:val="22"/>
                              </w:rPr>
                              <w:t>or mock transfected with sterile ddH</w:t>
                            </w:r>
                            <w:r w:rsidRPr="00AB0F3D">
                              <w:rPr>
                                <w:i/>
                                <w:sz w:val="22"/>
                                <w:szCs w:val="22"/>
                                <w:vertAlign w:val="subscript"/>
                              </w:rPr>
                              <w:t>2</w:t>
                            </w:r>
                            <w:r>
                              <w:rPr>
                                <w:i/>
                                <w:sz w:val="22"/>
                                <w:szCs w:val="22"/>
                              </w:rPr>
                              <w:t>O, then lysed for protein. 100</w:t>
                            </w:r>
                            <w:r>
                              <w:rPr>
                                <w:rFonts w:ascii="Cambria" w:hAnsi="Cambria"/>
                                <w:i/>
                                <w:sz w:val="22"/>
                              </w:rPr>
                              <w:t xml:space="preserve">μg of protein was loaded in each lane of a precast gel. </w:t>
                            </w:r>
                            <w:r>
                              <w:rPr>
                                <w:i/>
                                <w:sz w:val="22"/>
                              </w:rPr>
                              <w:t>Primary antibodies were left on over night at 4</w:t>
                            </w:r>
                            <w:r w:rsidRPr="00AB0F3D">
                              <w:rPr>
                                <w:i/>
                                <w:sz w:val="22"/>
                                <w:vertAlign w:val="superscript"/>
                              </w:rPr>
                              <w:t>o</w:t>
                            </w:r>
                            <w:r>
                              <w:rPr>
                                <w:i/>
                                <w:sz w:val="22"/>
                              </w:rPr>
                              <w:t>C in 5% milk (SRCAP 1:500 (Santa Cruz), Actin 1:1000 (Abcam)). Bands can still only be seen at a lower molecular weight than would be expected.</w:t>
                            </w:r>
                          </w:p>
                          <w:p w14:paraId="2850EB14" w14:textId="77777777" w:rsidR="00E82D3B" w:rsidRPr="00AB0F3D" w:rsidRDefault="00E82D3B" w:rsidP="00E7213F">
                            <w:pPr>
                              <w:rPr>
                                <w: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102" type="#_x0000_t202" style="position:absolute;left:0;text-align:left;margin-left:-8.95pt;margin-top:189.25pt;width:423pt;height:15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" filled="f" stroked="f">
                <v:textbox>
                  <w:txbxContent>
                    <w:p w14:paraId="1283E03F" w14:textId="77777777" w:rsidR="000A1E0D" w:rsidRDefault="000A1E0D" w:rsidP="00E7213F">
                      <w:pPr>
                        <w:jc w:val="both"/>
                        <w:rPr>
                          <w:b/>
                          <w:i/>
                          <w:sz w:val="22"/>
                        </w:rPr>
                      </w:pPr>
                      <w:r w:rsidRPr="00A46624">
                        <w:rPr>
                          <w:b/>
                          <w:i/>
                          <w:sz w:val="22"/>
                        </w:rPr>
                        <w:t>F</w:t>
                      </w:r>
                      <w:r>
                        <w:rPr>
                          <w:b/>
                          <w:i/>
                          <w:sz w:val="22"/>
                        </w:rPr>
                        <w:t>igure 4</w:t>
                      </w:r>
                      <w:r w:rsidRPr="00A46624">
                        <w:rPr>
                          <w:b/>
                          <w:i/>
                          <w:sz w:val="22"/>
                        </w:rPr>
                        <w:t>.2 siRNA knock</w:t>
                      </w:r>
                      <w:r>
                        <w:rPr>
                          <w:b/>
                          <w:i/>
                          <w:sz w:val="22"/>
                        </w:rPr>
                        <w:t xml:space="preserve"> </w:t>
                      </w:r>
                      <w:r w:rsidRPr="00A46624">
                        <w:rPr>
                          <w:b/>
                          <w:i/>
                          <w:sz w:val="22"/>
                        </w:rPr>
                        <w:t>down of SRCAP cannot be visualised at the protein level.</w:t>
                      </w:r>
                    </w:p>
                    <w:p w14:paraId="683E7945" w14:textId="0EF0BFF5" w:rsidR="000A1E0D" w:rsidRDefault="000A1E0D" w:rsidP="00E7213F">
                      <w:pPr>
                        <w:jc w:val="both"/>
                        <w:rPr>
                          <w:i/>
                          <w:sz w:val="22"/>
                        </w:rPr>
                      </w:pPr>
                      <w:r>
                        <w:rPr>
                          <w:i/>
                          <w:sz w:val="22"/>
                        </w:rPr>
                        <w:t>a.) SW480 cells were transfected with control siRNA probe or si5, 6, 7, or 8, and lysed for protein 48hrs later. 40</w:t>
                      </w:r>
                      <w:r>
                        <w:rPr>
                          <w:rFonts w:ascii="Cambria" w:hAnsi="Cambria"/>
                          <w:i/>
                          <w:sz w:val="22"/>
                        </w:rPr>
                        <w:t>μ</w:t>
                      </w:r>
                      <w:r>
                        <w:rPr>
                          <w:i/>
                          <w:sz w:val="22"/>
                        </w:rPr>
                        <w:t>g of protein was loaded onto an 8% poured gel. Primary antibodies were left on over night at 4</w:t>
                      </w:r>
                      <w:r w:rsidRPr="00AB0F3D">
                        <w:rPr>
                          <w:i/>
                          <w:sz w:val="22"/>
                          <w:vertAlign w:val="superscript"/>
                        </w:rPr>
                        <w:t>o</w:t>
                      </w:r>
                      <w:r>
                        <w:rPr>
                          <w:i/>
                          <w:sz w:val="22"/>
                        </w:rPr>
                        <w:t>C in 5% milk (SRCAP 1:500 (Abcam), Actin 1:1000 (Abcam)). Bands are seen in all lanes just below the 250kDa marker.</w:t>
                      </w:r>
                    </w:p>
                    <w:p w14:paraId="3FBF4899" w14:textId="4500DAAB" w:rsidR="000A1E0D" w:rsidRDefault="000A1E0D" w:rsidP="00E7213F">
                      <w:pPr>
                        <w:jc w:val="both"/>
                        <w:rPr>
                          <w:i/>
                          <w:sz w:val="22"/>
                        </w:rPr>
                      </w:pPr>
                      <w:r w:rsidRPr="00AB0F3D">
                        <w:rPr>
                          <w:i/>
                          <w:sz w:val="22"/>
                          <w:szCs w:val="22"/>
                        </w:rPr>
                        <w:t>b.) SW480 cells were</w:t>
                      </w:r>
                      <w:r>
                        <w:rPr>
                          <w:i/>
                          <w:sz w:val="22"/>
                          <w:szCs w:val="22"/>
                        </w:rPr>
                        <w:t xml:space="preserve"> transfected for 48hrs with control, si6 or si7</w:t>
                      </w:r>
                      <w:r w:rsidRPr="00AB0F3D">
                        <w:rPr>
                          <w:i/>
                          <w:sz w:val="22"/>
                          <w:szCs w:val="22"/>
                        </w:rPr>
                        <w:t xml:space="preserve"> </w:t>
                      </w:r>
                      <w:r>
                        <w:rPr>
                          <w:i/>
                          <w:sz w:val="22"/>
                          <w:szCs w:val="22"/>
                        </w:rPr>
                        <w:t>or mock transfected with sterile ddH</w:t>
                      </w:r>
                      <w:r w:rsidRPr="00AB0F3D">
                        <w:rPr>
                          <w:i/>
                          <w:sz w:val="22"/>
                          <w:szCs w:val="22"/>
                          <w:vertAlign w:val="subscript"/>
                        </w:rPr>
                        <w:t>2</w:t>
                      </w:r>
                      <w:r>
                        <w:rPr>
                          <w:i/>
                          <w:sz w:val="22"/>
                          <w:szCs w:val="22"/>
                        </w:rPr>
                        <w:t>O, then lysed for protein. 100</w:t>
                      </w:r>
                      <w:r>
                        <w:rPr>
                          <w:rFonts w:ascii="Cambria" w:hAnsi="Cambria"/>
                          <w:i/>
                          <w:sz w:val="22"/>
                        </w:rPr>
                        <w:t xml:space="preserve">μg of protein was loaded in each lane of a precast gel. </w:t>
                      </w:r>
                      <w:r>
                        <w:rPr>
                          <w:i/>
                          <w:sz w:val="22"/>
                        </w:rPr>
                        <w:t>Primary antibodies were left on over night at 4</w:t>
                      </w:r>
                      <w:r w:rsidRPr="00AB0F3D">
                        <w:rPr>
                          <w:i/>
                          <w:sz w:val="22"/>
                          <w:vertAlign w:val="superscript"/>
                        </w:rPr>
                        <w:t>o</w:t>
                      </w:r>
                      <w:r>
                        <w:rPr>
                          <w:i/>
                          <w:sz w:val="22"/>
                        </w:rPr>
                        <w:t>C in 5% milk (SRCAP 1:500 (Santa Cruz), Actin 1:1000 (Abcam)). Bands can still only be seen at a lower molecular weight than would be expected.</w:t>
                      </w:r>
                    </w:p>
                    <w:p w14:paraId="2850EB14" w14:textId="77777777" w:rsidR="000A1E0D" w:rsidRPr="00AB0F3D" w:rsidRDefault="000A1E0D" w:rsidP="00E7213F">
                      <w:pPr>
                        <w:rPr>
                          <w:i/>
                          <w:sz w:val="22"/>
                          <w:szCs w:val="22"/>
                        </w:rPr>
                      </w:pPr>
                    </w:p>
                  </w:txbxContent>
                </v:textbox>
                <w10:wrap type="square"/>
              </v:shape>
            </w:pict>
          </mc:Fallback>
        </mc:AlternateContent>
      </w:r>
      <w:r w:rsidR="00E7213F">
        <w:rPr>
          <w:rFonts w:ascii="Calibri" w:hAnsi="Calibri"/>
          <w:noProof/>
          <w:lang w:val="en-US"/>
        </w:rPr>
        <mc:AlternateContent>
          <mc:Choice Requires="wps">
            <w:drawing>
              <wp:anchor distT="0" distB="0" distL="114300" distR="114300" simplePos="0" relativeHeight="251740160" behindDoc="0" locked="0" layoutInCell="1" allowOverlap="1" wp14:anchorId="0E789379" wp14:editId="5C5C165A">
                <wp:simplePos x="0" y="0"/>
                <wp:positionH relativeFrom="column">
                  <wp:posOffset>0</wp:posOffset>
                </wp:positionH>
                <wp:positionV relativeFrom="paragraph">
                  <wp:posOffset>64135</wp:posOffset>
                </wp:positionV>
                <wp:extent cx="571500" cy="342900"/>
                <wp:effectExtent l="0" t="0" r="0" b="12700"/>
                <wp:wrapSquare wrapText="bothSides"/>
                <wp:docPr id="67" name="Text Box 6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93572B" w14:textId="77777777" w:rsidR="00E82D3B" w:rsidRPr="00292588" w:rsidRDefault="00E82D3B" w:rsidP="00E7213F">
                            <w:pPr>
                              <w:rPr>
                                <w:b/>
                              </w:rPr>
                            </w:pPr>
                            <w:proofErr w:type="gramStart"/>
                            <w:r w:rsidRPr="00292588">
                              <w:rPr>
                                <w:b/>
                              </w:rPr>
                              <w:t>a</w:t>
                            </w:r>
                            <w:proofErr w:type="gramEnd"/>
                            <w:r w:rsidRPr="00292588">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7" o:spid="_x0000_s1103" type="#_x0000_t202" style="position:absolute;left:0;text-align:left;margin-left:0;margin-top:5.05pt;width:45pt;height:27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" filled="f" stroked="f">
                <v:textbox>
                  <w:txbxContent>
                    <w:p w14:paraId="3F93572B" w14:textId="77777777" w:rsidR="000A1E0D" w:rsidRPr="00292588" w:rsidRDefault="000A1E0D" w:rsidP="00E7213F">
                      <w:pPr>
                        <w:rPr>
                          <w:b/>
                        </w:rPr>
                      </w:pPr>
                      <w:proofErr w:type="gramStart"/>
                      <w:r w:rsidRPr="00292588">
                        <w:rPr>
                          <w:b/>
                        </w:rPr>
                        <w:t>a</w:t>
                      </w:r>
                      <w:proofErr w:type="gramEnd"/>
                      <w:r w:rsidRPr="00292588">
                        <w:rPr>
                          <w:b/>
                        </w:rPr>
                        <w:t>.)</w:t>
                      </w:r>
                    </w:p>
                  </w:txbxContent>
                </v:textbox>
                <w10:wrap type="square"/>
              </v:shape>
            </w:pict>
          </mc:Fallback>
        </mc:AlternateContent>
      </w:r>
    </w:p>
    <w:p w14:paraId="151A0572" w14:textId="2ECC1E4B" w:rsidR="00E7213F" w:rsidRPr="00243DE7" w:rsidRDefault="00E7213F" w:rsidP="00E7213F">
      <w:pPr>
        <w:tabs>
          <w:tab w:val="left" w:pos="4962"/>
        </w:tabs>
        <w:spacing w:line="360" w:lineRule="auto"/>
        <w:jc w:val="both"/>
        <w:rPr>
          <w:rFonts w:asciiTheme="majorHAnsi" w:hAnsiTheme="majorHAnsi"/>
        </w:rPr>
      </w:pPr>
      <w:r>
        <w:rPr>
          <w:rFonts w:ascii="Calibri" w:hAnsi="Calibri"/>
        </w:rPr>
        <w:t xml:space="preserve">As previously mentioned it is known that there are two chromatin-remodelling complexes that affect the deposition of H2A.Z into the nucleosome- SRCAP and p400. </w:t>
      </w:r>
      <w:r w:rsidRPr="00243DE7">
        <w:rPr>
          <w:rFonts w:asciiTheme="majorHAnsi" w:hAnsiTheme="majorHAnsi"/>
        </w:rPr>
        <w:t>However</w:t>
      </w:r>
      <w:r>
        <w:rPr>
          <w:rFonts w:asciiTheme="majorHAnsi" w:hAnsiTheme="majorHAnsi"/>
        </w:rPr>
        <w:t>,</w:t>
      </w:r>
      <w:r w:rsidRPr="00243DE7">
        <w:rPr>
          <w:rFonts w:asciiTheme="majorHAnsi" w:hAnsiTheme="majorHAnsi"/>
        </w:rPr>
        <w:t xml:space="preserve"> </w:t>
      </w:r>
      <w:r>
        <w:rPr>
          <w:rFonts w:asciiTheme="majorHAnsi" w:hAnsiTheme="majorHAnsi"/>
        </w:rPr>
        <w:t xml:space="preserve">it has been </w:t>
      </w:r>
      <w:r w:rsidRPr="00243DE7">
        <w:rPr>
          <w:rFonts w:asciiTheme="majorHAnsi" w:hAnsiTheme="majorHAnsi"/>
        </w:rPr>
        <w:t>proposed that SRCAP and p400 deposit H2A.Z at different promoters</w:t>
      </w:r>
      <w:r>
        <w:rPr>
          <w:rFonts w:asciiTheme="majorHAnsi" w:hAnsiTheme="majorHAnsi"/>
        </w:rPr>
        <w:t>,</w:t>
      </w:r>
      <w:r w:rsidRPr="00243DE7">
        <w:rPr>
          <w:rFonts w:asciiTheme="majorHAnsi" w:hAnsiTheme="majorHAnsi"/>
        </w:rPr>
        <w:t xml:space="preserve"> and in consequence have differing actions on transcription (Bowman et al. 2011).</w:t>
      </w:r>
      <w:r>
        <w:rPr>
          <w:rFonts w:asciiTheme="majorHAnsi" w:hAnsiTheme="majorHAnsi"/>
        </w:rPr>
        <w:t xml:space="preserve"> Therefore, i</w:t>
      </w:r>
      <w:r w:rsidRPr="00243DE7">
        <w:rPr>
          <w:rFonts w:asciiTheme="majorHAnsi" w:hAnsiTheme="majorHAnsi"/>
        </w:rPr>
        <w:t xml:space="preserve">n order to </w:t>
      </w:r>
      <w:r>
        <w:rPr>
          <w:rFonts w:asciiTheme="majorHAnsi" w:hAnsiTheme="majorHAnsi"/>
        </w:rPr>
        <w:t>assess whether</w:t>
      </w:r>
      <w:r w:rsidRPr="00243DE7">
        <w:rPr>
          <w:rFonts w:asciiTheme="majorHAnsi" w:hAnsiTheme="majorHAnsi"/>
        </w:rPr>
        <w:t xml:space="preserve"> knock</w:t>
      </w:r>
      <w:r>
        <w:rPr>
          <w:rFonts w:asciiTheme="majorHAnsi" w:hAnsiTheme="majorHAnsi"/>
        </w:rPr>
        <w:t xml:space="preserve">down of </w:t>
      </w:r>
      <w:r w:rsidRPr="00096F64">
        <w:rPr>
          <w:rFonts w:asciiTheme="majorHAnsi" w:hAnsiTheme="majorHAnsi"/>
          <w:i/>
        </w:rPr>
        <w:t>SRCAP</w:t>
      </w:r>
      <w:r>
        <w:rPr>
          <w:rFonts w:asciiTheme="majorHAnsi" w:hAnsiTheme="majorHAnsi"/>
        </w:rPr>
        <w:t xml:space="preserve"> </w:t>
      </w:r>
      <w:r w:rsidRPr="00243DE7">
        <w:rPr>
          <w:rFonts w:asciiTheme="majorHAnsi" w:hAnsiTheme="majorHAnsi"/>
        </w:rPr>
        <w:t>affect</w:t>
      </w:r>
      <w:r w:rsidR="002F04E4">
        <w:rPr>
          <w:rFonts w:asciiTheme="majorHAnsi" w:hAnsiTheme="majorHAnsi"/>
        </w:rPr>
        <w:t>ed</w:t>
      </w:r>
      <w:r w:rsidRPr="00243DE7">
        <w:rPr>
          <w:rFonts w:asciiTheme="majorHAnsi" w:hAnsiTheme="majorHAnsi"/>
        </w:rPr>
        <w:t xml:space="preserve"> </w:t>
      </w:r>
      <w:r w:rsidRPr="00096F64">
        <w:rPr>
          <w:rFonts w:asciiTheme="majorHAnsi" w:hAnsiTheme="majorHAnsi"/>
          <w:i/>
        </w:rPr>
        <w:t>p400</w:t>
      </w:r>
      <w:r>
        <w:rPr>
          <w:rFonts w:asciiTheme="majorHAnsi" w:hAnsiTheme="majorHAnsi"/>
        </w:rPr>
        <w:t xml:space="preserve"> levels, quantitative PCR using a </w:t>
      </w:r>
      <w:r w:rsidRPr="00096F64">
        <w:rPr>
          <w:rFonts w:asciiTheme="majorHAnsi" w:hAnsiTheme="majorHAnsi"/>
          <w:i/>
        </w:rPr>
        <w:t>p400</w:t>
      </w:r>
      <w:r>
        <w:rPr>
          <w:rFonts w:asciiTheme="majorHAnsi" w:hAnsiTheme="majorHAnsi"/>
        </w:rPr>
        <w:t xml:space="preserve"> Taqman probe was conducted on </w:t>
      </w:r>
      <w:r w:rsidRPr="00096F64">
        <w:rPr>
          <w:rFonts w:asciiTheme="majorHAnsi" w:hAnsiTheme="majorHAnsi"/>
          <w:i/>
        </w:rPr>
        <w:t>SRCAP</w:t>
      </w:r>
      <w:r w:rsidR="00A40F61">
        <w:rPr>
          <w:rFonts w:asciiTheme="majorHAnsi" w:hAnsiTheme="majorHAnsi"/>
        </w:rPr>
        <w:t xml:space="preserve"> knock</w:t>
      </w:r>
      <w:r>
        <w:rPr>
          <w:rFonts w:asciiTheme="majorHAnsi" w:hAnsiTheme="majorHAnsi"/>
        </w:rPr>
        <w:t>down RNA samples from Figure 4</w:t>
      </w:r>
      <w:r w:rsidR="00A40F61">
        <w:rPr>
          <w:rFonts w:asciiTheme="majorHAnsi" w:hAnsiTheme="majorHAnsi"/>
        </w:rPr>
        <w:t>.1a. As Figure 4.3 shows, knock</w:t>
      </w:r>
      <w:r>
        <w:rPr>
          <w:rFonts w:asciiTheme="majorHAnsi" w:hAnsiTheme="majorHAnsi"/>
        </w:rPr>
        <w:t xml:space="preserve">down of </w:t>
      </w:r>
      <w:r w:rsidRPr="00096F64">
        <w:rPr>
          <w:rFonts w:asciiTheme="majorHAnsi" w:hAnsiTheme="majorHAnsi"/>
          <w:i/>
        </w:rPr>
        <w:t>SRCAP</w:t>
      </w:r>
      <w:r>
        <w:rPr>
          <w:rFonts w:asciiTheme="majorHAnsi" w:hAnsiTheme="majorHAnsi"/>
        </w:rPr>
        <w:t xml:space="preserve"> with si6 or si7 did not change the expression of </w:t>
      </w:r>
      <w:r w:rsidRPr="00096F64">
        <w:rPr>
          <w:rFonts w:asciiTheme="majorHAnsi" w:hAnsiTheme="majorHAnsi"/>
          <w:i/>
        </w:rPr>
        <w:t>p400</w:t>
      </w:r>
      <w:r>
        <w:rPr>
          <w:rFonts w:asciiTheme="majorHAnsi" w:hAnsiTheme="majorHAnsi"/>
        </w:rPr>
        <w:t xml:space="preserve"> to any significant degree in comparison to transfection with control siRNA in either cell line. So, it appears that </w:t>
      </w:r>
      <w:r w:rsidR="00AD6B5F">
        <w:rPr>
          <w:rFonts w:ascii="Calibri" w:hAnsi="Calibri"/>
          <w:b/>
          <w:i/>
          <w:noProof/>
          <w:lang w:val="en-US"/>
        </w:rPr>
        <w:drawing>
          <wp:anchor distT="0" distB="0" distL="114300" distR="114300" simplePos="0" relativeHeight="252256256" behindDoc="0" locked="0" layoutInCell="1" allowOverlap="1" wp14:anchorId="1851CD75" wp14:editId="32E298FE">
            <wp:simplePos x="0" y="0"/>
            <wp:positionH relativeFrom="column">
              <wp:posOffset>-114300</wp:posOffset>
            </wp:positionH>
            <wp:positionV relativeFrom="paragraph">
              <wp:posOffset>1028700</wp:posOffset>
            </wp:positionV>
            <wp:extent cx="5608320" cy="1935480"/>
            <wp:effectExtent l="0" t="0" r="5080" b="0"/>
            <wp:wrapSquare wrapText="bothSides"/>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08320" cy="1935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381C">
        <w:rPr>
          <w:rFonts w:asciiTheme="majorHAnsi" w:hAnsiTheme="majorHAnsi"/>
          <w:i/>
        </w:rPr>
        <w:t>SRCAP</w:t>
      </w:r>
      <w:r w:rsidR="00A40F61">
        <w:rPr>
          <w:rFonts w:asciiTheme="majorHAnsi" w:hAnsiTheme="majorHAnsi"/>
        </w:rPr>
        <w:t xml:space="preserve"> knock</w:t>
      </w:r>
      <w:r>
        <w:rPr>
          <w:rFonts w:asciiTheme="majorHAnsi" w:hAnsiTheme="majorHAnsi"/>
        </w:rPr>
        <w:t xml:space="preserve">down has no significant affect on </w:t>
      </w:r>
      <w:r w:rsidRPr="006E381C">
        <w:rPr>
          <w:rFonts w:asciiTheme="majorHAnsi" w:hAnsiTheme="majorHAnsi"/>
          <w:i/>
        </w:rPr>
        <w:t>p400</w:t>
      </w:r>
      <w:r>
        <w:rPr>
          <w:rFonts w:asciiTheme="majorHAnsi" w:hAnsiTheme="majorHAnsi"/>
        </w:rPr>
        <w:t xml:space="preserve"> gene expression. </w:t>
      </w:r>
    </w:p>
    <w:p w14:paraId="0A5CC1C6" w14:textId="5C3F5D22" w:rsidR="00AC4B4A" w:rsidRPr="00D52352" w:rsidRDefault="00AD6B5F" w:rsidP="00E7213F">
      <w:pPr>
        <w:spacing w:line="360" w:lineRule="auto"/>
        <w:jc w:val="both"/>
        <w:rPr>
          <w:rFonts w:ascii="Calibri" w:hAnsi="Calibri"/>
          <w:b/>
          <w:i/>
        </w:rPr>
      </w:pPr>
      <w:r w:rsidRPr="00AD6B5F">
        <w:rPr>
          <w:rFonts w:ascii="Calibri" w:hAnsi="Calibri"/>
          <w:b/>
          <w:i/>
        </w:rPr>
        <w:t xml:space="preserve"> </w:t>
      </w:r>
      <w:r w:rsidR="000670CD">
        <w:rPr>
          <w:rFonts w:ascii="Calibri" w:hAnsi="Calibri"/>
          <w:i/>
          <w:noProof/>
          <w:lang w:val="en-US"/>
        </w:rPr>
        <mc:AlternateContent>
          <mc:Choice Requires="wps">
            <w:drawing>
              <wp:anchor distT="0" distB="0" distL="114300" distR="114300" simplePos="0" relativeHeight="251742208" behindDoc="0" locked="0" layoutInCell="1" allowOverlap="1" wp14:anchorId="37DE3CC8" wp14:editId="0137796C">
                <wp:simplePos x="0" y="0"/>
                <wp:positionH relativeFrom="column">
                  <wp:posOffset>-114300</wp:posOffset>
                </wp:positionH>
                <wp:positionV relativeFrom="paragraph">
                  <wp:posOffset>2262505</wp:posOffset>
                </wp:positionV>
                <wp:extent cx="5486400" cy="1143000"/>
                <wp:effectExtent l="0" t="0" r="0" b="0"/>
                <wp:wrapSquare wrapText="bothSides"/>
                <wp:docPr id="160" name="Text Box 160"/>
                <wp:cNvGraphicFramePr/>
                <a:graphic xmlns:a="http://schemas.openxmlformats.org/drawingml/2006/main">
                  <a:graphicData uri="http://schemas.microsoft.com/office/word/2010/wordprocessingShape">
                    <wps:wsp>
                      <wps:cNvSpPr txBox="1"/>
                      <wps:spPr>
                        <a:xfrm>
                          <a:off x="0" y="0"/>
                          <a:ext cx="54864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571B68" w14:textId="123F3A0B" w:rsidR="00E82D3B" w:rsidRDefault="00E82D3B" w:rsidP="00E7213F">
                            <w:pPr>
                              <w:rPr>
                                <w:b/>
                                <w:i/>
                                <w:sz w:val="22"/>
                              </w:rPr>
                            </w:pPr>
                            <w:r w:rsidRPr="002D3C9E">
                              <w:rPr>
                                <w:b/>
                                <w:i/>
                                <w:sz w:val="22"/>
                              </w:rPr>
                              <w:t>F</w:t>
                            </w:r>
                            <w:r>
                              <w:rPr>
                                <w:b/>
                                <w:i/>
                                <w:sz w:val="22"/>
                              </w:rPr>
                              <w:t>igure 4</w:t>
                            </w:r>
                            <w:r w:rsidRPr="002D3C9E">
                              <w:rPr>
                                <w:b/>
                                <w:i/>
                                <w:sz w:val="22"/>
                              </w:rPr>
                              <w:t xml:space="preserve">.3 SRCAP </w:t>
                            </w:r>
                            <w:proofErr w:type="gramStart"/>
                            <w:r w:rsidRPr="002D3C9E">
                              <w:rPr>
                                <w:b/>
                                <w:i/>
                                <w:sz w:val="22"/>
                              </w:rPr>
                              <w:t>knockdown</w:t>
                            </w:r>
                            <w:proofErr w:type="gramEnd"/>
                            <w:r w:rsidRPr="002D3C9E">
                              <w:rPr>
                                <w:b/>
                                <w:i/>
                                <w:sz w:val="22"/>
                              </w:rPr>
                              <w:t xml:space="preserve"> has no effect on p400 levels.</w:t>
                            </w:r>
                            <w:r>
                              <w:rPr>
                                <w:b/>
                                <w:i/>
                                <w:sz w:val="22"/>
                              </w:rPr>
                              <w:t xml:space="preserve"> </w:t>
                            </w:r>
                          </w:p>
                          <w:p w14:paraId="7FC34702" w14:textId="40F2A6E1" w:rsidR="00E82D3B" w:rsidRPr="002D3C9E" w:rsidRDefault="00E82D3B" w:rsidP="00E7213F">
                            <w:pPr>
                              <w:jc w:val="both"/>
                              <w:rPr>
                                <w:i/>
                                <w:sz w:val="22"/>
                              </w:rPr>
                            </w:pPr>
                            <w:r>
                              <w:rPr>
                                <w:i/>
                                <w:sz w:val="22"/>
                              </w:rPr>
                              <w:t xml:space="preserve">After 48hrs of SRCAP siRNA transfection RNA was collected from SW480 and HCT116 cells and used in a Taqman PCR assay to check mRNA expression levels of p400. Each dot represents an individual repeat with the median and range shown. Using a Kruskal-Wallis non-parametric test, there was no significant difference between any of the conditions. SW480: p=0.9945, HCT116: p=0.6298.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o:spid="_x0000_s1104" type="#_x0000_t202" style="position:absolute;left:0;text-align:left;margin-left:-8.95pt;margin-top:178.15pt;width:6in;height:90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" filled="f" stroked="f">
                <v:textbox>
                  <w:txbxContent>
                    <w:p w14:paraId="43571B68" w14:textId="123F3A0B" w:rsidR="000A1E0D" w:rsidRDefault="000A1E0D" w:rsidP="00E7213F">
                      <w:pPr>
                        <w:rPr>
                          <w:b/>
                          <w:i/>
                          <w:sz w:val="22"/>
                        </w:rPr>
                      </w:pPr>
                      <w:r w:rsidRPr="002D3C9E">
                        <w:rPr>
                          <w:b/>
                          <w:i/>
                          <w:sz w:val="22"/>
                        </w:rPr>
                        <w:t>F</w:t>
                      </w:r>
                      <w:r>
                        <w:rPr>
                          <w:b/>
                          <w:i/>
                          <w:sz w:val="22"/>
                        </w:rPr>
                        <w:t>igure 4</w:t>
                      </w:r>
                      <w:r w:rsidRPr="002D3C9E">
                        <w:rPr>
                          <w:b/>
                          <w:i/>
                          <w:sz w:val="22"/>
                        </w:rPr>
                        <w:t xml:space="preserve">.3 SRCAP </w:t>
                      </w:r>
                      <w:proofErr w:type="gramStart"/>
                      <w:r w:rsidRPr="002D3C9E">
                        <w:rPr>
                          <w:b/>
                          <w:i/>
                          <w:sz w:val="22"/>
                        </w:rPr>
                        <w:t>knockdown</w:t>
                      </w:r>
                      <w:proofErr w:type="gramEnd"/>
                      <w:r w:rsidRPr="002D3C9E">
                        <w:rPr>
                          <w:b/>
                          <w:i/>
                          <w:sz w:val="22"/>
                        </w:rPr>
                        <w:t xml:space="preserve"> has no effect on p400 levels.</w:t>
                      </w:r>
                      <w:r>
                        <w:rPr>
                          <w:b/>
                          <w:i/>
                          <w:sz w:val="22"/>
                        </w:rPr>
                        <w:t xml:space="preserve"> </w:t>
                      </w:r>
                    </w:p>
                    <w:p w14:paraId="7FC34702" w14:textId="40F2A6E1" w:rsidR="000A1E0D" w:rsidRPr="002D3C9E" w:rsidRDefault="000A1E0D" w:rsidP="00E7213F">
                      <w:pPr>
                        <w:jc w:val="both"/>
                        <w:rPr>
                          <w:i/>
                          <w:sz w:val="22"/>
                        </w:rPr>
                      </w:pPr>
                      <w:r>
                        <w:rPr>
                          <w:i/>
                          <w:sz w:val="22"/>
                        </w:rPr>
                        <w:t xml:space="preserve">After 48hrs of SRCAP siRNA transfection RNA was collected from SW480 and HCT116 cells and used in a Taqman PCR assay to check mRNA expression levels of p400. Each dot represents an individual repeat with the median and range shown. Using a Kruskal-Wallis non-parametric test, there was no significant difference between any of the conditions. SW480: p=0.9945, HCT116: p=0.6298. </w:t>
                      </w:r>
                    </w:p>
                  </w:txbxContent>
                </v:textbox>
                <w10:wrap type="square"/>
              </v:shape>
            </w:pict>
          </mc:Fallback>
        </mc:AlternateContent>
      </w:r>
    </w:p>
    <w:p w14:paraId="6578D2D9" w14:textId="1EA273F1" w:rsidR="00E7213F" w:rsidRPr="00CF6C41" w:rsidRDefault="00E7213F" w:rsidP="00E7213F">
      <w:pPr>
        <w:spacing w:line="360" w:lineRule="auto"/>
        <w:jc w:val="both"/>
        <w:rPr>
          <w:rFonts w:asciiTheme="majorHAnsi" w:hAnsiTheme="majorHAnsi"/>
          <w:sz w:val="28"/>
          <w:szCs w:val="28"/>
          <w:u w:val="single"/>
        </w:rPr>
      </w:pPr>
      <w:r w:rsidRPr="00CF6C41">
        <w:rPr>
          <w:rFonts w:asciiTheme="majorHAnsi" w:hAnsiTheme="majorHAnsi"/>
          <w:sz w:val="28"/>
          <w:szCs w:val="28"/>
          <w:u w:val="single"/>
        </w:rPr>
        <w:t xml:space="preserve">4.3 </w:t>
      </w:r>
      <w:r w:rsidRPr="006E381C">
        <w:rPr>
          <w:rFonts w:asciiTheme="majorHAnsi" w:hAnsiTheme="majorHAnsi"/>
          <w:i/>
          <w:sz w:val="28"/>
          <w:szCs w:val="28"/>
          <w:u w:val="single"/>
        </w:rPr>
        <w:t>SRCAP</w:t>
      </w:r>
      <w:r w:rsidRPr="00CF6C41">
        <w:rPr>
          <w:rFonts w:asciiTheme="majorHAnsi" w:hAnsiTheme="majorHAnsi"/>
          <w:sz w:val="28"/>
          <w:szCs w:val="28"/>
          <w:u w:val="single"/>
        </w:rPr>
        <w:t xml:space="preserve"> knockdown induces genomic instability</w:t>
      </w:r>
    </w:p>
    <w:p w14:paraId="673DBCF9" w14:textId="77777777" w:rsidR="00E7213F" w:rsidRPr="00FD0860" w:rsidRDefault="00E7213F" w:rsidP="00E7213F">
      <w:pPr>
        <w:spacing w:line="360" w:lineRule="auto"/>
        <w:jc w:val="both"/>
        <w:rPr>
          <w:rFonts w:asciiTheme="majorHAnsi" w:hAnsiTheme="majorHAnsi"/>
          <w:b/>
          <w:i/>
          <w:sz w:val="28"/>
          <w:szCs w:val="28"/>
          <w:u w:val="single"/>
        </w:rPr>
      </w:pPr>
    </w:p>
    <w:p w14:paraId="23826D92" w14:textId="3BDB8983" w:rsidR="00AC4B4A" w:rsidRDefault="00E7213F" w:rsidP="00E7213F">
      <w:pPr>
        <w:spacing w:line="360" w:lineRule="auto"/>
        <w:jc w:val="both"/>
        <w:rPr>
          <w:rFonts w:ascii="Calibri" w:hAnsi="Calibri"/>
        </w:rPr>
      </w:pPr>
      <w:r>
        <w:rPr>
          <w:rFonts w:ascii="Calibri" w:hAnsi="Calibri"/>
        </w:rPr>
        <w:t xml:space="preserve">In order to assess whether </w:t>
      </w:r>
      <w:r w:rsidRPr="006E381C">
        <w:rPr>
          <w:rFonts w:ascii="Calibri" w:hAnsi="Calibri"/>
          <w:i/>
        </w:rPr>
        <w:t>SRCAP</w:t>
      </w:r>
      <w:r w:rsidR="00A40F61">
        <w:rPr>
          <w:rFonts w:ascii="Calibri" w:hAnsi="Calibri"/>
        </w:rPr>
        <w:t xml:space="preserve"> knock</w:t>
      </w:r>
      <w:r>
        <w:rPr>
          <w:rFonts w:ascii="Calibri" w:hAnsi="Calibri"/>
        </w:rPr>
        <w:t xml:space="preserve">down was having an impact on DNA damage and also to validate the original siRNA screen data, where </w:t>
      </w:r>
      <w:r w:rsidRPr="006E381C">
        <w:rPr>
          <w:rFonts w:ascii="Calibri" w:hAnsi="Calibri"/>
          <w:i/>
        </w:rPr>
        <w:t>SRCAP</w:t>
      </w:r>
      <w:r>
        <w:rPr>
          <w:rFonts w:ascii="Calibri" w:hAnsi="Calibri"/>
        </w:rPr>
        <w:t xml:space="preserve"> had a high z score for damage (2.27), i</w:t>
      </w:r>
      <w:r w:rsidRPr="00FC4592">
        <w:rPr>
          <w:rFonts w:ascii="Calibri" w:hAnsi="Calibri"/>
        </w:rPr>
        <w:t xml:space="preserve">mmunofluorescence analysis was carried out using antibodies </w:t>
      </w:r>
      <w:r>
        <w:rPr>
          <w:rFonts w:ascii="Calibri" w:hAnsi="Calibri"/>
        </w:rPr>
        <w:t>against the DNA damage and DNA double strand break markers-</w:t>
      </w:r>
      <w:r w:rsidRPr="00FC4592">
        <w:rPr>
          <w:rFonts w:ascii="Calibri" w:hAnsi="Calibri"/>
        </w:rPr>
        <w:t xml:space="preserve"> </w:t>
      </w:r>
      <m:oMath>
        <m:r>
          <w:rPr>
            <w:rFonts w:ascii="Cambria Math" w:hAnsi="Cambria Math"/>
          </w:rPr>
          <m:t>γ</m:t>
        </m:r>
      </m:oMath>
      <w:r>
        <w:rPr>
          <w:rFonts w:ascii="Calibri" w:hAnsi="Calibri"/>
        </w:rPr>
        <w:t xml:space="preserve">H2AX and 53BP1. Using these markers figure 4.4 shows that </w:t>
      </w:r>
      <w:r w:rsidRPr="006E381C">
        <w:rPr>
          <w:rFonts w:ascii="Calibri" w:hAnsi="Calibri"/>
          <w:i/>
        </w:rPr>
        <w:t>SRCAP</w:t>
      </w:r>
      <w:r w:rsidRPr="00FC4592">
        <w:rPr>
          <w:rFonts w:ascii="Calibri" w:hAnsi="Calibri"/>
        </w:rPr>
        <w:t xml:space="preserve"> knockdown significantly increases the amount of DNA damage within </w:t>
      </w:r>
      <w:r w:rsidR="00C94C19">
        <w:rPr>
          <w:rFonts w:ascii="Calibri" w:hAnsi="Calibri"/>
        </w:rPr>
        <w:t xml:space="preserve">SW480 and </w:t>
      </w:r>
      <w:r>
        <w:rPr>
          <w:rFonts w:ascii="Calibri" w:hAnsi="Calibri"/>
        </w:rPr>
        <w:t>HCT116</w:t>
      </w:r>
      <w:r w:rsidRPr="00FC4592">
        <w:rPr>
          <w:rFonts w:ascii="Calibri" w:hAnsi="Calibri"/>
        </w:rPr>
        <w:t xml:space="preserve"> cells.</w:t>
      </w:r>
      <w:r w:rsidR="00C94C19">
        <w:rPr>
          <w:rFonts w:ascii="Calibri" w:hAnsi="Calibri"/>
        </w:rPr>
        <w:t xml:space="preserve"> T</w:t>
      </w:r>
      <w:r>
        <w:rPr>
          <w:rFonts w:ascii="Calibri" w:hAnsi="Calibri"/>
        </w:rPr>
        <w:t>he SW480 cells had a higher background level of damage, especially</w:t>
      </w:r>
      <w:r w:rsidR="00222D21">
        <w:rPr>
          <w:rFonts w:ascii="Calibri" w:hAnsi="Calibri"/>
        </w:rPr>
        <w:t xml:space="preserve"> as measured by</w:t>
      </w:r>
      <w:r>
        <w:rPr>
          <w:rFonts w:ascii="Calibri" w:hAnsi="Calibri"/>
        </w:rPr>
        <w:t xml:space="preserve"> </w:t>
      </w:r>
      <m:oMath>
        <m:r>
          <w:rPr>
            <w:rFonts w:ascii="Cambria Math" w:hAnsi="Cambria Math"/>
          </w:rPr>
          <m:t>γ</m:t>
        </m:r>
      </m:oMath>
      <w:r w:rsidRPr="00FC4592">
        <w:rPr>
          <w:rFonts w:ascii="Calibri" w:hAnsi="Calibri"/>
        </w:rPr>
        <w:t>H2AX</w:t>
      </w:r>
      <w:r>
        <w:rPr>
          <w:rFonts w:ascii="Calibri" w:hAnsi="Calibri"/>
        </w:rPr>
        <w:t>. Therefore, this data validates the previously mentioned screen conducted</w:t>
      </w:r>
      <w:r w:rsidR="00A40F61">
        <w:rPr>
          <w:rFonts w:ascii="Calibri" w:hAnsi="Calibri"/>
        </w:rPr>
        <w:t xml:space="preserve"> by Dr Spencer Collis, as knock</w:t>
      </w:r>
      <w:r>
        <w:rPr>
          <w:rFonts w:ascii="Calibri" w:hAnsi="Calibri"/>
        </w:rPr>
        <w:t xml:space="preserve">down of </w:t>
      </w:r>
      <w:r w:rsidRPr="006E381C">
        <w:rPr>
          <w:rFonts w:ascii="Calibri" w:hAnsi="Calibri"/>
          <w:i/>
        </w:rPr>
        <w:t>SRCAP</w:t>
      </w:r>
      <w:r>
        <w:rPr>
          <w:rFonts w:ascii="Calibri" w:hAnsi="Calibri"/>
        </w:rPr>
        <w:t xml:space="preserve"> by siRNA probes induced high levels of DNA damage, demonstrated with two markers of DSBs. </w:t>
      </w:r>
      <w:r>
        <w:rPr>
          <w:rFonts w:ascii="Calibri" w:hAnsi="Calibri"/>
          <w:lang w:val="en-US"/>
        </w:rPr>
        <w:t xml:space="preserve">It also supports the findings by Dong et al. that spontaneous </w:t>
      </w:r>
      <m:oMath>
        <m:r>
          <w:rPr>
            <w:rFonts w:ascii="Cambria Math" w:hAnsi="Cambria Math"/>
          </w:rPr>
          <m:t>γ</m:t>
        </m:r>
      </m:oMath>
      <w:r w:rsidRPr="00FC4592">
        <w:rPr>
          <w:rFonts w:ascii="Calibri" w:hAnsi="Calibri"/>
        </w:rPr>
        <w:t>H2AX</w:t>
      </w:r>
      <w:r>
        <w:rPr>
          <w:rFonts w:ascii="Calibri" w:hAnsi="Calibri"/>
        </w:rPr>
        <w:t xml:space="preserve"> foci occur after </w:t>
      </w:r>
      <w:r w:rsidRPr="006E381C">
        <w:rPr>
          <w:rFonts w:ascii="Calibri" w:hAnsi="Calibri"/>
          <w:i/>
        </w:rPr>
        <w:t>SRCAP</w:t>
      </w:r>
      <w:r w:rsidR="00A40F61">
        <w:rPr>
          <w:rFonts w:ascii="Calibri" w:hAnsi="Calibri"/>
        </w:rPr>
        <w:t xml:space="preserve"> knock</w:t>
      </w:r>
      <w:r>
        <w:rPr>
          <w:rFonts w:ascii="Calibri" w:hAnsi="Calibri"/>
        </w:rPr>
        <w:t xml:space="preserve">down. They also found that these foci persist after irradiation in </w:t>
      </w:r>
      <w:r w:rsidRPr="006E381C">
        <w:rPr>
          <w:rFonts w:ascii="Calibri" w:hAnsi="Calibri"/>
          <w:i/>
        </w:rPr>
        <w:t>SRCAP</w:t>
      </w:r>
      <w:r>
        <w:rPr>
          <w:rFonts w:ascii="Calibri" w:hAnsi="Calibri"/>
        </w:rPr>
        <w:t xml:space="preserve"> treated cells, whereas in control cells the foci have nearly all disappeared, consistent with a role for SRCAP in HR-mediated DNA damage repair. </w:t>
      </w:r>
    </w:p>
    <w:p w14:paraId="0A8C2E9A" w14:textId="77777777" w:rsidR="00A40F61" w:rsidRDefault="00A40F61" w:rsidP="00E7213F">
      <w:pPr>
        <w:spacing w:line="360" w:lineRule="auto"/>
        <w:jc w:val="both"/>
        <w:rPr>
          <w:rFonts w:ascii="Calibri" w:hAnsi="Calibri"/>
        </w:rPr>
      </w:pPr>
    </w:p>
    <w:p w14:paraId="5BA3104A" w14:textId="148138AF" w:rsidR="00E7213F" w:rsidRDefault="00E7213F" w:rsidP="00E7213F">
      <w:pPr>
        <w:spacing w:line="360" w:lineRule="auto"/>
        <w:jc w:val="both"/>
        <w:rPr>
          <w:rFonts w:ascii="Calibri" w:hAnsi="Calibri"/>
        </w:rPr>
      </w:pPr>
      <w:r>
        <w:rPr>
          <w:rFonts w:ascii="Calibri" w:hAnsi="Calibri"/>
        </w:rPr>
        <w:t xml:space="preserve">In recent years there have been several papers looking at the formation of pan-nuclear </w:t>
      </w:r>
      <m:oMath>
        <m:r>
          <w:rPr>
            <w:rFonts w:ascii="Cambria Math" w:hAnsi="Cambria Math"/>
          </w:rPr>
          <m:t>γ</m:t>
        </m:r>
      </m:oMath>
      <w:r w:rsidRPr="00FC4592">
        <w:rPr>
          <w:rFonts w:ascii="Calibri" w:hAnsi="Calibri"/>
        </w:rPr>
        <w:t>H2AX</w:t>
      </w:r>
      <w:r>
        <w:rPr>
          <w:rFonts w:ascii="Calibri" w:hAnsi="Calibri"/>
        </w:rPr>
        <w:t xml:space="preserve"> staining within cells </w:t>
      </w:r>
      <w:r>
        <w:rPr>
          <w:rFonts w:ascii="Calibri" w:hAnsi="Calibri"/>
        </w:rPr>
        <w:fldChar w:fldCharType="begin">
          <w:fldData xml:space="preserve">PEVuZE5vdGU+PENpdGU+PEF1dGhvcj5Fd2FsZDwvQXV0aG9yPjxZZWFyPjIwMDc8L1llYXI+PElE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</w:fldData>
        </w:fldChar>
      </w:r>
      <w:r>
        <w:rPr>
          <w:rFonts w:ascii="Calibri" w:hAnsi="Calibri"/>
        </w:rPr>
        <w:instrText xml:space="preserve"> ADDIN EN.CITE </w:instrText>
      </w:r>
      <w:r>
        <w:rPr>
          <w:rFonts w:ascii="Calibri" w:hAnsi="Calibri"/>
        </w:rPr>
        <w:fldChar w:fldCharType="begin">
          <w:fldData xml:space="preserve">PEVuZE5vdGU+PENpdGU+PEF1dGhvcj5Fd2FsZDwvQXV0aG9yPjxZZWFyPjIwMDc8L1llYXI+PElE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(Ewald et al., 2007, Marti et al., 2006)</w:t>
      </w:r>
      <w:r>
        <w:rPr>
          <w:rFonts w:ascii="Calibri" w:hAnsi="Calibri"/>
        </w:rPr>
        <w:fldChar w:fldCharType="end"/>
      </w:r>
      <w:r>
        <w:rPr>
          <w:rFonts w:ascii="Calibri" w:hAnsi="Calibri"/>
        </w:rPr>
        <w:t>. This pan</w:t>
      </w:r>
      <w:r w:rsidR="00222D21">
        <w:rPr>
          <w:rFonts w:ascii="Calibri" w:hAnsi="Calibri"/>
        </w:rPr>
        <w:t>-nuclear</w:t>
      </w:r>
      <w:r>
        <w:rPr>
          <w:rFonts w:ascii="Calibri" w:hAnsi="Calibri"/>
        </w:rPr>
        <w:t xml:space="preserve"> </w:t>
      </w:r>
      <m:oMath>
        <m:r>
          <w:rPr>
            <w:rFonts w:ascii="Cambria Math" w:hAnsi="Cambria Math"/>
          </w:rPr>
          <m:t>γ</m:t>
        </m:r>
      </m:oMath>
      <w:r w:rsidRPr="00FC4592">
        <w:rPr>
          <w:rFonts w:ascii="Calibri" w:hAnsi="Calibri"/>
        </w:rPr>
        <w:t>H2AX</w:t>
      </w:r>
      <w:r>
        <w:rPr>
          <w:rFonts w:ascii="Calibri" w:hAnsi="Calibri"/>
        </w:rPr>
        <w:t xml:space="preserve"> appears to not only be related to irradiation mediated damage as first thought, but also occurs upon transfection with DNA fragments and when there are chromatin changes due to hypotonic treatment </w:t>
      </w:r>
      <w:r>
        <w:rPr>
          <w:rFonts w:ascii="Calibri" w:hAnsi="Calibri"/>
        </w:rPr>
        <w:fldChar w:fldCharType="begin"/>
      </w:r>
      <w:r>
        <w:rPr>
          <w:rFonts w:ascii="Calibri" w:hAnsi="Calibri"/>
        </w:rPr>
        <w:instrText xml:space="preserve"> ADDIN EN.CITE &lt;EndNote&gt;&lt;Cite&gt;&lt;Author&gt;Baure&lt;/Author&gt;&lt;Year&gt;2009&lt;/Year&gt;&lt;IDText&gt;Histone H2AX phosphorylation in response to changes in chromatin structure induced by altered osmolarity&lt;/IDText&gt;&lt;DisplayText&gt;(Baure et al., 2009)&lt;/DisplayText&gt;&lt;record&gt;&lt;dates&gt;&lt;pub-dates&gt;&lt;date&gt;Mar&lt;/date&gt;&lt;/pub-dates&gt;&lt;year&gt;2009&lt;/year&gt;&lt;/dates&gt;&lt;keywords&gt;&lt;keyword&gt;Animals&lt;/keyword&gt;&lt;keyword&gt;Cell Cycle&lt;/keyword&gt;&lt;keyword&gt;Cell Survival&lt;/keyword&gt;&lt;keyword&gt;Cerebellum&lt;/keyword&gt;&lt;keyword&gt;Chromatin&lt;/keyword&gt;&lt;keyword&gt;Flow Cytometry&lt;/keyword&gt;&lt;keyword&gt;Histones&lt;/keyword&gt;&lt;keyword&gt;Humans&lt;/keyword&gt;&lt;keyword&gt;Hypotonic Solutions&lt;/keyword&gt;&lt;keyword&gt;Immunohistochemistry&lt;/keyword&gt;&lt;keyword&gt;Mice&lt;/keyword&gt;&lt;keyword&gt;Osmolar Concentration&lt;/keyword&gt;&lt;keyword&gt;Phosphorylation&lt;/keyword&gt;&lt;keyword&gt;Stem Cells&lt;/keyword&gt;&lt;/keywords&gt;&lt;urls&gt;&lt;related-urls&gt;&lt;url&gt;https://www.ncbi.nlm.nih.gov/pubmed/19064695&lt;/url&gt;&lt;/related-urls&gt;&lt;/urls&gt;&lt;isbn&gt;1464-3804&lt;/isbn&gt;&lt;custom2&gt;PMC2648872&lt;/custom2&gt;&lt;titles&gt;&lt;title&gt;Histone H2AX phosphorylation in response to changes in chromatin structure induced by altered osmolarity&lt;/title&gt;&lt;secondary-title&gt;Mutagenesis&lt;/secondary-title&gt;&lt;/titles&gt;&lt;pages&gt;161-7&lt;/pages&gt;&lt;number&gt;2&lt;/number&gt;&lt;contributors&gt;&lt;authors&gt;&lt;author&gt;Baure, J.&lt;/author&gt;&lt;author&gt;Izadi, A.&lt;/author&gt;&lt;author&gt;Suarez, V.&lt;/author&gt;&lt;author&gt;Giedzinski, E.&lt;/author&gt;&lt;author&gt;Cleaver, J. E.&lt;/author&gt;&lt;author&gt;Fike, J. R.&lt;/author&gt;&lt;author&gt;Limoli, C. L.&lt;/author&gt;&lt;/authors&gt;&lt;/contributors&gt;&lt;edition&gt;2008/12/08&lt;/edition&gt;&lt;language&gt;eng&lt;/language&gt;&lt;added-date format="utc"&gt;1505905562&lt;/added-date&gt;&lt;ref-type name="Journal Article"&gt;17&lt;/ref-type&gt;&lt;rec-number&gt;285&lt;/rec-number&gt;&lt;last-updated-date format="utc"&gt;1505905562&lt;/last-updated-date&gt;&lt;accession-num&gt;19064695&lt;/accession-num&gt;&lt;electronic-resource-num&gt;10.1093/mutage/gen064&lt;/electronic-resource-num&gt;&lt;volume&gt;24&lt;/volume&gt;&lt;/record&gt;&lt;/Cite&gt;&lt;/EndNote&gt;</w:instrText>
      </w:r>
      <w:r>
        <w:rPr>
          <w:rFonts w:ascii="Calibri" w:hAnsi="Calibri"/>
        </w:rPr>
        <w:fldChar w:fldCharType="separate"/>
      </w:r>
      <w:r>
        <w:rPr>
          <w:rFonts w:ascii="Calibri" w:hAnsi="Calibri"/>
          <w:noProof/>
        </w:rPr>
        <w:t>(Baure et al., 2009)</w:t>
      </w:r>
      <w:r>
        <w:rPr>
          <w:rFonts w:ascii="Calibri" w:hAnsi="Calibri"/>
        </w:rPr>
        <w:fldChar w:fldCharType="end"/>
      </w:r>
      <w:r>
        <w:rPr>
          <w:rFonts w:ascii="Calibri" w:hAnsi="Calibri"/>
        </w:rPr>
        <w:t xml:space="preserve">. After UV damage, one group reported that pan-nuclear </w:t>
      </w:r>
      <m:oMath>
        <m:r>
          <w:rPr>
            <w:rFonts w:ascii="Cambria Math" w:hAnsi="Cambria Math"/>
          </w:rPr>
          <m:t>γ</m:t>
        </m:r>
      </m:oMath>
      <w:r w:rsidRPr="00FC4592">
        <w:rPr>
          <w:rFonts w:ascii="Calibri" w:hAnsi="Calibri"/>
        </w:rPr>
        <w:t>H2AX</w:t>
      </w:r>
      <w:r>
        <w:rPr>
          <w:rFonts w:ascii="Calibri" w:hAnsi="Calibri"/>
        </w:rPr>
        <w:t xml:space="preserve"> corresponded to </w:t>
      </w:r>
      <w:r w:rsidR="001654B2">
        <w:rPr>
          <w:rFonts w:ascii="Calibri" w:hAnsi="Calibri"/>
        </w:rPr>
        <w:t xml:space="preserve">pre-apoptotic </w:t>
      </w:r>
      <w:r>
        <w:rPr>
          <w:rFonts w:ascii="Calibri" w:hAnsi="Calibri"/>
        </w:rPr>
        <w:t xml:space="preserve">S phase cells, but not to DSBs </w:t>
      </w:r>
      <w:r>
        <w:rPr>
          <w:rFonts w:ascii="Calibri" w:hAnsi="Calibri"/>
        </w:rPr>
        <w:fldChar w:fldCharType="begin"/>
      </w:r>
      <w:r>
        <w:rPr>
          <w:rFonts w:ascii="Calibri" w:hAnsi="Calibri"/>
        </w:rPr>
        <w:instrText xml:space="preserve"> ADDIN EN.CITE &lt;EndNote&gt;&lt;Cite&gt;&lt;Author&gt;de Feraudy&lt;/Author&gt;&lt;Year&gt;2010&lt;/Year&gt;&lt;IDText&gt;A minority of foci or pan-nuclear apoptotic staining of gammaH2AX in the S phase after UV damage contain DNA double-strand breaks&lt;/IDText&gt;&lt;DisplayText&gt;(de Feraudy et al., 2010)&lt;/DisplayText&gt;&lt;record&gt;&lt;dates&gt;&lt;pub-dates&gt;&lt;date&gt;Apr&lt;/date&gt;&lt;/pub-dates&gt;&lt;year&gt;2010&lt;/year&gt;&lt;/dates&gt;&lt;keywords&gt;&lt;keyword&gt;Apoptosis&lt;/keyword&gt;&lt;keyword&gt;Cell Line&lt;/keyword&gt;&lt;keyword&gt;Cell Nucleus&lt;/keyword&gt;&lt;keyword&gt;Cell Separation&lt;/keyword&gt;&lt;keyword&gt;DNA Breaks, Double-Stranded&lt;/keyword&gt;&lt;keyword&gt;DNA-Directed DNA Polymerase&lt;/keyword&gt;&lt;keyword&gt;Flow Cytometry&lt;/keyword&gt;&lt;keyword&gt;Gene Expression Regulation&lt;/keyword&gt;&lt;keyword&gt;Histones&lt;/keyword&gt;&lt;keyword&gt;Humans&lt;/keyword&gt;&lt;keyword&gt;Intracellular Signaling Peptides and Proteins&lt;/keyword&gt;&lt;keyword&gt;Kinetics&lt;/keyword&gt;&lt;keyword&gt;S Phase&lt;/keyword&gt;&lt;keyword&gt;Tumor Suppressor p53-Binding Protein 1&lt;/keyword&gt;&lt;keyword&gt;Ultraviolet Rays&lt;/keyword&gt;&lt;/keywords&gt;&lt;urls&gt;&lt;related-urls&gt;&lt;url&gt;https://www.ncbi.nlm.nih.gov/pubmed/20351298&lt;/url&gt;&lt;/related-urls&gt;&lt;/urls&gt;&lt;isbn&gt;1091-6490&lt;/isbn&gt;&lt;custom2&gt;PMC2872460&lt;/custom2&gt;&lt;titles&gt;&lt;title&gt;A minority of foci or pan-nuclear apoptotic staining of gammaH2AX in the S phase after UV damage contain DNA double-strand breaks&lt;/title&gt;&lt;secondary-title&gt;Proc Natl Acad Sci U S A&lt;/secondary-title&gt;&lt;/titles&gt;&lt;pages&gt;6870-5&lt;/pages&gt;&lt;number&gt;15&lt;/number&gt;&lt;contributors&gt;&lt;authors&gt;&lt;author&gt;de Feraudy, S.&lt;/author&gt;&lt;author&gt;Revet, I.&lt;/author&gt;&lt;author&gt;Bezrookove, V.&lt;/author&gt;&lt;author&gt;Feeney, L.&lt;/author&gt;&lt;author&gt;Cleaver, J. E.&lt;/author&gt;&lt;/authors&gt;&lt;/contributors&gt;&lt;edition&gt;2010/03/29&lt;/edition&gt;&lt;language&gt;eng&lt;/language&gt;&lt;added-date format="utc"&gt;1505905285&lt;/added-date&gt;&lt;ref-type name="Journal Article"&gt;17&lt;/ref-type&gt;&lt;rec-number&gt;284&lt;/rec-number&gt;&lt;last-updated-date format="utc"&gt;1505905285&lt;/last-updated-date&gt;&lt;accession-num&gt;20351298&lt;/accession-num&gt;&lt;electronic-resource-num&gt;10.1073/pnas.1002175107&lt;/electronic-resource-num&gt;&lt;volume&gt;107&lt;/volume&gt;&lt;/record&gt;&lt;/Cite&gt;&lt;/EndNote&gt;</w:instrText>
      </w:r>
      <w:r>
        <w:rPr>
          <w:rFonts w:ascii="Calibri" w:hAnsi="Calibri"/>
        </w:rPr>
        <w:fldChar w:fldCharType="separate"/>
      </w:r>
      <w:r>
        <w:rPr>
          <w:rFonts w:ascii="Calibri" w:hAnsi="Calibri"/>
          <w:noProof/>
        </w:rPr>
        <w:t>(de Feraudy et al., 2010)</w:t>
      </w:r>
      <w:r>
        <w:rPr>
          <w:rFonts w:ascii="Calibri" w:hAnsi="Calibri"/>
        </w:rPr>
        <w:fldChar w:fldCharType="end"/>
      </w:r>
      <w:r>
        <w:rPr>
          <w:rFonts w:ascii="Calibri" w:hAnsi="Calibri"/>
        </w:rPr>
        <w:t>. They went on to hypothesise that a genome wide chromatin architecture change was responsible for the pan</w:t>
      </w:r>
      <m:oMath>
        <m:r>
          <w:rPr>
            <w:rFonts w:ascii="Cambria Math" w:hAnsi="Cambria Math"/>
          </w:rPr>
          <m:t xml:space="preserve"> γ</m:t>
        </m:r>
      </m:oMath>
      <w:r w:rsidRPr="00FC4592">
        <w:rPr>
          <w:rFonts w:ascii="Calibri" w:hAnsi="Calibri"/>
        </w:rPr>
        <w:t>H2AX</w:t>
      </w:r>
      <w:r>
        <w:rPr>
          <w:rFonts w:ascii="Calibri" w:hAnsi="Calibri"/>
        </w:rPr>
        <w:t xml:space="preserve">. Therefore, the images from the </w:t>
      </w:r>
      <m:oMath>
        <m:r>
          <w:rPr>
            <w:rFonts w:ascii="Cambria Math" w:hAnsi="Cambria Math"/>
          </w:rPr>
          <m:t>γ</m:t>
        </m:r>
      </m:oMath>
      <w:r w:rsidRPr="00FC4592">
        <w:rPr>
          <w:rFonts w:ascii="Calibri" w:hAnsi="Calibri"/>
        </w:rPr>
        <w:t>H2AX</w:t>
      </w:r>
      <w:r>
        <w:rPr>
          <w:rFonts w:ascii="Calibri" w:hAnsi="Calibri"/>
        </w:rPr>
        <w:t xml:space="preserve"> foci experiment above were also counted for pan </w:t>
      </w:r>
      <m:oMath>
        <m:r>
          <w:rPr>
            <w:rFonts w:ascii="Cambria Math" w:hAnsi="Cambria Math"/>
          </w:rPr>
          <m:t>γ</m:t>
        </m:r>
      </m:oMath>
      <w:r w:rsidRPr="00FC4592">
        <w:rPr>
          <w:rFonts w:ascii="Calibri" w:hAnsi="Calibri"/>
        </w:rPr>
        <w:t>H2AX</w:t>
      </w:r>
      <w:r>
        <w:rPr>
          <w:rFonts w:ascii="Calibri" w:hAnsi="Calibri"/>
        </w:rPr>
        <w:t xml:space="preserve">, since SRCAP plays a vital role in the chromatin structure (Figure 4.5). However, there was no significant difference in pan </w:t>
      </w:r>
      <m:oMath>
        <m:r>
          <w:rPr>
            <w:rFonts w:ascii="Cambria Math" w:hAnsi="Cambria Math"/>
          </w:rPr>
          <m:t>γ</m:t>
        </m:r>
      </m:oMath>
      <w:r w:rsidRPr="00FC4592">
        <w:rPr>
          <w:rFonts w:ascii="Calibri" w:hAnsi="Calibri"/>
        </w:rPr>
        <w:t>H2AX</w:t>
      </w:r>
      <w:r>
        <w:rPr>
          <w:rFonts w:ascii="Calibri" w:hAnsi="Calibri"/>
        </w:rPr>
        <w:t xml:space="preserve"> scoring between control cells and those with </w:t>
      </w:r>
      <w:r w:rsidRPr="006E381C">
        <w:rPr>
          <w:rFonts w:ascii="Calibri" w:hAnsi="Calibri"/>
          <w:i/>
        </w:rPr>
        <w:t>SRCAP</w:t>
      </w:r>
      <w:r>
        <w:rPr>
          <w:rFonts w:ascii="Calibri" w:hAnsi="Calibri"/>
        </w:rPr>
        <w:t xml:space="preserve"> knocked down, pos</w:t>
      </w:r>
      <w:r w:rsidR="00A40F61">
        <w:rPr>
          <w:rFonts w:ascii="Calibri" w:hAnsi="Calibri"/>
        </w:rPr>
        <w:t>sibly indicating that the knock</w:t>
      </w:r>
      <w:r>
        <w:rPr>
          <w:rFonts w:ascii="Calibri" w:hAnsi="Calibri"/>
        </w:rPr>
        <w:t xml:space="preserve">down of </w:t>
      </w:r>
      <w:r w:rsidRPr="006E381C">
        <w:rPr>
          <w:rFonts w:ascii="Calibri" w:hAnsi="Calibri"/>
          <w:i/>
        </w:rPr>
        <w:t>SRCAP</w:t>
      </w:r>
      <w:r>
        <w:rPr>
          <w:rFonts w:ascii="Calibri" w:hAnsi="Calibri"/>
        </w:rPr>
        <w:t xml:space="preserve"> does not have a genome wide effect large enough to induce pan </w:t>
      </w:r>
      <m:oMath>
        <m:r>
          <w:rPr>
            <w:rFonts w:ascii="Cambria Math" w:hAnsi="Cambria Math"/>
          </w:rPr>
          <m:t>γ</m:t>
        </m:r>
      </m:oMath>
      <w:r w:rsidRPr="00FC4592">
        <w:rPr>
          <w:rFonts w:ascii="Calibri" w:hAnsi="Calibri"/>
        </w:rPr>
        <w:t>H2AX</w:t>
      </w:r>
      <w:r>
        <w:rPr>
          <w:rFonts w:ascii="Calibri" w:hAnsi="Calibri"/>
        </w:rPr>
        <w:t>.</w:t>
      </w:r>
    </w:p>
    <w:p w14:paraId="19B4CDE9" w14:textId="77777777" w:rsidR="00E7213F" w:rsidRDefault="00E7213F" w:rsidP="00E7213F">
      <w:pPr>
        <w:spacing w:line="360" w:lineRule="auto"/>
        <w:jc w:val="both"/>
        <w:rPr>
          <w:rFonts w:ascii="Calibri" w:hAnsi="Calibri"/>
        </w:rPr>
      </w:pPr>
    </w:p>
    <w:p w14:paraId="484C341E" w14:textId="77777777" w:rsidR="00E7213F" w:rsidRDefault="00E7213F" w:rsidP="00E7213F">
      <w:pPr>
        <w:spacing w:line="360" w:lineRule="auto"/>
        <w:jc w:val="both"/>
        <w:rPr>
          <w:rFonts w:ascii="Calibri" w:hAnsi="Calibri"/>
        </w:rPr>
      </w:pPr>
    </w:p>
    <w:p w14:paraId="2E783FE3" w14:textId="77777777" w:rsidR="00E7213F" w:rsidRDefault="00E7213F" w:rsidP="00E7213F">
      <w:pPr>
        <w:spacing w:line="360" w:lineRule="auto"/>
        <w:jc w:val="both"/>
        <w:rPr>
          <w:rFonts w:ascii="Calibri" w:hAnsi="Calibri"/>
        </w:rPr>
      </w:pPr>
    </w:p>
    <w:p w14:paraId="5637AAE6" w14:textId="7EF9CC49" w:rsidR="00E7213F" w:rsidRDefault="009C2F27" w:rsidP="00E7213F">
      <w:pPr>
        <w:spacing w:line="360" w:lineRule="auto"/>
        <w:jc w:val="both"/>
        <w:rPr>
          <w:rFonts w:ascii="Calibri" w:hAnsi="Calibri"/>
        </w:rPr>
      </w:pPr>
      <w:r>
        <w:rPr>
          <w:rFonts w:ascii="Calibri" w:hAnsi="Calibri"/>
          <w:noProof/>
          <w:lang w:val="en-US"/>
        </w:rPr>
        <w:drawing>
          <wp:anchor distT="0" distB="0" distL="114300" distR="114300" simplePos="0" relativeHeight="251665407" behindDoc="0" locked="0" layoutInCell="1" allowOverlap="1" wp14:anchorId="7C0D27AC" wp14:editId="4C5E09A4">
            <wp:simplePos x="0" y="0"/>
            <wp:positionH relativeFrom="column">
              <wp:posOffset>2628900</wp:posOffset>
            </wp:positionH>
            <wp:positionV relativeFrom="paragraph">
              <wp:posOffset>2743200</wp:posOffset>
            </wp:positionV>
            <wp:extent cx="2973070" cy="3759200"/>
            <wp:effectExtent l="0" t="0" r="0" b="0"/>
            <wp:wrapSquare wrapText="bothSides"/>
            <wp:docPr id="2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73070" cy="375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592">
        <w:rPr>
          <w:rFonts w:ascii="Calibri" w:hAnsi="Calibri"/>
          <w:noProof/>
          <w:lang w:val="en-US"/>
        </w:rPr>
        <mc:AlternateContent>
          <mc:Choice Requires="wps">
            <w:drawing>
              <wp:anchor distT="0" distB="0" distL="114300" distR="114300" simplePos="0" relativeHeight="251730944" behindDoc="0" locked="0" layoutInCell="1" allowOverlap="1" wp14:anchorId="60727AC0" wp14:editId="426B8157">
                <wp:simplePos x="0" y="0"/>
                <wp:positionH relativeFrom="column">
                  <wp:posOffset>-114300</wp:posOffset>
                </wp:positionH>
                <wp:positionV relativeFrom="paragraph">
                  <wp:posOffset>6629400</wp:posOffset>
                </wp:positionV>
                <wp:extent cx="5600700" cy="2400300"/>
                <wp:effectExtent l="0" t="0" r="0" b="12700"/>
                <wp:wrapSquare wrapText="bothSides"/>
                <wp:docPr id="71" name="Text Box 71"/>
                <wp:cNvGraphicFramePr/>
                <a:graphic xmlns:a="http://schemas.openxmlformats.org/drawingml/2006/main">
                  <a:graphicData uri="http://schemas.microsoft.com/office/word/2010/wordprocessingShape">
                    <wps:wsp>
                      <wps:cNvSpPr txBox="1"/>
                      <wps:spPr>
                        <a:xfrm>
                          <a:off x="0" y="0"/>
                          <a:ext cx="56007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881CF4" w14:textId="3C685B87" w:rsidR="00E82D3B" w:rsidRDefault="00E82D3B" w:rsidP="00E7213F">
                            <w:pPr>
                              <w:jc w:val="both"/>
                              <w:rPr>
                                <w:i/>
                                <w:sz w:val="22"/>
                              </w:rPr>
                            </w:pPr>
                            <w:r w:rsidRPr="00486D0E">
                              <w:rPr>
                                <w:b/>
                                <w:i/>
                                <w:sz w:val="22"/>
                              </w:rPr>
                              <w:t>F</w:t>
                            </w:r>
                            <w:r>
                              <w:rPr>
                                <w:b/>
                                <w:i/>
                                <w:sz w:val="22"/>
                              </w:rPr>
                              <w:t>igure 4.4</w:t>
                            </w:r>
                            <w:r w:rsidRPr="00486D0E">
                              <w:rPr>
                                <w:b/>
                                <w:i/>
                                <w:sz w:val="22"/>
                              </w:rPr>
                              <w:t xml:space="preserve">. </w:t>
                            </w:r>
                            <m:oMath>
                              <m:r>
                                <m:rPr>
                                  <m:sty m:val="bi"/>
                                </m:rPr>
                                <w:rPr>
                                  <w:rFonts w:ascii="Cambria Math" w:hAnsi="Cambria Math"/>
                                  <w:sz w:val="22"/>
                                </w:rPr>
                                <m:t>γ</m:t>
                              </m:r>
                            </m:oMath>
                            <w:r w:rsidRPr="00486D0E">
                              <w:rPr>
                                <w:b/>
                                <w:i/>
                                <w:sz w:val="22"/>
                              </w:rPr>
                              <w:t xml:space="preserve">H2AX/53BP1 </w:t>
                            </w:r>
                            <w:r>
                              <w:rPr>
                                <w:b/>
                                <w:i/>
                                <w:sz w:val="22"/>
                              </w:rPr>
                              <w:t>detection in</w:t>
                            </w:r>
                            <w:r w:rsidRPr="00486D0E">
                              <w:rPr>
                                <w:b/>
                                <w:i/>
                                <w:sz w:val="22"/>
                              </w:rPr>
                              <w:t xml:space="preserve"> SRCAP knockdown cells shows increased DNA damage</w:t>
                            </w:r>
                            <w:r w:rsidRPr="00061CE7">
                              <w:rPr>
                                <w:i/>
                                <w:sz w:val="22"/>
                              </w:rPr>
                              <w:t xml:space="preserve">. </w:t>
                            </w:r>
                          </w:p>
                          <w:p w14:paraId="5DCB6E9E" w14:textId="399957AA" w:rsidR="00E82D3B" w:rsidRDefault="00E82D3B" w:rsidP="00E7213F">
                            <w:pPr>
                              <w:jc w:val="both"/>
                              <w:rPr>
                                <w:i/>
                                <w:sz w:val="22"/>
                              </w:rPr>
                            </w:pPr>
                            <w:r>
                              <w:rPr>
                                <w:i/>
                                <w:sz w:val="22"/>
                              </w:rPr>
                              <w:t xml:space="preserve">a.) SW480 cells seeded onto coverslips and transfected with si6, si7 or control non-specific siRNA for 48hrs and probed for </w:t>
                            </w:r>
                            <m:oMath>
                              <m:r>
                                <w:rPr>
                                  <w:rFonts w:ascii="Cambria Math" w:hAnsi="Cambria Math"/>
                                  <w:sz w:val="22"/>
                                </w:rPr>
                                <m:t>γ</m:t>
                              </m:r>
                            </m:oMath>
                            <w:r>
                              <w:rPr>
                                <w:i/>
                                <w:sz w:val="22"/>
                              </w:rPr>
                              <w:t xml:space="preserve">H2AX and </w:t>
                            </w:r>
                            <w:r w:rsidRPr="00061CE7">
                              <w:rPr>
                                <w:i/>
                                <w:sz w:val="22"/>
                              </w:rPr>
                              <w:t>53BP1</w:t>
                            </w:r>
                            <w:r>
                              <w:rPr>
                                <w:i/>
                                <w:sz w:val="22"/>
                              </w:rPr>
                              <w:t>.</w:t>
                            </w:r>
                            <w:r w:rsidRPr="00061CE7">
                              <w:rPr>
                                <w:i/>
                                <w:sz w:val="22"/>
                              </w:rPr>
                              <w:t xml:space="preserve"> </w:t>
                            </w:r>
                            <w:r>
                              <w:rPr>
                                <w:i/>
                                <w:sz w:val="22"/>
                              </w:rPr>
                              <w:t xml:space="preserve">The number of foci per cell was counted by eye and an average taken of 100 cells. Again each symbol on the graphs represents an individual experiment and the median and range plotted. After a Kruskal Wallis statistical test both markers were significantly different (SW480: </w:t>
                            </w:r>
                            <m:oMath>
                              <m:r>
                                <w:rPr>
                                  <w:rFonts w:ascii="Cambria Math" w:hAnsi="Cambria Math"/>
                                  <w:sz w:val="22"/>
                                </w:rPr>
                                <m:t>γ</m:t>
                              </m:r>
                            </m:oMath>
                            <w:r>
                              <w:rPr>
                                <w:i/>
                                <w:sz w:val="22"/>
                              </w:rPr>
                              <w:t>H2AX p=0.03, 53BP1 p=0.0048) and comparing each siRNA to the control individually also gave significance as shown by the stars on the graphs (</w:t>
                            </w:r>
                            <w:r>
                              <w:rPr>
                                <w:i/>
                                <w:sz w:val="22"/>
                                <w:lang w:val="en-US"/>
                              </w:rPr>
                              <w:t>*=p≤0.05, **= p≤0.01), showing an increase in damage when SRCAP is knocked down.</w:t>
                            </w:r>
                          </w:p>
                          <w:p w14:paraId="605F8328" w14:textId="799DF4EC" w:rsidR="00E82D3B" w:rsidRPr="00061CE7" w:rsidRDefault="00E82D3B" w:rsidP="00E7213F">
                            <w:pPr>
                              <w:jc w:val="both"/>
                              <w:rPr>
                                <w:i/>
                                <w:sz w:val="22"/>
                              </w:rPr>
                            </w:pPr>
                            <w:r>
                              <w:rPr>
                                <w:i/>
                                <w:sz w:val="22"/>
                              </w:rPr>
                              <w:t xml:space="preserve">b.) In HCT116 cells using the same experimental and analytical parameters there was a significant result in increasing DNA damage from both markers and both siRNA (HCT116: </w:t>
                            </w:r>
                            <m:oMath>
                              <m:r>
                                <w:rPr>
                                  <w:rFonts w:ascii="Cambria Math" w:hAnsi="Cambria Math"/>
                                  <w:sz w:val="22"/>
                                </w:rPr>
                                <m:t>γ</m:t>
                              </m:r>
                            </m:oMath>
                            <w:r>
                              <w:rPr>
                                <w:i/>
                                <w:sz w:val="22"/>
                              </w:rPr>
                              <w:t>H2AX p=0.025, 53BP1 p=0.0107), however comparing the siRNA to control individually only showed significance with si7 (</w:t>
                            </w:r>
                            <w:r>
                              <w:rPr>
                                <w:i/>
                                <w:sz w:val="22"/>
                                <w:lang w:val="en-US"/>
                              </w:rPr>
                              <w:t>*=p≤0.05).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105" type="#_x0000_t202" style="position:absolute;left:0;text-align:left;margin-left:-8.95pt;margin-top:522pt;width:441pt;height:18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" filled="f" stroked="f">
                <v:textbox>
                  <w:txbxContent>
                    <w:p w14:paraId="01881CF4" w14:textId="3C685B87" w:rsidR="000A1E0D" w:rsidRDefault="000A1E0D" w:rsidP="00E7213F">
                      <w:pPr>
                        <w:jc w:val="both"/>
                        <w:rPr>
                          <w:i/>
                          <w:sz w:val="22"/>
                        </w:rPr>
                      </w:pPr>
                      <w:r w:rsidRPr="00486D0E">
                        <w:rPr>
                          <w:b/>
                          <w:i/>
                          <w:sz w:val="22"/>
                        </w:rPr>
                        <w:t>F</w:t>
                      </w:r>
                      <w:r>
                        <w:rPr>
                          <w:b/>
                          <w:i/>
                          <w:sz w:val="22"/>
                        </w:rPr>
                        <w:t>igure 4.4</w:t>
                      </w:r>
                      <w:r w:rsidRPr="00486D0E">
                        <w:rPr>
                          <w:b/>
                          <w:i/>
                          <w:sz w:val="22"/>
                        </w:rPr>
                        <w:t xml:space="preserve">. </w:t>
                      </w:r>
                      <m:oMath>
                        <m:r>
                          <m:rPr>
                            <m:sty m:val="bi"/>
                          </m:rPr>
                          <w:rPr>
                            <w:rFonts w:ascii="Cambria Math" w:hAnsi="Cambria Math"/>
                            <w:sz w:val="22"/>
                          </w:rPr>
                          <m:t>γ</m:t>
                        </m:r>
                      </m:oMath>
                      <w:r w:rsidRPr="00486D0E">
                        <w:rPr>
                          <w:b/>
                          <w:i/>
                          <w:sz w:val="22"/>
                        </w:rPr>
                        <w:t xml:space="preserve">H2AX/53BP1 </w:t>
                      </w:r>
                      <w:r>
                        <w:rPr>
                          <w:b/>
                          <w:i/>
                          <w:sz w:val="22"/>
                        </w:rPr>
                        <w:t>detection in</w:t>
                      </w:r>
                      <w:r w:rsidRPr="00486D0E">
                        <w:rPr>
                          <w:b/>
                          <w:i/>
                          <w:sz w:val="22"/>
                        </w:rPr>
                        <w:t xml:space="preserve"> SRCAP knockdown cells shows increased DNA damage</w:t>
                      </w:r>
                      <w:r w:rsidRPr="00061CE7">
                        <w:rPr>
                          <w:i/>
                          <w:sz w:val="22"/>
                        </w:rPr>
                        <w:t xml:space="preserve">. </w:t>
                      </w:r>
                    </w:p>
                    <w:p w14:paraId="5DCB6E9E" w14:textId="399957AA" w:rsidR="000A1E0D" w:rsidRDefault="000A1E0D" w:rsidP="00E7213F">
                      <w:pPr>
                        <w:jc w:val="both"/>
                        <w:rPr>
                          <w:i/>
                          <w:sz w:val="22"/>
                        </w:rPr>
                      </w:pPr>
                      <w:r>
                        <w:rPr>
                          <w:i/>
                          <w:sz w:val="22"/>
                        </w:rPr>
                        <w:t xml:space="preserve">a.) SW480 cells seeded onto coverslips and transfected with si6, si7 or control non-specific siRNA for 48hrs and probed for </w:t>
                      </w:r>
                      <m:oMath>
                        <m:r>
                          <w:rPr>
                            <w:rFonts w:ascii="Cambria Math" w:hAnsi="Cambria Math"/>
                            <w:sz w:val="22"/>
                          </w:rPr>
                          <m:t>γ</m:t>
                        </m:r>
                      </m:oMath>
                      <w:r>
                        <w:rPr>
                          <w:i/>
                          <w:sz w:val="22"/>
                        </w:rPr>
                        <w:t xml:space="preserve">H2AX and </w:t>
                      </w:r>
                      <w:r w:rsidRPr="00061CE7">
                        <w:rPr>
                          <w:i/>
                          <w:sz w:val="22"/>
                        </w:rPr>
                        <w:t>53BP1</w:t>
                      </w:r>
                      <w:r>
                        <w:rPr>
                          <w:i/>
                          <w:sz w:val="22"/>
                        </w:rPr>
                        <w:t>.</w:t>
                      </w:r>
                      <w:r w:rsidRPr="00061CE7">
                        <w:rPr>
                          <w:i/>
                          <w:sz w:val="22"/>
                        </w:rPr>
                        <w:t xml:space="preserve"> </w:t>
                      </w:r>
                      <w:r>
                        <w:rPr>
                          <w:i/>
                          <w:sz w:val="22"/>
                        </w:rPr>
                        <w:t xml:space="preserve">The number of foci per cell was counted by eye and an average taken of 100 cells. Again each symbol on the graphs represents an individual experiment and the median and range plotted. After a Kruskal Wallis statistical test both markers were significantly different (SW480: </w:t>
                      </w:r>
                      <m:oMath>
                        <m:r>
                          <w:rPr>
                            <w:rFonts w:ascii="Cambria Math" w:hAnsi="Cambria Math"/>
                            <w:sz w:val="22"/>
                          </w:rPr>
                          <m:t>γ</m:t>
                        </m:r>
                      </m:oMath>
                      <w:r>
                        <w:rPr>
                          <w:i/>
                          <w:sz w:val="22"/>
                        </w:rPr>
                        <w:t>H2AX p=0.03, 53BP1 p=0.0048) and comparing each siRNA to the control individually also gave significance as shown by the stars on the graphs (</w:t>
                      </w:r>
                      <w:r>
                        <w:rPr>
                          <w:i/>
                          <w:sz w:val="22"/>
                          <w:lang w:val="en-US"/>
                        </w:rPr>
                        <w:t>*=p≤0.05, **= p≤0.01), showing an increase in damage when SRCAP is knocked down.</w:t>
                      </w:r>
                    </w:p>
                    <w:p w14:paraId="605F8328" w14:textId="799DF4EC" w:rsidR="000A1E0D" w:rsidRPr="00061CE7" w:rsidRDefault="000A1E0D" w:rsidP="00E7213F">
                      <w:pPr>
                        <w:jc w:val="both"/>
                        <w:rPr>
                          <w:i/>
                          <w:sz w:val="22"/>
                        </w:rPr>
                      </w:pPr>
                      <w:r>
                        <w:rPr>
                          <w:i/>
                          <w:sz w:val="22"/>
                        </w:rPr>
                        <w:t xml:space="preserve">b.) In HCT116 cells using the same experimental and analytical parameters there was a significant result in increasing DNA damage from both markers and both siRNA (HCT116: </w:t>
                      </w:r>
                      <m:oMath>
                        <m:r>
                          <w:rPr>
                            <w:rFonts w:ascii="Cambria Math" w:hAnsi="Cambria Math"/>
                            <w:sz w:val="22"/>
                          </w:rPr>
                          <m:t>γ</m:t>
                        </m:r>
                      </m:oMath>
                      <w:r>
                        <w:rPr>
                          <w:i/>
                          <w:sz w:val="22"/>
                        </w:rPr>
                        <w:t>H2AX p=0.025, 53BP1 p=0.0107), however comparing the siRNA to control individually only showed significance with si7 (</w:t>
                      </w:r>
                      <w:r>
                        <w:rPr>
                          <w:i/>
                          <w:sz w:val="22"/>
                          <w:lang w:val="en-US"/>
                        </w:rPr>
                        <w:t>*=p≤0.05).</w:t>
                      </w:r>
                    </w:p>
                  </w:txbxContent>
                </v:textbox>
                <w10:wrap type="square"/>
              </v:shape>
            </w:pict>
          </mc:Fallback>
        </mc:AlternateContent>
      </w:r>
      <w:r w:rsidRPr="009C2F27">
        <w:t xml:space="preserve">  </w:t>
      </w:r>
      <w:r w:rsidR="00E7213F" w:rsidRPr="00E32997">
        <w:rPr>
          <w:rFonts w:ascii="Calibri" w:hAnsi="Calibri"/>
          <w:noProof/>
          <w:lang w:val="en-US"/>
        </w:rPr>
        <w:drawing>
          <wp:anchor distT="0" distB="0" distL="114300" distR="114300" simplePos="0" relativeHeight="251812864" behindDoc="0" locked="0" layoutInCell="1" allowOverlap="1" wp14:anchorId="490A73C9" wp14:editId="6870CE48">
            <wp:simplePos x="0" y="0"/>
            <wp:positionH relativeFrom="column">
              <wp:posOffset>-114300</wp:posOffset>
            </wp:positionH>
            <wp:positionV relativeFrom="paragraph">
              <wp:posOffset>4572000</wp:posOffset>
            </wp:positionV>
            <wp:extent cx="2971800" cy="1950085"/>
            <wp:effectExtent l="0" t="0" r="0" b="0"/>
            <wp:wrapSquare wrapText="bothSides"/>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1800" cy="1950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2F27">
        <w:t xml:space="preserve"> </w:t>
      </w:r>
      <w:r w:rsidRPr="009C2F27">
        <w:rPr>
          <w:rFonts w:ascii="Calibri" w:hAnsi="Calibri"/>
        </w:rPr>
        <w:t xml:space="preserve">   </w:t>
      </w:r>
      <w:r w:rsidR="00E7213F">
        <w:rPr>
          <w:rFonts w:ascii="Calibri" w:hAnsi="Calibri"/>
          <w:noProof/>
          <w:lang w:val="en-US"/>
        </w:rPr>
        <w:drawing>
          <wp:anchor distT="0" distB="0" distL="114300" distR="114300" simplePos="0" relativeHeight="251768832" behindDoc="0" locked="0" layoutInCell="1" allowOverlap="1" wp14:anchorId="07A009E8" wp14:editId="21EE20D3">
            <wp:simplePos x="0" y="0"/>
            <wp:positionH relativeFrom="column">
              <wp:posOffset>-114300</wp:posOffset>
            </wp:positionH>
            <wp:positionV relativeFrom="paragraph">
              <wp:posOffset>2857500</wp:posOffset>
            </wp:positionV>
            <wp:extent cx="2831465" cy="1629410"/>
            <wp:effectExtent l="0" t="0" r="0" b="0"/>
            <wp:wrapSquare wrapText="bothSides"/>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31465" cy="162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rFonts w:ascii="Calibri" w:hAnsi="Calibri"/>
          <w:noProof/>
          <w:lang w:val="en-US"/>
        </w:rPr>
        <mc:AlternateContent>
          <mc:Choice Requires="wps">
            <w:drawing>
              <wp:anchor distT="0" distB="0" distL="114300" distR="114300" simplePos="0" relativeHeight="251746304" behindDoc="0" locked="0" layoutInCell="1" allowOverlap="1" wp14:anchorId="6F64CAC3" wp14:editId="08C37AD4">
                <wp:simplePos x="0" y="0"/>
                <wp:positionH relativeFrom="column">
                  <wp:posOffset>3771900</wp:posOffset>
                </wp:positionH>
                <wp:positionV relativeFrom="paragraph">
                  <wp:posOffset>-114300</wp:posOffset>
                </wp:positionV>
                <wp:extent cx="1143000" cy="342900"/>
                <wp:effectExtent l="0" t="0" r="0" b="12700"/>
                <wp:wrapSquare wrapText="bothSides"/>
                <wp:docPr id="161" name="Text Box 161"/>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378014" w14:textId="77777777" w:rsidR="00E82D3B" w:rsidRPr="00723EB1" w:rsidRDefault="00E82D3B" w:rsidP="00E7213F">
                            <w:pPr>
                              <w:rPr>
                                <w:rFonts w:asciiTheme="majorHAnsi" w:hAnsiTheme="majorHAnsi"/>
                                <w:b/>
                              </w:rPr>
                            </w:pPr>
                            <w:r>
                              <w:rPr>
                                <w:rFonts w:asciiTheme="majorHAnsi" w:hAnsiTheme="majorHAnsi"/>
                                <w:b/>
                              </w:rPr>
                              <w:t>b</w:t>
                            </w:r>
                            <w:r w:rsidRPr="00723EB1">
                              <w:rPr>
                                <w:rFonts w:asciiTheme="majorHAnsi" w:hAnsiTheme="majorHAnsi"/>
                                <w:b/>
                              </w:rPr>
                              <w:t xml:space="preserve">.) </w:t>
                            </w:r>
                            <w:r>
                              <w:rPr>
                                <w:rFonts w:asciiTheme="majorHAnsi" w:hAnsiTheme="majorHAnsi"/>
                                <w:b/>
                              </w:rPr>
                              <w:t>HCT116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1" o:spid="_x0000_s1106" type="#_x0000_t202" style="position:absolute;left:0;text-align:left;margin-left:297pt;margin-top:-8.95pt;width:90pt;height:27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" filled="f" stroked="f">
                <v:textbox>
                  <w:txbxContent>
                    <w:p w14:paraId="4B378014" w14:textId="77777777" w:rsidR="000A1E0D" w:rsidRPr="00723EB1" w:rsidRDefault="000A1E0D" w:rsidP="00E7213F">
                      <w:pPr>
                        <w:rPr>
                          <w:rFonts w:asciiTheme="majorHAnsi" w:hAnsiTheme="majorHAnsi"/>
                          <w:b/>
                        </w:rPr>
                      </w:pPr>
                      <w:r>
                        <w:rPr>
                          <w:rFonts w:asciiTheme="majorHAnsi" w:hAnsiTheme="majorHAnsi"/>
                          <w:b/>
                        </w:rPr>
                        <w:t>b</w:t>
                      </w:r>
                      <w:r w:rsidRPr="00723EB1">
                        <w:rPr>
                          <w:rFonts w:asciiTheme="majorHAnsi" w:hAnsiTheme="majorHAnsi"/>
                          <w:b/>
                        </w:rPr>
                        <w:t xml:space="preserve">.) </w:t>
                      </w:r>
                      <w:r>
                        <w:rPr>
                          <w:rFonts w:asciiTheme="majorHAnsi" w:hAnsiTheme="majorHAnsi"/>
                          <w:b/>
                        </w:rPr>
                        <w:t>HCT116</w:t>
                      </w:r>
                    </w:p>
                  </w:txbxContent>
                </v:textbox>
                <w10:wrap type="square"/>
              </v:shape>
            </w:pict>
          </mc:Fallback>
        </mc:AlternateContent>
      </w:r>
      <w:r w:rsidR="00E7213F">
        <w:rPr>
          <w:rFonts w:ascii="Calibri" w:hAnsi="Calibri"/>
          <w:noProof/>
          <w:lang w:val="en-US"/>
        </w:rPr>
        <mc:AlternateContent>
          <mc:Choice Requires="wps">
            <w:drawing>
              <wp:anchor distT="0" distB="0" distL="114300" distR="114300" simplePos="0" relativeHeight="251745280" behindDoc="0" locked="0" layoutInCell="1" allowOverlap="1" wp14:anchorId="4E4BBE5A" wp14:editId="4AD26A65">
                <wp:simplePos x="0" y="0"/>
                <wp:positionH relativeFrom="column">
                  <wp:posOffset>914400</wp:posOffset>
                </wp:positionH>
                <wp:positionV relativeFrom="paragraph">
                  <wp:posOffset>-114300</wp:posOffset>
                </wp:positionV>
                <wp:extent cx="1143000" cy="342900"/>
                <wp:effectExtent l="0" t="0" r="0" b="12700"/>
                <wp:wrapSquare wrapText="bothSides"/>
                <wp:docPr id="162" name="Text Box 162"/>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396458" w14:textId="77777777" w:rsidR="00E82D3B" w:rsidRPr="00723EB1" w:rsidRDefault="00E82D3B" w:rsidP="00E7213F">
                            <w:pPr>
                              <w:rPr>
                                <w:rFonts w:asciiTheme="majorHAnsi" w:hAnsiTheme="majorHAnsi"/>
                                <w:b/>
                              </w:rPr>
                            </w:pPr>
                            <w:r w:rsidRPr="00723EB1">
                              <w:rPr>
                                <w:rFonts w:asciiTheme="majorHAnsi" w:hAnsiTheme="majorHAnsi"/>
                                <w:b/>
                              </w:rPr>
                              <w:t>a.) SW480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2" o:spid="_x0000_s1107" type="#_x0000_t202" style="position:absolute;left:0;text-align:left;margin-left:1in;margin-top:-8.95pt;width:90pt;height:27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" filled="f" stroked="f">
                <v:textbox>
                  <w:txbxContent>
                    <w:p w14:paraId="2B396458" w14:textId="77777777" w:rsidR="000A1E0D" w:rsidRPr="00723EB1" w:rsidRDefault="000A1E0D" w:rsidP="00E7213F">
                      <w:pPr>
                        <w:rPr>
                          <w:rFonts w:asciiTheme="majorHAnsi" w:hAnsiTheme="majorHAnsi"/>
                          <w:b/>
                        </w:rPr>
                      </w:pPr>
                      <w:r w:rsidRPr="00723EB1">
                        <w:rPr>
                          <w:rFonts w:asciiTheme="majorHAnsi" w:hAnsiTheme="majorHAnsi"/>
                          <w:b/>
                        </w:rPr>
                        <w:t>a.) SW480</w:t>
                      </w:r>
                    </w:p>
                  </w:txbxContent>
                </v:textbox>
                <w10:wrap type="square"/>
              </v:shape>
            </w:pict>
          </mc:Fallback>
        </mc:AlternateContent>
      </w:r>
      <w:r w:rsidR="00E7213F" w:rsidRPr="003F5D2A">
        <w:rPr>
          <w:rFonts w:ascii="Calibri" w:hAnsi="Calibri"/>
          <w:noProof/>
          <w:lang w:val="en-US"/>
        </w:rPr>
        <w:drawing>
          <wp:anchor distT="0" distB="0" distL="114300" distR="114300" simplePos="0" relativeHeight="251744256" behindDoc="0" locked="0" layoutInCell="1" allowOverlap="1" wp14:anchorId="05488D85" wp14:editId="4B69DF36">
            <wp:simplePos x="0" y="0"/>
            <wp:positionH relativeFrom="column">
              <wp:posOffset>2628900</wp:posOffset>
            </wp:positionH>
            <wp:positionV relativeFrom="paragraph">
              <wp:posOffset>227965</wp:posOffset>
            </wp:positionV>
            <wp:extent cx="2856865" cy="2514600"/>
            <wp:effectExtent l="0" t="0" r="0" b="0"/>
            <wp:wrapSquare wrapText="bothSides"/>
            <wp:docPr id="173" name="Picture 1" descr="Screen Shot 2017-07-18 at 16.3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7-18 at 16.34.20.png"/>
                    <pic:cNvPicPr>
                      <a:picLocks noChangeAspect="1"/>
                    </pic:cNvPicPr>
                  </pic:nvPicPr>
                  <pic:blipFill rotWithShape="1">
                    <a:blip r:embed="rId101">
                      <a:extLst>
                        <a:ext uri="{28A0092B-C50C-407E-A947-70E740481C1C}">
                          <a14:useLocalDpi xmlns:a14="http://schemas.microsoft.com/office/drawing/2010/main" val="0"/>
                        </a:ext>
                      </a:extLst>
                    </a:blip>
                    <a:srcRect r="8105"/>
                    <a:stretch/>
                  </pic:blipFill>
                  <pic:spPr>
                    <a:xfrm>
                      <a:off x="0" y="0"/>
                      <a:ext cx="2856865" cy="2514600"/>
                    </a:xfrm>
                    <a:prstGeom prst="rect">
                      <a:avLst/>
                    </a:prstGeom>
                  </pic:spPr>
                </pic:pic>
              </a:graphicData>
            </a:graphic>
            <wp14:sizeRelH relativeFrom="page">
              <wp14:pctWidth>0</wp14:pctWidth>
            </wp14:sizeRelH>
            <wp14:sizeRelV relativeFrom="page">
              <wp14:pctHeight>0</wp14:pctHeight>
            </wp14:sizeRelV>
          </wp:anchor>
        </w:drawing>
      </w:r>
      <w:r w:rsidR="00E7213F" w:rsidRPr="003F5D2A">
        <w:rPr>
          <w:rFonts w:ascii="Calibri" w:hAnsi="Calibri"/>
          <w:noProof/>
          <w:lang w:val="en-US"/>
        </w:rPr>
        <w:drawing>
          <wp:anchor distT="0" distB="0" distL="114300" distR="114300" simplePos="0" relativeHeight="251743232" behindDoc="0" locked="0" layoutInCell="1" allowOverlap="1" wp14:anchorId="37A507CA" wp14:editId="51289CCF">
            <wp:simplePos x="0" y="0"/>
            <wp:positionH relativeFrom="column">
              <wp:posOffset>-342900</wp:posOffset>
            </wp:positionH>
            <wp:positionV relativeFrom="paragraph">
              <wp:posOffset>106045</wp:posOffset>
            </wp:positionV>
            <wp:extent cx="3006090" cy="2636520"/>
            <wp:effectExtent l="0" t="0" r="0" b="5080"/>
            <wp:wrapSquare wrapText="bothSides"/>
            <wp:docPr id="174" name="Picture 20" descr="Screen Shot 2017-07-19 at 11.4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Screen Shot 2017-07-19 at 11.44.27.png"/>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3006090" cy="2636520"/>
                    </a:xfrm>
                    <a:prstGeom prst="rect">
                      <a:avLst/>
                    </a:prstGeom>
                  </pic:spPr>
                </pic:pic>
              </a:graphicData>
            </a:graphic>
            <wp14:sizeRelH relativeFrom="page">
              <wp14:pctWidth>0</wp14:pctWidth>
            </wp14:sizeRelH>
            <wp14:sizeRelV relativeFrom="page">
              <wp14:pctHeight>0</wp14:pctHeight>
            </wp14:sizeRelV>
          </wp:anchor>
        </w:drawing>
      </w:r>
    </w:p>
    <w:p w14:paraId="30A425AD" w14:textId="44A90D59" w:rsidR="00E7213F" w:rsidRPr="003A482B" w:rsidRDefault="00E5260D" w:rsidP="00E7213F">
      <w:pPr>
        <w:spacing w:line="360" w:lineRule="auto"/>
        <w:jc w:val="both"/>
        <w:rPr>
          <w:rFonts w:ascii="Calibri" w:hAnsi="Calibri"/>
        </w:rPr>
      </w:pPr>
      <w:r>
        <w:rPr>
          <w:noProof/>
          <w:lang w:val="en-US"/>
        </w:rPr>
        <mc:AlternateContent>
          <mc:Choice Requires="wps">
            <w:drawing>
              <wp:anchor distT="0" distB="0" distL="114300" distR="114300" simplePos="0" relativeHeight="251766784" behindDoc="0" locked="0" layoutInCell="1" allowOverlap="1" wp14:anchorId="5B94026B" wp14:editId="40BD7226">
                <wp:simplePos x="0" y="0"/>
                <wp:positionH relativeFrom="column">
                  <wp:posOffset>800100</wp:posOffset>
                </wp:positionH>
                <wp:positionV relativeFrom="paragraph">
                  <wp:posOffset>-114300</wp:posOffset>
                </wp:positionV>
                <wp:extent cx="457200" cy="457200"/>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CB5F15" w14:textId="77777777" w:rsidR="00E82D3B" w:rsidRPr="00EE15D9" w:rsidRDefault="00E82D3B" w:rsidP="00E7213F">
                            <w:pPr>
                              <w:rPr>
                                <w:b/>
                              </w:rPr>
                            </w:pPr>
                            <w:proofErr w:type="gramStart"/>
                            <w:r w:rsidRPr="00EE15D9">
                              <w:rPr>
                                <w:b/>
                              </w:rPr>
                              <w:t>a</w:t>
                            </w:r>
                            <w:proofErr w:type="gramEnd"/>
                            <w:r w:rsidRPr="00EE15D9">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108" type="#_x0000_t202" style="position:absolute;left:0;text-align:left;margin-left:63pt;margin-top:-8.95pt;width:36pt;height:3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" filled="f" stroked="f">
                <v:textbox>
                  <w:txbxContent>
                    <w:p w14:paraId="53CB5F15" w14:textId="77777777" w:rsidR="000A1E0D" w:rsidRPr="00EE15D9" w:rsidRDefault="000A1E0D" w:rsidP="00E7213F">
                      <w:pPr>
                        <w:rPr>
                          <w:b/>
                        </w:rPr>
                      </w:pPr>
                      <w:proofErr w:type="gramStart"/>
                      <w:r w:rsidRPr="00EE15D9">
                        <w:rPr>
                          <w:b/>
                        </w:rPr>
                        <w:t>a</w:t>
                      </w:r>
                      <w:proofErr w:type="gramEnd"/>
                      <w:r w:rsidRPr="00EE15D9">
                        <w:rPr>
                          <w:b/>
                        </w:rPr>
                        <w:t>.)</w:t>
                      </w:r>
                    </w:p>
                  </w:txbxContent>
                </v:textbox>
                <w10:wrap type="square"/>
              </v:shape>
            </w:pict>
          </mc:Fallback>
        </mc:AlternateContent>
      </w:r>
      <w:r>
        <w:rPr>
          <w:rFonts w:ascii="Calibri" w:hAnsi="Calibri"/>
          <w:noProof/>
          <w:lang w:val="en-US"/>
        </w:rPr>
        <w:drawing>
          <wp:anchor distT="0" distB="0" distL="114300" distR="114300" simplePos="0" relativeHeight="251765760" behindDoc="0" locked="0" layoutInCell="1" allowOverlap="1" wp14:anchorId="1E149588" wp14:editId="2F9FC178">
            <wp:simplePos x="0" y="0"/>
            <wp:positionH relativeFrom="column">
              <wp:posOffset>228600</wp:posOffset>
            </wp:positionH>
            <wp:positionV relativeFrom="paragraph">
              <wp:posOffset>1485900</wp:posOffset>
            </wp:positionV>
            <wp:extent cx="5029200" cy="1895475"/>
            <wp:effectExtent l="0" t="0" r="0" b="9525"/>
            <wp:wrapTopAndBottom/>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2920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val="en-US"/>
        </w:rPr>
        <mc:AlternateContent>
          <mc:Choice Requires="wps">
            <w:drawing>
              <wp:anchor distT="0" distB="0" distL="114300" distR="114300" simplePos="0" relativeHeight="251767808" behindDoc="0" locked="0" layoutInCell="1" allowOverlap="1" wp14:anchorId="69409F85" wp14:editId="494C102B">
                <wp:simplePos x="0" y="0"/>
                <wp:positionH relativeFrom="column">
                  <wp:posOffset>114300</wp:posOffset>
                </wp:positionH>
                <wp:positionV relativeFrom="paragraph">
                  <wp:posOffset>1143000</wp:posOffset>
                </wp:positionV>
                <wp:extent cx="457200" cy="457200"/>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0B7DAC" w14:textId="77777777" w:rsidR="00E82D3B" w:rsidRPr="00EE15D9" w:rsidRDefault="00E82D3B" w:rsidP="00E7213F">
                            <w:pPr>
                              <w:rPr>
                                <w:b/>
                              </w:rPr>
                            </w:pPr>
                            <w:proofErr w:type="gramStart"/>
                            <w:r w:rsidRPr="00EE15D9">
                              <w:rPr>
                                <w:b/>
                              </w:rPr>
                              <w:t>b</w:t>
                            </w:r>
                            <w:proofErr w:type="gramEnd"/>
                            <w:r w:rsidRPr="00EE15D9">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3" o:spid="_x0000_s1109" type="#_x0000_t202" style="position:absolute;left:0;text-align:left;margin-left:9pt;margin-top:90pt;width:36pt;height:36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" filled="f" stroked="f">
                <v:textbox>
                  <w:txbxContent>
                    <w:p w14:paraId="3C0B7DAC" w14:textId="77777777" w:rsidR="000A1E0D" w:rsidRPr="00EE15D9" w:rsidRDefault="000A1E0D" w:rsidP="00E7213F">
                      <w:pPr>
                        <w:rPr>
                          <w:b/>
                        </w:rPr>
                      </w:pPr>
                      <w:proofErr w:type="gramStart"/>
                      <w:r w:rsidRPr="00EE15D9">
                        <w:rPr>
                          <w:b/>
                        </w:rPr>
                        <w:t>b</w:t>
                      </w:r>
                      <w:proofErr w:type="gramEnd"/>
                      <w:r w:rsidRPr="00EE15D9">
                        <w:rPr>
                          <w:b/>
                        </w:rPr>
                        <w:t>.)</w:t>
                      </w:r>
                    </w:p>
                  </w:txbxContent>
                </v:textbox>
                <w10:wrap type="square"/>
              </v:shape>
            </w:pict>
          </mc:Fallback>
        </mc:AlternateContent>
      </w:r>
      <w:r>
        <w:rPr>
          <w:rFonts w:ascii="Calibri" w:hAnsi="Calibri"/>
          <w:noProof/>
          <w:lang w:val="en-US"/>
        </w:rPr>
        <w:drawing>
          <wp:anchor distT="0" distB="0" distL="114300" distR="114300" simplePos="0" relativeHeight="251747328" behindDoc="0" locked="0" layoutInCell="1" allowOverlap="1" wp14:anchorId="5057D1D8" wp14:editId="2471E726">
            <wp:simplePos x="0" y="0"/>
            <wp:positionH relativeFrom="column">
              <wp:posOffset>1257300</wp:posOffset>
            </wp:positionH>
            <wp:positionV relativeFrom="paragraph">
              <wp:posOffset>0</wp:posOffset>
            </wp:positionV>
            <wp:extent cx="2743200" cy="1392555"/>
            <wp:effectExtent l="0" t="0" r="0" b="4445"/>
            <wp:wrapTopAndBottom/>
            <wp:docPr id="16" name="Picture 16" descr="Macintosh HD:Users:ClairFellows:Desktop:Screen Shot 2017-07-24 at 14.5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07-24 at 14.52.40.png"/>
                    <pic:cNvPicPr>
                      <a:picLocks noChangeAspect="1" noChangeArrowheads="1"/>
                    </pic:cNvPicPr>
                  </pic:nvPicPr>
                  <pic:blipFill>
                    <a:blip r:embed="rId104">
                      <a:extLst>
                        <a:ext uri="{BEBA8EAE-BF5A-486C-A8C5-ECC9F3942E4B}">
                          <a14:imgProps xmlns:a14="http://schemas.microsoft.com/office/drawing/2010/main">
                            <a14:imgLayer r:embed="rId10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139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sidRPr="00A07C51">
        <w:t xml:space="preserve"> </w:t>
      </w:r>
      <w:r w:rsidR="00E7213F" w:rsidRPr="00A07C51">
        <w:rPr>
          <w:rFonts w:ascii="Calibri" w:hAnsi="Calibri"/>
        </w:rPr>
        <w:t xml:space="preserve"> </w:t>
      </w:r>
    </w:p>
    <w:p w14:paraId="01124960" w14:textId="232E6156" w:rsidR="00E5260D" w:rsidRDefault="00E5260D" w:rsidP="00E7213F">
      <w:pPr>
        <w:spacing w:line="360" w:lineRule="auto"/>
        <w:jc w:val="both"/>
        <w:rPr>
          <w:rFonts w:ascii="Calibri" w:hAnsi="Calibri"/>
        </w:rPr>
      </w:pPr>
    </w:p>
    <w:p w14:paraId="3595A518" w14:textId="322D7E19" w:rsidR="00E5260D" w:rsidRDefault="00C94C19" w:rsidP="00E7213F">
      <w:pPr>
        <w:spacing w:line="360" w:lineRule="auto"/>
        <w:jc w:val="both"/>
        <w:rPr>
          <w:rFonts w:ascii="Calibri" w:hAnsi="Calibri"/>
        </w:rPr>
      </w:pPr>
      <w:r>
        <w:rPr>
          <w:noProof/>
          <w:lang w:val="en-US"/>
        </w:rPr>
        <mc:AlternateContent>
          <mc:Choice Requires="wps">
            <w:drawing>
              <wp:anchor distT="0" distB="0" distL="114300" distR="114300" simplePos="0" relativeHeight="251748352" behindDoc="0" locked="0" layoutInCell="1" allowOverlap="1" wp14:anchorId="0D913149" wp14:editId="0030EBBB">
                <wp:simplePos x="0" y="0"/>
                <wp:positionH relativeFrom="column">
                  <wp:posOffset>-114300</wp:posOffset>
                </wp:positionH>
                <wp:positionV relativeFrom="paragraph">
                  <wp:posOffset>2260600</wp:posOffset>
                </wp:positionV>
                <wp:extent cx="5600700" cy="1485900"/>
                <wp:effectExtent l="0" t="0" r="0" b="12700"/>
                <wp:wrapSquare wrapText="bothSides"/>
                <wp:docPr id="163" name="Text Box 163"/>
                <wp:cNvGraphicFramePr/>
                <a:graphic xmlns:a="http://schemas.openxmlformats.org/drawingml/2006/main">
                  <a:graphicData uri="http://schemas.microsoft.com/office/word/2010/wordprocessingShape">
                    <wps:wsp>
                      <wps:cNvSpPr txBox="1"/>
                      <wps:spPr>
                        <a:xfrm>
                          <a:off x="0" y="0"/>
                          <a:ext cx="56007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E10F8B" w14:textId="09D94C03" w:rsidR="00E82D3B" w:rsidRPr="0059616A" w:rsidRDefault="00E82D3B" w:rsidP="00E7213F">
                            <w:pPr>
                              <w:rPr>
                                <w:b/>
                                <w:i/>
                                <w:sz w:val="22"/>
                                <w:szCs w:val="22"/>
                              </w:rPr>
                            </w:pPr>
                            <w:r w:rsidRPr="0059616A">
                              <w:rPr>
                                <w:b/>
                                <w:i/>
                                <w:sz w:val="22"/>
                                <w:szCs w:val="22"/>
                              </w:rPr>
                              <w:t>F</w:t>
                            </w:r>
                            <w:r>
                              <w:rPr>
                                <w:b/>
                                <w:i/>
                                <w:sz w:val="22"/>
                                <w:szCs w:val="22"/>
                              </w:rPr>
                              <w:t>igure 4</w:t>
                            </w:r>
                            <w:r w:rsidRPr="0059616A">
                              <w:rPr>
                                <w:b/>
                                <w:i/>
                                <w:sz w:val="22"/>
                                <w:szCs w:val="22"/>
                              </w:rPr>
                              <w:t>.5. Differences in pan-nuclear</w:t>
                            </w:r>
                            <w:r w:rsidRPr="0059616A">
                              <w:rPr>
                                <w:rFonts w:ascii="STIXGeneral-Regular" w:hAnsi="STIXGeneral-Regular" w:cs="STIXGeneral-Regular"/>
                                <w:b/>
                                <w:i/>
                                <w:sz w:val="22"/>
                                <w:szCs w:val="22"/>
                              </w:rPr>
                              <w:t>𝛾</w:t>
                            </w:r>
                            <m:oMath>
                              <m:r>
                                <m:rPr>
                                  <m:sty m:val="bi"/>
                                </m:rPr>
                                <w:rPr>
                                  <w:rFonts w:ascii="Cambria Math" w:hAnsi="Cambria Math"/>
                                  <w:sz w:val="22"/>
                                  <w:szCs w:val="22"/>
                                </w:rPr>
                                <m:t>γ</m:t>
                              </m:r>
                            </m:oMath>
                            <w:r w:rsidRPr="0059616A">
                              <w:rPr>
                                <w:b/>
                                <w:i/>
                                <w:sz w:val="22"/>
                                <w:szCs w:val="22"/>
                              </w:rPr>
                              <w:t xml:space="preserve">H2AX were not seen after SRCAP knockdown. </w:t>
                            </w:r>
                          </w:p>
                          <w:p w14:paraId="181E1C18" w14:textId="77777777" w:rsidR="00E82D3B" w:rsidRDefault="00E82D3B" w:rsidP="00E7213F">
                            <w:pPr>
                              <w:jc w:val="both"/>
                              <w:rPr>
                                <w:i/>
                                <w:sz w:val="22"/>
                                <w:szCs w:val="22"/>
                              </w:rPr>
                            </w:pPr>
                            <w:proofErr w:type="gramStart"/>
                            <w:r>
                              <w:rPr>
                                <w:i/>
                                <w:sz w:val="22"/>
                                <w:szCs w:val="22"/>
                              </w:rPr>
                              <w:t>a.) Representative image of HCT116 cells using the</w:t>
                            </w:r>
                            <w:r w:rsidRPr="00A07C51">
                              <w:rPr>
                                <w:i/>
                                <w:sz w:val="22"/>
                                <w:szCs w:val="22"/>
                              </w:rPr>
                              <w:t xml:space="preserve"> </w:t>
                            </w:r>
                            <m:oMath>
                              <m:r>
                                <w:rPr>
                                  <w:rFonts w:ascii="Cambria Math" w:hAnsi="Cambria Math"/>
                                  <w:sz w:val="22"/>
                                  <w:szCs w:val="22"/>
                                </w:rPr>
                                <m:t>γ</m:t>
                              </m:r>
                            </m:oMath>
                            <w:r w:rsidRPr="00A07C51">
                              <w:rPr>
                                <w:i/>
                                <w:sz w:val="22"/>
                                <w:szCs w:val="22"/>
                              </w:rPr>
                              <w:t>H2AX</w:t>
                            </w:r>
                            <w:r>
                              <w:rPr>
                                <w:i/>
                                <w:sz w:val="22"/>
                                <w:szCs w:val="22"/>
                              </w:rPr>
                              <w:t xml:space="preserve"> antibody with the arrow indicating a cell that was scored as pan </w:t>
                            </w:r>
                            <m:oMath>
                              <m:r>
                                <w:rPr>
                                  <w:rFonts w:ascii="Cambria Math" w:hAnsi="Cambria Math"/>
                                  <w:sz w:val="22"/>
                                  <w:szCs w:val="22"/>
                                </w:rPr>
                                <m:t>γ</m:t>
                              </m:r>
                            </m:oMath>
                            <w:r w:rsidRPr="00A07C51">
                              <w:rPr>
                                <w:i/>
                                <w:sz w:val="22"/>
                                <w:szCs w:val="22"/>
                              </w:rPr>
                              <w:t>H2AX</w:t>
                            </w:r>
                            <w:r>
                              <w:rPr>
                                <w:i/>
                                <w:sz w:val="22"/>
                                <w:szCs w:val="22"/>
                              </w:rPr>
                              <w:t>.</w:t>
                            </w:r>
                            <w:proofErr w:type="gramEnd"/>
                          </w:p>
                          <w:p w14:paraId="56287AF7" w14:textId="657949E1" w:rsidR="00E82D3B" w:rsidRPr="0059616A" w:rsidRDefault="00E82D3B" w:rsidP="00E7213F">
                            <w:pPr>
                              <w:jc w:val="both"/>
                              <w:rPr>
                                <w:i/>
                                <w:sz w:val="22"/>
                                <w:szCs w:val="22"/>
                              </w:rPr>
                            </w:pPr>
                            <w:r>
                              <w:rPr>
                                <w:i/>
                                <w:sz w:val="22"/>
                                <w:szCs w:val="22"/>
                              </w:rPr>
                              <w:t xml:space="preserve">b.) </w:t>
                            </w:r>
                            <w:r w:rsidRPr="0059616A">
                              <w:rPr>
                                <w:i/>
                                <w:sz w:val="22"/>
                                <w:szCs w:val="22"/>
                              </w:rPr>
                              <w:t xml:space="preserve">The number of pan-nuclear </w:t>
                            </w:r>
                            <m:oMath>
                              <m:r>
                                <w:rPr>
                                  <w:rFonts w:ascii="Cambria Math" w:hAnsi="Cambria Math"/>
                                  <w:sz w:val="22"/>
                                  <w:szCs w:val="22"/>
                                </w:rPr>
                                <m:t>γ</m:t>
                              </m:r>
                            </m:oMath>
                            <w:r w:rsidRPr="0059616A">
                              <w:rPr>
                                <w:i/>
                                <w:sz w:val="22"/>
                                <w:szCs w:val="22"/>
                              </w:rPr>
                              <w:t xml:space="preserve">H2AX cells was counted, and a percentage of the total number of cells taken for both SW480 and HCT116 cell lines. The graphs show the average for each experiment as a separate symbol with the </w:t>
                            </w:r>
                            <w:r>
                              <w:rPr>
                                <w:i/>
                                <w:sz w:val="22"/>
                                <w:szCs w:val="22"/>
                              </w:rPr>
                              <w:t xml:space="preserve">median and range </w:t>
                            </w:r>
                            <w:r w:rsidRPr="0059616A">
                              <w:rPr>
                                <w:i/>
                                <w:sz w:val="22"/>
                                <w:szCs w:val="22"/>
                              </w:rPr>
                              <w:t xml:space="preserve">shown. Using a Kruskal-Wallis non-parametric test there was no significant difference in the percentage of pan </w:t>
                            </w:r>
                            <m:oMath>
                              <m:r>
                                <w:rPr>
                                  <w:rFonts w:ascii="Cambria Math" w:hAnsi="Cambria Math"/>
                                  <w:sz w:val="22"/>
                                  <w:szCs w:val="22"/>
                                </w:rPr>
                                <m:t>γ</m:t>
                              </m:r>
                            </m:oMath>
                            <w:r w:rsidRPr="0059616A">
                              <w:rPr>
                                <w:i/>
                                <w:sz w:val="22"/>
                                <w:szCs w:val="22"/>
                              </w:rPr>
                              <w:t xml:space="preserve">H2AX </w:t>
                            </w:r>
                            <w:r>
                              <w:rPr>
                                <w:i/>
                                <w:sz w:val="22"/>
                                <w:szCs w:val="22"/>
                              </w:rPr>
                              <w:t xml:space="preserve">between any of the groups </w:t>
                            </w:r>
                            <w:r w:rsidRPr="0059616A">
                              <w:rPr>
                                <w:i/>
                                <w:sz w:val="22"/>
                                <w:szCs w:val="22"/>
                              </w:rPr>
                              <w:t>(</w:t>
                            </w:r>
                            <w:r w:rsidRPr="0059616A">
                              <w:rPr>
                                <w:i/>
                                <w:sz w:val="22"/>
                                <w:szCs w:val="22"/>
                                <w:lang w:val="en-US"/>
                              </w:rPr>
                              <w:t>SW480: p=0.4360, HCT116: p=0.4393).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 o:spid="_x0000_s1110" type="#_x0000_t202" style="position:absolute;left:0;text-align:left;margin-left:-8.95pt;margin-top:178pt;width:441pt;height:11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g9V9QCAAAbBgAADgAAAGRycy9lMm9Eb2MueG1srFRLb9swDL4P2H8QdE9tZ06a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" filled="f" stroked="f">
                <v:textbox>
                  <w:txbxContent>
                    <w:p w14:paraId="1FE10F8B" w14:textId="09D94C03" w:rsidR="000A1E0D" w:rsidRPr="0059616A" w:rsidRDefault="000A1E0D" w:rsidP="00E7213F">
                      <w:pPr>
                        <w:rPr>
                          <w:b/>
                          <w:i/>
                          <w:sz w:val="22"/>
                          <w:szCs w:val="22"/>
                        </w:rPr>
                      </w:pPr>
                      <w:r w:rsidRPr="0059616A">
                        <w:rPr>
                          <w:b/>
                          <w:i/>
                          <w:sz w:val="22"/>
                          <w:szCs w:val="22"/>
                        </w:rPr>
                        <w:t>F</w:t>
                      </w:r>
                      <w:r>
                        <w:rPr>
                          <w:b/>
                          <w:i/>
                          <w:sz w:val="22"/>
                          <w:szCs w:val="22"/>
                        </w:rPr>
                        <w:t>igure 4</w:t>
                      </w:r>
                      <w:r w:rsidRPr="0059616A">
                        <w:rPr>
                          <w:b/>
                          <w:i/>
                          <w:sz w:val="22"/>
                          <w:szCs w:val="22"/>
                        </w:rPr>
                        <w:t>.5. Differences in pan-nuclear</w:t>
                      </w:r>
                      <w:r w:rsidRPr="0059616A">
                        <w:rPr>
                          <w:rFonts w:ascii="STIXGeneral-Regular" w:hAnsi="STIXGeneral-Regular" w:cs="STIXGeneral-Regular"/>
                          <w:b/>
                          <w:i/>
                          <w:sz w:val="22"/>
                          <w:szCs w:val="22"/>
                        </w:rPr>
                        <w:t>𝛾</w:t>
                      </w:r>
                      <m:oMath>
                        <m:r>
                          <m:rPr>
                            <m:sty m:val="bi"/>
                          </m:rPr>
                          <w:rPr>
                            <w:rFonts w:ascii="Cambria Math" w:hAnsi="Cambria Math"/>
                            <w:sz w:val="22"/>
                            <w:szCs w:val="22"/>
                          </w:rPr>
                          <m:t>γ</m:t>
                        </m:r>
                      </m:oMath>
                      <w:r w:rsidRPr="0059616A">
                        <w:rPr>
                          <w:b/>
                          <w:i/>
                          <w:sz w:val="22"/>
                          <w:szCs w:val="22"/>
                        </w:rPr>
                        <w:t xml:space="preserve">H2AX were not seen after SRCAP knockdown. </w:t>
                      </w:r>
                    </w:p>
                    <w:p w14:paraId="181E1C18" w14:textId="77777777" w:rsidR="000A1E0D" w:rsidRDefault="000A1E0D" w:rsidP="00E7213F">
                      <w:pPr>
                        <w:jc w:val="both"/>
                        <w:rPr>
                          <w:i/>
                          <w:sz w:val="22"/>
                          <w:szCs w:val="22"/>
                        </w:rPr>
                      </w:pPr>
                      <w:proofErr w:type="gramStart"/>
                      <w:r>
                        <w:rPr>
                          <w:i/>
                          <w:sz w:val="22"/>
                          <w:szCs w:val="22"/>
                        </w:rPr>
                        <w:t>a.) Representative image of HCT116 cells using the</w:t>
                      </w:r>
                      <w:r w:rsidRPr="00A07C51">
                        <w:rPr>
                          <w:i/>
                          <w:sz w:val="22"/>
                          <w:szCs w:val="22"/>
                        </w:rPr>
                        <w:t xml:space="preserve"> </w:t>
                      </w:r>
                      <m:oMath>
                        <m:r>
                          <w:rPr>
                            <w:rFonts w:ascii="Cambria Math" w:hAnsi="Cambria Math"/>
                            <w:sz w:val="22"/>
                            <w:szCs w:val="22"/>
                          </w:rPr>
                          <m:t>γ</m:t>
                        </m:r>
                      </m:oMath>
                      <w:r w:rsidRPr="00A07C51">
                        <w:rPr>
                          <w:i/>
                          <w:sz w:val="22"/>
                          <w:szCs w:val="22"/>
                        </w:rPr>
                        <w:t>H2AX</w:t>
                      </w:r>
                      <w:r>
                        <w:rPr>
                          <w:i/>
                          <w:sz w:val="22"/>
                          <w:szCs w:val="22"/>
                        </w:rPr>
                        <w:t xml:space="preserve"> antibody with the arrow indicating a cell that was scored as pan </w:t>
                      </w:r>
                      <m:oMath>
                        <m:r>
                          <w:rPr>
                            <w:rFonts w:ascii="Cambria Math" w:hAnsi="Cambria Math"/>
                            <w:sz w:val="22"/>
                            <w:szCs w:val="22"/>
                          </w:rPr>
                          <m:t>γ</m:t>
                        </m:r>
                      </m:oMath>
                      <w:r w:rsidRPr="00A07C51">
                        <w:rPr>
                          <w:i/>
                          <w:sz w:val="22"/>
                          <w:szCs w:val="22"/>
                        </w:rPr>
                        <w:t>H2AX</w:t>
                      </w:r>
                      <w:r>
                        <w:rPr>
                          <w:i/>
                          <w:sz w:val="22"/>
                          <w:szCs w:val="22"/>
                        </w:rPr>
                        <w:t>.</w:t>
                      </w:r>
                      <w:proofErr w:type="gramEnd"/>
                    </w:p>
                    <w:p w14:paraId="56287AF7" w14:textId="657949E1" w:rsidR="000A1E0D" w:rsidRPr="0059616A" w:rsidRDefault="000A1E0D" w:rsidP="00E7213F">
                      <w:pPr>
                        <w:jc w:val="both"/>
                        <w:rPr>
                          <w:i/>
                          <w:sz w:val="22"/>
                          <w:szCs w:val="22"/>
                        </w:rPr>
                      </w:pPr>
                      <w:r>
                        <w:rPr>
                          <w:i/>
                          <w:sz w:val="22"/>
                          <w:szCs w:val="22"/>
                        </w:rPr>
                        <w:t xml:space="preserve">b.) </w:t>
                      </w:r>
                      <w:r w:rsidRPr="0059616A">
                        <w:rPr>
                          <w:i/>
                          <w:sz w:val="22"/>
                          <w:szCs w:val="22"/>
                        </w:rPr>
                        <w:t xml:space="preserve">The number of pan-nuclear </w:t>
                      </w:r>
                      <m:oMath>
                        <m:r>
                          <w:rPr>
                            <w:rFonts w:ascii="Cambria Math" w:hAnsi="Cambria Math"/>
                            <w:sz w:val="22"/>
                            <w:szCs w:val="22"/>
                          </w:rPr>
                          <m:t>γ</m:t>
                        </m:r>
                      </m:oMath>
                      <w:r w:rsidRPr="0059616A">
                        <w:rPr>
                          <w:i/>
                          <w:sz w:val="22"/>
                          <w:szCs w:val="22"/>
                        </w:rPr>
                        <w:t xml:space="preserve">H2AX cells was counted, and a percentage of the total number of cells taken for both SW480 and HCT116 cell lines. The graphs show the average for each experiment as a separate symbol with the </w:t>
                      </w:r>
                      <w:r>
                        <w:rPr>
                          <w:i/>
                          <w:sz w:val="22"/>
                          <w:szCs w:val="22"/>
                        </w:rPr>
                        <w:t xml:space="preserve">median and range </w:t>
                      </w:r>
                      <w:r w:rsidRPr="0059616A">
                        <w:rPr>
                          <w:i/>
                          <w:sz w:val="22"/>
                          <w:szCs w:val="22"/>
                        </w:rPr>
                        <w:t xml:space="preserve">shown. Using a Kruskal-Wallis non-parametric test there was no significant difference in the percentage of pan </w:t>
                      </w:r>
                      <m:oMath>
                        <m:r>
                          <w:rPr>
                            <w:rFonts w:ascii="Cambria Math" w:hAnsi="Cambria Math"/>
                            <w:sz w:val="22"/>
                            <w:szCs w:val="22"/>
                          </w:rPr>
                          <m:t>γ</m:t>
                        </m:r>
                      </m:oMath>
                      <w:r w:rsidRPr="0059616A">
                        <w:rPr>
                          <w:i/>
                          <w:sz w:val="22"/>
                          <w:szCs w:val="22"/>
                        </w:rPr>
                        <w:t xml:space="preserve">H2AX </w:t>
                      </w:r>
                      <w:r>
                        <w:rPr>
                          <w:i/>
                          <w:sz w:val="22"/>
                          <w:szCs w:val="22"/>
                        </w:rPr>
                        <w:t xml:space="preserve">between any of the groups </w:t>
                      </w:r>
                      <w:r w:rsidRPr="0059616A">
                        <w:rPr>
                          <w:i/>
                          <w:sz w:val="22"/>
                          <w:szCs w:val="22"/>
                        </w:rPr>
                        <w:t>(</w:t>
                      </w:r>
                      <w:r w:rsidRPr="0059616A">
                        <w:rPr>
                          <w:i/>
                          <w:sz w:val="22"/>
                          <w:szCs w:val="22"/>
                          <w:lang w:val="en-US"/>
                        </w:rPr>
                        <w:t>SW480: p=0.4360, HCT116: p=0.4393).</w:t>
                      </w:r>
                    </w:p>
                  </w:txbxContent>
                </v:textbox>
                <w10:wrap type="square"/>
              </v:shape>
            </w:pict>
          </mc:Fallback>
        </mc:AlternateContent>
      </w:r>
    </w:p>
    <w:p w14:paraId="3C45386B" w14:textId="63CA6057" w:rsidR="00E5260D" w:rsidRDefault="00E7213F" w:rsidP="006D16BD">
      <w:pPr>
        <w:spacing w:line="360" w:lineRule="auto"/>
        <w:jc w:val="both"/>
        <w:rPr>
          <w:rFonts w:ascii="Calibri" w:hAnsi="Calibri"/>
        </w:rPr>
      </w:pPr>
      <w:r>
        <w:rPr>
          <w:rFonts w:ascii="Calibri" w:hAnsi="Calibri"/>
        </w:rPr>
        <w:t>In addition to assessing markers of DNA damage, an</w:t>
      </w:r>
      <w:r w:rsidRPr="00FC4592">
        <w:rPr>
          <w:rFonts w:ascii="Calibri" w:hAnsi="Calibri"/>
        </w:rPr>
        <w:t xml:space="preserve"> alkaline comet assay was </w:t>
      </w:r>
      <w:r w:rsidR="00222D21">
        <w:rPr>
          <w:rFonts w:ascii="Calibri" w:hAnsi="Calibri"/>
        </w:rPr>
        <w:t>carried out</w:t>
      </w:r>
      <w:r w:rsidRPr="00FC4592">
        <w:rPr>
          <w:rFonts w:ascii="Calibri" w:hAnsi="Calibri"/>
        </w:rPr>
        <w:t xml:space="preserve"> to </w:t>
      </w:r>
      <w:r>
        <w:rPr>
          <w:rFonts w:ascii="Calibri" w:hAnsi="Calibri"/>
        </w:rPr>
        <w:t xml:space="preserve">directly visualise </w:t>
      </w:r>
      <w:r w:rsidRPr="00FC4592">
        <w:rPr>
          <w:rFonts w:ascii="Calibri" w:hAnsi="Calibri"/>
        </w:rPr>
        <w:t xml:space="preserve">DNA </w:t>
      </w:r>
      <w:r>
        <w:rPr>
          <w:rFonts w:ascii="Calibri" w:hAnsi="Calibri"/>
        </w:rPr>
        <w:t xml:space="preserve">damage </w:t>
      </w:r>
      <w:r w:rsidRPr="00FC4592">
        <w:rPr>
          <w:rFonts w:ascii="Calibri" w:hAnsi="Calibri"/>
        </w:rPr>
        <w:t xml:space="preserve">after </w:t>
      </w:r>
      <w:r w:rsidRPr="006E381C">
        <w:rPr>
          <w:rFonts w:ascii="Calibri" w:hAnsi="Calibri"/>
          <w:i/>
        </w:rPr>
        <w:t>SRCAP</w:t>
      </w:r>
      <w:r w:rsidRPr="00FC4592">
        <w:rPr>
          <w:rFonts w:ascii="Calibri" w:hAnsi="Calibri"/>
        </w:rPr>
        <w:t xml:space="preserve"> </w:t>
      </w:r>
      <w:r w:rsidR="00A40F61">
        <w:rPr>
          <w:rFonts w:ascii="Calibri" w:hAnsi="Calibri"/>
        </w:rPr>
        <w:t>knock</w:t>
      </w:r>
      <w:r>
        <w:rPr>
          <w:rFonts w:ascii="Calibri" w:hAnsi="Calibri"/>
        </w:rPr>
        <w:t>down with siRNA. Three repeat experiments showed that there was a significant increase in comet tail</w:t>
      </w:r>
      <w:r w:rsidR="00C94C19">
        <w:rPr>
          <w:rFonts w:ascii="Calibri" w:hAnsi="Calibri"/>
        </w:rPr>
        <w:t xml:space="preserve"> moment, in both cell lines but only </w:t>
      </w:r>
      <w:r>
        <w:rPr>
          <w:rFonts w:ascii="Calibri" w:hAnsi="Calibri"/>
        </w:rPr>
        <w:t xml:space="preserve">with </w:t>
      </w:r>
      <w:r w:rsidR="00C94C19">
        <w:rPr>
          <w:rFonts w:ascii="Calibri" w:hAnsi="Calibri"/>
        </w:rPr>
        <w:t>si6, only si7 was showing a trend towards a significant increase in damage</w:t>
      </w:r>
      <w:r>
        <w:rPr>
          <w:rFonts w:ascii="Calibri" w:hAnsi="Calibri"/>
        </w:rPr>
        <w:t xml:space="preserve"> (Figure 4.6</w:t>
      </w:r>
      <w:r w:rsidRPr="00E83A72">
        <w:rPr>
          <w:rFonts w:ascii="Calibri" w:hAnsi="Calibri"/>
        </w:rPr>
        <w:t xml:space="preserve">). Therefore, the comet data is consistent with the IF data, in that when </w:t>
      </w:r>
      <w:r w:rsidRPr="00E83A72">
        <w:rPr>
          <w:rFonts w:ascii="Calibri" w:hAnsi="Calibri"/>
          <w:i/>
        </w:rPr>
        <w:t>SRCAP</w:t>
      </w:r>
      <w:r w:rsidRPr="00E83A72">
        <w:rPr>
          <w:rFonts w:ascii="Calibri" w:hAnsi="Calibri"/>
        </w:rPr>
        <w:t xml:space="preserve"> is knocked down there is an increase in DNA damage in both co</w:t>
      </w:r>
      <w:r w:rsidR="00222D21" w:rsidRPr="00E83A72">
        <w:rPr>
          <w:rFonts w:ascii="Calibri" w:hAnsi="Calibri"/>
        </w:rPr>
        <w:t>lorectal cancer cell lines</w:t>
      </w:r>
      <w:r w:rsidR="002F04E4" w:rsidRPr="00E83A72">
        <w:rPr>
          <w:rFonts w:ascii="Calibri" w:hAnsi="Calibri"/>
        </w:rPr>
        <w:t>. H</w:t>
      </w:r>
      <w:r w:rsidR="00C94C19" w:rsidRPr="00E83A72">
        <w:rPr>
          <w:rFonts w:ascii="Calibri" w:hAnsi="Calibri"/>
        </w:rPr>
        <w:t>owever</w:t>
      </w:r>
      <w:r w:rsidR="002F04E4" w:rsidRPr="00E83A72">
        <w:rPr>
          <w:rFonts w:ascii="Calibri" w:hAnsi="Calibri"/>
        </w:rPr>
        <w:t>,</w:t>
      </w:r>
      <w:r w:rsidR="00C94C19" w:rsidRPr="00E83A72">
        <w:rPr>
          <w:rFonts w:ascii="Calibri" w:hAnsi="Calibri"/>
        </w:rPr>
        <w:t xml:space="preserve"> in HCT116 cells in the IF data</w:t>
      </w:r>
      <w:r w:rsidR="00682192" w:rsidRPr="00E83A72">
        <w:rPr>
          <w:rFonts w:ascii="Calibri" w:hAnsi="Calibri"/>
        </w:rPr>
        <w:t xml:space="preserve"> only DNA </w:t>
      </w:r>
      <w:proofErr w:type="gramStart"/>
      <w:r w:rsidR="00682192" w:rsidRPr="00E83A72">
        <w:rPr>
          <w:rFonts w:ascii="Calibri" w:hAnsi="Calibri"/>
        </w:rPr>
        <w:t>damage</w:t>
      </w:r>
      <w:proofErr w:type="gramEnd"/>
      <w:r w:rsidR="00682192" w:rsidRPr="00E83A72">
        <w:rPr>
          <w:rFonts w:ascii="Calibri" w:hAnsi="Calibri"/>
        </w:rPr>
        <w:t xml:space="preserve"> after si7 knock down was statistically significantly increased</w:t>
      </w:r>
      <w:r w:rsidR="00222D21" w:rsidRPr="00E83A72">
        <w:rPr>
          <w:rFonts w:ascii="Calibri" w:hAnsi="Calibri"/>
        </w:rPr>
        <w:t xml:space="preserve">. </w:t>
      </w:r>
      <w:r w:rsidRPr="00E83A72">
        <w:rPr>
          <w:rFonts w:ascii="Calibri" w:hAnsi="Calibri"/>
        </w:rPr>
        <w:t>Looking</w:t>
      </w:r>
      <w:r>
        <w:rPr>
          <w:rFonts w:ascii="Calibri" w:hAnsi="Calibri"/>
        </w:rPr>
        <w:t xml:space="preserve"> back at the initial knockdown data</w:t>
      </w:r>
      <w:r w:rsidR="00222D21">
        <w:rPr>
          <w:rFonts w:ascii="Calibri" w:hAnsi="Calibri"/>
        </w:rPr>
        <w:t xml:space="preserve"> (Figure 4.1)</w:t>
      </w:r>
      <w:r>
        <w:rPr>
          <w:rFonts w:ascii="Calibri" w:hAnsi="Calibri"/>
        </w:rPr>
        <w:t xml:space="preserve"> </w:t>
      </w:r>
      <w:r w:rsidR="00222D21">
        <w:rPr>
          <w:rFonts w:ascii="Calibri" w:hAnsi="Calibri"/>
        </w:rPr>
        <w:t>there is</w:t>
      </w:r>
      <w:r>
        <w:rPr>
          <w:rFonts w:ascii="Calibri" w:hAnsi="Calibri"/>
        </w:rPr>
        <w:t xml:space="preserve"> a greater </w:t>
      </w:r>
      <w:r w:rsidRPr="003B48C3">
        <w:rPr>
          <w:rFonts w:ascii="Calibri" w:hAnsi="Calibri"/>
          <w:i/>
        </w:rPr>
        <w:t>SRCAP</w:t>
      </w:r>
      <w:r w:rsidR="00A40F61">
        <w:rPr>
          <w:rFonts w:ascii="Calibri" w:hAnsi="Calibri"/>
        </w:rPr>
        <w:t xml:space="preserve"> knock</w:t>
      </w:r>
      <w:r>
        <w:rPr>
          <w:rFonts w:ascii="Calibri" w:hAnsi="Calibri"/>
        </w:rPr>
        <w:t xml:space="preserve">down with si6 in SW480 cells, which may explain the more significant DNA damage. </w:t>
      </w:r>
      <w:r w:rsidR="00C94C19">
        <w:rPr>
          <w:rFonts w:ascii="Calibri" w:hAnsi="Calibri"/>
        </w:rPr>
        <w:t>Also si6 wasn’t statistically significantly knocked down in HCT116 cells</w:t>
      </w:r>
      <w:r w:rsidR="006D16BD">
        <w:rPr>
          <w:rFonts w:ascii="Calibri" w:hAnsi="Calibri"/>
        </w:rPr>
        <w:t>,</w:t>
      </w:r>
      <w:r w:rsidR="00C94C19">
        <w:rPr>
          <w:rFonts w:ascii="Calibri" w:hAnsi="Calibri"/>
        </w:rPr>
        <w:t xml:space="preserve"> which may explain </w:t>
      </w:r>
      <w:r w:rsidR="006D16BD">
        <w:rPr>
          <w:rFonts w:ascii="Calibri" w:hAnsi="Calibri"/>
        </w:rPr>
        <w:t>why the IF data also wasn’t significant.</w:t>
      </w:r>
    </w:p>
    <w:p w14:paraId="7B5B693C" w14:textId="4EEDA9E7" w:rsidR="00E5260D" w:rsidRPr="00E5260D" w:rsidRDefault="00C94C19" w:rsidP="00E5260D">
      <w:pPr>
        <w:spacing w:line="360" w:lineRule="auto"/>
        <w:jc w:val="both"/>
        <w:rPr>
          <w:rFonts w:ascii="Calibri" w:hAnsi="Calibri"/>
          <w:i/>
        </w:rPr>
      </w:pPr>
      <w:r>
        <w:rPr>
          <w:rFonts w:ascii="Calibri" w:hAnsi="Calibri"/>
          <w:i/>
          <w:noProof/>
          <w:lang w:val="en-US"/>
        </w:rPr>
        <w:drawing>
          <wp:anchor distT="0" distB="0" distL="114300" distR="114300" simplePos="0" relativeHeight="252205056" behindDoc="0" locked="0" layoutInCell="1" allowOverlap="1" wp14:anchorId="0C89F911" wp14:editId="6F47DAAC">
            <wp:simplePos x="0" y="0"/>
            <wp:positionH relativeFrom="column">
              <wp:posOffset>2057400</wp:posOffset>
            </wp:positionH>
            <wp:positionV relativeFrom="paragraph">
              <wp:posOffset>342900</wp:posOffset>
            </wp:positionV>
            <wp:extent cx="3642995" cy="1286510"/>
            <wp:effectExtent l="0" t="0" r="0" b="8890"/>
            <wp:wrapSquare wrapText="bothSides"/>
            <wp:docPr id="2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42995" cy="1286510"/>
                    </a:xfrm>
                    <a:prstGeom prst="rect">
                      <a:avLst/>
                    </a:prstGeom>
                    <a:noFill/>
                    <a:ln>
                      <a:noFill/>
                    </a:ln>
                  </pic:spPr>
                </pic:pic>
              </a:graphicData>
            </a:graphic>
            <wp14:sizeRelH relativeFrom="page">
              <wp14:pctWidth>0</wp14:pctWidth>
            </wp14:sizeRelH>
            <wp14:sizeRelV relativeFrom="page">
              <wp14:pctHeight>0</wp14:pctHeight>
            </wp14:sizeRelV>
          </wp:anchor>
        </w:drawing>
      </w:r>
      <w:r w:rsidR="00E5260D">
        <w:rPr>
          <w:rFonts w:ascii="Calibri" w:hAnsi="Calibri"/>
          <w:i/>
          <w:noProof/>
          <w:lang w:val="en-US"/>
        </w:rPr>
        <mc:AlternateContent>
          <mc:Choice Requires="wps">
            <w:drawing>
              <wp:anchor distT="0" distB="0" distL="114300" distR="114300" simplePos="0" relativeHeight="251771904" behindDoc="0" locked="0" layoutInCell="1" allowOverlap="1" wp14:anchorId="5A5BCD00" wp14:editId="07FFAD9A">
                <wp:simplePos x="0" y="0"/>
                <wp:positionH relativeFrom="column">
                  <wp:posOffset>-114300</wp:posOffset>
                </wp:positionH>
                <wp:positionV relativeFrom="paragraph">
                  <wp:posOffset>0</wp:posOffset>
                </wp:positionV>
                <wp:extent cx="571500" cy="571500"/>
                <wp:effectExtent l="0" t="0" r="0" b="12700"/>
                <wp:wrapSquare wrapText="bothSides"/>
                <wp:docPr id="103" name="Text Box 103"/>
                <wp:cNvGraphicFramePr/>
                <a:graphic xmlns:a="http://schemas.openxmlformats.org/drawingml/2006/main">
                  <a:graphicData uri="http://schemas.microsoft.com/office/word/2010/wordprocessingShape">
                    <wps:wsp>
                      <wps:cNvSpPr txBox="1"/>
                      <wps:spPr>
                        <a:xfrm>
                          <a:off x="0" y="0"/>
                          <a:ext cx="5715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02430C" w14:textId="77777777" w:rsidR="00E82D3B" w:rsidRPr="00F475EF" w:rsidRDefault="00E82D3B" w:rsidP="00E7213F">
                            <w:pPr>
                              <w:rPr>
                                <w:b/>
                              </w:rPr>
                            </w:pPr>
                            <w:proofErr w:type="gramStart"/>
                            <w:r w:rsidRPr="00F475EF">
                              <w:rPr>
                                <w:b/>
                              </w:rPr>
                              <w:t>a</w:t>
                            </w:r>
                            <w:proofErr w:type="gramEnd"/>
                            <w:r w:rsidRPr="00F475EF">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 o:spid="_x0000_s1111" type="#_x0000_t202" style="position:absolute;left:0;text-align:left;margin-left:-8.95pt;margin-top:0;width:45pt;height: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" filled="f" stroked="f">
                <v:textbox>
                  <w:txbxContent>
                    <w:p w14:paraId="6A02430C" w14:textId="77777777" w:rsidR="000A1E0D" w:rsidRPr="00F475EF" w:rsidRDefault="000A1E0D" w:rsidP="00E7213F">
                      <w:pPr>
                        <w:rPr>
                          <w:b/>
                        </w:rPr>
                      </w:pPr>
                      <w:proofErr w:type="gramStart"/>
                      <w:r w:rsidRPr="00F475EF">
                        <w:rPr>
                          <w:b/>
                        </w:rPr>
                        <w:t>a</w:t>
                      </w:r>
                      <w:proofErr w:type="gramEnd"/>
                      <w:r w:rsidRPr="00F475EF">
                        <w:rPr>
                          <w:b/>
                        </w:rPr>
                        <w:t>.)</w:t>
                      </w:r>
                    </w:p>
                  </w:txbxContent>
                </v:textbox>
                <w10:wrap type="square"/>
              </v:shape>
            </w:pict>
          </mc:Fallback>
        </mc:AlternateContent>
      </w:r>
      <w:r w:rsidR="00E5260D">
        <w:rPr>
          <w:rFonts w:ascii="Calibri" w:hAnsi="Calibri"/>
          <w:noProof/>
          <w:lang w:val="en-US"/>
        </w:rPr>
        <w:drawing>
          <wp:anchor distT="0" distB="0" distL="114300" distR="114300" simplePos="0" relativeHeight="251793408" behindDoc="0" locked="0" layoutInCell="1" allowOverlap="1" wp14:anchorId="037D8824" wp14:editId="59E1B9E7">
            <wp:simplePos x="0" y="0"/>
            <wp:positionH relativeFrom="column">
              <wp:posOffset>-114300</wp:posOffset>
            </wp:positionH>
            <wp:positionV relativeFrom="paragraph">
              <wp:posOffset>228600</wp:posOffset>
            </wp:positionV>
            <wp:extent cx="2057400" cy="1382395"/>
            <wp:effectExtent l="0" t="0" r="0" b="0"/>
            <wp:wrapSquare wrapText="bothSides"/>
            <wp:docPr id="175" name="Picture 175" descr="Macintosh HD:Users:ClairFellows:Desktop:Screen Shot 2017-09-20 at 13.5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09-20 at 13.59.21.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57400"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E5260D">
        <w:rPr>
          <w:rFonts w:ascii="Calibri" w:hAnsi="Calibri"/>
          <w:i/>
          <w:noProof/>
          <w:lang w:val="en-US"/>
        </w:rPr>
        <mc:AlternateContent>
          <mc:Choice Requires="wps">
            <w:drawing>
              <wp:anchor distT="0" distB="0" distL="114300" distR="114300" simplePos="0" relativeHeight="251770880" behindDoc="0" locked="0" layoutInCell="1" allowOverlap="1" wp14:anchorId="0598183E" wp14:editId="0FE06894">
                <wp:simplePos x="0" y="0"/>
                <wp:positionH relativeFrom="column">
                  <wp:posOffset>1943100</wp:posOffset>
                </wp:positionH>
                <wp:positionV relativeFrom="paragraph">
                  <wp:posOffset>0</wp:posOffset>
                </wp:positionV>
                <wp:extent cx="457200" cy="342900"/>
                <wp:effectExtent l="0" t="0" r="0" b="12700"/>
                <wp:wrapSquare wrapText="bothSides"/>
                <wp:docPr id="102" name="Text Box 102"/>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DE7EB4" w14:textId="77777777" w:rsidR="00E82D3B" w:rsidRPr="00F475EF" w:rsidRDefault="00E82D3B" w:rsidP="00E7213F">
                            <w:pPr>
                              <w:rPr>
                                <w:b/>
                              </w:rPr>
                            </w:pPr>
                            <w:proofErr w:type="gramStart"/>
                            <w:r w:rsidRPr="00F475EF">
                              <w:rPr>
                                <w:b/>
                              </w:rPr>
                              <w:t>b</w:t>
                            </w:r>
                            <w:proofErr w:type="gramEnd"/>
                            <w:r w:rsidRPr="00F475EF">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112" type="#_x0000_t202" style="position:absolute;left:0;text-align:left;margin-left:153pt;margin-top:0;width:36pt;height:2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" filled="f" stroked="f">
                <v:textbox>
                  <w:txbxContent>
                    <w:p w14:paraId="33DE7EB4" w14:textId="77777777" w:rsidR="000A1E0D" w:rsidRPr="00F475EF" w:rsidRDefault="000A1E0D" w:rsidP="00E7213F">
                      <w:pPr>
                        <w:rPr>
                          <w:b/>
                        </w:rPr>
                      </w:pPr>
                      <w:proofErr w:type="gramStart"/>
                      <w:r w:rsidRPr="00F475EF">
                        <w:rPr>
                          <w:b/>
                        </w:rPr>
                        <w:t>b</w:t>
                      </w:r>
                      <w:proofErr w:type="gramEnd"/>
                      <w:r w:rsidRPr="00F475EF">
                        <w:rPr>
                          <w:b/>
                        </w:rPr>
                        <w:t>.)</w:t>
                      </w:r>
                    </w:p>
                  </w:txbxContent>
                </v:textbox>
                <w10:wrap type="square"/>
              </v:shape>
            </w:pict>
          </mc:Fallback>
        </mc:AlternateContent>
      </w:r>
    </w:p>
    <w:p w14:paraId="7CE1125D" w14:textId="0E9BF3B0" w:rsidR="00E5260D" w:rsidRDefault="00C94C19" w:rsidP="00E5260D">
      <w:pPr>
        <w:rPr>
          <w:rFonts w:ascii="Calibri" w:hAnsi="Calibri"/>
        </w:rPr>
      </w:pPr>
      <w:r w:rsidRPr="00FC4592">
        <w:rPr>
          <w:rFonts w:ascii="Calibri" w:hAnsi="Calibri"/>
          <w:noProof/>
          <w:lang w:val="en-US"/>
        </w:rPr>
        <mc:AlternateContent>
          <mc:Choice Requires="wps">
            <w:drawing>
              <wp:anchor distT="0" distB="0" distL="114300" distR="114300" simplePos="0" relativeHeight="251729920" behindDoc="0" locked="0" layoutInCell="1" allowOverlap="1" wp14:anchorId="0514040D" wp14:editId="5176184A">
                <wp:simplePos x="0" y="0"/>
                <wp:positionH relativeFrom="column">
                  <wp:posOffset>-114300</wp:posOffset>
                </wp:positionH>
                <wp:positionV relativeFrom="paragraph">
                  <wp:posOffset>1550035</wp:posOffset>
                </wp:positionV>
                <wp:extent cx="5600700" cy="1714500"/>
                <wp:effectExtent l="0" t="0" r="0" b="12700"/>
                <wp:wrapSquare wrapText="bothSides"/>
                <wp:docPr id="70" name="Text Box 70"/>
                <wp:cNvGraphicFramePr/>
                <a:graphic xmlns:a="http://schemas.openxmlformats.org/drawingml/2006/main">
                  <a:graphicData uri="http://schemas.microsoft.com/office/word/2010/wordprocessingShape">
                    <wps:wsp>
                      <wps:cNvSpPr txBox="1"/>
                      <wps:spPr>
                        <a:xfrm>
                          <a:off x="0" y="0"/>
                          <a:ext cx="56007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D32415" w14:textId="074654D3" w:rsidR="00E82D3B" w:rsidRDefault="00E82D3B" w:rsidP="00E7213F">
                            <w:pPr>
                              <w:jc w:val="both"/>
                              <w:rPr>
                                <w:b/>
                                <w:i/>
                                <w:sz w:val="22"/>
                              </w:rPr>
                            </w:pPr>
                            <w:r w:rsidRPr="009D3471">
                              <w:rPr>
                                <w:b/>
                                <w:i/>
                                <w:sz w:val="22"/>
                              </w:rPr>
                              <w:t>F</w:t>
                            </w:r>
                            <w:r>
                              <w:rPr>
                                <w:b/>
                                <w:i/>
                                <w:sz w:val="22"/>
                              </w:rPr>
                              <w:t xml:space="preserve">igure 4.6 Alkaline comet </w:t>
                            </w:r>
                            <w:proofErr w:type="gramStart"/>
                            <w:r>
                              <w:rPr>
                                <w:b/>
                                <w:i/>
                                <w:sz w:val="22"/>
                              </w:rPr>
                              <w:t>assay</w:t>
                            </w:r>
                            <w:proofErr w:type="gramEnd"/>
                            <w:r>
                              <w:rPr>
                                <w:b/>
                                <w:i/>
                                <w:sz w:val="22"/>
                              </w:rPr>
                              <w:t xml:space="preserve"> shows increased DNA damage after SRCAP knockdown </w:t>
                            </w:r>
                          </w:p>
                          <w:p w14:paraId="061C3C15" w14:textId="77777777" w:rsidR="00E82D3B" w:rsidRDefault="00E82D3B" w:rsidP="00E7213F">
                            <w:pPr>
                              <w:jc w:val="both"/>
                              <w:rPr>
                                <w:i/>
                                <w:sz w:val="22"/>
                              </w:rPr>
                            </w:pPr>
                            <w:r>
                              <w:rPr>
                                <w:i/>
                                <w:sz w:val="22"/>
                              </w:rPr>
                              <w:t xml:space="preserve">a.) Representative images of SW480 and HCT116 cells imaged in the FITC channel after the comet assay and stained with SYBR Gold. </w:t>
                            </w:r>
                          </w:p>
                          <w:p w14:paraId="0439AE40" w14:textId="76553493" w:rsidR="00E82D3B" w:rsidRPr="0059616A" w:rsidRDefault="00E82D3B" w:rsidP="00E7213F">
                            <w:pPr>
                              <w:jc w:val="both"/>
                              <w:rPr>
                                <w:b/>
                                <w:i/>
                                <w:sz w:val="22"/>
                              </w:rPr>
                            </w:pPr>
                            <w:r>
                              <w:rPr>
                                <w:i/>
                                <w:sz w:val="22"/>
                              </w:rPr>
                              <w:t xml:space="preserve">b.) SW480 and HCT116 cells were transfected with si6, si7 or non-specific control siRNA for 48hrs and then the </w:t>
                            </w:r>
                            <w:proofErr w:type="spellStart"/>
                            <w:r>
                              <w:rPr>
                                <w:i/>
                                <w:sz w:val="22"/>
                              </w:rPr>
                              <w:t>Trevigen</w:t>
                            </w:r>
                            <w:proofErr w:type="spellEnd"/>
                            <w:r>
                              <w:rPr>
                                <w:i/>
                                <w:sz w:val="22"/>
                              </w:rPr>
                              <w:t xml:space="preserve"> alkaline comet assay kit followed. 40 comets, such as the ones shown above, were scored for tail moment per experiment, with each symbol on the graph representing an individual experiment and the median and range of the three shown.  A Kruskal-Wallis test showed significance for both SW480 and HCT116 cells (p=0.0107, p=0.05 respectively), and comparing each siRNA to the control only gave significance with si6 </w:t>
                            </w:r>
                            <w:r>
                              <w:rPr>
                                <w:i/>
                                <w:sz w:val="22"/>
                                <w:lang w:val="en-US"/>
                              </w:rPr>
                              <w:t>(*=p≤0.05</w:t>
                            </w:r>
                            <w:r w:rsidRPr="0059616A">
                              <w:rPr>
                                <w:i/>
                                <w:sz w:val="22"/>
                                <w:lang w:val="en-US"/>
                              </w:rPr>
                              <w:t>)</w:t>
                            </w:r>
                            <w:r>
                              <w:rPr>
                                <w:i/>
                                <w:sz w:val="22"/>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113" type="#_x0000_t202" style="position:absolute;margin-left:-8.95pt;margin-top:122.05pt;width:441pt;height:1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" filled="f" stroked="f">
                <v:textbox>
                  <w:txbxContent>
                    <w:p w14:paraId="73D32415" w14:textId="074654D3" w:rsidR="000A1E0D" w:rsidRDefault="000A1E0D" w:rsidP="00E7213F">
                      <w:pPr>
                        <w:jc w:val="both"/>
                        <w:rPr>
                          <w:b/>
                          <w:i/>
                          <w:sz w:val="22"/>
                        </w:rPr>
                      </w:pPr>
                      <w:r w:rsidRPr="009D3471">
                        <w:rPr>
                          <w:b/>
                          <w:i/>
                          <w:sz w:val="22"/>
                        </w:rPr>
                        <w:t>F</w:t>
                      </w:r>
                      <w:r>
                        <w:rPr>
                          <w:b/>
                          <w:i/>
                          <w:sz w:val="22"/>
                        </w:rPr>
                        <w:t xml:space="preserve">igure 4.6 Alkaline comet </w:t>
                      </w:r>
                      <w:proofErr w:type="gramStart"/>
                      <w:r>
                        <w:rPr>
                          <w:b/>
                          <w:i/>
                          <w:sz w:val="22"/>
                        </w:rPr>
                        <w:t>assay</w:t>
                      </w:r>
                      <w:proofErr w:type="gramEnd"/>
                      <w:r>
                        <w:rPr>
                          <w:b/>
                          <w:i/>
                          <w:sz w:val="22"/>
                        </w:rPr>
                        <w:t xml:space="preserve"> shows increased DNA damage after SRCAP knockdown </w:t>
                      </w:r>
                    </w:p>
                    <w:p w14:paraId="061C3C15" w14:textId="77777777" w:rsidR="000A1E0D" w:rsidRDefault="000A1E0D" w:rsidP="00E7213F">
                      <w:pPr>
                        <w:jc w:val="both"/>
                        <w:rPr>
                          <w:i/>
                          <w:sz w:val="22"/>
                        </w:rPr>
                      </w:pPr>
                      <w:r>
                        <w:rPr>
                          <w:i/>
                          <w:sz w:val="22"/>
                        </w:rPr>
                        <w:t xml:space="preserve">a.) Representative images of SW480 and HCT116 cells imaged in the FITC channel after the comet assay and stained with SYBR Gold. </w:t>
                      </w:r>
                    </w:p>
                    <w:p w14:paraId="0439AE40" w14:textId="76553493" w:rsidR="000A1E0D" w:rsidRPr="0059616A" w:rsidRDefault="000A1E0D" w:rsidP="00E7213F">
                      <w:pPr>
                        <w:jc w:val="both"/>
                        <w:rPr>
                          <w:b/>
                          <w:i/>
                          <w:sz w:val="22"/>
                        </w:rPr>
                      </w:pPr>
                      <w:r>
                        <w:rPr>
                          <w:i/>
                          <w:sz w:val="22"/>
                        </w:rPr>
                        <w:t xml:space="preserve">b.) SW480 and HCT116 cells were transfected with si6, si7 or non-specific control siRNA for 48hrs and then the </w:t>
                      </w:r>
                      <w:proofErr w:type="spellStart"/>
                      <w:r>
                        <w:rPr>
                          <w:i/>
                          <w:sz w:val="22"/>
                        </w:rPr>
                        <w:t>Trevigen</w:t>
                      </w:r>
                      <w:proofErr w:type="spellEnd"/>
                      <w:r>
                        <w:rPr>
                          <w:i/>
                          <w:sz w:val="22"/>
                        </w:rPr>
                        <w:t xml:space="preserve"> alkaline comet assay kit followed. 40 comets, such as the ones shown above, were scored for tail moment per experiment, with each symbol on the graph representing an individual experiment and the median and range of the three shown.  A Kruskal-Wallis test showed significance for both SW480 and HCT116 cells (p=0.0107, p=0.05 respectively), and comparing each siRNA to the control only gave significance with si6 </w:t>
                      </w:r>
                      <w:r>
                        <w:rPr>
                          <w:i/>
                          <w:sz w:val="22"/>
                          <w:lang w:val="en-US"/>
                        </w:rPr>
                        <w:t>(*=p≤0.05</w:t>
                      </w:r>
                      <w:r w:rsidRPr="0059616A">
                        <w:rPr>
                          <w:i/>
                          <w:sz w:val="22"/>
                          <w:lang w:val="en-US"/>
                        </w:rPr>
                        <w:t>)</w:t>
                      </w:r>
                      <w:r>
                        <w:rPr>
                          <w:i/>
                          <w:sz w:val="22"/>
                          <w:lang w:val="en-US"/>
                        </w:rPr>
                        <w:t xml:space="preserve">. </w:t>
                      </w:r>
                    </w:p>
                  </w:txbxContent>
                </v:textbox>
                <w10:wrap type="square"/>
              </v:shape>
            </w:pict>
          </mc:Fallback>
        </mc:AlternateContent>
      </w:r>
    </w:p>
    <w:p w14:paraId="47CC3E1F" w14:textId="77777777" w:rsidR="00E5260D" w:rsidRDefault="00E5260D" w:rsidP="00E5260D">
      <w:pPr>
        <w:spacing w:line="360" w:lineRule="auto"/>
        <w:jc w:val="both"/>
        <w:rPr>
          <w:rFonts w:ascii="Calibri" w:hAnsi="Calibri"/>
        </w:rPr>
      </w:pPr>
    </w:p>
    <w:p w14:paraId="5C42283D" w14:textId="2B62EAA5" w:rsidR="00E7213F" w:rsidRPr="004F2A51" w:rsidRDefault="00E7213F" w:rsidP="00E5260D">
      <w:pPr>
        <w:spacing w:line="360" w:lineRule="auto"/>
        <w:jc w:val="both"/>
        <w:rPr>
          <w:rFonts w:ascii="Calibri" w:hAnsi="Calibri"/>
        </w:rPr>
      </w:pPr>
      <w:r>
        <w:rPr>
          <w:rFonts w:ascii="Calibri" w:hAnsi="Calibri"/>
        </w:rPr>
        <w:t xml:space="preserve">A further way to examine the effects of </w:t>
      </w:r>
      <w:r w:rsidRPr="003B48C3">
        <w:rPr>
          <w:rFonts w:ascii="Calibri" w:hAnsi="Calibri"/>
          <w:i/>
        </w:rPr>
        <w:t>SRCAP</w:t>
      </w:r>
      <w:r>
        <w:rPr>
          <w:rFonts w:ascii="Calibri" w:hAnsi="Calibri"/>
        </w:rPr>
        <w:t xml:space="preserve"> depletion on genome instability was to look at the morphology of the fixed and DAPI stained nuclei. </w:t>
      </w:r>
      <w:r w:rsidRPr="00FC4592">
        <w:rPr>
          <w:rFonts w:ascii="Calibri" w:hAnsi="Calibri"/>
        </w:rPr>
        <w:t xml:space="preserve">It </w:t>
      </w:r>
      <w:r>
        <w:rPr>
          <w:rFonts w:ascii="Calibri" w:hAnsi="Calibri"/>
        </w:rPr>
        <w:t>was hypothesised</w:t>
      </w:r>
      <w:r w:rsidRPr="00FC4592">
        <w:rPr>
          <w:rFonts w:ascii="Calibri" w:hAnsi="Calibri"/>
        </w:rPr>
        <w:t xml:space="preserve"> </w:t>
      </w:r>
      <w:r w:rsidR="00A40F61">
        <w:rPr>
          <w:rFonts w:ascii="Calibri" w:hAnsi="Calibri"/>
        </w:rPr>
        <w:t>that knock</w:t>
      </w:r>
      <w:r>
        <w:rPr>
          <w:rFonts w:ascii="Calibri" w:hAnsi="Calibri"/>
        </w:rPr>
        <w:t xml:space="preserve">down of </w:t>
      </w:r>
      <w:r w:rsidRPr="003B48C3">
        <w:rPr>
          <w:rFonts w:ascii="Calibri" w:hAnsi="Calibri"/>
          <w:i/>
        </w:rPr>
        <w:t>SRCAP</w:t>
      </w:r>
      <w:r>
        <w:rPr>
          <w:rFonts w:ascii="Calibri" w:hAnsi="Calibri"/>
        </w:rPr>
        <w:t xml:space="preserve"> w</w:t>
      </w:r>
      <w:r w:rsidRPr="00FC4592">
        <w:rPr>
          <w:rFonts w:ascii="Calibri" w:hAnsi="Calibri"/>
        </w:rPr>
        <w:t xml:space="preserve">ould cause nuclear abnormalities due to </w:t>
      </w:r>
      <w:r>
        <w:rPr>
          <w:rFonts w:ascii="Calibri" w:hAnsi="Calibri"/>
        </w:rPr>
        <w:t>its</w:t>
      </w:r>
      <w:r w:rsidRPr="00FC4592">
        <w:rPr>
          <w:rFonts w:ascii="Calibri" w:hAnsi="Calibri"/>
        </w:rPr>
        <w:t xml:space="preserve"> apparent role in DNA double strand repair. A nuclear abnormality was scored as either a </w:t>
      </w:r>
      <w:r>
        <w:rPr>
          <w:rFonts w:ascii="Calibri" w:hAnsi="Calibri"/>
        </w:rPr>
        <w:t xml:space="preserve">chromatin </w:t>
      </w:r>
      <w:r w:rsidRPr="00FC4592">
        <w:rPr>
          <w:rFonts w:ascii="Calibri" w:hAnsi="Calibri"/>
        </w:rPr>
        <w:t>bridge between cells, micronuclei, or any other abnormality which changed the morphology of the nucleus</w:t>
      </w:r>
      <w:r w:rsidR="00AE7859">
        <w:rPr>
          <w:rFonts w:ascii="Calibri" w:hAnsi="Calibri"/>
        </w:rPr>
        <w:t>, as outlined in Figure 3.21</w:t>
      </w:r>
      <w:r>
        <w:rPr>
          <w:rFonts w:ascii="Calibri" w:hAnsi="Calibri"/>
        </w:rPr>
        <w:t xml:space="preserve"> in the previous chapter. When </w:t>
      </w:r>
      <w:r w:rsidRPr="003B48C3">
        <w:rPr>
          <w:rFonts w:ascii="Calibri" w:hAnsi="Calibri"/>
          <w:i/>
        </w:rPr>
        <w:t>SRCAP</w:t>
      </w:r>
      <w:r>
        <w:rPr>
          <w:rFonts w:ascii="Calibri" w:hAnsi="Calibri"/>
        </w:rPr>
        <w:t xml:space="preserve"> was knocked down there was no significant difference in the number of chromatin bridges between cells formed or the number of micronuclei </w:t>
      </w:r>
      <w:r w:rsidR="000529BE">
        <w:rPr>
          <w:rFonts w:ascii="Calibri" w:hAnsi="Calibri"/>
        </w:rPr>
        <w:t xml:space="preserve">in SW480 cells </w:t>
      </w:r>
      <w:r>
        <w:rPr>
          <w:rFonts w:ascii="Calibri" w:hAnsi="Calibri"/>
        </w:rPr>
        <w:t>compared to control tran</w:t>
      </w:r>
      <w:r w:rsidR="000529BE">
        <w:rPr>
          <w:rFonts w:ascii="Calibri" w:hAnsi="Calibri"/>
        </w:rPr>
        <w:t xml:space="preserve">sfected cells (Figure 4.7 </w:t>
      </w:r>
      <w:proofErr w:type="spellStart"/>
      <w:r w:rsidR="000529BE">
        <w:rPr>
          <w:rFonts w:ascii="Calibri" w:hAnsi="Calibri"/>
        </w:rPr>
        <w:t>a&amp;b</w:t>
      </w:r>
      <w:proofErr w:type="spellEnd"/>
      <w:r w:rsidR="000529BE">
        <w:rPr>
          <w:rFonts w:ascii="Calibri" w:hAnsi="Calibri"/>
        </w:rPr>
        <w:t xml:space="preserve">), although there was a significant increase in micronuclei when using si6 in HCT116 cells. When </w:t>
      </w:r>
      <w:r w:rsidRPr="00FC4592">
        <w:rPr>
          <w:rFonts w:ascii="Calibri" w:hAnsi="Calibri"/>
        </w:rPr>
        <w:t>all nuclear abnormalities were collated together</w:t>
      </w:r>
      <w:r>
        <w:rPr>
          <w:rFonts w:ascii="Calibri" w:hAnsi="Calibri"/>
        </w:rPr>
        <w:t xml:space="preserve"> (including bridges and micronuclei)</w:t>
      </w:r>
      <w:r w:rsidRPr="00FC4592">
        <w:rPr>
          <w:rFonts w:ascii="Calibri" w:hAnsi="Calibri"/>
        </w:rPr>
        <w:t xml:space="preserve"> there was a significant increase in aberrations in</w:t>
      </w:r>
      <w:r>
        <w:rPr>
          <w:rFonts w:ascii="Calibri" w:hAnsi="Calibri"/>
        </w:rPr>
        <w:t xml:space="preserve"> the </w:t>
      </w:r>
      <w:r w:rsidRPr="003B48C3">
        <w:rPr>
          <w:rFonts w:ascii="Calibri" w:hAnsi="Calibri"/>
          <w:i/>
        </w:rPr>
        <w:t>SRCAP</w:t>
      </w:r>
      <w:r w:rsidR="00A40F61">
        <w:rPr>
          <w:rFonts w:ascii="Calibri" w:hAnsi="Calibri"/>
        </w:rPr>
        <w:t xml:space="preserve"> knock</w:t>
      </w:r>
      <w:r>
        <w:rPr>
          <w:rFonts w:ascii="Calibri" w:hAnsi="Calibri"/>
        </w:rPr>
        <w:t>down cells in both cell lines (Figure 4.7c)</w:t>
      </w:r>
      <w:r w:rsidRPr="00FC4592">
        <w:rPr>
          <w:rFonts w:ascii="Calibri" w:hAnsi="Calibri"/>
        </w:rPr>
        <w:t xml:space="preserve">. </w:t>
      </w:r>
      <w:r>
        <w:rPr>
          <w:rFonts w:ascii="Calibri" w:hAnsi="Calibri"/>
        </w:rPr>
        <w:t xml:space="preserve">This data along with the DNA </w:t>
      </w:r>
      <w:r w:rsidR="00A40F61">
        <w:rPr>
          <w:rFonts w:ascii="Calibri" w:hAnsi="Calibri"/>
        </w:rPr>
        <w:t>damage data suggests that knock</w:t>
      </w:r>
      <w:r>
        <w:rPr>
          <w:rFonts w:ascii="Calibri" w:hAnsi="Calibri"/>
        </w:rPr>
        <w:t xml:space="preserve">down of </w:t>
      </w:r>
      <w:r w:rsidRPr="003B48C3">
        <w:rPr>
          <w:rFonts w:ascii="Calibri" w:hAnsi="Calibri"/>
          <w:i/>
        </w:rPr>
        <w:t>SRCAP</w:t>
      </w:r>
      <w:r>
        <w:rPr>
          <w:rFonts w:ascii="Calibri" w:hAnsi="Calibri"/>
        </w:rPr>
        <w:t xml:space="preserve"> causes genome instability, which is consistent with previous reports suggesting that </w:t>
      </w:r>
      <w:r w:rsidRPr="003B48C3">
        <w:rPr>
          <w:rFonts w:ascii="Calibri" w:hAnsi="Calibri"/>
          <w:i/>
        </w:rPr>
        <w:t>SRCAP</w:t>
      </w:r>
      <w:r>
        <w:rPr>
          <w:rFonts w:ascii="Calibri" w:hAnsi="Calibri"/>
        </w:rPr>
        <w:t xml:space="preserve"> plays a role in chromatin segregation and DNA damage repair </w:t>
      </w:r>
      <w:r>
        <w:rPr>
          <w:rFonts w:ascii="Calibri" w:hAnsi="Calibri"/>
        </w:rPr>
        <w:fldChar w:fldCharType="begin">
          <w:fldData xml:space="preserve">PEVuZE5vdGU+PENpdGU+PEF1dGhvcj5SYW5nYXNhbXk8L0F1dGhvcj48WWVhcj4yMDA0PC9ZZWFy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</w:fldData>
        </w:fldChar>
      </w:r>
      <w:r>
        <w:rPr>
          <w:rFonts w:ascii="Calibri" w:hAnsi="Calibri"/>
        </w:rPr>
        <w:instrText xml:space="preserve"> ADDIN EN.CITE </w:instrText>
      </w:r>
      <w:r>
        <w:rPr>
          <w:rFonts w:ascii="Calibri" w:hAnsi="Calibri"/>
        </w:rPr>
        <w:fldChar w:fldCharType="begin">
          <w:fldData xml:space="preserve">PEVuZE5vdGU+PENpdGU+PEF1dGhvcj5SYW5nYXNhbXk8L0F1dGhvcj48WWVhcj4yMDA0PC9ZZWFy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(Rangasamy et al., 2004, Dong et al., 2014)</w:t>
      </w:r>
      <w:r>
        <w:rPr>
          <w:rFonts w:ascii="Calibri" w:hAnsi="Calibri"/>
        </w:rPr>
        <w:fldChar w:fldCharType="end"/>
      </w:r>
      <w:r>
        <w:rPr>
          <w:rFonts w:ascii="Calibri" w:hAnsi="Calibri"/>
        </w:rPr>
        <w:t>.</w:t>
      </w:r>
    </w:p>
    <w:p w14:paraId="54B6257E" w14:textId="77777777" w:rsidR="00E7213F" w:rsidRPr="00FC4592" w:rsidRDefault="00E7213F" w:rsidP="00E5260D">
      <w:pPr>
        <w:spacing w:line="360" w:lineRule="auto"/>
        <w:jc w:val="both"/>
        <w:rPr>
          <w:rFonts w:ascii="Calibri" w:hAnsi="Calibri"/>
        </w:rPr>
      </w:pPr>
    </w:p>
    <w:p w14:paraId="491A42FC" w14:textId="74A3DFBB" w:rsidR="00E7213F" w:rsidRDefault="000529BE" w:rsidP="00E7213F">
      <w:pPr>
        <w:rPr>
          <w:rFonts w:ascii="Calibri" w:hAnsi="Calibri"/>
        </w:rPr>
      </w:pPr>
      <w:r>
        <w:rPr>
          <w:rFonts w:ascii="Calibri" w:hAnsi="Calibri"/>
          <w:noProof/>
          <w:lang w:val="en-US"/>
        </w:rPr>
        <mc:AlternateContent>
          <mc:Choice Requires="wps">
            <w:drawing>
              <wp:anchor distT="0" distB="0" distL="114300" distR="114300" simplePos="0" relativeHeight="251749376" behindDoc="0" locked="0" layoutInCell="1" allowOverlap="1" wp14:anchorId="4BDB2FEE" wp14:editId="022A29E1">
                <wp:simplePos x="0" y="0"/>
                <wp:positionH relativeFrom="column">
                  <wp:posOffset>-342900</wp:posOffset>
                </wp:positionH>
                <wp:positionV relativeFrom="paragraph">
                  <wp:posOffset>6629400</wp:posOffset>
                </wp:positionV>
                <wp:extent cx="5943600" cy="2400300"/>
                <wp:effectExtent l="0" t="0" r="0" b="12700"/>
                <wp:wrapSquare wrapText="bothSides"/>
                <wp:docPr id="164" name="Text Box 164"/>
                <wp:cNvGraphicFramePr/>
                <a:graphic xmlns:a="http://schemas.openxmlformats.org/drawingml/2006/main">
                  <a:graphicData uri="http://schemas.microsoft.com/office/word/2010/wordprocessingShape">
                    <wps:wsp>
                      <wps:cNvSpPr txBox="1"/>
                      <wps:spPr>
                        <a:xfrm>
                          <a:off x="0" y="0"/>
                          <a:ext cx="59436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AF94BB" w14:textId="1CD7F097" w:rsidR="00E82D3B" w:rsidRDefault="00E82D3B" w:rsidP="00E7213F">
                            <w:pPr>
                              <w:jc w:val="both"/>
                              <w:rPr>
                                <w:b/>
                                <w:i/>
                                <w:sz w:val="22"/>
                                <w:szCs w:val="22"/>
                              </w:rPr>
                            </w:pPr>
                            <w:r w:rsidRPr="00343EE8">
                              <w:rPr>
                                <w:b/>
                                <w:i/>
                                <w:sz w:val="22"/>
                              </w:rPr>
                              <w:t>F</w:t>
                            </w:r>
                            <w:r>
                              <w:rPr>
                                <w:b/>
                                <w:i/>
                                <w:sz w:val="22"/>
                              </w:rPr>
                              <w:t>igure 4</w:t>
                            </w:r>
                            <w:r w:rsidRPr="00343EE8">
                              <w:rPr>
                                <w:b/>
                                <w:i/>
                                <w:sz w:val="22"/>
                              </w:rPr>
                              <w:t>.7</w:t>
                            </w:r>
                            <w:r>
                              <w:rPr>
                                <w:b/>
                                <w:i/>
                                <w:sz w:val="22"/>
                              </w:rPr>
                              <w:t xml:space="preserve">. </w:t>
                            </w:r>
                            <w:r w:rsidRPr="008F6CC2">
                              <w:rPr>
                                <w:b/>
                                <w:i/>
                                <w:sz w:val="22"/>
                                <w:szCs w:val="22"/>
                              </w:rPr>
                              <w:t>Cells with SRCAP knockdown show increased nuclear abnormalitie</w:t>
                            </w:r>
                            <w:r>
                              <w:rPr>
                                <w:b/>
                                <w:i/>
                                <w:sz w:val="22"/>
                                <w:szCs w:val="22"/>
                              </w:rPr>
                              <w:t xml:space="preserve">s. </w:t>
                            </w:r>
                          </w:p>
                          <w:p w14:paraId="5FE9C5DD" w14:textId="77777777" w:rsidR="00E82D3B" w:rsidRDefault="00E82D3B" w:rsidP="00E7213F">
                            <w:pPr>
                              <w:jc w:val="both"/>
                              <w:rPr>
                                <w:i/>
                                <w:sz w:val="22"/>
                              </w:rPr>
                            </w:pPr>
                            <w:r>
                              <w:rPr>
                                <w:i/>
                                <w:sz w:val="22"/>
                              </w:rPr>
                              <w:t xml:space="preserve">a.) The total number of cells, plus the number of cells with bridges between them were counted from 10 immunofluorescence images per experimental repeat (100-200 cells), and the percentage of cells with that aberration calculated. There was no difference in the number of bridges between cells when SRCAP was knocked down as shown by a Kruskal-Wallis test-SW480: p=0.8130, HCT116: p=0.3607. </w:t>
                            </w:r>
                          </w:p>
                          <w:p w14:paraId="265899E9" w14:textId="0AAC3528" w:rsidR="00E82D3B" w:rsidRDefault="00E82D3B" w:rsidP="00E7213F">
                            <w:pPr>
                              <w:jc w:val="both"/>
                              <w:rPr>
                                <w:i/>
                                <w:sz w:val="22"/>
                              </w:rPr>
                            </w:pPr>
                            <w:r>
                              <w:rPr>
                                <w:i/>
                                <w:sz w:val="22"/>
                              </w:rPr>
                              <w:t xml:space="preserve">b.) There was also no overall statistically significant difference in the number of micronuclei- SW480: p=0.1706, HCT116: p=0.1, but when comparing the individual siRNA to control, si6 showed a significant increase in micronuclei compared to control </w:t>
                            </w:r>
                            <w:r>
                              <w:rPr>
                                <w:i/>
                                <w:sz w:val="22"/>
                                <w:lang w:val="en-US"/>
                              </w:rPr>
                              <w:t>(*=p≤0.05).</w:t>
                            </w:r>
                          </w:p>
                          <w:p w14:paraId="30154554" w14:textId="5692C904" w:rsidR="00E82D3B" w:rsidRPr="00343EE8" w:rsidRDefault="00E82D3B" w:rsidP="00E7213F">
                            <w:pPr>
                              <w:jc w:val="both"/>
                              <w:rPr>
                                <w:i/>
                                <w:sz w:val="22"/>
                              </w:rPr>
                            </w:pPr>
                            <w:r>
                              <w:rPr>
                                <w:i/>
                                <w:sz w:val="22"/>
                              </w:rPr>
                              <w:t xml:space="preserve">c.) When all the nuclear abnormalities were scored together there was no overall significant difference in HCT116 cells (p=0.0714) but there was in SW480 (p=0.0107) using the Kruskal-Wallis test, comparing the knockdown results to the control individually showed there was a significant increase in abnormalities in both cell lines, but only with si7 in HCT116 cells </w:t>
                            </w:r>
                            <w:r>
                              <w:rPr>
                                <w:i/>
                                <w:sz w:val="22"/>
                                <w:lang w:val="en-US"/>
                              </w:rPr>
                              <w:t>(*=p≤0.05</w:t>
                            </w:r>
                            <w:r w:rsidRPr="00D47A80">
                              <w:rPr>
                                <w:i/>
                                <w:sz w:val="22"/>
                                <w:lang w:val="en-US"/>
                              </w:rPr>
                              <w:t>)</w:t>
                            </w:r>
                            <w:r>
                              <w:rPr>
                                <w:i/>
                                <w:sz w:val="22"/>
                                <w:lang w:val="en-US"/>
                              </w:rPr>
                              <w:t>. All graphs show individual repeats as separate symbols with the median and range plotted.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114" type="#_x0000_t202" style="position:absolute;margin-left:-26.95pt;margin-top:522pt;width:468pt;height:18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iD0NQCAAAbBgAADgAAAGRycy9lMm9Eb2MueG1srFRLb9swDL4P2H8QdE9tp06W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" filled="f" stroked="f">
                <v:textbox>
                  <w:txbxContent>
                    <w:p w14:paraId="79AF94BB" w14:textId="1CD7F097" w:rsidR="000A1E0D" w:rsidRDefault="000A1E0D" w:rsidP="00E7213F">
                      <w:pPr>
                        <w:jc w:val="both"/>
                        <w:rPr>
                          <w:b/>
                          <w:i/>
                          <w:sz w:val="22"/>
                          <w:szCs w:val="22"/>
                        </w:rPr>
                      </w:pPr>
                      <w:r w:rsidRPr="00343EE8">
                        <w:rPr>
                          <w:b/>
                          <w:i/>
                          <w:sz w:val="22"/>
                        </w:rPr>
                        <w:t>F</w:t>
                      </w:r>
                      <w:r>
                        <w:rPr>
                          <w:b/>
                          <w:i/>
                          <w:sz w:val="22"/>
                        </w:rPr>
                        <w:t>igure 4</w:t>
                      </w:r>
                      <w:r w:rsidRPr="00343EE8">
                        <w:rPr>
                          <w:b/>
                          <w:i/>
                          <w:sz w:val="22"/>
                        </w:rPr>
                        <w:t>.7</w:t>
                      </w:r>
                      <w:r>
                        <w:rPr>
                          <w:b/>
                          <w:i/>
                          <w:sz w:val="22"/>
                        </w:rPr>
                        <w:t xml:space="preserve">. </w:t>
                      </w:r>
                      <w:r w:rsidRPr="008F6CC2">
                        <w:rPr>
                          <w:b/>
                          <w:i/>
                          <w:sz w:val="22"/>
                          <w:szCs w:val="22"/>
                        </w:rPr>
                        <w:t>Cells with SRCAP knockdown show increased nuclear abnormalitie</w:t>
                      </w:r>
                      <w:r>
                        <w:rPr>
                          <w:b/>
                          <w:i/>
                          <w:sz w:val="22"/>
                          <w:szCs w:val="22"/>
                        </w:rPr>
                        <w:t xml:space="preserve">s. </w:t>
                      </w:r>
                    </w:p>
                    <w:p w14:paraId="5FE9C5DD" w14:textId="77777777" w:rsidR="000A1E0D" w:rsidRDefault="000A1E0D" w:rsidP="00E7213F">
                      <w:pPr>
                        <w:jc w:val="both"/>
                        <w:rPr>
                          <w:i/>
                          <w:sz w:val="22"/>
                        </w:rPr>
                      </w:pPr>
                      <w:r>
                        <w:rPr>
                          <w:i/>
                          <w:sz w:val="22"/>
                        </w:rPr>
                        <w:t xml:space="preserve">a.) The total number of cells, plus the number of cells with bridges between them were counted from 10 immunofluorescence images per experimental repeat (100-200 cells), and the percentage of cells with that aberration calculated. There was no difference in the number of bridges between cells when SRCAP was knocked down as shown by a Kruskal-Wallis test-SW480: p=0.8130, HCT116: p=0.3607. </w:t>
                      </w:r>
                    </w:p>
                    <w:p w14:paraId="265899E9" w14:textId="0AAC3528" w:rsidR="000A1E0D" w:rsidRDefault="000A1E0D" w:rsidP="00E7213F">
                      <w:pPr>
                        <w:jc w:val="both"/>
                        <w:rPr>
                          <w:i/>
                          <w:sz w:val="22"/>
                        </w:rPr>
                      </w:pPr>
                      <w:r>
                        <w:rPr>
                          <w:i/>
                          <w:sz w:val="22"/>
                        </w:rPr>
                        <w:t xml:space="preserve">b.) There was also no overall statistically significant difference in the number of micronuclei- SW480: p=0.1706, HCT116: p=0.1, but when comparing the individual siRNA to control, si6 showed a significant increase in micronuclei compared to control </w:t>
                      </w:r>
                      <w:r>
                        <w:rPr>
                          <w:i/>
                          <w:sz w:val="22"/>
                          <w:lang w:val="en-US"/>
                        </w:rPr>
                        <w:t>(*=p≤0.05).</w:t>
                      </w:r>
                    </w:p>
                    <w:p w14:paraId="30154554" w14:textId="5692C904" w:rsidR="000A1E0D" w:rsidRPr="00343EE8" w:rsidRDefault="000A1E0D" w:rsidP="00E7213F">
                      <w:pPr>
                        <w:jc w:val="both"/>
                        <w:rPr>
                          <w:i/>
                          <w:sz w:val="22"/>
                        </w:rPr>
                      </w:pPr>
                      <w:r>
                        <w:rPr>
                          <w:i/>
                          <w:sz w:val="22"/>
                        </w:rPr>
                        <w:t xml:space="preserve">c.) When all the nuclear abnormalities were scored together there was no overall significant difference in HCT116 cells (p=0.0714) but there was in SW480 (p=0.0107) using the Kruskal-Wallis test, comparing the knockdown results to the control individually showed there was a significant increase in abnormalities in both cell lines, but only with si7 in HCT116 cells </w:t>
                      </w:r>
                      <w:r>
                        <w:rPr>
                          <w:i/>
                          <w:sz w:val="22"/>
                          <w:lang w:val="en-US"/>
                        </w:rPr>
                        <w:t>(*=p≤0.05</w:t>
                      </w:r>
                      <w:r w:rsidRPr="00D47A80">
                        <w:rPr>
                          <w:i/>
                          <w:sz w:val="22"/>
                          <w:lang w:val="en-US"/>
                        </w:rPr>
                        <w:t>)</w:t>
                      </w:r>
                      <w:r>
                        <w:rPr>
                          <w:i/>
                          <w:sz w:val="22"/>
                          <w:lang w:val="en-US"/>
                        </w:rPr>
                        <w:t>. All graphs show individual repeats as separate symbols with the median and range plotted.</w:t>
                      </w:r>
                    </w:p>
                  </w:txbxContent>
                </v:textbox>
                <w10:wrap type="square"/>
              </v:shape>
            </w:pict>
          </mc:Fallback>
        </mc:AlternateContent>
      </w:r>
      <w:r w:rsidR="00F870D0">
        <w:rPr>
          <w:rFonts w:ascii="Calibri" w:hAnsi="Calibri"/>
          <w:noProof/>
          <w:lang w:val="en-US"/>
        </w:rPr>
        <w:drawing>
          <wp:anchor distT="0" distB="0" distL="114300" distR="114300" simplePos="0" relativeHeight="252208128" behindDoc="0" locked="0" layoutInCell="1" allowOverlap="1" wp14:anchorId="55899F92" wp14:editId="012F7589">
            <wp:simplePos x="0" y="0"/>
            <wp:positionH relativeFrom="column">
              <wp:posOffset>-114300</wp:posOffset>
            </wp:positionH>
            <wp:positionV relativeFrom="paragraph">
              <wp:posOffset>2286000</wp:posOffset>
            </wp:positionV>
            <wp:extent cx="5796280" cy="1828800"/>
            <wp:effectExtent l="0" t="0" r="0" b="0"/>
            <wp:wrapSquare wrapText="bothSides"/>
            <wp:docPr id="2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9628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3057">
        <w:rPr>
          <w:rFonts w:ascii="Calibri" w:hAnsi="Calibri"/>
          <w:noProof/>
          <w:lang w:val="en-US"/>
        </w:rPr>
        <w:drawing>
          <wp:anchor distT="0" distB="0" distL="114300" distR="114300" simplePos="0" relativeHeight="252206080" behindDoc="0" locked="0" layoutInCell="1" allowOverlap="1" wp14:anchorId="48B61664" wp14:editId="4DCB0FCE">
            <wp:simplePos x="0" y="0"/>
            <wp:positionH relativeFrom="column">
              <wp:posOffset>-228600</wp:posOffset>
            </wp:positionH>
            <wp:positionV relativeFrom="paragraph">
              <wp:posOffset>4457700</wp:posOffset>
            </wp:positionV>
            <wp:extent cx="5779135" cy="1943100"/>
            <wp:effectExtent l="0" t="0" r="12065" b="12700"/>
            <wp:wrapSquare wrapText="bothSides"/>
            <wp:docPr id="2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7913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b/>
          <w:i/>
          <w:noProof/>
          <w:sz w:val="22"/>
          <w:szCs w:val="22"/>
          <w:lang w:val="en-US"/>
        </w:rPr>
        <mc:AlternateContent>
          <mc:Choice Requires="wps">
            <w:drawing>
              <wp:anchor distT="0" distB="0" distL="114300" distR="114300" simplePos="0" relativeHeight="252207104" behindDoc="0" locked="0" layoutInCell="1" allowOverlap="1" wp14:anchorId="22462932" wp14:editId="589764E6">
                <wp:simplePos x="0" y="0"/>
                <wp:positionH relativeFrom="column">
                  <wp:posOffset>-457200</wp:posOffset>
                </wp:positionH>
                <wp:positionV relativeFrom="paragraph">
                  <wp:posOffset>4457700</wp:posOffset>
                </wp:positionV>
                <wp:extent cx="457200" cy="342900"/>
                <wp:effectExtent l="0" t="0" r="0" b="12700"/>
                <wp:wrapSquare wrapText="bothSides"/>
                <wp:docPr id="73" name="Text Box 73"/>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117E82" w14:textId="77777777" w:rsidR="00E82D3B" w:rsidRPr="009638EA" w:rsidRDefault="00E82D3B" w:rsidP="00E7213F">
                            <w:pPr>
                              <w:rPr>
                                <w:b/>
                                <w:sz w:val="28"/>
                              </w:rPr>
                            </w:pPr>
                            <w:proofErr w:type="gramStart"/>
                            <w:r>
                              <w:rPr>
                                <w:b/>
                                <w:sz w:val="28"/>
                              </w:rPr>
                              <w:t>c</w:t>
                            </w:r>
                            <w:proofErr w:type="gramEnd"/>
                            <w:r w:rsidRPr="009638EA">
                              <w:rPr>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3" o:spid="_x0000_s1115" type="#_x0000_t202" style="position:absolute;margin-left:-35.95pt;margin-top:351pt;width:36pt;height:27pt;z-index:25220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" filled="f" stroked="f">
                <v:textbox>
                  <w:txbxContent>
                    <w:p w14:paraId="3B117E82" w14:textId="77777777" w:rsidR="000A1E0D" w:rsidRPr="009638EA" w:rsidRDefault="000A1E0D" w:rsidP="00E7213F">
                      <w:pPr>
                        <w:rPr>
                          <w:b/>
                          <w:sz w:val="28"/>
                        </w:rPr>
                      </w:pPr>
                      <w:proofErr w:type="gramStart"/>
                      <w:r>
                        <w:rPr>
                          <w:b/>
                          <w:sz w:val="28"/>
                        </w:rPr>
                        <w:t>c</w:t>
                      </w:r>
                      <w:proofErr w:type="gramEnd"/>
                      <w:r w:rsidRPr="009638EA">
                        <w:rPr>
                          <w:b/>
                          <w:sz w:val="28"/>
                        </w:rPr>
                        <w:t>.)</w:t>
                      </w:r>
                    </w:p>
                  </w:txbxContent>
                </v:textbox>
                <w10:wrap type="square"/>
              </v:shape>
            </w:pict>
          </mc:Fallback>
        </mc:AlternateContent>
      </w:r>
      <w:r w:rsidR="00E7213F">
        <w:rPr>
          <w:b/>
          <w:i/>
          <w:noProof/>
          <w:sz w:val="22"/>
          <w:szCs w:val="22"/>
          <w:lang w:val="en-US"/>
        </w:rPr>
        <mc:AlternateContent>
          <mc:Choice Requires="wps">
            <w:drawing>
              <wp:anchor distT="0" distB="0" distL="114300" distR="114300" simplePos="0" relativeHeight="251751424" behindDoc="0" locked="0" layoutInCell="1" allowOverlap="1" wp14:anchorId="76E7C18E" wp14:editId="5D62D5E2">
                <wp:simplePos x="0" y="0"/>
                <wp:positionH relativeFrom="column">
                  <wp:posOffset>-457200</wp:posOffset>
                </wp:positionH>
                <wp:positionV relativeFrom="paragraph">
                  <wp:posOffset>2171700</wp:posOffset>
                </wp:positionV>
                <wp:extent cx="457200" cy="342900"/>
                <wp:effectExtent l="0" t="0" r="0" b="12700"/>
                <wp:wrapSquare wrapText="bothSides"/>
                <wp:docPr id="72" name="Text Box 72"/>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2F16A6" w14:textId="77777777" w:rsidR="00E82D3B" w:rsidRPr="009638EA" w:rsidRDefault="00E82D3B" w:rsidP="00E7213F">
                            <w:pPr>
                              <w:rPr>
                                <w:b/>
                                <w:sz w:val="28"/>
                              </w:rPr>
                            </w:pPr>
                            <w:proofErr w:type="gramStart"/>
                            <w:r>
                              <w:rPr>
                                <w:b/>
                                <w:sz w:val="28"/>
                              </w:rPr>
                              <w:t>b</w:t>
                            </w:r>
                            <w:proofErr w:type="gramEnd"/>
                            <w:r w:rsidRPr="009638EA">
                              <w:rPr>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2" o:spid="_x0000_s1116" type="#_x0000_t202" style="position:absolute;margin-left:-35.95pt;margin-top:171pt;width:36pt;height:27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88vc8CAAAX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" filled="f" stroked="f">
                <v:textbox>
                  <w:txbxContent>
                    <w:p w14:paraId="292F16A6" w14:textId="77777777" w:rsidR="000A1E0D" w:rsidRPr="009638EA" w:rsidRDefault="000A1E0D" w:rsidP="00E7213F">
                      <w:pPr>
                        <w:rPr>
                          <w:b/>
                          <w:sz w:val="28"/>
                        </w:rPr>
                      </w:pPr>
                      <w:proofErr w:type="gramStart"/>
                      <w:r>
                        <w:rPr>
                          <w:b/>
                          <w:sz w:val="28"/>
                        </w:rPr>
                        <w:t>b</w:t>
                      </w:r>
                      <w:proofErr w:type="gramEnd"/>
                      <w:r w:rsidRPr="009638EA">
                        <w:rPr>
                          <w:b/>
                          <w:sz w:val="28"/>
                        </w:rPr>
                        <w:t>.)</w:t>
                      </w:r>
                    </w:p>
                  </w:txbxContent>
                </v:textbox>
                <w10:wrap type="square"/>
              </v:shape>
            </w:pict>
          </mc:Fallback>
        </mc:AlternateContent>
      </w:r>
      <w:r w:rsidR="00E7213F">
        <w:rPr>
          <w:b/>
          <w:i/>
          <w:noProof/>
          <w:sz w:val="22"/>
          <w:szCs w:val="22"/>
          <w:lang w:val="en-US"/>
        </w:rPr>
        <mc:AlternateContent>
          <mc:Choice Requires="wps">
            <w:drawing>
              <wp:anchor distT="0" distB="0" distL="114300" distR="114300" simplePos="0" relativeHeight="251750400" behindDoc="0" locked="0" layoutInCell="1" allowOverlap="1" wp14:anchorId="6380689B" wp14:editId="2E8BF366">
                <wp:simplePos x="0" y="0"/>
                <wp:positionH relativeFrom="column">
                  <wp:posOffset>-457200</wp:posOffset>
                </wp:positionH>
                <wp:positionV relativeFrom="paragraph">
                  <wp:posOffset>0</wp:posOffset>
                </wp:positionV>
                <wp:extent cx="457200" cy="342900"/>
                <wp:effectExtent l="0" t="0" r="0" b="12700"/>
                <wp:wrapSquare wrapText="bothSides"/>
                <wp:docPr id="69" name="Text Box 69"/>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84947B" w14:textId="77777777" w:rsidR="00E82D3B" w:rsidRPr="009638EA" w:rsidRDefault="00E82D3B" w:rsidP="00E7213F">
                            <w:pPr>
                              <w:rPr>
                                <w:b/>
                                <w:sz w:val="28"/>
                              </w:rPr>
                            </w:pPr>
                            <w:proofErr w:type="gramStart"/>
                            <w:r>
                              <w:rPr>
                                <w:b/>
                                <w:sz w:val="28"/>
                              </w:rPr>
                              <w:t>a</w:t>
                            </w:r>
                            <w:proofErr w:type="gramEnd"/>
                            <w:r w:rsidRPr="009638EA">
                              <w:rPr>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9" o:spid="_x0000_s1117" type="#_x0000_t202" style="position:absolute;margin-left:-35.95pt;margin-top:0;width:36pt;height:27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6T/tACAAAX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" filled="f" stroked="f">
                <v:textbox>
                  <w:txbxContent>
                    <w:p w14:paraId="0E84947B" w14:textId="77777777" w:rsidR="000A1E0D" w:rsidRPr="009638EA" w:rsidRDefault="000A1E0D" w:rsidP="00E7213F">
                      <w:pPr>
                        <w:rPr>
                          <w:b/>
                          <w:sz w:val="28"/>
                        </w:rPr>
                      </w:pPr>
                      <w:proofErr w:type="gramStart"/>
                      <w:r>
                        <w:rPr>
                          <w:b/>
                          <w:sz w:val="28"/>
                        </w:rPr>
                        <w:t>a</w:t>
                      </w:r>
                      <w:proofErr w:type="gramEnd"/>
                      <w:r w:rsidRPr="009638EA">
                        <w:rPr>
                          <w:b/>
                          <w:sz w:val="28"/>
                        </w:rPr>
                        <w:t>.)</w:t>
                      </w:r>
                    </w:p>
                  </w:txbxContent>
                </v:textbox>
                <w10:wrap type="square"/>
              </v:shape>
            </w:pict>
          </mc:Fallback>
        </mc:AlternateContent>
      </w:r>
      <w:r w:rsidR="00E7213F" w:rsidRPr="00CF6C41">
        <w:rPr>
          <w:rFonts w:ascii="Calibri" w:hAnsi="Calibri"/>
          <w:noProof/>
          <w:lang w:val="en-US"/>
        </w:rPr>
        <w:drawing>
          <wp:anchor distT="0" distB="0" distL="114300" distR="114300" simplePos="0" relativeHeight="251772928" behindDoc="0" locked="0" layoutInCell="1" allowOverlap="1" wp14:anchorId="5C28F124" wp14:editId="29B7D403">
            <wp:simplePos x="0" y="0"/>
            <wp:positionH relativeFrom="column">
              <wp:posOffset>-114300</wp:posOffset>
            </wp:positionH>
            <wp:positionV relativeFrom="paragraph">
              <wp:posOffset>114300</wp:posOffset>
            </wp:positionV>
            <wp:extent cx="5730240" cy="1828800"/>
            <wp:effectExtent l="0" t="0" r="10160" b="0"/>
            <wp:wrapSquare wrapText="bothSides"/>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024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rFonts w:ascii="Calibri" w:hAnsi="Calibri"/>
        </w:rPr>
        <w:br w:type="page"/>
      </w:r>
    </w:p>
    <w:p w14:paraId="0F88906C" w14:textId="77777777" w:rsidR="00E7213F" w:rsidRPr="00CF6C41" w:rsidRDefault="00E7213F" w:rsidP="00E7213F">
      <w:pPr>
        <w:tabs>
          <w:tab w:val="left" w:pos="5360"/>
        </w:tabs>
        <w:rPr>
          <w:rFonts w:asciiTheme="majorHAnsi" w:hAnsiTheme="majorHAnsi"/>
          <w:sz w:val="28"/>
          <w:szCs w:val="28"/>
          <w:u w:val="single"/>
        </w:rPr>
      </w:pPr>
      <w:r w:rsidRPr="00CF6C41">
        <w:rPr>
          <w:rFonts w:asciiTheme="majorHAnsi" w:hAnsiTheme="majorHAnsi"/>
          <w:sz w:val="28"/>
          <w:szCs w:val="28"/>
          <w:u w:val="single"/>
        </w:rPr>
        <w:t xml:space="preserve">4.4 Chromatin changes are a feature of </w:t>
      </w:r>
      <w:r w:rsidRPr="003B48C3">
        <w:rPr>
          <w:rFonts w:asciiTheme="majorHAnsi" w:hAnsiTheme="majorHAnsi"/>
          <w:i/>
          <w:sz w:val="28"/>
          <w:szCs w:val="28"/>
          <w:u w:val="single"/>
        </w:rPr>
        <w:t>SRCAP</w:t>
      </w:r>
      <w:r w:rsidRPr="00CF6C41">
        <w:rPr>
          <w:rFonts w:asciiTheme="majorHAnsi" w:hAnsiTheme="majorHAnsi"/>
          <w:sz w:val="28"/>
          <w:szCs w:val="28"/>
          <w:u w:val="single"/>
        </w:rPr>
        <w:t xml:space="preserve"> depletion</w:t>
      </w:r>
    </w:p>
    <w:p w14:paraId="05192EAB" w14:textId="77777777" w:rsidR="00E7213F" w:rsidRDefault="00E7213F" w:rsidP="00E7213F">
      <w:pPr>
        <w:spacing w:line="360" w:lineRule="auto"/>
        <w:jc w:val="both"/>
        <w:rPr>
          <w:rFonts w:ascii="Calibri" w:hAnsi="Calibri"/>
        </w:rPr>
      </w:pPr>
    </w:p>
    <w:p w14:paraId="322008C6" w14:textId="36FE530F" w:rsidR="00E7213F" w:rsidRDefault="00E7213F" w:rsidP="00E7213F">
      <w:pPr>
        <w:spacing w:line="360" w:lineRule="auto"/>
        <w:jc w:val="both"/>
        <w:rPr>
          <w:rFonts w:ascii="Calibri" w:hAnsi="Calibri"/>
        </w:rPr>
      </w:pPr>
      <w:r>
        <w:rPr>
          <w:rFonts w:ascii="Calibri" w:hAnsi="Calibri"/>
        </w:rPr>
        <w:t xml:space="preserve">After demonstrating that </w:t>
      </w:r>
      <w:r w:rsidRPr="003B48C3">
        <w:rPr>
          <w:rFonts w:ascii="Calibri" w:hAnsi="Calibri"/>
          <w:i/>
        </w:rPr>
        <w:t>SRCAP</w:t>
      </w:r>
      <w:r w:rsidR="00A40F61">
        <w:rPr>
          <w:rFonts w:ascii="Calibri" w:hAnsi="Calibri"/>
        </w:rPr>
        <w:t xml:space="preserve"> knock</w:t>
      </w:r>
      <w:r>
        <w:rPr>
          <w:rFonts w:ascii="Calibri" w:hAnsi="Calibri"/>
        </w:rPr>
        <w:t>down causes DNA damage and nuclear abnormalities, the next st</w:t>
      </w:r>
      <w:r w:rsidR="00A40F61">
        <w:rPr>
          <w:rFonts w:ascii="Calibri" w:hAnsi="Calibri"/>
        </w:rPr>
        <w:t>ep was to assess how this knock</w:t>
      </w:r>
      <w:r>
        <w:rPr>
          <w:rFonts w:ascii="Calibri" w:hAnsi="Calibri"/>
        </w:rPr>
        <w:t xml:space="preserve">down affected the chromatin structure as a whole. To </w:t>
      </w:r>
      <w:r w:rsidRPr="00E83A72">
        <w:rPr>
          <w:rFonts w:ascii="Calibri" w:hAnsi="Calibri"/>
        </w:rPr>
        <w:t>do this, micrococcal nuclease (MNase) was employed, as</w:t>
      </w:r>
      <w:r>
        <w:rPr>
          <w:rFonts w:ascii="Calibri" w:hAnsi="Calibri"/>
        </w:rPr>
        <w:t xml:space="preserve"> this gives an efficient way to map the chromatin and determine where the nucleosomes are within the DNA. This is due to its preference to cleave DNA that is not wound around the histones, which means it will cleave linker DNA, giving mono-nucleosome length DNA fragments. In the Dong et al. paper they showed that after 2mins incubation with MNase, Hela cells which had had SRCAP depleted, were less sensitive to chromatin digestion. This was shown by use of agarose gels with image analysis quantification of the band intensities. This suggests that, when SRCAP is knocked down the chromatin is much more compact and so less easily accessible for the MNase to cleave. In order to test whether the same was true in both colorectal cancer cell lines, the MNase kit was used as outlined in the methods</w:t>
      </w:r>
      <w:r w:rsidR="006F3899">
        <w:rPr>
          <w:rFonts w:ascii="Calibri" w:hAnsi="Calibri"/>
        </w:rPr>
        <w:t xml:space="preserve"> (section 2.2.V.e)</w:t>
      </w:r>
      <w:r>
        <w:rPr>
          <w:rFonts w:ascii="Calibri" w:hAnsi="Calibri"/>
        </w:rPr>
        <w:t xml:space="preserve">, with the MNase enzyme incubation for four different lengths of time, and the resulting DNA fragment mix </w:t>
      </w:r>
      <w:r w:rsidR="00222D21">
        <w:rPr>
          <w:rFonts w:ascii="Calibri" w:hAnsi="Calibri"/>
        </w:rPr>
        <w:t xml:space="preserve">was </w:t>
      </w:r>
      <w:r>
        <w:rPr>
          <w:rFonts w:ascii="Calibri" w:hAnsi="Calibri"/>
        </w:rPr>
        <w:t xml:space="preserve">run on an agarose gel. </w:t>
      </w:r>
    </w:p>
    <w:p w14:paraId="11FD65AE" w14:textId="77777777" w:rsidR="00E7213F" w:rsidRDefault="00E7213F" w:rsidP="00E7213F">
      <w:pPr>
        <w:spacing w:line="360" w:lineRule="auto"/>
        <w:jc w:val="both"/>
        <w:rPr>
          <w:rFonts w:ascii="Calibri" w:hAnsi="Calibri"/>
        </w:rPr>
      </w:pPr>
    </w:p>
    <w:p w14:paraId="41327E35" w14:textId="749790C5" w:rsidR="00E7213F" w:rsidRDefault="00E7213F" w:rsidP="00E7213F">
      <w:pPr>
        <w:spacing w:line="360" w:lineRule="auto"/>
        <w:jc w:val="both"/>
        <w:rPr>
          <w:rFonts w:ascii="Calibri" w:hAnsi="Calibri"/>
        </w:rPr>
      </w:pPr>
      <w:r>
        <w:rPr>
          <w:rFonts w:ascii="Calibri" w:hAnsi="Calibri"/>
        </w:rPr>
        <w:t>It can clearl</w:t>
      </w:r>
      <w:r w:rsidR="00222D21">
        <w:rPr>
          <w:rFonts w:ascii="Calibri" w:hAnsi="Calibri"/>
        </w:rPr>
        <w:t>y be seen that at all four time</w:t>
      </w:r>
      <w:r>
        <w:rPr>
          <w:rFonts w:ascii="Calibri" w:hAnsi="Calibri"/>
        </w:rPr>
        <w:t xml:space="preserve"> points there is a less prominent band at the top of the gel in the control lanes compared to the </w:t>
      </w:r>
      <w:r w:rsidRPr="003B48C3">
        <w:rPr>
          <w:rFonts w:ascii="Calibri" w:hAnsi="Calibri"/>
          <w:i/>
        </w:rPr>
        <w:t>SRCAP</w:t>
      </w:r>
      <w:r w:rsidR="00A40F61">
        <w:rPr>
          <w:rFonts w:ascii="Calibri" w:hAnsi="Calibri"/>
        </w:rPr>
        <w:t xml:space="preserve"> knock</w:t>
      </w:r>
      <w:r>
        <w:rPr>
          <w:rFonts w:ascii="Calibri" w:hAnsi="Calibri"/>
        </w:rPr>
        <w:t xml:space="preserve">down lanes in SW480 cells (Figure 4.8a). This indicates that the DNA fragments are larger in the </w:t>
      </w:r>
      <w:r w:rsidRPr="003B48C3">
        <w:rPr>
          <w:rFonts w:ascii="Calibri" w:hAnsi="Calibri"/>
          <w:i/>
        </w:rPr>
        <w:t>SRCAP</w:t>
      </w:r>
      <w:r>
        <w:rPr>
          <w:rFonts w:ascii="Calibri" w:hAnsi="Calibri"/>
        </w:rPr>
        <w:t xml:space="preserve"> depleted samples, </w:t>
      </w:r>
      <w:r w:rsidR="00222D21">
        <w:rPr>
          <w:rFonts w:ascii="Calibri" w:hAnsi="Calibri"/>
        </w:rPr>
        <w:t>suggesting that</w:t>
      </w:r>
      <w:r>
        <w:rPr>
          <w:rFonts w:ascii="Calibri" w:hAnsi="Calibri"/>
        </w:rPr>
        <w:t xml:space="preserve"> the MNase is not digesting the DNA as efficiently. As the nuclease is left on for longer periods of time there is a clear increase in digestion</w:t>
      </w:r>
      <w:r w:rsidR="00222D21">
        <w:rPr>
          <w:rFonts w:ascii="Calibri" w:hAnsi="Calibri"/>
        </w:rPr>
        <w:t xml:space="preserve"> in the control lanes</w:t>
      </w:r>
      <w:r>
        <w:rPr>
          <w:rFonts w:ascii="Calibri" w:hAnsi="Calibri"/>
        </w:rPr>
        <w:t xml:space="preserve">, and in contrast larger fragments are observed in the </w:t>
      </w:r>
      <w:r w:rsidRPr="003B48C3">
        <w:rPr>
          <w:rFonts w:ascii="Calibri" w:hAnsi="Calibri"/>
          <w:i/>
        </w:rPr>
        <w:t>SRCAP</w:t>
      </w:r>
      <w:r w:rsidR="00A40F61">
        <w:rPr>
          <w:rFonts w:ascii="Calibri" w:hAnsi="Calibri"/>
        </w:rPr>
        <w:t xml:space="preserve"> knock</w:t>
      </w:r>
      <w:r>
        <w:rPr>
          <w:rFonts w:ascii="Calibri" w:hAnsi="Calibri"/>
        </w:rPr>
        <w:t>down lanes. The band at the bottom of the gel, correspond</w:t>
      </w:r>
      <w:r w:rsidR="00222D21">
        <w:rPr>
          <w:rFonts w:ascii="Calibri" w:hAnsi="Calibri"/>
        </w:rPr>
        <w:t>ing</w:t>
      </w:r>
      <w:r>
        <w:rPr>
          <w:rFonts w:ascii="Calibri" w:hAnsi="Calibri"/>
        </w:rPr>
        <w:t xml:space="preserve"> to a 147bp marker</w:t>
      </w:r>
      <w:r w:rsidR="00222D21">
        <w:rPr>
          <w:rFonts w:ascii="Calibri" w:hAnsi="Calibri"/>
        </w:rPr>
        <w:t xml:space="preserve"> represents </w:t>
      </w:r>
      <w:r>
        <w:rPr>
          <w:rFonts w:ascii="Calibri" w:hAnsi="Calibri"/>
        </w:rPr>
        <w:t>approximately the size of DNA w</w:t>
      </w:r>
      <w:r w:rsidR="00222D21">
        <w:rPr>
          <w:rFonts w:ascii="Calibri" w:hAnsi="Calibri"/>
        </w:rPr>
        <w:t>ound around a single nucleosome</w:t>
      </w:r>
      <w:r>
        <w:rPr>
          <w:rFonts w:ascii="Calibri" w:hAnsi="Calibri"/>
        </w:rPr>
        <w:t xml:space="preserve">. At 20mins and 30mins there is a slight increase in 147bp band intensity in the control lanes, suggesting these have been digested more efficiently than in the </w:t>
      </w:r>
      <w:r w:rsidRPr="003B48C3">
        <w:rPr>
          <w:rFonts w:ascii="Calibri" w:hAnsi="Calibri"/>
          <w:i/>
        </w:rPr>
        <w:t>SRCAP</w:t>
      </w:r>
      <w:r w:rsidR="00A40F61">
        <w:rPr>
          <w:rFonts w:ascii="Calibri" w:hAnsi="Calibri"/>
        </w:rPr>
        <w:t xml:space="preserve"> knock</w:t>
      </w:r>
      <w:r>
        <w:rPr>
          <w:rFonts w:ascii="Calibri" w:hAnsi="Calibri"/>
        </w:rPr>
        <w:t xml:space="preserve">down samples. However, the HCT116 cells do not show the same pattern of digestion as the SW480 cells, in fact there is no clear overall conclusion in these cells, as most samples look the same. </w:t>
      </w:r>
    </w:p>
    <w:p w14:paraId="4920815C" w14:textId="77777777" w:rsidR="00E7213F" w:rsidRDefault="00E7213F" w:rsidP="00E7213F">
      <w:pPr>
        <w:spacing w:line="360" w:lineRule="auto"/>
        <w:jc w:val="both"/>
        <w:rPr>
          <w:rFonts w:ascii="Calibri" w:hAnsi="Calibri"/>
        </w:rPr>
      </w:pPr>
    </w:p>
    <w:p w14:paraId="7F0F728C" w14:textId="77777777" w:rsidR="00E7213F" w:rsidRDefault="00E7213F" w:rsidP="00E7213F">
      <w:pPr>
        <w:rPr>
          <w:rFonts w:asciiTheme="majorHAnsi" w:hAnsiTheme="majorHAnsi"/>
          <w:sz w:val="28"/>
          <w:szCs w:val="28"/>
          <w:u w:val="single"/>
        </w:rPr>
      </w:pPr>
      <w:r>
        <w:rPr>
          <w:rFonts w:ascii="Calibri" w:hAnsi="Calibri"/>
          <w:noProof/>
          <w:color w:val="FF0000"/>
          <w:lang w:val="en-US"/>
        </w:rPr>
        <mc:AlternateContent>
          <mc:Choice Requires="wps">
            <w:drawing>
              <wp:anchor distT="0" distB="0" distL="114300" distR="114300" simplePos="0" relativeHeight="251781120" behindDoc="0" locked="0" layoutInCell="1" allowOverlap="1" wp14:anchorId="0C4D3A14" wp14:editId="09B9D395">
                <wp:simplePos x="0" y="0"/>
                <wp:positionH relativeFrom="column">
                  <wp:posOffset>0</wp:posOffset>
                </wp:positionH>
                <wp:positionV relativeFrom="paragraph">
                  <wp:posOffset>6515100</wp:posOffset>
                </wp:positionV>
                <wp:extent cx="5486400" cy="2628900"/>
                <wp:effectExtent l="0" t="0" r="0" b="12700"/>
                <wp:wrapSquare wrapText="bothSides"/>
                <wp:docPr id="165" name="Text Box 165"/>
                <wp:cNvGraphicFramePr/>
                <a:graphic xmlns:a="http://schemas.openxmlformats.org/drawingml/2006/main">
                  <a:graphicData uri="http://schemas.microsoft.com/office/word/2010/wordprocessingShape">
                    <wps:wsp>
                      <wps:cNvSpPr txBox="1"/>
                      <wps:spPr>
                        <a:xfrm>
                          <a:off x="0" y="0"/>
                          <a:ext cx="54864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40F2AD" w14:textId="77777777" w:rsidR="00E82D3B" w:rsidRDefault="00E82D3B" w:rsidP="00E7213F">
                            <w:pPr>
                              <w:jc w:val="both"/>
                              <w:rPr>
                                <w:b/>
                                <w:i/>
                                <w:sz w:val="22"/>
                              </w:rPr>
                            </w:pPr>
                            <w:r w:rsidRPr="00166027">
                              <w:rPr>
                                <w:b/>
                                <w:i/>
                                <w:sz w:val="22"/>
                              </w:rPr>
                              <w:t xml:space="preserve">Figure 4.8 </w:t>
                            </w:r>
                            <w:r>
                              <w:rPr>
                                <w:b/>
                                <w:i/>
                                <w:sz w:val="22"/>
                              </w:rPr>
                              <w:t>Micrococcal Nuclease digestion of chromatin with SRCAP depletion shows distinctive patterns of digestion</w:t>
                            </w:r>
                          </w:p>
                          <w:p w14:paraId="49AA8EF8" w14:textId="29E155EF" w:rsidR="00E82D3B" w:rsidRDefault="00E82D3B" w:rsidP="00E7213F">
                            <w:pPr>
                              <w:jc w:val="both"/>
                              <w:rPr>
                                <w:rFonts w:ascii="Cambria" w:hAnsi="Cambria"/>
                                <w:i/>
                                <w:sz w:val="22"/>
                              </w:rPr>
                            </w:pPr>
                            <w:r>
                              <w:rPr>
                                <w:i/>
                                <w:sz w:val="22"/>
                              </w:rPr>
                              <w:t>a.) SW480 cells were transfected with SRCAP or non-specific control siRNA for 48hrs, the cells trypsinised and subjected to the MNase assay kit. The enzyme was left on for 5,10, 15 or 20mins. Then 5</w:t>
                            </w:r>
                            <w:r>
                              <w:rPr>
                                <w:rFonts w:ascii="Cambria" w:hAnsi="Cambria"/>
                                <w:i/>
                                <w:sz w:val="22"/>
                              </w:rPr>
                              <w:t>μl of sample, plus 1μl of DNA loading buffer was run on a 1% agarose gel alongside Hyperladder I and Hyperladder V, plus a 147bp marker. This is a representative image of the pattern, which was seen across 3 repeats, the red box at the top shows that in the control lanes there is less DNA than in the knockdown lanes, moving down to the second red box and the pattern is the same. However, towards the bottom of the gel there appears to be more DNA in the control lanes that then correlates to the hypothesis that more digestion is occurring when SRCAP is present as there is access to the DNA.</w:t>
                            </w:r>
                          </w:p>
                          <w:p w14:paraId="2F3B9BCF" w14:textId="77777777" w:rsidR="00E82D3B" w:rsidRPr="00F31B37" w:rsidRDefault="00E82D3B" w:rsidP="00E7213F">
                            <w:pPr>
                              <w:jc w:val="both"/>
                              <w:rPr>
                                <w:rFonts w:ascii="Cambria" w:hAnsi="Cambria"/>
                                <w:i/>
                                <w:sz w:val="22"/>
                              </w:rPr>
                            </w:pPr>
                            <w:r>
                              <w:rPr>
                                <w:rFonts w:ascii="Cambria" w:hAnsi="Cambria"/>
                                <w:i/>
                                <w:sz w:val="22"/>
                              </w:rPr>
                              <w:t>b.) HCT116 cells were treated in the same way as above. However, after MNase digestion they did not follow the same pattern as was seen in SW480 cells as the representative image above shows. Both images are representative of multiple experiments using different digestion times, run times, ladders and control markers.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5" o:spid="_x0000_s1118" type="#_x0000_t202" style="position:absolute;margin-left:0;margin-top:513pt;width:6in;height:207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" filled="f" stroked="f">
                <v:textbox>
                  <w:txbxContent>
                    <w:p w14:paraId="0F40F2AD" w14:textId="77777777" w:rsidR="000A1E0D" w:rsidRDefault="000A1E0D" w:rsidP="00E7213F">
                      <w:pPr>
                        <w:jc w:val="both"/>
                        <w:rPr>
                          <w:b/>
                          <w:i/>
                          <w:sz w:val="22"/>
                        </w:rPr>
                      </w:pPr>
                      <w:r w:rsidRPr="00166027">
                        <w:rPr>
                          <w:b/>
                          <w:i/>
                          <w:sz w:val="22"/>
                        </w:rPr>
                        <w:t xml:space="preserve">Figure 4.8 </w:t>
                      </w:r>
                      <w:r>
                        <w:rPr>
                          <w:b/>
                          <w:i/>
                          <w:sz w:val="22"/>
                        </w:rPr>
                        <w:t>Micrococcal Nuclease digestion of chromatin with SRCAP depletion shows distinctive patterns of digestion</w:t>
                      </w:r>
                    </w:p>
                    <w:p w14:paraId="49AA8EF8" w14:textId="29E155EF" w:rsidR="000A1E0D" w:rsidRDefault="000A1E0D" w:rsidP="00E7213F">
                      <w:pPr>
                        <w:jc w:val="both"/>
                        <w:rPr>
                          <w:rFonts w:ascii="Cambria" w:hAnsi="Cambria"/>
                          <w:i/>
                          <w:sz w:val="22"/>
                        </w:rPr>
                      </w:pPr>
                      <w:r>
                        <w:rPr>
                          <w:i/>
                          <w:sz w:val="22"/>
                        </w:rPr>
                        <w:t>a.) SW480 cells were transfected with SRCAP or non-specific control siRNA for 48hrs, the cells trypsinised and subjected to the MNase assay kit. The enzyme was left on for 5,10, 15 or 20mins. Then 5</w:t>
                      </w:r>
                      <w:r>
                        <w:rPr>
                          <w:rFonts w:ascii="Cambria" w:hAnsi="Cambria"/>
                          <w:i/>
                          <w:sz w:val="22"/>
                        </w:rPr>
                        <w:t>μl of sample, plus 1μl of DNA loading buffer was run on a 1% agarose gel alongside Hyperladder I and Hyperladder V, plus a 147bp marker. This is a representative image of the pattern, which was seen across 3 repeats, the red box at the top shows that in the control lanes there is less DNA than in the knockdown lanes, moving down to the second red box and the pattern is the same. However, towards the bottom of the gel there appears to be more DNA in the control lanes that then correlates to the hypothesis that more digestion is occurring when SRCAP is present as there is access to the DNA.</w:t>
                      </w:r>
                    </w:p>
                    <w:p w14:paraId="2F3B9BCF" w14:textId="77777777" w:rsidR="000A1E0D" w:rsidRPr="00F31B37" w:rsidRDefault="000A1E0D" w:rsidP="00E7213F">
                      <w:pPr>
                        <w:jc w:val="both"/>
                        <w:rPr>
                          <w:rFonts w:ascii="Cambria" w:hAnsi="Cambria"/>
                          <w:i/>
                          <w:sz w:val="22"/>
                        </w:rPr>
                      </w:pPr>
                      <w:r>
                        <w:rPr>
                          <w:rFonts w:ascii="Cambria" w:hAnsi="Cambria"/>
                          <w:i/>
                          <w:sz w:val="22"/>
                        </w:rPr>
                        <w:t>b.) HCT116 cells were treated in the same way as above. However, after MNase digestion they did not follow the same pattern as was seen in SW480 cells as the representative image above shows. Both images are representative of multiple experiments using different digestion times, run times, ladders and control markers.</w:t>
                      </w:r>
                    </w:p>
                  </w:txbxContent>
                </v:textbox>
                <w10:wrap type="square"/>
              </v:shape>
            </w:pict>
          </mc:Fallback>
        </mc:AlternateContent>
      </w:r>
      <w:r>
        <w:rPr>
          <w:rFonts w:asciiTheme="majorHAnsi" w:hAnsiTheme="majorHAnsi"/>
          <w:noProof/>
          <w:sz w:val="28"/>
          <w:szCs w:val="28"/>
          <w:u w:val="single"/>
          <w:lang w:val="en-US"/>
        </w:rPr>
        <w:drawing>
          <wp:anchor distT="0" distB="0" distL="114300" distR="114300" simplePos="0" relativeHeight="251786240" behindDoc="0" locked="0" layoutInCell="1" allowOverlap="1" wp14:anchorId="38F6A517" wp14:editId="69283267">
            <wp:simplePos x="0" y="0"/>
            <wp:positionH relativeFrom="column">
              <wp:posOffset>457200</wp:posOffset>
            </wp:positionH>
            <wp:positionV relativeFrom="paragraph">
              <wp:posOffset>3200400</wp:posOffset>
            </wp:positionV>
            <wp:extent cx="4342130" cy="3248660"/>
            <wp:effectExtent l="0" t="0" r="1270" b="2540"/>
            <wp:wrapTopAndBottom/>
            <wp:docPr id="176" name="Picture 176" descr="Macintosh HD:Users:ClairFellows:Desktop:Screen Shot 2017-09-11 at 15.2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irFellows:Desktop:Screen Shot 2017-09-11 at 15.21.28.png"/>
                    <pic:cNvPicPr>
                      <a:picLocks noChangeAspect="1" noChangeArrowheads="1"/>
                    </pic:cNvPicPr>
                  </pic:nvPicPr>
                  <pic:blipFill rotWithShape="1">
                    <a:blip r:embed="rId111">
                      <a:extLst>
                        <a:ext uri="{28A0092B-C50C-407E-A947-70E740481C1C}">
                          <a14:useLocalDpi xmlns:a14="http://schemas.microsoft.com/office/drawing/2010/main" val="0"/>
                        </a:ext>
                      </a:extLst>
                    </a:blip>
                    <a:srcRect l="1930"/>
                    <a:stretch/>
                  </pic:blipFill>
                  <pic:spPr bwMode="auto">
                    <a:xfrm>
                      <a:off x="0" y="0"/>
                      <a:ext cx="4342130" cy="3248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FF0000"/>
          <w:lang w:val="en-US"/>
        </w:rPr>
        <w:drawing>
          <wp:anchor distT="0" distB="0" distL="114300" distR="114300" simplePos="0" relativeHeight="251780096" behindDoc="0" locked="0" layoutInCell="1" allowOverlap="1" wp14:anchorId="46228B75" wp14:editId="364CF2E1">
            <wp:simplePos x="0" y="0"/>
            <wp:positionH relativeFrom="column">
              <wp:posOffset>571500</wp:posOffset>
            </wp:positionH>
            <wp:positionV relativeFrom="paragraph">
              <wp:posOffset>0</wp:posOffset>
            </wp:positionV>
            <wp:extent cx="4229100" cy="3177540"/>
            <wp:effectExtent l="0" t="0" r="12700" b="0"/>
            <wp:wrapTopAndBottom/>
            <wp:docPr id="177" name="Picture 177" descr="Macintosh HD:Users:ClairFellows:Desktop:Screen Shot 2017-09-11 at 11.1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09-11 at 11.16.0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29100" cy="3177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color w:val="FF0000"/>
          <w:lang w:val="en-US"/>
        </w:rPr>
        <mc:AlternateContent>
          <mc:Choice Requires="wps">
            <w:drawing>
              <wp:anchor distT="0" distB="0" distL="114300" distR="114300" simplePos="0" relativeHeight="251784192" behindDoc="0" locked="0" layoutInCell="1" allowOverlap="1" wp14:anchorId="410E6061" wp14:editId="5F943D62">
                <wp:simplePos x="0" y="0"/>
                <wp:positionH relativeFrom="column">
                  <wp:posOffset>-114300</wp:posOffset>
                </wp:positionH>
                <wp:positionV relativeFrom="paragraph">
                  <wp:posOffset>0</wp:posOffset>
                </wp:positionV>
                <wp:extent cx="457200" cy="571500"/>
                <wp:effectExtent l="0" t="0" r="0" b="12700"/>
                <wp:wrapSquare wrapText="bothSides"/>
                <wp:docPr id="166" name="Text Box 166"/>
                <wp:cNvGraphicFramePr/>
                <a:graphic xmlns:a="http://schemas.openxmlformats.org/drawingml/2006/main">
                  <a:graphicData uri="http://schemas.microsoft.com/office/word/2010/wordprocessingShape">
                    <wps:wsp>
                      <wps:cNvSpPr txBox="1"/>
                      <wps:spPr>
                        <a:xfrm>
                          <a:off x="0" y="0"/>
                          <a:ext cx="457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D51444" w14:textId="77777777" w:rsidR="00E82D3B" w:rsidRPr="009A47A3" w:rsidRDefault="00E82D3B" w:rsidP="00E7213F">
                            <w:pPr>
                              <w:rPr>
                                <w:b/>
                              </w:rPr>
                            </w:pPr>
                            <w:proofErr w:type="gramStart"/>
                            <w:r w:rsidRPr="009A47A3">
                              <w:rPr>
                                <w:b/>
                              </w:rPr>
                              <w:t>a</w:t>
                            </w:r>
                            <w:proofErr w:type="gramEnd"/>
                            <w:r w:rsidRPr="009A47A3">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6" o:spid="_x0000_s1119" type="#_x0000_t202" style="position:absolute;margin-left:-8.95pt;margin-top:0;width:36pt;height:4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" filled="f" stroked="f">
                <v:textbox>
                  <w:txbxContent>
                    <w:p w14:paraId="1CD51444" w14:textId="77777777" w:rsidR="000A1E0D" w:rsidRPr="009A47A3" w:rsidRDefault="000A1E0D" w:rsidP="00E7213F">
                      <w:pPr>
                        <w:rPr>
                          <w:b/>
                        </w:rPr>
                      </w:pPr>
                      <w:proofErr w:type="gramStart"/>
                      <w:r w:rsidRPr="009A47A3">
                        <w:rPr>
                          <w:b/>
                        </w:rPr>
                        <w:t>a</w:t>
                      </w:r>
                      <w:proofErr w:type="gramEnd"/>
                      <w:r w:rsidRPr="009A47A3">
                        <w:rPr>
                          <w:b/>
                        </w:rPr>
                        <w:t>.)</w:t>
                      </w:r>
                    </w:p>
                  </w:txbxContent>
                </v:textbox>
                <w10:wrap type="square"/>
              </v:shape>
            </w:pict>
          </mc:Fallback>
        </mc:AlternateContent>
      </w:r>
      <w:r>
        <w:rPr>
          <w:rFonts w:ascii="Calibri" w:hAnsi="Calibri"/>
          <w:noProof/>
          <w:color w:val="FF0000"/>
          <w:lang w:val="en-US"/>
        </w:rPr>
        <mc:AlternateContent>
          <mc:Choice Requires="wps">
            <w:drawing>
              <wp:anchor distT="0" distB="0" distL="114300" distR="114300" simplePos="0" relativeHeight="251785216" behindDoc="0" locked="0" layoutInCell="1" allowOverlap="1" wp14:anchorId="5503B1C4" wp14:editId="09C78BE4">
                <wp:simplePos x="0" y="0"/>
                <wp:positionH relativeFrom="column">
                  <wp:posOffset>-114300</wp:posOffset>
                </wp:positionH>
                <wp:positionV relativeFrom="paragraph">
                  <wp:posOffset>3314700</wp:posOffset>
                </wp:positionV>
                <wp:extent cx="457200" cy="571500"/>
                <wp:effectExtent l="0" t="0" r="0" b="12700"/>
                <wp:wrapSquare wrapText="bothSides"/>
                <wp:docPr id="167" name="Text Box 167"/>
                <wp:cNvGraphicFramePr/>
                <a:graphic xmlns:a="http://schemas.openxmlformats.org/drawingml/2006/main">
                  <a:graphicData uri="http://schemas.microsoft.com/office/word/2010/wordprocessingShape">
                    <wps:wsp>
                      <wps:cNvSpPr txBox="1"/>
                      <wps:spPr>
                        <a:xfrm>
                          <a:off x="0" y="0"/>
                          <a:ext cx="457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7733CB" w14:textId="77777777" w:rsidR="00E82D3B" w:rsidRPr="009A47A3" w:rsidRDefault="00E82D3B" w:rsidP="00E7213F">
                            <w:pPr>
                              <w:rPr>
                                <w:b/>
                              </w:rPr>
                            </w:pPr>
                            <w:proofErr w:type="gramStart"/>
                            <w:r>
                              <w:rPr>
                                <w:b/>
                              </w:rPr>
                              <w:t>b</w:t>
                            </w:r>
                            <w:proofErr w:type="gramEnd"/>
                            <w:r w:rsidRPr="009A47A3">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7" o:spid="_x0000_s1120" type="#_x0000_t202" style="position:absolute;margin-left:-8.95pt;margin-top:261pt;width:36pt;height:4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" filled="f" stroked="f">
                <v:textbox>
                  <w:txbxContent>
                    <w:p w14:paraId="357733CB" w14:textId="77777777" w:rsidR="000A1E0D" w:rsidRPr="009A47A3" w:rsidRDefault="000A1E0D" w:rsidP="00E7213F">
                      <w:pPr>
                        <w:rPr>
                          <w:b/>
                        </w:rPr>
                      </w:pPr>
                      <w:proofErr w:type="gramStart"/>
                      <w:r>
                        <w:rPr>
                          <w:b/>
                        </w:rPr>
                        <w:t>b</w:t>
                      </w:r>
                      <w:proofErr w:type="gramEnd"/>
                      <w:r w:rsidRPr="009A47A3">
                        <w:rPr>
                          <w:b/>
                        </w:rPr>
                        <w:t>.)</w:t>
                      </w:r>
                    </w:p>
                  </w:txbxContent>
                </v:textbox>
                <w10:wrap type="square"/>
              </v:shape>
            </w:pict>
          </mc:Fallback>
        </mc:AlternateContent>
      </w:r>
      <w:r>
        <w:rPr>
          <w:rFonts w:asciiTheme="majorHAnsi" w:hAnsiTheme="majorHAnsi"/>
          <w:sz w:val="28"/>
          <w:szCs w:val="28"/>
          <w:u w:val="single"/>
        </w:rPr>
        <w:br w:type="page"/>
      </w:r>
    </w:p>
    <w:p w14:paraId="0EAA53AF" w14:textId="59C8F7F3" w:rsidR="00E7213F" w:rsidRDefault="00E7213F" w:rsidP="00E7213F">
      <w:pPr>
        <w:spacing w:line="360" w:lineRule="auto"/>
        <w:jc w:val="both"/>
        <w:rPr>
          <w:rFonts w:ascii="Calibri" w:hAnsi="Calibri"/>
        </w:rPr>
      </w:pPr>
      <w:r>
        <w:rPr>
          <w:rFonts w:ascii="Calibri" w:hAnsi="Calibri"/>
        </w:rPr>
        <w:t xml:space="preserve">The image resolution in the above experiment is not optimal </w:t>
      </w:r>
      <w:r w:rsidR="00222D21">
        <w:rPr>
          <w:rFonts w:ascii="Calibri" w:hAnsi="Calibri"/>
        </w:rPr>
        <w:t>for</w:t>
      </w:r>
      <w:r>
        <w:rPr>
          <w:rFonts w:ascii="Calibri" w:hAnsi="Calibri"/>
        </w:rPr>
        <w:t xml:space="preserve"> definitive conclusions regarding differing digestion rates. Therefore, the experiment was repeated using only the 20min digestion time point, and the samples were run on a 2200 Tapestation to quantifiably measure the percentage of DNA of each fragment size. Firstly Hyperladder I, the 147bp marker and undigested samples were analysed in order to check that the Tapestation was able to detect specific sizes and quantities (Appendix 3). After analysis, the SW480 and HCT116 cells showed that the quantification reflected what was seen in the agarose gels. Again, SW480 control cells had a reduction in large fragments </w:t>
      </w:r>
      <w:r w:rsidR="00521DE4">
        <w:rPr>
          <w:rFonts w:ascii="Calibri" w:hAnsi="Calibri"/>
        </w:rPr>
        <w:t xml:space="preserve">(peak 5) </w:t>
      </w:r>
      <w:r>
        <w:rPr>
          <w:rFonts w:ascii="Calibri" w:hAnsi="Calibri"/>
        </w:rPr>
        <w:t>and a concurrent increase in small fragments</w:t>
      </w:r>
      <w:r w:rsidR="00521DE4">
        <w:rPr>
          <w:rFonts w:ascii="Calibri" w:hAnsi="Calibri"/>
        </w:rPr>
        <w:t xml:space="preserve"> (peak 1)</w:t>
      </w:r>
      <w:r>
        <w:rPr>
          <w:rFonts w:ascii="Calibri" w:hAnsi="Calibri"/>
        </w:rPr>
        <w:t xml:space="preserve"> compared to the </w:t>
      </w:r>
      <w:r w:rsidRPr="003B48C3">
        <w:rPr>
          <w:rFonts w:ascii="Calibri" w:hAnsi="Calibri"/>
          <w:i/>
        </w:rPr>
        <w:t>SRCAP</w:t>
      </w:r>
      <w:r w:rsidR="00A40F61">
        <w:rPr>
          <w:rFonts w:ascii="Calibri" w:hAnsi="Calibri"/>
        </w:rPr>
        <w:t xml:space="preserve"> knock</w:t>
      </w:r>
      <w:r>
        <w:rPr>
          <w:rFonts w:ascii="Calibri" w:hAnsi="Calibri"/>
        </w:rPr>
        <w:t>down samples, which had increased large fragments, showing that digestion of the DNA wasn’t occurring at the same rate and/</w:t>
      </w:r>
      <w:r w:rsidR="00521DE4">
        <w:rPr>
          <w:rFonts w:ascii="Calibri" w:hAnsi="Calibri"/>
        </w:rPr>
        <w:t xml:space="preserve">or as efficiently (Figure 4.9b), however when statistical tests were applied these changes were not significant, possibly due to the low repeat number of two. The trend would however, </w:t>
      </w:r>
      <w:r>
        <w:rPr>
          <w:rFonts w:ascii="Calibri" w:hAnsi="Calibri"/>
        </w:rPr>
        <w:t xml:space="preserve">suggest that access to the DNA was less efficient in cells with reduced </w:t>
      </w:r>
      <w:r w:rsidRPr="003B48C3">
        <w:rPr>
          <w:rFonts w:ascii="Calibri" w:hAnsi="Calibri"/>
          <w:i/>
        </w:rPr>
        <w:t>SRCAP</w:t>
      </w:r>
      <w:r>
        <w:rPr>
          <w:rFonts w:ascii="Calibri" w:hAnsi="Calibri"/>
        </w:rPr>
        <w:t xml:space="preserve"> levels.</w:t>
      </w:r>
      <w:r w:rsidR="00521DE4">
        <w:rPr>
          <w:rFonts w:ascii="Calibri" w:hAnsi="Calibri"/>
        </w:rPr>
        <w:t xml:space="preserve"> A</w:t>
      </w:r>
      <w:r>
        <w:rPr>
          <w:rFonts w:ascii="Calibri" w:hAnsi="Calibri"/>
        </w:rPr>
        <w:t xml:space="preserve">gain the HCT116 cells did not appear to follow the same pattern. In fact, results for si7 were similar to what was observed in SW480 cells, but si6, produced the exact opposite result (Figure 4.9b). </w:t>
      </w:r>
    </w:p>
    <w:p w14:paraId="37590690" w14:textId="77777777" w:rsidR="00E7213F" w:rsidRDefault="00E7213F" w:rsidP="00E7213F">
      <w:pPr>
        <w:spacing w:line="360" w:lineRule="auto"/>
        <w:jc w:val="both"/>
        <w:rPr>
          <w:rFonts w:ascii="Calibri" w:hAnsi="Calibri"/>
        </w:rPr>
      </w:pPr>
    </w:p>
    <w:p w14:paraId="6D5D9FAC" w14:textId="429A9AF9" w:rsidR="00521DE4" w:rsidRDefault="00E7213F" w:rsidP="00E7213F">
      <w:pPr>
        <w:spacing w:line="360" w:lineRule="auto"/>
        <w:jc w:val="both"/>
        <w:rPr>
          <w:rFonts w:ascii="Calibri" w:hAnsi="Calibri"/>
        </w:rPr>
      </w:pPr>
      <w:r>
        <w:rPr>
          <w:rFonts w:ascii="Calibri" w:hAnsi="Calibri"/>
        </w:rPr>
        <w:t xml:space="preserve">These data can only be considered as preliminary, since further repeat experiments were not </w:t>
      </w:r>
      <w:r w:rsidR="00FB5509">
        <w:rPr>
          <w:rFonts w:ascii="Calibri" w:hAnsi="Calibri"/>
        </w:rPr>
        <w:t>consistent with these findings</w:t>
      </w:r>
      <w:r>
        <w:rPr>
          <w:rFonts w:ascii="Calibri" w:hAnsi="Calibri"/>
        </w:rPr>
        <w:t>. We think this is likely due to changes in the enzyme activity during storage. Thus further experiments using fresh enzyme are required.</w:t>
      </w:r>
    </w:p>
    <w:p w14:paraId="3098163E" w14:textId="77777777" w:rsidR="00521DE4" w:rsidRDefault="00521DE4">
      <w:pPr>
        <w:rPr>
          <w:rFonts w:ascii="Calibri" w:hAnsi="Calibri"/>
        </w:rPr>
      </w:pPr>
      <w:r>
        <w:rPr>
          <w:rFonts w:ascii="Calibri" w:hAnsi="Calibri"/>
        </w:rPr>
        <w:br w:type="page"/>
      </w:r>
    </w:p>
    <w:p w14:paraId="3BE149B4" w14:textId="77777777" w:rsidR="00E7213F" w:rsidRDefault="00E7213F" w:rsidP="00E7213F">
      <w:pPr>
        <w:spacing w:line="360" w:lineRule="auto"/>
        <w:jc w:val="both"/>
        <w:rPr>
          <w:rFonts w:ascii="Calibri" w:hAnsi="Calibri"/>
        </w:rPr>
      </w:pPr>
    </w:p>
    <w:p w14:paraId="3BC36FC3" w14:textId="488EC666" w:rsidR="00E7213F" w:rsidRDefault="00233B9C" w:rsidP="00E7213F">
      <w:pPr>
        <w:rPr>
          <w:rFonts w:asciiTheme="majorHAnsi" w:hAnsiTheme="majorHAnsi"/>
          <w:sz w:val="28"/>
          <w:szCs w:val="28"/>
          <w:u w:val="single"/>
        </w:rPr>
      </w:pPr>
      <w:r>
        <w:rPr>
          <w:rFonts w:asciiTheme="majorHAnsi" w:hAnsiTheme="majorHAnsi"/>
          <w:noProof/>
          <w:sz w:val="28"/>
          <w:szCs w:val="28"/>
          <w:u w:val="single"/>
          <w:lang w:val="en-US"/>
        </w:rPr>
        <mc:AlternateContent>
          <mc:Choice Requires="wps">
            <w:drawing>
              <wp:anchor distT="0" distB="0" distL="114300" distR="114300" simplePos="0" relativeHeight="251783168" behindDoc="0" locked="0" layoutInCell="1" allowOverlap="1" wp14:anchorId="474E5B95" wp14:editId="6DFE39C0">
                <wp:simplePos x="0" y="0"/>
                <wp:positionH relativeFrom="column">
                  <wp:posOffset>-114300</wp:posOffset>
                </wp:positionH>
                <wp:positionV relativeFrom="paragraph">
                  <wp:posOffset>6172200</wp:posOffset>
                </wp:positionV>
                <wp:extent cx="5715000" cy="2464435"/>
                <wp:effectExtent l="0" t="0" r="0" b="0"/>
                <wp:wrapSquare wrapText="bothSides"/>
                <wp:docPr id="168" name="Text Box 168"/>
                <wp:cNvGraphicFramePr/>
                <a:graphic xmlns:a="http://schemas.openxmlformats.org/drawingml/2006/main">
                  <a:graphicData uri="http://schemas.microsoft.com/office/word/2010/wordprocessingShape">
                    <wps:wsp>
                      <wps:cNvSpPr txBox="1"/>
                      <wps:spPr>
                        <a:xfrm>
                          <a:off x="0" y="0"/>
                          <a:ext cx="5715000" cy="24644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0ACA57" w14:textId="77777777" w:rsidR="00E82D3B" w:rsidRDefault="00E82D3B" w:rsidP="00E7213F">
                            <w:pPr>
                              <w:jc w:val="both"/>
                              <w:rPr>
                                <w:b/>
                                <w:i/>
                                <w:sz w:val="22"/>
                              </w:rPr>
                            </w:pPr>
                            <w:r w:rsidRPr="00543C74">
                              <w:rPr>
                                <w:b/>
                                <w:i/>
                                <w:sz w:val="22"/>
                              </w:rPr>
                              <w:t>Figure 4.9 Quantitative results of MNase digestion shows differing patterns depending on cell line</w:t>
                            </w:r>
                          </w:p>
                          <w:p w14:paraId="6E012C0B" w14:textId="4485A9AD" w:rsidR="00E82D3B" w:rsidRDefault="00E82D3B" w:rsidP="00E7213F">
                            <w:pPr>
                              <w:jc w:val="both"/>
                              <w:rPr>
                                <w:i/>
                                <w:sz w:val="22"/>
                              </w:rPr>
                            </w:pPr>
                            <w:r>
                              <w:rPr>
                                <w:i/>
                                <w:sz w:val="22"/>
                              </w:rPr>
                              <w:t xml:space="preserve">a.) Bioanalyser trace images highlighting what each peak is numbered as and showing how the SRCAP knockdown samples differ to the control samples (individual </w:t>
                            </w:r>
                            <w:proofErr w:type="spellStart"/>
                            <w:r>
                              <w:rPr>
                                <w:i/>
                                <w:sz w:val="22"/>
                              </w:rPr>
                              <w:t>electropherograms</w:t>
                            </w:r>
                            <w:proofErr w:type="spellEnd"/>
                            <w:r>
                              <w:rPr>
                                <w:i/>
                                <w:sz w:val="22"/>
                              </w:rPr>
                              <w:t xml:space="preserve"> are shown in Appendix 4). </w:t>
                            </w:r>
                          </w:p>
                          <w:p w14:paraId="3E0383EE" w14:textId="1914CB99" w:rsidR="00E82D3B" w:rsidRPr="00543C74" w:rsidRDefault="00E82D3B" w:rsidP="00E7213F">
                            <w:pPr>
                              <w:jc w:val="both"/>
                              <w:rPr>
                                <w:i/>
                                <w:sz w:val="22"/>
                              </w:rPr>
                            </w:pPr>
                            <w:r>
                              <w:rPr>
                                <w:i/>
                                <w:sz w:val="22"/>
                              </w:rPr>
                              <w:t>b.) SW480 and HCT116 cells were transfected with siRNA for 48hrs and then underwent micrococcal nuclease digestion for 20mins following the kits protocol. The samples were run on the 2200 Tapestation Bioanalyser and the results analysed using the 2200 software. Here each peak was selected and the amount of DNA each peak contained as a % of the whole sample calculated. The above graph shows the median and range of two repeats, with the percentage of total DNA at each peak shown. Using a Kruskal-Wallis test there was no significant difference at any peak in either cell line, even though there is clearly a large difference at peak 5 between the SRCAP knockdown SW480 cells and the control cells this wasn’t significant (p=0.2)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8" o:spid="_x0000_s1121" type="#_x0000_t202" style="position:absolute;margin-left:-8.95pt;margin-top:486pt;width:450pt;height:194.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" filled="f" stroked="f">
                <v:textbox>
                  <w:txbxContent>
                    <w:p w14:paraId="390ACA57" w14:textId="77777777" w:rsidR="000A1E0D" w:rsidRDefault="000A1E0D" w:rsidP="00E7213F">
                      <w:pPr>
                        <w:jc w:val="both"/>
                        <w:rPr>
                          <w:b/>
                          <w:i/>
                          <w:sz w:val="22"/>
                        </w:rPr>
                      </w:pPr>
                      <w:r w:rsidRPr="00543C74">
                        <w:rPr>
                          <w:b/>
                          <w:i/>
                          <w:sz w:val="22"/>
                        </w:rPr>
                        <w:t>Figure 4.9 Quantitative results of MNase digestion shows differing patterns depending on cell line</w:t>
                      </w:r>
                    </w:p>
                    <w:p w14:paraId="6E012C0B" w14:textId="4485A9AD" w:rsidR="000A1E0D" w:rsidRDefault="000A1E0D" w:rsidP="00E7213F">
                      <w:pPr>
                        <w:jc w:val="both"/>
                        <w:rPr>
                          <w:i/>
                          <w:sz w:val="22"/>
                        </w:rPr>
                      </w:pPr>
                      <w:r>
                        <w:rPr>
                          <w:i/>
                          <w:sz w:val="22"/>
                        </w:rPr>
                        <w:t xml:space="preserve">a.) Bioanalyser trace images highlighting what each peak is numbered as and showing how the SRCAP knockdown samples differ to the control samples (individual </w:t>
                      </w:r>
                      <w:proofErr w:type="spellStart"/>
                      <w:r>
                        <w:rPr>
                          <w:i/>
                          <w:sz w:val="22"/>
                        </w:rPr>
                        <w:t>electropherograms</w:t>
                      </w:r>
                      <w:proofErr w:type="spellEnd"/>
                      <w:r>
                        <w:rPr>
                          <w:i/>
                          <w:sz w:val="22"/>
                        </w:rPr>
                        <w:t xml:space="preserve"> are shown in Appendix 4). </w:t>
                      </w:r>
                    </w:p>
                    <w:p w14:paraId="3E0383EE" w14:textId="1914CB99" w:rsidR="000A1E0D" w:rsidRPr="00543C74" w:rsidRDefault="000A1E0D" w:rsidP="00E7213F">
                      <w:pPr>
                        <w:jc w:val="both"/>
                        <w:rPr>
                          <w:i/>
                          <w:sz w:val="22"/>
                        </w:rPr>
                      </w:pPr>
                      <w:r>
                        <w:rPr>
                          <w:i/>
                          <w:sz w:val="22"/>
                        </w:rPr>
                        <w:t>b.) SW480 and HCT116 cells were transfected with siRNA for 48hrs and then underwent micrococcal nuclease digestion for 20mins following the kits protocol. The samples were run on the 2200 Tapestation Bioanalyser and the results analysed using the 2200 software. Here each peak was selected and the amount of DNA each peak contained as a % of the whole sample calculated. The above graph shows the median and range of two repeats, with the percentage of total DNA at each peak shown. Using a Kruskal-Wallis test there was no significant difference at any peak in either cell line, even though there is clearly a large difference at peak 5 between the SRCAP knockdown SW480 cells and the control cells this wasn’t significant (p=0.2)</w:t>
                      </w:r>
                    </w:p>
                  </w:txbxContent>
                </v:textbox>
                <w10:wrap type="square"/>
              </v:shape>
            </w:pict>
          </mc:Fallback>
        </mc:AlternateContent>
      </w:r>
      <w:r w:rsidR="00521DE4">
        <w:rPr>
          <w:rFonts w:asciiTheme="majorHAnsi" w:hAnsiTheme="majorHAnsi"/>
          <w:noProof/>
          <w:sz w:val="28"/>
          <w:szCs w:val="28"/>
          <w:u w:val="single"/>
          <w:lang w:val="en-US"/>
        </w:rPr>
        <w:drawing>
          <wp:anchor distT="0" distB="0" distL="114300" distR="114300" simplePos="0" relativeHeight="252214272" behindDoc="0" locked="0" layoutInCell="1" allowOverlap="1" wp14:anchorId="71774D09" wp14:editId="285E2341">
            <wp:simplePos x="0" y="0"/>
            <wp:positionH relativeFrom="column">
              <wp:posOffset>342900</wp:posOffset>
            </wp:positionH>
            <wp:positionV relativeFrom="paragraph">
              <wp:posOffset>4229100</wp:posOffset>
            </wp:positionV>
            <wp:extent cx="5029200" cy="1936115"/>
            <wp:effectExtent l="0" t="0" r="0" b="0"/>
            <wp:wrapSquare wrapText="bothSides"/>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29200" cy="1936115"/>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rFonts w:asciiTheme="majorHAnsi" w:hAnsiTheme="majorHAnsi"/>
          <w:noProof/>
          <w:sz w:val="28"/>
          <w:szCs w:val="28"/>
          <w:u w:val="single"/>
          <w:lang w:val="en-US"/>
        </w:rPr>
        <mc:AlternateContent>
          <mc:Choice Requires="wps">
            <w:drawing>
              <wp:anchor distT="0" distB="0" distL="114300" distR="114300" simplePos="0" relativeHeight="251798528" behindDoc="0" locked="0" layoutInCell="1" allowOverlap="1" wp14:anchorId="681CE1A1" wp14:editId="3708C976">
                <wp:simplePos x="0" y="0"/>
                <wp:positionH relativeFrom="column">
                  <wp:posOffset>0</wp:posOffset>
                </wp:positionH>
                <wp:positionV relativeFrom="paragraph">
                  <wp:posOffset>-228600</wp:posOffset>
                </wp:positionV>
                <wp:extent cx="457200" cy="457200"/>
                <wp:effectExtent l="0" t="0" r="0" b="0"/>
                <wp:wrapSquare wrapText="bothSides"/>
                <wp:docPr id="123" name="Text Box 123"/>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E90486" w14:textId="77777777" w:rsidR="00E82D3B" w:rsidRPr="00DF7493" w:rsidRDefault="00E82D3B" w:rsidP="00E7213F">
                            <w:pPr>
                              <w:rPr>
                                <w:b/>
                              </w:rPr>
                            </w:pPr>
                            <w:proofErr w:type="gramStart"/>
                            <w:r w:rsidRPr="00DF7493">
                              <w:rPr>
                                <w:b/>
                              </w:rPr>
                              <w:t>a</w:t>
                            </w:r>
                            <w:proofErr w:type="gramEnd"/>
                            <w:r w:rsidRPr="00DF7493">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3" o:spid="_x0000_s1122" type="#_x0000_t202" style="position:absolute;margin-left:0;margin-top:-17.95pt;width:36pt;height:36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s45M4CAAAZ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" filled="f" stroked="f">
                <v:textbox>
                  <w:txbxContent>
                    <w:p w14:paraId="27E90486" w14:textId="77777777" w:rsidR="000A1E0D" w:rsidRPr="00DF7493" w:rsidRDefault="000A1E0D" w:rsidP="00E7213F">
                      <w:pPr>
                        <w:rPr>
                          <w:b/>
                        </w:rPr>
                      </w:pPr>
                      <w:proofErr w:type="gramStart"/>
                      <w:r w:rsidRPr="00DF7493">
                        <w:rPr>
                          <w:b/>
                        </w:rPr>
                        <w:t>a</w:t>
                      </w:r>
                      <w:proofErr w:type="gramEnd"/>
                      <w:r w:rsidRPr="00DF7493">
                        <w:rPr>
                          <w:b/>
                        </w:rPr>
                        <w:t>.)</w:t>
                      </w:r>
                    </w:p>
                  </w:txbxContent>
                </v:textbox>
                <w10:wrap type="square"/>
              </v:shape>
            </w:pict>
          </mc:Fallback>
        </mc:AlternateContent>
      </w:r>
      <w:r w:rsidR="00E7213F">
        <w:rPr>
          <w:rFonts w:asciiTheme="majorHAnsi" w:hAnsiTheme="majorHAnsi"/>
          <w:noProof/>
          <w:sz w:val="28"/>
          <w:szCs w:val="28"/>
          <w:u w:val="single"/>
          <w:lang w:val="en-US"/>
        </w:rPr>
        <mc:AlternateContent>
          <mc:Choice Requires="wps">
            <w:drawing>
              <wp:anchor distT="0" distB="0" distL="114300" distR="114300" simplePos="0" relativeHeight="251799552" behindDoc="0" locked="0" layoutInCell="1" allowOverlap="1" wp14:anchorId="672583E3" wp14:editId="25419B5F">
                <wp:simplePos x="0" y="0"/>
                <wp:positionH relativeFrom="column">
                  <wp:posOffset>-114300</wp:posOffset>
                </wp:positionH>
                <wp:positionV relativeFrom="paragraph">
                  <wp:posOffset>4000500</wp:posOffset>
                </wp:positionV>
                <wp:extent cx="457200" cy="457200"/>
                <wp:effectExtent l="0" t="0" r="0" b="0"/>
                <wp:wrapSquare wrapText="bothSides"/>
                <wp:docPr id="124" name="Text Box 124"/>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5F51F6" w14:textId="77777777" w:rsidR="00E82D3B" w:rsidRPr="00DF7493" w:rsidRDefault="00E82D3B" w:rsidP="00E7213F">
                            <w:pPr>
                              <w:rPr>
                                <w:b/>
                              </w:rPr>
                            </w:pPr>
                            <w:proofErr w:type="gramStart"/>
                            <w:r>
                              <w:rPr>
                                <w:b/>
                              </w:rPr>
                              <w:t>b</w:t>
                            </w:r>
                            <w:proofErr w:type="gramEnd"/>
                            <w:r w:rsidRPr="00DF7493">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4" o:spid="_x0000_s1123" type="#_x0000_t202" style="position:absolute;margin-left:-8.95pt;margin-top:315pt;width:36pt;height:36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" filled="f" stroked="f">
                <v:textbox>
                  <w:txbxContent>
                    <w:p w14:paraId="315F51F6" w14:textId="77777777" w:rsidR="000A1E0D" w:rsidRPr="00DF7493" w:rsidRDefault="000A1E0D" w:rsidP="00E7213F">
                      <w:pPr>
                        <w:rPr>
                          <w:b/>
                        </w:rPr>
                      </w:pPr>
                      <w:proofErr w:type="gramStart"/>
                      <w:r>
                        <w:rPr>
                          <w:b/>
                        </w:rPr>
                        <w:t>b</w:t>
                      </w:r>
                      <w:proofErr w:type="gramEnd"/>
                      <w:r w:rsidRPr="00DF7493">
                        <w:rPr>
                          <w:b/>
                        </w:rPr>
                        <w:t>.)</w:t>
                      </w:r>
                    </w:p>
                  </w:txbxContent>
                </v:textbox>
                <w10:wrap type="square"/>
              </v:shape>
            </w:pict>
          </mc:Fallback>
        </mc:AlternateContent>
      </w:r>
      <w:r w:rsidR="00E7213F">
        <w:rPr>
          <w:rFonts w:asciiTheme="majorHAnsi" w:hAnsiTheme="majorHAnsi"/>
          <w:noProof/>
          <w:sz w:val="28"/>
          <w:szCs w:val="28"/>
          <w:u w:val="single"/>
          <w:lang w:val="en-US"/>
        </w:rPr>
        <w:drawing>
          <wp:anchor distT="0" distB="0" distL="114300" distR="114300" simplePos="0" relativeHeight="251790336" behindDoc="0" locked="0" layoutInCell="1" allowOverlap="1" wp14:anchorId="60F2414F" wp14:editId="48C05D93">
            <wp:simplePos x="0" y="0"/>
            <wp:positionH relativeFrom="column">
              <wp:posOffset>685800</wp:posOffset>
            </wp:positionH>
            <wp:positionV relativeFrom="paragraph">
              <wp:posOffset>1943100</wp:posOffset>
            </wp:positionV>
            <wp:extent cx="4114800" cy="2225040"/>
            <wp:effectExtent l="0" t="0" r="0" b="10160"/>
            <wp:wrapSquare wrapText="bothSides"/>
            <wp:docPr id="178" name="Picture 178" descr="Macintosh HD:Users:ClairFellows:Desktop:Screen Shot 2017-09-13 at 11.5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09-13 at 11.53.07.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14800"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rFonts w:asciiTheme="majorHAnsi" w:hAnsiTheme="majorHAnsi"/>
          <w:noProof/>
          <w:sz w:val="28"/>
          <w:szCs w:val="28"/>
          <w:u w:val="single"/>
          <w:lang w:val="en-US"/>
        </w:rPr>
        <mc:AlternateContent>
          <mc:Choice Requires="wps">
            <w:drawing>
              <wp:anchor distT="0" distB="0" distL="114300" distR="114300" simplePos="0" relativeHeight="251792384" behindDoc="0" locked="0" layoutInCell="1" allowOverlap="1" wp14:anchorId="16D29D22" wp14:editId="28E2D4D4">
                <wp:simplePos x="0" y="0"/>
                <wp:positionH relativeFrom="column">
                  <wp:posOffset>-47625</wp:posOffset>
                </wp:positionH>
                <wp:positionV relativeFrom="paragraph">
                  <wp:posOffset>2562225</wp:posOffset>
                </wp:positionV>
                <wp:extent cx="1238250" cy="457200"/>
                <wp:effectExtent l="9525" t="0" r="0" b="0"/>
                <wp:wrapSquare wrapText="bothSides"/>
                <wp:docPr id="21" name="Text Box 21"/>
                <wp:cNvGraphicFramePr/>
                <a:graphic xmlns:a="http://schemas.openxmlformats.org/drawingml/2006/main">
                  <a:graphicData uri="http://schemas.microsoft.com/office/word/2010/wordprocessingShape">
                    <wps:wsp>
                      <wps:cNvSpPr txBox="1"/>
                      <wps:spPr>
                        <a:xfrm rot="16200000">
                          <a:off x="0" y="0"/>
                          <a:ext cx="123825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81692" w14:textId="77777777" w:rsidR="00E82D3B" w:rsidRPr="00C3104F" w:rsidRDefault="00E82D3B" w:rsidP="00E7213F">
                            <w:pPr>
                              <w:rPr>
                                <w:sz w:val="28"/>
                              </w:rPr>
                            </w:pPr>
                            <w:r>
                              <w:rPr>
                                <w:sz w:val="28"/>
                              </w:rPr>
                              <w:t>HCT116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1" o:spid="_x0000_s1124" type="#_x0000_t202" style="position:absolute;margin-left:-3.7pt;margin-top:201.75pt;width:97.5pt;height:36pt;rotation:-90;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" filled="f" stroked="f">
                <v:textbox>
                  <w:txbxContent>
                    <w:p w14:paraId="30D81692" w14:textId="77777777" w:rsidR="000A1E0D" w:rsidRPr="00C3104F" w:rsidRDefault="000A1E0D" w:rsidP="00E7213F">
                      <w:pPr>
                        <w:rPr>
                          <w:sz w:val="28"/>
                        </w:rPr>
                      </w:pPr>
                      <w:r>
                        <w:rPr>
                          <w:sz w:val="28"/>
                        </w:rPr>
                        <w:t>HCT116</w:t>
                      </w:r>
                    </w:p>
                  </w:txbxContent>
                </v:textbox>
                <w10:wrap type="square"/>
              </v:shape>
            </w:pict>
          </mc:Fallback>
        </mc:AlternateContent>
      </w:r>
      <w:r w:rsidR="00E7213F">
        <w:rPr>
          <w:rFonts w:asciiTheme="majorHAnsi" w:hAnsiTheme="majorHAnsi"/>
          <w:noProof/>
          <w:sz w:val="28"/>
          <w:szCs w:val="28"/>
          <w:u w:val="single"/>
          <w:lang w:val="en-US"/>
        </w:rPr>
        <mc:AlternateContent>
          <mc:Choice Requires="wps">
            <w:drawing>
              <wp:anchor distT="0" distB="0" distL="114300" distR="114300" simplePos="0" relativeHeight="251791360" behindDoc="0" locked="0" layoutInCell="1" allowOverlap="1" wp14:anchorId="210B9AB1" wp14:editId="553A2B53">
                <wp:simplePos x="0" y="0"/>
                <wp:positionH relativeFrom="column">
                  <wp:posOffset>114300</wp:posOffset>
                </wp:positionH>
                <wp:positionV relativeFrom="paragraph">
                  <wp:posOffset>514350</wp:posOffset>
                </wp:positionV>
                <wp:extent cx="800100" cy="457200"/>
                <wp:effectExtent l="0" t="0" r="6350" b="0"/>
                <wp:wrapSquare wrapText="bothSides"/>
                <wp:docPr id="169" name="Text Box 169"/>
                <wp:cNvGraphicFramePr/>
                <a:graphic xmlns:a="http://schemas.openxmlformats.org/drawingml/2006/main">
                  <a:graphicData uri="http://schemas.microsoft.com/office/word/2010/wordprocessingShape">
                    <wps:wsp>
                      <wps:cNvSpPr txBox="1"/>
                      <wps:spPr>
                        <a:xfrm rot="16200000">
                          <a:off x="0" y="0"/>
                          <a:ext cx="800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E6AE76" w14:textId="77777777" w:rsidR="00E82D3B" w:rsidRPr="00C3104F" w:rsidRDefault="00E82D3B" w:rsidP="00E7213F">
                            <w:pPr>
                              <w:rPr>
                                <w:sz w:val="28"/>
                              </w:rPr>
                            </w:pPr>
                            <w:r w:rsidRPr="00C3104F">
                              <w:rPr>
                                <w:sz w:val="28"/>
                              </w:rPr>
                              <w:t>SW480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9" o:spid="_x0000_s1125" type="#_x0000_t202" style="position:absolute;margin-left:9pt;margin-top:40.5pt;width:63pt;height:36pt;rotation:-90;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" filled="f" stroked="f">
                <v:textbox>
                  <w:txbxContent>
                    <w:p w14:paraId="6CE6AE76" w14:textId="77777777" w:rsidR="000A1E0D" w:rsidRPr="00C3104F" w:rsidRDefault="000A1E0D" w:rsidP="00E7213F">
                      <w:pPr>
                        <w:rPr>
                          <w:sz w:val="28"/>
                        </w:rPr>
                      </w:pPr>
                      <w:r w:rsidRPr="00C3104F">
                        <w:rPr>
                          <w:sz w:val="28"/>
                        </w:rPr>
                        <w:t>SW480</w:t>
                      </w:r>
                    </w:p>
                  </w:txbxContent>
                </v:textbox>
                <w10:wrap type="square"/>
              </v:shape>
            </w:pict>
          </mc:Fallback>
        </mc:AlternateContent>
      </w:r>
      <w:r w:rsidR="00E7213F">
        <w:rPr>
          <w:rFonts w:asciiTheme="majorHAnsi" w:hAnsiTheme="majorHAnsi"/>
          <w:noProof/>
          <w:sz w:val="28"/>
          <w:szCs w:val="28"/>
          <w:u w:val="single"/>
          <w:lang w:val="en-US"/>
        </w:rPr>
        <w:drawing>
          <wp:anchor distT="0" distB="0" distL="114300" distR="114300" simplePos="0" relativeHeight="251789312" behindDoc="0" locked="0" layoutInCell="1" allowOverlap="1" wp14:anchorId="339D03BE" wp14:editId="0D16FFE2">
            <wp:simplePos x="0" y="0"/>
            <wp:positionH relativeFrom="column">
              <wp:posOffset>685800</wp:posOffset>
            </wp:positionH>
            <wp:positionV relativeFrom="paragraph">
              <wp:posOffset>-228600</wp:posOffset>
            </wp:positionV>
            <wp:extent cx="4084955" cy="2221230"/>
            <wp:effectExtent l="0" t="0" r="4445" b="0"/>
            <wp:wrapSquare wrapText="bothSides"/>
            <wp:docPr id="179" name="Picture 179" descr="Macintosh HD:Users:ClairFellows:Desktop:Screen Shot 2017-09-13 at 11.5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09-13 at 11.52.59.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084955" cy="222123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rFonts w:asciiTheme="majorHAnsi" w:hAnsiTheme="majorHAnsi"/>
          <w:sz w:val="28"/>
          <w:szCs w:val="28"/>
          <w:u w:val="single"/>
        </w:rPr>
        <w:br w:type="page"/>
      </w:r>
    </w:p>
    <w:p w14:paraId="53A3636E" w14:textId="77777777" w:rsidR="00E7213F" w:rsidRPr="00EF010B" w:rsidRDefault="00E7213F" w:rsidP="00E7213F">
      <w:pPr>
        <w:spacing w:line="360" w:lineRule="auto"/>
        <w:jc w:val="both"/>
        <w:rPr>
          <w:rFonts w:asciiTheme="majorHAnsi" w:hAnsiTheme="majorHAnsi"/>
          <w:b/>
          <w:sz w:val="28"/>
          <w:szCs w:val="28"/>
          <w:u w:val="single"/>
        </w:rPr>
      </w:pPr>
      <w:r w:rsidRPr="00EF010B">
        <w:rPr>
          <w:rFonts w:asciiTheme="majorHAnsi" w:hAnsiTheme="majorHAnsi"/>
          <w:sz w:val="28"/>
          <w:szCs w:val="28"/>
          <w:u w:val="single"/>
        </w:rPr>
        <w:t>4.5 SRCAP knockdown produces cell cycle changes</w:t>
      </w:r>
    </w:p>
    <w:p w14:paraId="3E2A59C3" w14:textId="77777777" w:rsidR="00E7213F" w:rsidRDefault="00E7213F" w:rsidP="00E7213F">
      <w:pPr>
        <w:spacing w:line="360" w:lineRule="auto"/>
        <w:jc w:val="both"/>
        <w:rPr>
          <w:rFonts w:ascii="Calibri" w:hAnsi="Calibri"/>
        </w:rPr>
      </w:pPr>
    </w:p>
    <w:p w14:paraId="79C26FC5" w14:textId="6AD99899" w:rsidR="00E7213F" w:rsidRDefault="00E7213F" w:rsidP="00E7213F">
      <w:pPr>
        <w:spacing w:line="360" w:lineRule="auto"/>
        <w:jc w:val="both"/>
        <w:rPr>
          <w:rFonts w:ascii="Calibri" w:hAnsi="Calibri"/>
        </w:rPr>
      </w:pPr>
      <w:r w:rsidRPr="00D86B7F">
        <w:rPr>
          <w:rFonts w:ascii="Calibri" w:hAnsi="Calibri"/>
          <w:noProof/>
          <w:color w:val="FF0000"/>
          <w:lang w:val="en-US"/>
        </w:rPr>
        <w:drawing>
          <wp:anchor distT="0" distB="0" distL="114300" distR="114300" simplePos="0" relativeHeight="251787264" behindDoc="0" locked="0" layoutInCell="1" allowOverlap="1" wp14:anchorId="12390ECD" wp14:editId="31F97DC1">
            <wp:simplePos x="0" y="0"/>
            <wp:positionH relativeFrom="column">
              <wp:posOffset>-114300</wp:posOffset>
            </wp:positionH>
            <wp:positionV relativeFrom="paragraph">
              <wp:posOffset>3395980</wp:posOffset>
            </wp:positionV>
            <wp:extent cx="3203575" cy="4114800"/>
            <wp:effectExtent l="0" t="0" r="0" b="0"/>
            <wp:wrapTopAndBottom/>
            <wp:docPr id="181" name="Picture 3" descr="1 - Layout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1 - Layout 1.pdf"/>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3203575" cy="4114800"/>
                    </a:xfrm>
                    <a:prstGeom prst="rect">
                      <a:avLst/>
                    </a:prstGeom>
                  </pic:spPr>
                </pic:pic>
              </a:graphicData>
            </a:graphic>
            <wp14:sizeRelH relativeFrom="page">
              <wp14:pctWidth>0</wp14:pctWidth>
            </wp14:sizeRelH>
            <wp14:sizeRelV relativeFrom="page">
              <wp14:pctHeight>0</wp14:pctHeight>
            </wp14:sizeRelV>
          </wp:anchor>
        </w:drawing>
      </w:r>
      <w:r w:rsidRPr="00FC4592">
        <w:rPr>
          <w:rFonts w:ascii="Calibri" w:hAnsi="Calibri"/>
        </w:rPr>
        <w:t xml:space="preserve">In the previous experiments it was noted that </w:t>
      </w:r>
      <w:r w:rsidRPr="003B48C3">
        <w:rPr>
          <w:rFonts w:ascii="Calibri" w:hAnsi="Calibri"/>
          <w:i/>
        </w:rPr>
        <w:t>SRCAP</w:t>
      </w:r>
      <w:r w:rsidRPr="00FC4592">
        <w:rPr>
          <w:rFonts w:ascii="Calibri" w:hAnsi="Calibri"/>
        </w:rPr>
        <w:t xml:space="preserve"> depleted cells appeared to not be as confluent at the time of harvest compared to control cells</w:t>
      </w:r>
      <w:r>
        <w:rPr>
          <w:rFonts w:ascii="Calibri" w:hAnsi="Calibri"/>
        </w:rPr>
        <w:t xml:space="preserve"> and </w:t>
      </w:r>
      <w:proofErr w:type="spellStart"/>
      <w:r w:rsidR="00222D21">
        <w:rPr>
          <w:rFonts w:ascii="Calibri" w:hAnsi="Calibri"/>
        </w:rPr>
        <w:t>Slupianek</w:t>
      </w:r>
      <w:proofErr w:type="spellEnd"/>
      <w:r w:rsidR="00222D21">
        <w:rPr>
          <w:rFonts w:ascii="Calibri" w:hAnsi="Calibri"/>
        </w:rPr>
        <w:t xml:space="preserve"> et al. </w:t>
      </w:r>
      <w:r>
        <w:rPr>
          <w:rFonts w:asciiTheme="majorHAnsi" w:hAnsiTheme="majorHAnsi"/>
        </w:rPr>
        <w:fldChar w:fldCharType="begin">
          <w:fldData xml:space="preserve">PEVuZE5vdGU+PENpdGUgRXhjbHVkZUF1dGg9IjEiPjxBdXRob3I+U2x1cGlhbmVrPC9BdXRob3I+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</w:fldData>
        </w:fldChar>
      </w:r>
      <w:r w:rsidR="00222D21">
        <w:rPr>
          <w:rFonts w:asciiTheme="majorHAnsi" w:hAnsiTheme="majorHAnsi"/>
        </w:rPr>
        <w:instrText xml:space="preserve"> ADDIN EN.CITE </w:instrText>
      </w:r>
      <w:r w:rsidR="00222D21">
        <w:rPr>
          <w:rFonts w:asciiTheme="majorHAnsi" w:hAnsiTheme="majorHAnsi"/>
        </w:rPr>
        <w:fldChar w:fldCharType="begin">
          <w:fldData xml:space="preserve">PEVuZE5vdGU+PENpdGUgRXhjbHVkZUF1dGg9IjEiPjxBdXRob3I+U2x1cGlhbmVrPC9BdXRob3I+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</w:fldData>
        </w:fldChar>
      </w:r>
      <w:r w:rsidR="00222D21">
        <w:rPr>
          <w:rFonts w:asciiTheme="majorHAnsi" w:hAnsiTheme="majorHAnsi"/>
        </w:rPr>
        <w:instrText xml:space="preserve"> ADDIN EN.CITE.DATA </w:instrText>
      </w:r>
      <w:r w:rsidR="00222D21">
        <w:rPr>
          <w:rFonts w:asciiTheme="majorHAnsi" w:hAnsiTheme="majorHAnsi"/>
        </w:rPr>
      </w:r>
      <w:r w:rsidR="00222D21">
        <w:rPr>
          <w:rFonts w:asciiTheme="majorHAnsi" w:hAnsiTheme="majorHAnsi"/>
        </w:rPr>
        <w:fldChar w:fldCharType="end"/>
      </w:r>
      <w:r>
        <w:rPr>
          <w:rFonts w:asciiTheme="majorHAnsi" w:hAnsiTheme="majorHAnsi"/>
        </w:rPr>
      </w:r>
      <w:r>
        <w:rPr>
          <w:rFonts w:asciiTheme="majorHAnsi" w:hAnsiTheme="majorHAnsi"/>
        </w:rPr>
        <w:fldChar w:fldCharType="separate"/>
      </w:r>
      <w:r w:rsidR="00222D21">
        <w:rPr>
          <w:rFonts w:asciiTheme="majorHAnsi" w:hAnsiTheme="majorHAnsi"/>
          <w:noProof/>
        </w:rPr>
        <w:t>(2010)</w:t>
      </w:r>
      <w:r>
        <w:rPr>
          <w:rFonts w:asciiTheme="majorHAnsi" w:hAnsiTheme="majorHAnsi"/>
        </w:rPr>
        <w:fldChar w:fldCharType="end"/>
      </w:r>
      <w:r w:rsidR="00A40F61">
        <w:rPr>
          <w:rFonts w:asciiTheme="majorHAnsi" w:hAnsiTheme="majorHAnsi"/>
        </w:rPr>
        <w:t xml:space="preserve"> had already shown that knock</w:t>
      </w:r>
      <w:r>
        <w:rPr>
          <w:rFonts w:asciiTheme="majorHAnsi" w:hAnsiTheme="majorHAnsi"/>
        </w:rPr>
        <w:t xml:space="preserve">down of SRCAP in a prostate cancer cell line reduced proliferation after 24 and 48hrs. </w:t>
      </w:r>
      <w:r w:rsidRPr="00FC4592">
        <w:rPr>
          <w:rFonts w:ascii="Calibri" w:hAnsi="Calibri"/>
        </w:rPr>
        <w:t>Therefore</w:t>
      </w:r>
      <w:r>
        <w:rPr>
          <w:rFonts w:ascii="Calibri" w:hAnsi="Calibri"/>
        </w:rPr>
        <w:t>, we tracked</w:t>
      </w:r>
      <w:r w:rsidRPr="00FC4592">
        <w:rPr>
          <w:rFonts w:ascii="Calibri" w:hAnsi="Calibri"/>
        </w:rPr>
        <w:t xml:space="preserve"> </w:t>
      </w:r>
      <w:r>
        <w:rPr>
          <w:rFonts w:ascii="Calibri" w:hAnsi="Calibri"/>
        </w:rPr>
        <w:t xml:space="preserve">colorectal </w:t>
      </w:r>
      <w:r w:rsidRPr="00FC4592">
        <w:rPr>
          <w:rFonts w:ascii="Calibri" w:hAnsi="Calibri"/>
        </w:rPr>
        <w:t xml:space="preserve">cell </w:t>
      </w:r>
      <w:r>
        <w:rPr>
          <w:rFonts w:ascii="Calibri" w:hAnsi="Calibri"/>
        </w:rPr>
        <w:t>line growth</w:t>
      </w:r>
      <w:r w:rsidRPr="00FC4592">
        <w:rPr>
          <w:rFonts w:ascii="Calibri" w:hAnsi="Calibri"/>
        </w:rPr>
        <w:t xml:space="preserve"> over </w:t>
      </w:r>
      <w:r>
        <w:rPr>
          <w:rFonts w:ascii="Calibri" w:hAnsi="Calibri"/>
        </w:rPr>
        <w:t>a longer period of time (</w:t>
      </w:r>
      <w:r w:rsidRPr="00FC4592">
        <w:rPr>
          <w:rFonts w:ascii="Calibri" w:hAnsi="Calibri"/>
        </w:rPr>
        <w:t>144hrs</w:t>
      </w:r>
      <w:r>
        <w:rPr>
          <w:rFonts w:ascii="Calibri" w:hAnsi="Calibri"/>
        </w:rPr>
        <w:t>)</w:t>
      </w:r>
      <w:r w:rsidRPr="00FC4592">
        <w:rPr>
          <w:rFonts w:ascii="Calibri" w:hAnsi="Calibri"/>
        </w:rPr>
        <w:t xml:space="preserve"> by manual haemocytometer counting</w:t>
      </w:r>
      <w:r>
        <w:rPr>
          <w:rFonts w:ascii="Calibri" w:hAnsi="Calibri"/>
        </w:rPr>
        <w:t xml:space="preserve"> to see if similar effects were observed when SRCAP levels were depleted in CRC cell lines</w:t>
      </w:r>
      <w:r w:rsidRPr="00FC4592">
        <w:rPr>
          <w:rFonts w:ascii="Calibri" w:hAnsi="Calibri"/>
        </w:rPr>
        <w:t xml:space="preserve">. After 144hrs there was a </w:t>
      </w:r>
      <w:r>
        <w:rPr>
          <w:rFonts w:ascii="Calibri" w:hAnsi="Calibri"/>
        </w:rPr>
        <w:t xml:space="preserve">significant reduction in cell numbers </w:t>
      </w:r>
      <w:r w:rsidRPr="00FC4592">
        <w:rPr>
          <w:rFonts w:ascii="Calibri" w:hAnsi="Calibri"/>
        </w:rPr>
        <w:t xml:space="preserve">in </w:t>
      </w:r>
      <w:r w:rsidRPr="003B48C3">
        <w:rPr>
          <w:rFonts w:ascii="Calibri" w:hAnsi="Calibri"/>
          <w:i/>
        </w:rPr>
        <w:t>SRCAP</w:t>
      </w:r>
      <w:r w:rsidRPr="00FC4592">
        <w:rPr>
          <w:rFonts w:ascii="Calibri" w:hAnsi="Calibri"/>
        </w:rPr>
        <w:t xml:space="preserve"> knockdown cells compared t</w:t>
      </w:r>
      <w:r>
        <w:rPr>
          <w:rFonts w:ascii="Calibri" w:hAnsi="Calibri"/>
        </w:rPr>
        <w:t xml:space="preserve">o control for both cell lines. </w:t>
      </w:r>
      <w:r w:rsidR="00222D21">
        <w:rPr>
          <w:rFonts w:ascii="Calibri" w:hAnsi="Calibri"/>
        </w:rPr>
        <w:t>T</w:t>
      </w:r>
      <w:r>
        <w:rPr>
          <w:rFonts w:ascii="Calibri" w:hAnsi="Calibri"/>
        </w:rPr>
        <w:t>he HCT116 cell</w:t>
      </w:r>
      <w:r w:rsidR="00222D21">
        <w:rPr>
          <w:rFonts w:ascii="Calibri" w:hAnsi="Calibri"/>
        </w:rPr>
        <w:t>s transfected with si6 appeared</w:t>
      </w:r>
      <w:r>
        <w:rPr>
          <w:rFonts w:ascii="Calibri" w:hAnsi="Calibri"/>
        </w:rPr>
        <w:t xml:space="preserve"> to barely grow in population size </w:t>
      </w:r>
      <w:r w:rsidR="00222D21">
        <w:rPr>
          <w:rFonts w:ascii="Calibri" w:hAnsi="Calibri"/>
        </w:rPr>
        <w:t>beyond</w:t>
      </w:r>
      <w:r>
        <w:rPr>
          <w:rFonts w:ascii="Calibri" w:hAnsi="Calibri"/>
        </w:rPr>
        <w:t xml:space="preserve"> 48hrs transfection. These results support the hypothesis that </w:t>
      </w:r>
      <w:r w:rsidRPr="00C25978">
        <w:rPr>
          <w:rFonts w:ascii="Calibri" w:hAnsi="Calibri"/>
          <w:i/>
        </w:rPr>
        <w:t>SRCAP</w:t>
      </w:r>
      <w:r>
        <w:rPr>
          <w:rFonts w:ascii="Calibri" w:hAnsi="Calibri"/>
        </w:rPr>
        <w:t xml:space="preserve"> depletion decreases proliferation rates (Figure 4.10). </w:t>
      </w:r>
    </w:p>
    <w:p w14:paraId="3346C1EB" w14:textId="77777777" w:rsidR="00E7213F" w:rsidRDefault="00E7213F" w:rsidP="00E7213F">
      <w:pPr>
        <w:spacing w:line="360" w:lineRule="auto"/>
        <w:jc w:val="both"/>
        <w:rPr>
          <w:rFonts w:ascii="Calibri" w:hAnsi="Calibri"/>
          <w:color w:val="FF0000"/>
        </w:rPr>
      </w:pPr>
      <w:r>
        <w:rPr>
          <w:rFonts w:ascii="Calibri" w:hAnsi="Calibri"/>
          <w:noProof/>
          <w:color w:val="FF0000"/>
          <w:lang w:val="en-US"/>
        </w:rPr>
        <mc:AlternateContent>
          <mc:Choice Requires="wps">
            <w:drawing>
              <wp:anchor distT="0" distB="0" distL="114300" distR="114300" simplePos="0" relativeHeight="251788288" behindDoc="0" locked="0" layoutInCell="1" allowOverlap="1" wp14:anchorId="4B5A2031" wp14:editId="5B91D1CA">
                <wp:simplePos x="0" y="0"/>
                <wp:positionH relativeFrom="column">
                  <wp:posOffset>3200400</wp:posOffset>
                </wp:positionH>
                <wp:positionV relativeFrom="paragraph">
                  <wp:posOffset>554990</wp:posOffset>
                </wp:positionV>
                <wp:extent cx="2286000" cy="34290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22860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BFD362" w14:textId="77777777" w:rsidR="00E82D3B" w:rsidRDefault="00E82D3B" w:rsidP="00982E2C">
                            <w:pPr>
                              <w:jc w:val="both"/>
                              <w:rPr>
                                <w:b/>
                                <w:i/>
                                <w:sz w:val="22"/>
                              </w:rPr>
                            </w:pPr>
                            <w:r w:rsidRPr="00D86B7F">
                              <w:rPr>
                                <w:b/>
                                <w:i/>
                                <w:sz w:val="22"/>
                              </w:rPr>
                              <w:t>Figure 4.10 Cell growth over</w:t>
                            </w:r>
                            <w:r>
                              <w:rPr>
                                <w:b/>
                                <w:i/>
                                <w:sz w:val="22"/>
                              </w:rPr>
                              <w:t xml:space="preserve"> </w:t>
                            </w:r>
                            <w:r w:rsidRPr="00D86B7F">
                              <w:rPr>
                                <w:b/>
                                <w:i/>
                                <w:sz w:val="22"/>
                              </w:rPr>
                              <w:t>time is decreased when SRCAP is knocked down.</w:t>
                            </w:r>
                          </w:p>
                          <w:p w14:paraId="221D53CF" w14:textId="3859D37A" w:rsidR="00E82D3B" w:rsidRPr="00D86B7F" w:rsidRDefault="00E82D3B" w:rsidP="00982E2C">
                            <w:pPr>
                              <w:jc w:val="both"/>
                              <w:rPr>
                                <w:i/>
                                <w:sz w:val="22"/>
                              </w:rPr>
                            </w:pPr>
                            <w:r>
                              <w:rPr>
                                <w:i/>
                                <w:sz w:val="22"/>
                              </w:rPr>
                              <w:t xml:space="preserve">HCT116 or SW480 cells were seeded at 200,000 cells per well transfected with SRCAP or control siRNA then three samples counted every day for viable cells via trypan blue and haemocytometer counting. The graphs show the mean and standard deviation of multiple repeats. </w:t>
                            </w:r>
                            <w:r w:rsidRPr="0072370A">
                              <w:rPr>
                                <w:i/>
                                <w:sz w:val="22"/>
                              </w:rPr>
                              <w:t>Usi</w:t>
                            </w:r>
                            <w:r>
                              <w:rPr>
                                <w:i/>
                                <w:sz w:val="22"/>
                              </w:rPr>
                              <w:t>ng linear regression analysis there was a significant difference between the control and si6 slope (0.0015) in SW480 cells but si7 was not significant (0.1676). In HCT116 cells there was a highly significant difference between control and SRCAP knockdown (si6 p&lt;0.0001, si7 p=0.0006).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126" type="#_x0000_t202" style="position:absolute;left:0;text-align:left;margin-left:252pt;margin-top:43.7pt;width:180pt;height:270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" filled="f" stroked="f">
                <v:textbox>
                  <w:txbxContent>
                    <w:p w14:paraId="68BFD362" w14:textId="77777777" w:rsidR="000A1E0D" w:rsidRDefault="000A1E0D" w:rsidP="00982E2C">
                      <w:pPr>
                        <w:jc w:val="both"/>
                        <w:rPr>
                          <w:b/>
                          <w:i/>
                          <w:sz w:val="22"/>
                        </w:rPr>
                      </w:pPr>
                      <w:r w:rsidRPr="00D86B7F">
                        <w:rPr>
                          <w:b/>
                          <w:i/>
                          <w:sz w:val="22"/>
                        </w:rPr>
                        <w:t>Figure 4.10 Cell growth over</w:t>
                      </w:r>
                      <w:r>
                        <w:rPr>
                          <w:b/>
                          <w:i/>
                          <w:sz w:val="22"/>
                        </w:rPr>
                        <w:t xml:space="preserve"> </w:t>
                      </w:r>
                      <w:r w:rsidRPr="00D86B7F">
                        <w:rPr>
                          <w:b/>
                          <w:i/>
                          <w:sz w:val="22"/>
                        </w:rPr>
                        <w:t>time is decreased when SRCAP is knocked down.</w:t>
                      </w:r>
                    </w:p>
                    <w:p w14:paraId="221D53CF" w14:textId="3859D37A" w:rsidR="000A1E0D" w:rsidRPr="00D86B7F" w:rsidRDefault="000A1E0D" w:rsidP="00982E2C">
                      <w:pPr>
                        <w:jc w:val="both"/>
                        <w:rPr>
                          <w:i/>
                          <w:sz w:val="22"/>
                        </w:rPr>
                      </w:pPr>
                      <w:r>
                        <w:rPr>
                          <w:i/>
                          <w:sz w:val="22"/>
                        </w:rPr>
                        <w:t xml:space="preserve">HCT116 or SW480 cells were seeded at 200,000 cells per well transfected with SRCAP or control siRNA then three samples counted every day for viable cells via trypan blue and haemocytometer counting. The graphs show the mean and standard deviation of multiple repeats. </w:t>
                      </w:r>
                      <w:r w:rsidRPr="0072370A">
                        <w:rPr>
                          <w:i/>
                          <w:sz w:val="22"/>
                        </w:rPr>
                        <w:t>Usi</w:t>
                      </w:r>
                      <w:r>
                        <w:rPr>
                          <w:i/>
                          <w:sz w:val="22"/>
                        </w:rPr>
                        <w:t>ng linear regression analysis there was a significant difference between the control and si6 slope (0.0015) in SW480 cells but si7 was not significant (0.1676). In HCT116 cells there was a highly significant difference between control and SRCAP knockdown (si6 p&lt;0.0001, si7 p=0.0006).</w:t>
                      </w:r>
                    </w:p>
                  </w:txbxContent>
                </v:textbox>
                <w10:wrap type="square"/>
              </v:shape>
            </w:pict>
          </mc:Fallback>
        </mc:AlternateContent>
      </w:r>
    </w:p>
    <w:p w14:paraId="3C8A16D5" w14:textId="77777777" w:rsidR="00E7213F" w:rsidRDefault="00E7213F" w:rsidP="00E7213F">
      <w:pPr>
        <w:spacing w:line="360" w:lineRule="auto"/>
        <w:jc w:val="both"/>
        <w:rPr>
          <w:rFonts w:ascii="Calibri" w:hAnsi="Calibri"/>
        </w:rPr>
      </w:pPr>
    </w:p>
    <w:p w14:paraId="189AC7A4" w14:textId="77777777" w:rsidR="00E7213F" w:rsidRDefault="00E7213F" w:rsidP="00E7213F">
      <w:pPr>
        <w:spacing w:line="360" w:lineRule="auto"/>
        <w:jc w:val="both"/>
        <w:rPr>
          <w:rFonts w:ascii="Calibri" w:hAnsi="Calibri"/>
        </w:rPr>
      </w:pPr>
    </w:p>
    <w:p w14:paraId="04E9A564" w14:textId="036CB026" w:rsidR="00E7213F" w:rsidRPr="00801386" w:rsidRDefault="00E7213F" w:rsidP="00E7213F">
      <w:pPr>
        <w:spacing w:line="360" w:lineRule="auto"/>
        <w:jc w:val="both"/>
        <w:rPr>
          <w:rFonts w:ascii="Calibri" w:hAnsi="Calibri"/>
        </w:rPr>
      </w:pPr>
      <w:r>
        <w:rPr>
          <w:rFonts w:ascii="Calibri" w:hAnsi="Calibri"/>
        </w:rPr>
        <w:t>In the above experiment t</w:t>
      </w:r>
      <w:r w:rsidR="00222D21">
        <w:rPr>
          <w:rFonts w:ascii="Calibri" w:hAnsi="Calibri"/>
        </w:rPr>
        <w:t>he cells were stained with tryp</w:t>
      </w:r>
      <w:r>
        <w:rPr>
          <w:rFonts w:ascii="Calibri" w:hAnsi="Calibri"/>
        </w:rPr>
        <w:t xml:space="preserve">an blue and only the number of viable cells were counted. Thus the cells could either be cycling more slowly due to alterations in their cell cycle profiles, or because </w:t>
      </w:r>
      <w:r w:rsidRPr="00C25978">
        <w:rPr>
          <w:rFonts w:ascii="Calibri" w:hAnsi="Calibri"/>
          <w:i/>
        </w:rPr>
        <w:t>SRCAP</w:t>
      </w:r>
      <w:r w:rsidR="00A40F61">
        <w:rPr>
          <w:rFonts w:ascii="Calibri" w:hAnsi="Calibri"/>
        </w:rPr>
        <w:t xml:space="preserve"> knock</w:t>
      </w:r>
      <w:r>
        <w:rPr>
          <w:rFonts w:ascii="Calibri" w:hAnsi="Calibri"/>
        </w:rPr>
        <w:t xml:space="preserve">down could be causing cells to progress into apoptosis. It could be predicted that </w:t>
      </w:r>
      <w:r w:rsidR="00222D21">
        <w:rPr>
          <w:rFonts w:ascii="Calibri" w:hAnsi="Calibri"/>
        </w:rPr>
        <w:t>apoptosis</w:t>
      </w:r>
      <w:r>
        <w:rPr>
          <w:rFonts w:ascii="Calibri" w:hAnsi="Calibri"/>
        </w:rPr>
        <w:t xml:space="preserve"> could be a feature of </w:t>
      </w:r>
      <w:r w:rsidRPr="00C25978">
        <w:rPr>
          <w:rFonts w:ascii="Calibri" w:hAnsi="Calibri"/>
          <w:i/>
        </w:rPr>
        <w:t>SRCAP</w:t>
      </w:r>
      <w:r w:rsidR="00A40F61">
        <w:rPr>
          <w:rFonts w:ascii="Calibri" w:hAnsi="Calibri"/>
        </w:rPr>
        <w:t xml:space="preserve"> knock</w:t>
      </w:r>
      <w:r>
        <w:rPr>
          <w:rFonts w:ascii="Calibri" w:hAnsi="Calibri"/>
        </w:rPr>
        <w:t xml:space="preserve">down due to its </w:t>
      </w:r>
      <w:r w:rsidR="00222D21">
        <w:rPr>
          <w:rFonts w:ascii="Calibri" w:hAnsi="Calibri"/>
        </w:rPr>
        <w:t>effects on</w:t>
      </w:r>
      <w:r>
        <w:rPr>
          <w:rFonts w:ascii="Calibri" w:hAnsi="Calibri"/>
        </w:rPr>
        <w:t xml:space="preserve"> chromatin structure determination and also the results above showing an increase in DNA damage, which can lead to increased cellular stress and possibly signal to the cells to enter apoptosis. Also, it has been widely published tha</w:t>
      </w:r>
      <w:r w:rsidR="00222D21">
        <w:rPr>
          <w:rFonts w:ascii="Calibri" w:hAnsi="Calibri"/>
        </w:rPr>
        <w:t>t mice deficient for H2A.Z are no</w:t>
      </w:r>
      <w:r>
        <w:rPr>
          <w:rFonts w:ascii="Calibri" w:hAnsi="Calibri"/>
        </w:rPr>
        <w:t xml:space="preserve">t viable </w:t>
      </w:r>
      <w:r>
        <w:rPr>
          <w:rFonts w:ascii="Calibri" w:hAnsi="Calibri"/>
        </w:rPr>
        <w:fldChar w:fldCharType="begin"/>
      </w:r>
      <w:r>
        <w:rPr>
          <w:rFonts w:ascii="Calibri" w:hAnsi="Calibri"/>
        </w:rPr>
        <w:instrText xml:space="preserve"> ADDIN EN.CITE &lt;EndNote&gt;&lt;Cite&gt;&lt;Author&gt;Rangasamy&lt;/Author&gt;&lt;Year&gt;2004&lt;/Year&gt;&lt;IDText&gt;RNA interference demonstrates a novel role for H2A.Z in chromosome segregation&lt;/IDText&gt;&lt;DisplayText&gt;(Rangasamy et al., 2004)&lt;/DisplayText&gt;&lt;record&gt;&lt;dates&gt;&lt;pub-dates&gt;&lt;date&gt;Jul&lt;/date&gt;&lt;/pub-dates&gt;&lt;year&gt;2004&lt;/year&gt;&lt;/dates&gt;&lt;keywords&gt;&lt;keyword&gt;Base Sequence&lt;/keyword&gt;&lt;keyword&gt;Blotting, Northern&lt;/keyword&gt;&lt;keyword&gt;Chromatin&lt;/keyword&gt;&lt;keyword&gt;DNA Primers&lt;/keyword&gt;&lt;keyword&gt;Genome&lt;/keyword&gt;&lt;keyword&gt;Histones&lt;/keyword&gt;&lt;keyword&gt;Molecular Sequence Data&lt;/keyword&gt;&lt;keyword&gt;RNA Interference&lt;/keyword&gt;&lt;keyword&gt;Reverse Transcriptase Polymerase Chain Reaction&lt;/keyword&gt;&lt;/keywords&gt;&lt;urls&gt;&lt;related-urls&gt;&lt;url&gt;http://www.ncbi.nlm.nih.gov/pubmed/15195148&lt;/url&gt;&lt;/related-urls&gt;&lt;/urls&gt;&lt;isbn&gt;1545-9993&lt;/isbn&gt;&lt;titles&gt;&lt;title&gt;RNA interference demonstrates a novel role for H2A.Z in chromosome segregation&lt;/title&gt;&lt;secondary-title&gt;Nat Struct Mol Biol&lt;/secondary-title&gt;&lt;/titles&gt;&lt;pages&gt;650-5&lt;/pages&gt;&lt;number&gt;7&lt;/number&gt;&lt;contributors&gt;&lt;authors&gt;&lt;author&gt;Rangasamy, D.&lt;/author&gt;&lt;author&gt;Greaves, I.&lt;/author&gt;&lt;author&gt;Tremethick, D. J.&lt;/author&gt;&lt;/authors&gt;&lt;/contributors&gt;&lt;language&gt;eng&lt;/language&gt;&lt;added-date format="utc"&gt;1425998456&lt;/added-date&gt;&lt;ref-type name="Journal Article"&gt;17&lt;/ref-type&gt;&lt;rec-number&gt;89&lt;/rec-number&gt;&lt;last-updated-date format="utc"&gt;1447344248&lt;/last-updated-date&gt;&lt;accession-num&gt;15195148&lt;/accession-num&gt;&lt;electronic-resource-num&gt;10.1038/nsmb786&lt;/electronic-resource-num&gt;&lt;volume&gt;11&lt;/volume&gt;&lt;/record&gt;&lt;/Cite&gt;&lt;/EndNote&gt;</w:instrText>
      </w:r>
      <w:r>
        <w:rPr>
          <w:rFonts w:ascii="Calibri" w:hAnsi="Calibri"/>
        </w:rPr>
        <w:fldChar w:fldCharType="separate"/>
      </w:r>
      <w:r>
        <w:rPr>
          <w:rFonts w:ascii="Calibri" w:hAnsi="Calibri"/>
          <w:noProof/>
        </w:rPr>
        <w:t>(Rangasamy et al., 2004)</w:t>
      </w:r>
      <w:r>
        <w:rPr>
          <w:rFonts w:ascii="Calibri" w:hAnsi="Calibri"/>
        </w:rPr>
        <w:fldChar w:fldCharType="end"/>
      </w:r>
      <w:r>
        <w:rPr>
          <w:rFonts w:ascii="Calibri" w:hAnsi="Calibri"/>
        </w:rPr>
        <w:t xml:space="preserve"> and therefore the depletion of SRCAP and the subsequent inhibition of H2A.Z deposition may have a similar outcome on cell viability. However, figure 4.11 shows that during these studies </w:t>
      </w:r>
      <w:r w:rsidRPr="00C25978">
        <w:rPr>
          <w:rFonts w:ascii="Calibri" w:hAnsi="Calibri"/>
          <w:i/>
        </w:rPr>
        <w:t>SRCAP</w:t>
      </w:r>
      <w:r w:rsidR="00A40F61">
        <w:rPr>
          <w:rFonts w:ascii="Calibri" w:hAnsi="Calibri"/>
        </w:rPr>
        <w:t xml:space="preserve"> knock</w:t>
      </w:r>
      <w:r>
        <w:rPr>
          <w:rFonts w:ascii="Calibri" w:hAnsi="Calibri"/>
        </w:rPr>
        <w:t xml:space="preserve">down had no effect on apoptosis, as measured by dual staining with Annexin V and PI and assessed </w:t>
      </w:r>
      <w:r w:rsidR="00222D21">
        <w:rPr>
          <w:rFonts w:ascii="Calibri" w:hAnsi="Calibri"/>
        </w:rPr>
        <w:t>by</w:t>
      </w:r>
      <w:r>
        <w:rPr>
          <w:rFonts w:ascii="Calibri" w:hAnsi="Calibri"/>
        </w:rPr>
        <w:t xml:space="preserve"> flow cytometry. At 48 and 72hrs after cell transfection of either cell line there was no change in the percentage of cells which were positive for both Annexin V and PI, whether they were control or </w:t>
      </w:r>
      <w:r w:rsidRPr="00C25978">
        <w:rPr>
          <w:rFonts w:ascii="Calibri" w:hAnsi="Calibri"/>
          <w:i/>
        </w:rPr>
        <w:t>SRCAP</w:t>
      </w:r>
      <w:r w:rsidR="00A40F61">
        <w:rPr>
          <w:rFonts w:ascii="Calibri" w:hAnsi="Calibri"/>
        </w:rPr>
        <w:t xml:space="preserve"> knock</w:t>
      </w:r>
      <w:r>
        <w:rPr>
          <w:rFonts w:ascii="Calibri" w:hAnsi="Calibri"/>
        </w:rPr>
        <w:t>down.  The single stains of just PI or just Annexin V also showed no difference between the different conditions</w:t>
      </w:r>
      <w:r w:rsidR="00DC3E74">
        <w:rPr>
          <w:rFonts w:ascii="Calibri" w:hAnsi="Calibri"/>
        </w:rPr>
        <w:t>.</w:t>
      </w:r>
      <w:r>
        <w:rPr>
          <w:rFonts w:ascii="Calibri" w:hAnsi="Calibri"/>
        </w:rPr>
        <w:t xml:space="preserve"> </w:t>
      </w:r>
    </w:p>
    <w:p w14:paraId="127A9365" w14:textId="77777777" w:rsidR="00E7213F" w:rsidRDefault="00E7213F" w:rsidP="00E7213F">
      <w:pPr>
        <w:spacing w:line="360" w:lineRule="auto"/>
        <w:jc w:val="both"/>
        <w:rPr>
          <w:rFonts w:ascii="Calibri" w:hAnsi="Calibri"/>
        </w:rPr>
      </w:pPr>
    </w:p>
    <w:p w14:paraId="037547A9" w14:textId="77777777" w:rsidR="00E7213F" w:rsidRDefault="00E7213F" w:rsidP="00E7213F">
      <w:pPr>
        <w:spacing w:line="360" w:lineRule="auto"/>
        <w:rPr>
          <w:rFonts w:ascii="Calibri" w:hAnsi="Calibri"/>
          <w:color w:val="FF0000"/>
        </w:rPr>
      </w:pPr>
    </w:p>
    <w:p w14:paraId="454ADA30" w14:textId="77777777" w:rsidR="00E7213F" w:rsidRDefault="00E7213F" w:rsidP="00E7213F">
      <w:pPr>
        <w:spacing w:line="360" w:lineRule="auto"/>
        <w:rPr>
          <w:rFonts w:ascii="Calibri" w:hAnsi="Calibri"/>
          <w:color w:val="FF0000"/>
        </w:rPr>
      </w:pPr>
    </w:p>
    <w:p w14:paraId="63A13B54" w14:textId="77777777" w:rsidR="00E7213F" w:rsidRDefault="00E7213F" w:rsidP="00E7213F">
      <w:pPr>
        <w:rPr>
          <w:rFonts w:ascii="Calibri" w:hAnsi="Calibri"/>
          <w:b/>
          <w:i/>
        </w:rPr>
      </w:pPr>
      <w:r>
        <w:rPr>
          <w:rFonts w:ascii="Calibri" w:hAnsi="Calibri"/>
          <w:b/>
          <w:i/>
        </w:rPr>
        <w:br w:type="page"/>
      </w:r>
    </w:p>
    <w:p w14:paraId="3B6DE1D4" w14:textId="24EBE08D" w:rsidR="00E7213F" w:rsidRDefault="00070851" w:rsidP="00E7213F">
      <w:pPr>
        <w:spacing w:line="360" w:lineRule="auto"/>
        <w:jc w:val="both"/>
        <w:rPr>
          <w:rFonts w:ascii="Calibri" w:hAnsi="Calibri"/>
        </w:rPr>
      </w:pPr>
      <w:r>
        <w:rPr>
          <w:rFonts w:ascii="Calibri" w:hAnsi="Calibri"/>
          <w:b/>
          <w:i/>
          <w:noProof/>
          <w:lang w:val="en-US"/>
        </w:rPr>
        <mc:AlternateContent>
          <mc:Choice Requires="wps">
            <w:drawing>
              <wp:anchor distT="0" distB="0" distL="114300" distR="114300" simplePos="0" relativeHeight="251755520" behindDoc="0" locked="0" layoutInCell="1" allowOverlap="1" wp14:anchorId="6B93FFA5" wp14:editId="0812403E">
                <wp:simplePos x="0" y="0"/>
                <wp:positionH relativeFrom="column">
                  <wp:posOffset>0</wp:posOffset>
                </wp:positionH>
                <wp:positionV relativeFrom="paragraph">
                  <wp:posOffset>5600700</wp:posOffset>
                </wp:positionV>
                <wp:extent cx="5486400" cy="2286000"/>
                <wp:effectExtent l="0" t="0" r="0" b="0"/>
                <wp:wrapSquare wrapText="bothSides"/>
                <wp:docPr id="77" name="Text Box 77"/>
                <wp:cNvGraphicFramePr/>
                <a:graphic xmlns:a="http://schemas.openxmlformats.org/drawingml/2006/main">
                  <a:graphicData uri="http://schemas.microsoft.com/office/word/2010/wordprocessingShape">
                    <wps:wsp>
                      <wps:cNvSpPr txBox="1"/>
                      <wps:spPr>
                        <a:xfrm>
                          <a:off x="0" y="0"/>
                          <a:ext cx="54864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A53EFD" w14:textId="6CA41190" w:rsidR="00E82D3B" w:rsidRDefault="00E82D3B" w:rsidP="00E7213F">
                            <w:pPr>
                              <w:jc w:val="both"/>
                              <w:rPr>
                                <w:b/>
                                <w:i/>
                                <w:sz w:val="22"/>
                              </w:rPr>
                            </w:pPr>
                            <w:r w:rsidRPr="00B734C3">
                              <w:rPr>
                                <w:b/>
                                <w:i/>
                                <w:sz w:val="22"/>
                              </w:rPr>
                              <w:t>F</w:t>
                            </w:r>
                            <w:r>
                              <w:rPr>
                                <w:b/>
                                <w:i/>
                                <w:sz w:val="22"/>
                              </w:rPr>
                              <w:t>igure 4</w:t>
                            </w:r>
                            <w:r w:rsidRPr="00B734C3">
                              <w:rPr>
                                <w:b/>
                                <w:i/>
                                <w:sz w:val="22"/>
                              </w:rPr>
                              <w:t>.11 Apoptosis levels after SRCAP knockdown aren’t significant</w:t>
                            </w:r>
                            <w:r>
                              <w:rPr>
                                <w:b/>
                                <w:i/>
                                <w:sz w:val="22"/>
                              </w:rPr>
                              <w:t>ly different to control</w:t>
                            </w:r>
                          </w:p>
                          <w:p w14:paraId="1C6E5584" w14:textId="77777777" w:rsidR="00E82D3B" w:rsidRDefault="00E82D3B" w:rsidP="00E7213F">
                            <w:pPr>
                              <w:jc w:val="both"/>
                              <w:rPr>
                                <w:i/>
                                <w:sz w:val="22"/>
                              </w:rPr>
                            </w:pPr>
                            <w:r>
                              <w:rPr>
                                <w:i/>
                                <w:sz w:val="22"/>
                              </w:rPr>
                              <w:t xml:space="preserve">a.) Example image of the gating of all four parameters in SW480 and HCT116 cells at 48hrs after transfection with control or SRCAP siRNA. A gate was first set on a flow cytometry sample that had no stain; this gate then marked the edges for the subsequent gates for Annexin V only, PI only or dual stain, with the overlapping gate in the top right hand corner of the dual stain image giving the percentage of apoptotic cells. </w:t>
                            </w:r>
                          </w:p>
                          <w:p w14:paraId="4FD3681E" w14:textId="798EF274" w:rsidR="00E82D3B" w:rsidRPr="001C087A" w:rsidRDefault="00E82D3B" w:rsidP="00E7213F">
                            <w:pPr>
                              <w:jc w:val="both"/>
                              <w:rPr>
                                <w:rFonts w:ascii="Arial" w:eastAsia="Times New Roman" w:hAnsi="Arial" w:cs="Arial"/>
                              </w:rPr>
                            </w:pPr>
                            <w:r>
                              <w:rPr>
                                <w:i/>
                                <w:sz w:val="22"/>
                              </w:rPr>
                              <w:t xml:space="preserve">b.) Graphical representation of 4 repeats in SW480 and HCT116 cells of the apoptosis Annexin V and PI dual stain kit. The symbols each represent the percentage of cells that were positive for both Annexin V and PI in each repeat with the median and range plotted. Using a Kruskal-Wallis test there was no significant difference between any of the groups at either time point or in either cell line (SW480: 48hr-p=0.8151, 72hr-p=0.7463, HCT116: 48hr-p=0.9532, 72hr-p=0.5101) when significance was classed as </w:t>
                            </w:r>
                            <w:r>
                              <w:rPr>
                                <w:i/>
                                <w:sz w:val="22"/>
                                <w:lang w:val="en-US"/>
                              </w:rPr>
                              <w:t>p≤0.05</w:t>
                            </w:r>
                            <w:r>
                              <w:rPr>
                                <w:i/>
                                <w:sz w:val="22"/>
                              </w:rPr>
                              <w:t>.</w:t>
                            </w:r>
                          </w:p>
                          <w:p w14:paraId="7C4E2574" w14:textId="77777777" w:rsidR="00E82D3B" w:rsidRPr="00B734C3" w:rsidRDefault="00E82D3B" w:rsidP="00E7213F">
                            <w:pPr>
                              <w:jc w:val="both"/>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127" type="#_x0000_t202" style="position:absolute;left:0;text-align:left;margin-left:0;margin-top:441pt;width:6in;height:180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" filled="f" stroked="f">
                <v:textbox>
                  <w:txbxContent>
                    <w:p w14:paraId="56A53EFD" w14:textId="6CA41190" w:rsidR="000A1E0D" w:rsidRDefault="000A1E0D" w:rsidP="00E7213F">
                      <w:pPr>
                        <w:jc w:val="both"/>
                        <w:rPr>
                          <w:b/>
                          <w:i/>
                          <w:sz w:val="22"/>
                        </w:rPr>
                      </w:pPr>
                      <w:r w:rsidRPr="00B734C3">
                        <w:rPr>
                          <w:b/>
                          <w:i/>
                          <w:sz w:val="22"/>
                        </w:rPr>
                        <w:t>F</w:t>
                      </w:r>
                      <w:r>
                        <w:rPr>
                          <w:b/>
                          <w:i/>
                          <w:sz w:val="22"/>
                        </w:rPr>
                        <w:t>igure 4</w:t>
                      </w:r>
                      <w:r w:rsidRPr="00B734C3">
                        <w:rPr>
                          <w:b/>
                          <w:i/>
                          <w:sz w:val="22"/>
                        </w:rPr>
                        <w:t>.11 Apoptosis levels after SRCAP knockdown aren’t significant</w:t>
                      </w:r>
                      <w:r>
                        <w:rPr>
                          <w:b/>
                          <w:i/>
                          <w:sz w:val="22"/>
                        </w:rPr>
                        <w:t>ly different to control</w:t>
                      </w:r>
                    </w:p>
                    <w:p w14:paraId="1C6E5584" w14:textId="77777777" w:rsidR="000A1E0D" w:rsidRDefault="000A1E0D" w:rsidP="00E7213F">
                      <w:pPr>
                        <w:jc w:val="both"/>
                        <w:rPr>
                          <w:i/>
                          <w:sz w:val="22"/>
                        </w:rPr>
                      </w:pPr>
                      <w:r>
                        <w:rPr>
                          <w:i/>
                          <w:sz w:val="22"/>
                        </w:rPr>
                        <w:t xml:space="preserve">a.) Example image of the gating of all four parameters in SW480 and HCT116 cells at 48hrs after transfection with control or SRCAP siRNA. A gate was first set on a flow cytometry sample that had no stain; this gate then marked the edges for the subsequent gates for Annexin V only, PI only or dual stain, with the overlapping gate in the top right hand corner of the dual stain image giving the percentage of apoptotic cells. </w:t>
                      </w:r>
                    </w:p>
                    <w:p w14:paraId="4FD3681E" w14:textId="798EF274" w:rsidR="000A1E0D" w:rsidRPr="001C087A" w:rsidRDefault="000A1E0D" w:rsidP="00E7213F">
                      <w:pPr>
                        <w:jc w:val="both"/>
                        <w:rPr>
                          <w:rFonts w:ascii="Arial" w:eastAsia="Times New Roman" w:hAnsi="Arial" w:cs="Arial"/>
                        </w:rPr>
                      </w:pPr>
                      <w:r>
                        <w:rPr>
                          <w:i/>
                          <w:sz w:val="22"/>
                        </w:rPr>
                        <w:t xml:space="preserve">b.) Graphical representation of 4 repeats in SW480 and HCT116 cells of the apoptosis Annexin V and PI dual stain kit. The symbols each represent the percentage of cells that were positive for both Annexin V and PI in each repeat with the median and range plotted. Using a Kruskal-Wallis test there was no significant difference between any of the groups at either time point or in either cell line (SW480: 48hr-p=0.8151, 72hr-p=0.7463, HCT116: 48hr-p=0.9532, 72hr-p=0.5101) when significance was classed as </w:t>
                      </w:r>
                      <w:r>
                        <w:rPr>
                          <w:i/>
                          <w:sz w:val="22"/>
                          <w:lang w:val="en-US"/>
                        </w:rPr>
                        <w:t>p≤0.05</w:t>
                      </w:r>
                      <w:r>
                        <w:rPr>
                          <w:i/>
                          <w:sz w:val="22"/>
                        </w:rPr>
                        <w:t>.</w:t>
                      </w:r>
                    </w:p>
                    <w:p w14:paraId="7C4E2574" w14:textId="77777777" w:rsidR="000A1E0D" w:rsidRPr="00B734C3" w:rsidRDefault="000A1E0D" w:rsidP="00E7213F">
                      <w:pPr>
                        <w:jc w:val="both"/>
                        <w:rPr>
                          <w:i/>
                          <w:sz w:val="22"/>
                        </w:rPr>
                      </w:pPr>
                    </w:p>
                  </w:txbxContent>
                </v:textbox>
                <w10:wrap type="square"/>
              </v:shape>
            </w:pict>
          </mc:Fallback>
        </mc:AlternateContent>
      </w:r>
      <w:r>
        <w:rPr>
          <w:rFonts w:ascii="Calibri" w:hAnsi="Calibri"/>
          <w:noProof/>
          <w:lang w:val="en-US"/>
        </w:rPr>
        <w:drawing>
          <wp:anchor distT="0" distB="0" distL="114300" distR="114300" simplePos="0" relativeHeight="251776000" behindDoc="0" locked="0" layoutInCell="1" allowOverlap="1" wp14:anchorId="0C931436" wp14:editId="55C05F55">
            <wp:simplePos x="0" y="0"/>
            <wp:positionH relativeFrom="column">
              <wp:posOffset>114300</wp:posOffset>
            </wp:positionH>
            <wp:positionV relativeFrom="paragraph">
              <wp:posOffset>3771900</wp:posOffset>
            </wp:positionV>
            <wp:extent cx="5257800" cy="1790065"/>
            <wp:effectExtent l="0" t="0" r="0" b="0"/>
            <wp:wrapTopAndBottom/>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57800" cy="1790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b/>
          <w:i/>
          <w:noProof/>
          <w:lang w:val="en-US"/>
        </w:rPr>
        <mc:AlternateContent>
          <mc:Choice Requires="wps">
            <w:drawing>
              <wp:anchor distT="0" distB="0" distL="114300" distR="114300" simplePos="0" relativeHeight="251754496" behindDoc="0" locked="0" layoutInCell="1" allowOverlap="1" wp14:anchorId="042A11FF" wp14:editId="4E627873">
                <wp:simplePos x="0" y="0"/>
                <wp:positionH relativeFrom="column">
                  <wp:posOffset>0</wp:posOffset>
                </wp:positionH>
                <wp:positionV relativeFrom="paragraph">
                  <wp:posOffset>3429000</wp:posOffset>
                </wp:positionV>
                <wp:extent cx="571500" cy="342900"/>
                <wp:effectExtent l="0" t="0" r="0" b="12700"/>
                <wp:wrapSquare wrapText="bothSides"/>
                <wp:docPr id="76" name="Text Box 7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24F3AE" w14:textId="77777777" w:rsidR="00E82D3B" w:rsidRPr="00905E00" w:rsidRDefault="00E82D3B" w:rsidP="00E7213F">
                            <w:pPr>
                              <w:rPr>
                                <w:b/>
                                <w:sz w:val="28"/>
                              </w:rPr>
                            </w:pPr>
                            <w:proofErr w:type="gramStart"/>
                            <w:r w:rsidRPr="00905E00">
                              <w:rPr>
                                <w:b/>
                                <w:sz w:val="28"/>
                              </w:rPr>
                              <w:t>b</w:t>
                            </w:r>
                            <w:proofErr w:type="gramEnd"/>
                            <w:r w:rsidRPr="00905E00">
                              <w:rPr>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128" type="#_x0000_t202" style="position:absolute;left:0;text-align:left;margin-left:0;margin-top:270pt;width:45pt;height:2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" filled="f" stroked="f">
                <v:textbox>
                  <w:txbxContent>
                    <w:p w14:paraId="5A24F3AE" w14:textId="77777777" w:rsidR="000A1E0D" w:rsidRPr="00905E00" w:rsidRDefault="000A1E0D" w:rsidP="00E7213F">
                      <w:pPr>
                        <w:rPr>
                          <w:b/>
                          <w:sz w:val="28"/>
                        </w:rPr>
                      </w:pPr>
                      <w:proofErr w:type="gramStart"/>
                      <w:r w:rsidRPr="00905E00">
                        <w:rPr>
                          <w:b/>
                          <w:sz w:val="28"/>
                        </w:rPr>
                        <w:t>b</w:t>
                      </w:r>
                      <w:proofErr w:type="gramEnd"/>
                      <w:r w:rsidRPr="00905E00">
                        <w:rPr>
                          <w:b/>
                          <w:sz w:val="28"/>
                        </w:rPr>
                        <w:t>.)</w:t>
                      </w:r>
                    </w:p>
                  </w:txbxContent>
                </v:textbox>
                <w10:wrap type="square"/>
              </v:shape>
            </w:pict>
          </mc:Fallback>
        </mc:AlternateContent>
      </w:r>
      <w:r>
        <w:rPr>
          <w:rFonts w:ascii="Calibri" w:hAnsi="Calibri"/>
          <w:noProof/>
          <w:color w:val="FF0000"/>
          <w:lang w:val="en-US"/>
        </w:rPr>
        <mc:AlternateContent>
          <mc:Choice Requires="wps">
            <w:drawing>
              <wp:anchor distT="0" distB="0" distL="114300" distR="114300" simplePos="0" relativeHeight="252153856" behindDoc="0" locked="0" layoutInCell="1" allowOverlap="1" wp14:anchorId="4630C7C2" wp14:editId="5FDD043B">
                <wp:simplePos x="0" y="0"/>
                <wp:positionH relativeFrom="column">
                  <wp:posOffset>0</wp:posOffset>
                </wp:positionH>
                <wp:positionV relativeFrom="paragraph">
                  <wp:posOffset>0</wp:posOffset>
                </wp:positionV>
                <wp:extent cx="571500" cy="342900"/>
                <wp:effectExtent l="0" t="0" r="0" b="12700"/>
                <wp:wrapSquare wrapText="bothSides"/>
                <wp:docPr id="75" name="Text Box 7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FFDC2F" w14:textId="77777777" w:rsidR="00E82D3B" w:rsidRPr="00905E00" w:rsidRDefault="00E82D3B" w:rsidP="00E7213F">
                            <w:pPr>
                              <w:rPr>
                                <w:b/>
                                <w:sz w:val="28"/>
                              </w:rPr>
                            </w:pPr>
                            <w:proofErr w:type="gramStart"/>
                            <w:r w:rsidRPr="00905E00">
                              <w:rPr>
                                <w:b/>
                                <w:sz w:val="28"/>
                              </w:rPr>
                              <w:t>a</w:t>
                            </w:r>
                            <w:proofErr w:type="gramEnd"/>
                            <w:r w:rsidRPr="00905E00">
                              <w:rPr>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 o:spid="_x0000_s1129" type="#_x0000_t202" style="position:absolute;left:0;text-align:left;margin-left:0;margin-top:0;width:45pt;height:27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sUfNMCAAAY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" filled="f" stroked="f">
                <v:textbox>
                  <w:txbxContent>
                    <w:p w14:paraId="5CFFDC2F" w14:textId="77777777" w:rsidR="000A1E0D" w:rsidRPr="00905E00" w:rsidRDefault="000A1E0D" w:rsidP="00E7213F">
                      <w:pPr>
                        <w:rPr>
                          <w:b/>
                          <w:sz w:val="28"/>
                        </w:rPr>
                      </w:pPr>
                      <w:proofErr w:type="gramStart"/>
                      <w:r w:rsidRPr="00905E00">
                        <w:rPr>
                          <w:b/>
                          <w:sz w:val="28"/>
                        </w:rPr>
                        <w:t>a</w:t>
                      </w:r>
                      <w:proofErr w:type="gramEnd"/>
                      <w:r w:rsidRPr="00905E00">
                        <w:rPr>
                          <w:b/>
                          <w:sz w:val="28"/>
                        </w:rPr>
                        <w:t>.)</w:t>
                      </w:r>
                    </w:p>
                  </w:txbxContent>
                </v:textbox>
                <w10:wrap type="square"/>
              </v:shape>
            </w:pict>
          </mc:Fallback>
        </mc:AlternateContent>
      </w:r>
      <w:r w:rsidR="00E7213F">
        <w:rPr>
          <w:rFonts w:ascii="Calibri" w:hAnsi="Calibri"/>
          <w:noProof/>
          <w:lang w:val="en-US"/>
        </w:rPr>
        <w:drawing>
          <wp:anchor distT="0" distB="0" distL="114300" distR="114300" simplePos="0" relativeHeight="251794432" behindDoc="0" locked="0" layoutInCell="1" allowOverlap="1" wp14:anchorId="08B76153" wp14:editId="58CF66A4">
            <wp:simplePos x="0" y="0"/>
            <wp:positionH relativeFrom="column">
              <wp:posOffset>0</wp:posOffset>
            </wp:positionH>
            <wp:positionV relativeFrom="paragraph">
              <wp:posOffset>0</wp:posOffset>
            </wp:positionV>
            <wp:extent cx="5060950" cy="3429000"/>
            <wp:effectExtent l="0" t="0" r="0" b="0"/>
            <wp:wrapSquare wrapText="bothSides"/>
            <wp:docPr id="182" name="Picture 182" descr="Macintosh HD:Users:ClairFellows:Desktop:Screen Shot 2017-09-20 at 14.5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09-20 at 14.51.49.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6095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sidRPr="00B63F4D">
        <w:rPr>
          <w:rFonts w:ascii="Calibri" w:hAnsi="Calibri"/>
        </w:rPr>
        <w:t xml:space="preserve"> </w:t>
      </w:r>
    </w:p>
    <w:p w14:paraId="017D5378" w14:textId="2F6731BD" w:rsidR="00E7213F" w:rsidRDefault="00E7213F" w:rsidP="00E7213F">
      <w:pPr>
        <w:rPr>
          <w:rFonts w:ascii="Calibri" w:hAnsi="Calibri"/>
        </w:rPr>
      </w:pPr>
      <w:r>
        <w:rPr>
          <w:rFonts w:ascii="Calibri" w:hAnsi="Calibri"/>
        </w:rPr>
        <w:br w:type="page"/>
      </w:r>
    </w:p>
    <w:p w14:paraId="3FF7C0B7" w14:textId="3251F5F2" w:rsidR="00E7213F" w:rsidRDefault="00E7213F" w:rsidP="00E7213F">
      <w:pPr>
        <w:spacing w:line="360" w:lineRule="auto"/>
        <w:jc w:val="both"/>
        <w:rPr>
          <w:rFonts w:ascii="Calibri" w:hAnsi="Calibri"/>
        </w:rPr>
      </w:pPr>
      <w:r>
        <w:rPr>
          <w:rFonts w:ascii="Calibri" w:hAnsi="Calibri"/>
        </w:rPr>
        <w:t xml:space="preserve">Due to the lack of </w:t>
      </w:r>
      <w:r w:rsidR="00222D21">
        <w:rPr>
          <w:rFonts w:ascii="Calibri" w:hAnsi="Calibri"/>
        </w:rPr>
        <w:t xml:space="preserve">any </w:t>
      </w:r>
      <w:r>
        <w:rPr>
          <w:rFonts w:ascii="Calibri" w:hAnsi="Calibri"/>
        </w:rPr>
        <w:t xml:space="preserve">difference in apoptosis, it was proposed that the cellular growth deficiencies associated with </w:t>
      </w:r>
      <w:r w:rsidRPr="004F501D">
        <w:rPr>
          <w:rFonts w:ascii="Calibri" w:hAnsi="Calibri"/>
          <w:i/>
        </w:rPr>
        <w:t>SRCAP</w:t>
      </w:r>
      <w:r>
        <w:rPr>
          <w:rFonts w:ascii="Calibri" w:hAnsi="Calibri"/>
        </w:rPr>
        <w:t xml:space="preserve"> deplet</w:t>
      </w:r>
      <w:r w:rsidR="00222D21">
        <w:rPr>
          <w:rFonts w:ascii="Calibri" w:hAnsi="Calibri"/>
        </w:rPr>
        <w:t xml:space="preserve">ion were due to aberrations </w:t>
      </w:r>
      <w:r>
        <w:rPr>
          <w:rFonts w:ascii="Calibri" w:hAnsi="Calibri"/>
        </w:rPr>
        <w:t xml:space="preserve">in the cell cycle. Primarily, cell cycle profiles were investigated by using PI staining and flow cytometry to determine </w:t>
      </w:r>
      <w:r w:rsidR="00222D21">
        <w:rPr>
          <w:rFonts w:ascii="Calibri" w:hAnsi="Calibri"/>
        </w:rPr>
        <w:t>whether</w:t>
      </w:r>
      <w:r>
        <w:rPr>
          <w:rFonts w:ascii="Calibri" w:hAnsi="Calibri"/>
        </w:rPr>
        <w:t xml:space="preserve"> there were differences in the percentage of cells within each stage of the cell cycle following SRCAP depletion. As figure 4.12a shows in HCT116 cells, there was a significant</w:t>
      </w:r>
      <w:r w:rsidR="00AE099F">
        <w:rPr>
          <w:rFonts w:ascii="Calibri" w:hAnsi="Calibri"/>
        </w:rPr>
        <w:t xml:space="preserve"> </w:t>
      </w:r>
      <w:r>
        <w:rPr>
          <w:rFonts w:ascii="Calibri" w:hAnsi="Calibri"/>
        </w:rPr>
        <w:t xml:space="preserve">decrease in S phase cells </w:t>
      </w:r>
      <w:r w:rsidR="00A40F61">
        <w:rPr>
          <w:rFonts w:ascii="Calibri" w:hAnsi="Calibri"/>
        </w:rPr>
        <w:t>at 72hrs after SRCAP knock</w:t>
      </w:r>
      <w:r w:rsidR="00AE099F">
        <w:rPr>
          <w:rFonts w:ascii="Calibri" w:hAnsi="Calibri"/>
        </w:rPr>
        <w:t>down with si6</w:t>
      </w:r>
      <w:r>
        <w:rPr>
          <w:rFonts w:ascii="Calibri" w:hAnsi="Calibri"/>
        </w:rPr>
        <w:t xml:space="preserve">. </w:t>
      </w:r>
      <w:r w:rsidR="00AE099F">
        <w:rPr>
          <w:rFonts w:ascii="Calibri" w:hAnsi="Calibri"/>
        </w:rPr>
        <w:t>Although not significant there did also appear t</w:t>
      </w:r>
      <w:r w:rsidR="002B1792">
        <w:rPr>
          <w:rFonts w:ascii="Calibri" w:hAnsi="Calibri"/>
        </w:rPr>
        <w:t xml:space="preserve">o be an increase in cells in G1, again with si6. </w:t>
      </w:r>
      <w:r>
        <w:rPr>
          <w:rFonts w:ascii="Calibri" w:hAnsi="Calibri"/>
        </w:rPr>
        <w:t>This is indicative of cells accumulating DNA damage and therefore becoming stalled in G1</w:t>
      </w:r>
      <w:r w:rsidR="00222D21">
        <w:rPr>
          <w:rFonts w:ascii="Calibri" w:hAnsi="Calibri"/>
        </w:rPr>
        <w:t>,</w:t>
      </w:r>
      <w:r>
        <w:rPr>
          <w:rFonts w:ascii="Calibri" w:hAnsi="Calibri"/>
        </w:rPr>
        <w:t xml:space="preserve"> as HCT116 cells are known to possess a strong TP53-mediated G1 checkpoint. However, in Figure 4.12b with the SW480 cells there was no difference in the percentage of cells in any phase of the cell cycle at 48hrs</w:t>
      </w:r>
      <w:r w:rsidR="002B1792">
        <w:rPr>
          <w:rFonts w:ascii="Calibri" w:hAnsi="Calibri"/>
        </w:rPr>
        <w:t xml:space="preserve"> or</w:t>
      </w:r>
      <w:r>
        <w:rPr>
          <w:rFonts w:ascii="Calibri" w:hAnsi="Calibri"/>
        </w:rPr>
        <w:t xml:space="preserve"> 72hrs</w:t>
      </w:r>
      <w:r w:rsidR="002B1792">
        <w:rPr>
          <w:rFonts w:ascii="Calibri" w:hAnsi="Calibri"/>
        </w:rPr>
        <w:t xml:space="preserve">. </w:t>
      </w:r>
      <w:r w:rsidR="00AE099F">
        <w:rPr>
          <w:rFonts w:ascii="Calibri" w:hAnsi="Calibri"/>
        </w:rPr>
        <w:t xml:space="preserve">Neither cell cycle profile </w:t>
      </w:r>
      <w:proofErr w:type="gramStart"/>
      <w:r w:rsidR="00AE099F">
        <w:rPr>
          <w:rFonts w:ascii="Calibri" w:hAnsi="Calibri"/>
        </w:rPr>
        <w:t>were</w:t>
      </w:r>
      <w:proofErr w:type="gramEnd"/>
      <w:r>
        <w:rPr>
          <w:rFonts w:ascii="Calibri" w:hAnsi="Calibri"/>
        </w:rPr>
        <w:t xml:space="preserve"> any different at 24hrs after transfection compared to control (Appendix 5). It is also interesting to see that, although not statistically significant, there is a trend towards an increase in a Sub G1 population when </w:t>
      </w:r>
      <w:r w:rsidRPr="004F501D">
        <w:rPr>
          <w:rFonts w:ascii="Calibri" w:hAnsi="Calibri"/>
          <w:i/>
        </w:rPr>
        <w:t>SRCAP</w:t>
      </w:r>
      <w:r>
        <w:rPr>
          <w:rFonts w:ascii="Calibri" w:hAnsi="Calibri"/>
        </w:rPr>
        <w:t xml:space="preserve"> is knocked down, especially in HCT116 cells, even though the previous assay looking at apo</w:t>
      </w:r>
      <w:r w:rsidR="00222D21">
        <w:rPr>
          <w:rFonts w:ascii="Calibri" w:hAnsi="Calibri"/>
        </w:rPr>
        <w:t>ptosis levels specifically did no</w:t>
      </w:r>
      <w:r>
        <w:rPr>
          <w:rFonts w:ascii="Calibri" w:hAnsi="Calibri"/>
        </w:rPr>
        <w:t xml:space="preserve">t show any differences. This could therefore be an indication of mitotic catastrophe, in which cell death occurs that is unlinked to apoptosis, as a result of aberrant mitosis. This would also be consistent with the DNA damage data, in which damaged cells are allowed to enter mitosis and here are arrested </w:t>
      </w:r>
      <w:r>
        <w:rPr>
          <w:rFonts w:ascii="Calibri" w:hAnsi="Calibri"/>
        </w:rPr>
        <w:fldChar w:fldCharType="begin"/>
      </w:r>
      <w:r>
        <w:rPr>
          <w:rFonts w:ascii="Calibri" w:hAnsi="Calibri"/>
        </w:rPr>
        <w:instrText xml:space="preserve"> ADDIN EN.CITE &lt;EndNote&gt;&lt;Cite&gt;&lt;Author&gt;Vakifahmetoglu&lt;/Author&gt;&lt;Year&gt;2008&lt;/Year&gt;&lt;IDText&gt;Death through a tragedy: mitotic catastrophe&lt;/IDText&gt;&lt;DisplayText&gt;(Vakifahmetoglu et al., 2008)&lt;/DisplayText&gt;&lt;record&gt;&lt;dates&gt;&lt;pub-dates&gt;&lt;date&gt;Jul&lt;/date&gt;&lt;/pub-dates&gt;&lt;year&gt;2008&lt;/year&gt;&lt;/dates&gt;&lt;keywords&gt;&lt;keyword&gt;Animals&lt;/keyword&gt;&lt;keyword&gt;Apoptosis&lt;/keyword&gt;&lt;keyword&gt;Cell Biology&lt;/keyword&gt;&lt;keyword&gt;Cell Cycle Proteins&lt;/keyword&gt;&lt;keyword&gt;Cell Death&lt;/keyword&gt;&lt;keyword&gt;DNA Damage&lt;/keyword&gt;&lt;keyword&gt;Giant Cells&lt;/keyword&gt;&lt;keyword&gt;History, 20th Century&lt;/keyword&gt;&lt;keyword&gt;History, 21st Century&lt;/keyword&gt;&lt;keyword&gt;Humans&lt;/keyword&gt;&lt;keyword&gt;Microtubule Proteins&lt;/keyword&gt;&lt;keyword&gt;Mitosis&lt;/keyword&gt;&lt;keyword&gt;Necrosis&lt;/keyword&gt;&lt;keyword&gt;Terminology as Topic&lt;/keyword&gt;&lt;/keywords&gt;&lt;urls&gt;&lt;related-urls&gt;&lt;url&gt;https://www.ncbi.nlm.nih.gov/pubmed/18404154&lt;/url&gt;&lt;/related-urls&gt;&lt;/urls&gt;&lt;isbn&gt;1350-9047&lt;/isbn&gt;&lt;titles&gt;&lt;title&gt;Death through a tragedy: mitotic catastrophe&lt;/title&gt;&lt;secondary-title&gt;Cell Death Differ&lt;/secondary-title&gt;&lt;/titles&gt;&lt;pages&gt;1153-62&lt;/pages&gt;&lt;number&gt;7&lt;/number&gt;&lt;contributors&gt;&lt;authors&gt;&lt;author&gt;Vakifahmetoglu, H.&lt;/author&gt;&lt;author&gt;Olsson, M.&lt;/author&gt;&lt;author&gt;Zhivotovsky, B.&lt;/author&gt;&lt;/authors&gt;&lt;/contributors&gt;&lt;edition&gt;2008/04/11&lt;/edition&gt;&lt;language&gt;eng&lt;/language&gt;&lt;added-date format="utc"&gt;1510833458&lt;/added-date&gt;&lt;ref-type name="Journal Article"&gt;17&lt;/ref-type&gt;&lt;rec-number&gt;372&lt;/rec-number&gt;&lt;last-updated-date format="utc"&gt;1510833458&lt;/last-updated-date&gt;&lt;accession-num&gt;18404154&lt;/accession-num&gt;&lt;electronic-resource-num&gt;10.1038/cdd.2008.47&lt;/electronic-resource-num&gt;&lt;volume&gt;15&lt;/volume&gt;&lt;/record&gt;&lt;/Cite&gt;&lt;/EndNote&gt;</w:instrText>
      </w:r>
      <w:r>
        <w:rPr>
          <w:rFonts w:ascii="Calibri" w:hAnsi="Calibri"/>
        </w:rPr>
        <w:fldChar w:fldCharType="separate"/>
      </w:r>
      <w:r>
        <w:rPr>
          <w:rFonts w:ascii="Calibri" w:hAnsi="Calibri"/>
          <w:noProof/>
        </w:rPr>
        <w:t>(Vakifahmetoglu et al., 2008)</w:t>
      </w:r>
      <w:r>
        <w:rPr>
          <w:rFonts w:ascii="Calibri" w:hAnsi="Calibri"/>
        </w:rPr>
        <w:fldChar w:fldCharType="end"/>
      </w:r>
      <w:r>
        <w:rPr>
          <w:rFonts w:ascii="Calibri" w:hAnsi="Calibri"/>
        </w:rPr>
        <w:t xml:space="preserve">. This would need to be further investigated using live cell imaging to assess aberrant mitosis in order to conclusively say that the increase in the sub G1 population is due to mitotic catastrophe and not apoptosis. </w:t>
      </w:r>
    </w:p>
    <w:p w14:paraId="1EA90713" w14:textId="77777777" w:rsidR="00E7213F" w:rsidRDefault="00E7213F" w:rsidP="00E7213F">
      <w:pPr>
        <w:rPr>
          <w:rFonts w:ascii="Calibri" w:hAnsi="Calibri"/>
        </w:rPr>
      </w:pPr>
      <w:r>
        <w:rPr>
          <w:rFonts w:ascii="Calibri" w:hAnsi="Calibri"/>
        </w:rPr>
        <w:br w:type="page"/>
      </w:r>
    </w:p>
    <w:p w14:paraId="558113A1" w14:textId="71766DE9" w:rsidR="00E7213F" w:rsidRPr="00E3030C" w:rsidRDefault="00233B9C" w:rsidP="00E7213F">
      <w:pPr>
        <w:spacing w:line="360" w:lineRule="auto"/>
        <w:jc w:val="both"/>
        <w:rPr>
          <w:rFonts w:ascii="Calibri" w:hAnsi="Calibri"/>
        </w:rPr>
      </w:pPr>
      <w:r>
        <w:rPr>
          <w:noProof/>
          <w:lang w:val="en-US"/>
        </w:rPr>
        <w:drawing>
          <wp:anchor distT="0" distB="0" distL="114300" distR="114300" simplePos="0" relativeHeight="252240896" behindDoc="0" locked="0" layoutInCell="1" allowOverlap="1" wp14:anchorId="644F66B2" wp14:editId="13E52900">
            <wp:simplePos x="0" y="0"/>
            <wp:positionH relativeFrom="column">
              <wp:posOffset>228600</wp:posOffset>
            </wp:positionH>
            <wp:positionV relativeFrom="paragraph">
              <wp:posOffset>5715000</wp:posOffset>
            </wp:positionV>
            <wp:extent cx="5029200" cy="1557655"/>
            <wp:effectExtent l="0" t="0" r="0" b="0"/>
            <wp:wrapSquare wrapText="bothSides"/>
            <wp:docPr id="1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29200" cy="1557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239872" behindDoc="0" locked="0" layoutInCell="1" allowOverlap="1" wp14:anchorId="6EEA95AE" wp14:editId="5DECAD73">
            <wp:simplePos x="0" y="0"/>
            <wp:positionH relativeFrom="column">
              <wp:posOffset>228600</wp:posOffset>
            </wp:positionH>
            <wp:positionV relativeFrom="paragraph">
              <wp:posOffset>1943100</wp:posOffset>
            </wp:positionV>
            <wp:extent cx="4914900" cy="1506220"/>
            <wp:effectExtent l="0" t="0" r="12700" b="0"/>
            <wp:wrapSquare wrapText="bothSides"/>
            <wp:docPr id="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14900" cy="1506220"/>
                    </a:xfrm>
                    <a:prstGeom prst="rect">
                      <a:avLst/>
                    </a:prstGeom>
                    <a:noFill/>
                    <a:ln>
                      <a:noFill/>
                    </a:ln>
                  </pic:spPr>
                </pic:pic>
              </a:graphicData>
            </a:graphic>
            <wp14:sizeRelH relativeFrom="page">
              <wp14:pctWidth>0</wp14:pctWidth>
            </wp14:sizeRelH>
            <wp14:sizeRelV relativeFrom="page">
              <wp14:pctHeight>0</wp14:pctHeight>
            </wp14:sizeRelV>
          </wp:anchor>
        </w:drawing>
      </w:r>
      <w:r w:rsidR="002B1792">
        <w:rPr>
          <w:rFonts w:ascii="Calibri" w:hAnsi="Calibri"/>
          <w:noProof/>
          <w:lang w:val="en-US"/>
        </w:rPr>
        <mc:AlternateContent>
          <mc:Choice Requires="wps">
            <w:drawing>
              <wp:anchor distT="0" distB="0" distL="114300" distR="114300" simplePos="0" relativeHeight="251758592" behindDoc="0" locked="0" layoutInCell="1" allowOverlap="1" wp14:anchorId="2DD74CBD" wp14:editId="6763815F">
                <wp:simplePos x="0" y="0"/>
                <wp:positionH relativeFrom="column">
                  <wp:posOffset>-114300</wp:posOffset>
                </wp:positionH>
                <wp:positionV relativeFrom="paragraph">
                  <wp:posOffset>7200900</wp:posOffset>
                </wp:positionV>
                <wp:extent cx="5600700" cy="1943100"/>
                <wp:effectExtent l="0" t="0" r="0" b="12700"/>
                <wp:wrapSquare wrapText="bothSides"/>
                <wp:docPr id="84" name="Text Box 84"/>
                <wp:cNvGraphicFramePr/>
                <a:graphic xmlns:a="http://schemas.openxmlformats.org/drawingml/2006/main">
                  <a:graphicData uri="http://schemas.microsoft.com/office/word/2010/wordprocessingShape">
                    <wps:wsp>
                      <wps:cNvSpPr txBox="1"/>
                      <wps:spPr>
                        <a:xfrm>
                          <a:off x="0" y="0"/>
                          <a:ext cx="56007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AED974" w14:textId="0D5501AF" w:rsidR="00E82D3B" w:rsidRDefault="00E82D3B" w:rsidP="00E7213F">
                            <w:pPr>
                              <w:jc w:val="both"/>
                              <w:rPr>
                                <w:b/>
                                <w:i/>
                                <w:sz w:val="22"/>
                              </w:rPr>
                            </w:pPr>
                            <w:r w:rsidRPr="00D62BE5">
                              <w:rPr>
                                <w:b/>
                                <w:i/>
                                <w:sz w:val="22"/>
                              </w:rPr>
                              <w:t>F</w:t>
                            </w:r>
                            <w:r>
                              <w:rPr>
                                <w:b/>
                                <w:i/>
                                <w:sz w:val="22"/>
                              </w:rPr>
                              <w:t>igure 4</w:t>
                            </w:r>
                            <w:r w:rsidRPr="00D62BE5">
                              <w:rPr>
                                <w:b/>
                                <w:i/>
                                <w:sz w:val="22"/>
                              </w:rPr>
                              <w:t>.12 Cell Cycle profile differences after SRCAP knockdown</w:t>
                            </w:r>
                          </w:p>
                          <w:p w14:paraId="74D923EF" w14:textId="272E2CD2" w:rsidR="00E82D3B" w:rsidRDefault="00E82D3B" w:rsidP="00E7213F">
                            <w:pPr>
                              <w:jc w:val="both"/>
                              <w:rPr>
                                <w:i/>
                                <w:sz w:val="22"/>
                              </w:rPr>
                            </w:pPr>
                            <w:r w:rsidRPr="00D62BE5">
                              <w:rPr>
                                <w:i/>
                                <w:sz w:val="22"/>
                              </w:rPr>
                              <w:t>a.)</w:t>
                            </w:r>
                            <w:r>
                              <w:rPr>
                                <w:i/>
                                <w:sz w:val="22"/>
                              </w:rPr>
                              <w:t xml:space="preserve"> HCT116 cells were transfected with control siRNA or SRCAP siRNA and left for 48 or 72hrs, fixed and stained with PI for flow cytometry analysis. The percentage of cells in each phase of the cell cycle was gated using the FL3 histogram channel as shown in the example plots taken from a 48hr time point. The graphs are the median percentages after three repeats with the range. Using a Kruskal-Wallis test there was no significant difference overall between the groups, however comparing the siRNA separately to control gave a significant decrease in S phase HCT116 cells at 72hrs (p=0.0171).</w:t>
                            </w:r>
                          </w:p>
                          <w:p w14:paraId="49447E23" w14:textId="4D328CCA" w:rsidR="00E82D3B" w:rsidRPr="00D62BE5" w:rsidRDefault="00E82D3B" w:rsidP="00E7213F">
                            <w:pPr>
                              <w:jc w:val="both"/>
                              <w:rPr>
                                <w:i/>
                                <w:sz w:val="22"/>
                              </w:rPr>
                            </w:pPr>
                            <w:r>
                              <w:rPr>
                                <w:i/>
                                <w:sz w:val="22"/>
                              </w:rPr>
                              <w:t>b.) Using the same experimental and analysis parameters as stated above the SW480 cells did not show significant differences at either time point (</w:t>
                            </w:r>
                            <w:r>
                              <w:rPr>
                                <w:i/>
                                <w:sz w:val="22"/>
                                <w:lang w:val="en-US"/>
                              </w:rPr>
                              <w:t>*=p≤0.05).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130" type="#_x0000_t202" style="position:absolute;left:0;text-align:left;margin-left:-8.95pt;margin-top:567pt;width:441pt;height:15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TjdMCAAAa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" filled="f" stroked="f">
                <v:textbox>
                  <w:txbxContent>
                    <w:p w14:paraId="5EAED974" w14:textId="0D5501AF" w:rsidR="000A1E0D" w:rsidRDefault="000A1E0D" w:rsidP="00E7213F">
                      <w:pPr>
                        <w:jc w:val="both"/>
                        <w:rPr>
                          <w:b/>
                          <w:i/>
                          <w:sz w:val="22"/>
                        </w:rPr>
                      </w:pPr>
                      <w:r w:rsidRPr="00D62BE5">
                        <w:rPr>
                          <w:b/>
                          <w:i/>
                          <w:sz w:val="22"/>
                        </w:rPr>
                        <w:t>F</w:t>
                      </w:r>
                      <w:r>
                        <w:rPr>
                          <w:b/>
                          <w:i/>
                          <w:sz w:val="22"/>
                        </w:rPr>
                        <w:t>igure 4</w:t>
                      </w:r>
                      <w:r w:rsidRPr="00D62BE5">
                        <w:rPr>
                          <w:b/>
                          <w:i/>
                          <w:sz w:val="22"/>
                        </w:rPr>
                        <w:t>.12 Cell Cycle profile differences after SRCAP knockdown</w:t>
                      </w:r>
                    </w:p>
                    <w:p w14:paraId="74D923EF" w14:textId="272E2CD2" w:rsidR="000A1E0D" w:rsidRDefault="000A1E0D" w:rsidP="00E7213F">
                      <w:pPr>
                        <w:jc w:val="both"/>
                        <w:rPr>
                          <w:i/>
                          <w:sz w:val="22"/>
                        </w:rPr>
                      </w:pPr>
                      <w:r w:rsidRPr="00D62BE5">
                        <w:rPr>
                          <w:i/>
                          <w:sz w:val="22"/>
                        </w:rPr>
                        <w:t>a.)</w:t>
                      </w:r>
                      <w:r>
                        <w:rPr>
                          <w:i/>
                          <w:sz w:val="22"/>
                        </w:rPr>
                        <w:t xml:space="preserve"> HCT116 cells were transfected with control siRNA or SRCAP siRNA and left for 48 or 72hrs, fixed and stained with PI for flow cytometry analysis. The percentage of cells in each phase of the cell cycle was gated using the FL3 histogram channel as shown in the example plots taken from a 48hr time point. The graphs are the median percentages after three repeats with the range. Using a Kruskal-Wallis test there was no significant difference overall between the groups, however comparing the siRNA separately to control gave a significant decrease in S phase HCT116 cells at 72hrs (p=0.0171).</w:t>
                      </w:r>
                    </w:p>
                    <w:p w14:paraId="49447E23" w14:textId="4D328CCA" w:rsidR="000A1E0D" w:rsidRPr="00D62BE5" w:rsidRDefault="000A1E0D" w:rsidP="00E7213F">
                      <w:pPr>
                        <w:jc w:val="both"/>
                        <w:rPr>
                          <w:i/>
                          <w:sz w:val="22"/>
                        </w:rPr>
                      </w:pPr>
                      <w:r>
                        <w:rPr>
                          <w:i/>
                          <w:sz w:val="22"/>
                        </w:rPr>
                        <w:t>b.) Using the same experimental and analysis parameters as stated above the SW480 cells did not show significant differences at either time point (</w:t>
                      </w:r>
                      <w:r>
                        <w:rPr>
                          <w:i/>
                          <w:sz w:val="22"/>
                          <w:lang w:val="en-US"/>
                        </w:rPr>
                        <w:t>*=p≤0.05).</w:t>
                      </w:r>
                    </w:p>
                  </w:txbxContent>
                </v:textbox>
                <w10:wrap type="square"/>
              </v:shape>
            </w:pict>
          </mc:Fallback>
        </mc:AlternateContent>
      </w:r>
      <w:r w:rsidR="00E7213F" w:rsidRPr="001879BD">
        <w:t xml:space="preserve"> </w:t>
      </w:r>
      <w:r w:rsidR="00E7213F">
        <w:rPr>
          <w:rFonts w:ascii="Calibri" w:hAnsi="Calibri"/>
          <w:noProof/>
          <w:lang w:val="en-US"/>
        </w:rPr>
        <mc:AlternateContent>
          <mc:Choice Requires="wps">
            <w:drawing>
              <wp:anchor distT="0" distB="0" distL="114300" distR="114300" simplePos="0" relativeHeight="251760640" behindDoc="0" locked="0" layoutInCell="1" allowOverlap="1" wp14:anchorId="3A355E93" wp14:editId="2C79FFD3">
                <wp:simplePos x="0" y="0"/>
                <wp:positionH relativeFrom="column">
                  <wp:posOffset>-114300</wp:posOffset>
                </wp:positionH>
                <wp:positionV relativeFrom="paragraph">
                  <wp:posOffset>3429000</wp:posOffset>
                </wp:positionV>
                <wp:extent cx="571500" cy="457200"/>
                <wp:effectExtent l="0" t="0" r="0" b="0"/>
                <wp:wrapSquare wrapText="bothSides"/>
                <wp:docPr id="86" name="Text Box 86"/>
                <wp:cNvGraphicFramePr/>
                <a:graphic xmlns:a="http://schemas.openxmlformats.org/drawingml/2006/main">
                  <a:graphicData uri="http://schemas.microsoft.com/office/word/2010/wordprocessingShape">
                    <wps:wsp>
                      <wps:cNvSpPr txBox="1"/>
                      <wps:spPr>
                        <a:xfrm>
                          <a:off x="0" y="0"/>
                          <a:ext cx="571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A7D75C" w14:textId="77777777" w:rsidR="00E82D3B" w:rsidRPr="00D62BE5" w:rsidRDefault="00E82D3B" w:rsidP="00E7213F">
                            <w:pPr>
                              <w:rPr>
                                <w:b/>
                                <w:sz w:val="28"/>
                              </w:rPr>
                            </w:pPr>
                            <w:proofErr w:type="gramStart"/>
                            <w:r w:rsidRPr="00D62BE5">
                              <w:rPr>
                                <w:b/>
                                <w:sz w:val="28"/>
                              </w:rPr>
                              <w:t>b</w:t>
                            </w:r>
                            <w:proofErr w:type="gramEnd"/>
                            <w:r w:rsidRPr="00D62BE5">
                              <w:rPr>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6" o:spid="_x0000_s1131" type="#_x0000_t202" style="position:absolute;left:0;text-align:left;margin-left:-8.95pt;margin-top:270pt;width:45pt;height:36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" filled="f" stroked="f">
                <v:textbox>
                  <w:txbxContent>
                    <w:p w14:paraId="63A7D75C" w14:textId="77777777" w:rsidR="000A1E0D" w:rsidRPr="00D62BE5" w:rsidRDefault="000A1E0D" w:rsidP="00E7213F">
                      <w:pPr>
                        <w:rPr>
                          <w:b/>
                          <w:sz w:val="28"/>
                        </w:rPr>
                      </w:pPr>
                      <w:proofErr w:type="gramStart"/>
                      <w:r w:rsidRPr="00D62BE5">
                        <w:rPr>
                          <w:b/>
                          <w:sz w:val="28"/>
                        </w:rPr>
                        <w:t>b</w:t>
                      </w:r>
                      <w:proofErr w:type="gramEnd"/>
                      <w:r w:rsidRPr="00D62BE5">
                        <w:rPr>
                          <w:b/>
                          <w:sz w:val="28"/>
                        </w:rPr>
                        <w:t>.)</w:t>
                      </w:r>
                    </w:p>
                  </w:txbxContent>
                </v:textbox>
                <w10:wrap type="square"/>
              </v:shape>
            </w:pict>
          </mc:Fallback>
        </mc:AlternateContent>
      </w:r>
      <w:r w:rsidR="00E7213F">
        <w:rPr>
          <w:rFonts w:ascii="Calibri" w:hAnsi="Calibri"/>
          <w:noProof/>
          <w:lang w:val="en-US"/>
        </w:rPr>
        <mc:AlternateContent>
          <mc:Choice Requires="wps">
            <w:drawing>
              <wp:anchor distT="0" distB="0" distL="114300" distR="114300" simplePos="0" relativeHeight="251759616" behindDoc="0" locked="0" layoutInCell="1" allowOverlap="1" wp14:anchorId="5F5813FF" wp14:editId="51040F61">
                <wp:simplePos x="0" y="0"/>
                <wp:positionH relativeFrom="column">
                  <wp:posOffset>-228600</wp:posOffset>
                </wp:positionH>
                <wp:positionV relativeFrom="paragraph">
                  <wp:posOffset>-228600</wp:posOffset>
                </wp:positionV>
                <wp:extent cx="571500" cy="457200"/>
                <wp:effectExtent l="0" t="0" r="0" b="0"/>
                <wp:wrapSquare wrapText="bothSides"/>
                <wp:docPr id="85" name="Text Box 85"/>
                <wp:cNvGraphicFramePr/>
                <a:graphic xmlns:a="http://schemas.openxmlformats.org/drawingml/2006/main">
                  <a:graphicData uri="http://schemas.microsoft.com/office/word/2010/wordprocessingShape">
                    <wps:wsp>
                      <wps:cNvSpPr txBox="1"/>
                      <wps:spPr>
                        <a:xfrm>
                          <a:off x="0" y="0"/>
                          <a:ext cx="571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FDCBAC" w14:textId="77777777" w:rsidR="00E82D3B" w:rsidRPr="00D62BE5" w:rsidRDefault="00E82D3B" w:rsidP="00E7213F">
                            <w:pPr>
                              <w:rPr>
                                <w:b/>
                                <w:sz w:val="28"/>
                              </w:rPr>
                            </w:pPr>
                            <w:proofErr w:type="gramStart"/>
                            <w:r w:rsidRPr="00D62BE5">
                              <w:rPr>
                                <w:b/>
                                <w:sz w:val="28"/>
                              </w:rPr>
                              <w:t>a</w:t>
                            </w:r>
                            <w:proofErr w:type="gramEnd"/>
                            <w:r w:rsidRPr="00D62BE5">
                              <w:rPr>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132" type="#_x0000_t202" style="position:absolute;left:0;text-align:left;margin-left:-17.95pt;margin-top:-17.95pt;width:45pt;height:3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" filled="f" stroked="f">
                <v:textbox>
                  <w:txbxContent>
                    <w:p w14:paraId="38FDCBAC" w14:textId="77777777" w:rsidR="000A1E0D" w:rsidRPr="00D62BE5" w:rsidRDefault="000A1E0D" w:rsidP="00E7213F">
                      <w:pPr>
                        <w:rPr>
                          <w:b/>
                          <w:sz w:val="28"/>
                        </w:rPr>
                      </w:pPr>
                      <w:proofErr w:type="gramStart"/>
                      <w:r w:rsidRPr="00D62BE5">
                        <w:rPr>
                          <w:b/>
                          <w:sz w:val="28"/>
                        </w:rPr>
                        <w:t>a</w:t>
                      </w:r>
                      <w:proofErr w:type="gramEnd"/>
                      <w:r w:rsidRPr="00D62BE5">
                        <w:rPr>
                          <w:b/>
                          <w:sz w:val="28"/>
                        </w:rPr>
                        <w:t>.)</w:t>
                      </w:r>
                    </w:p>
                  </w:txbxContent>
                </v:textbox>
                <w10:wrap type="square"/>
              </v:shape>
            </w:pict>
          </mc:Fallback>
        </mc:AlternateContent>
      </w:r>
      <w:r w:rsidR="00E7213F">
        <w:rPr>
          <w:rFonts w:ascii="Calibri" w:hAnsi="Calibri"/>
          <w:noProof/>
          <w:lang w:val="en-US"/>
        </w:rPr>
        <w:drawing>
          <wp:anchor distT="0" distB="0" distL="114300" distR="114300" simplePos="0" relativeHeight="251756544" behindDoc="0" locked="0" layoutInCell="1" allowOverlap="1" wp14:anchorId="23CECBBD" wp14:editId="4F6AE0C9">
            <wp:simplePos x="0" y="0"/>
            <wp:positionH relativeFrom="column">
              <wp:posOffset>-228600</wp:posOffset>
            </wp:positionH>
            <wp:positionV relativeFrom="paragraph">
              <wp:posOffset>3429000</wp:posOffset>
            </wp:positionV>
            <wp:extent cx="5806440" cy="2171700"/>
            <wp:effectExtent l="0" t="0" r="10160" b="12700"/>
            <wp:wrapSquare wrapText="bothSides"/>
            <wp:docPr id="78" name="Picture 78" descr="Macintosh HD:Users:ClairFellows:Desktop:Screen Shot 2017-07-28 at 13.5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irFellows:Desktop:Screen Shot 2017-07-28 at 13.50.33.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0644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rFonts w:ascii="Calibri" w:hAnsi="Calibri"/>
          <w:noProof/>
          <w:lang w:val="en-US"/>
        </w:rPr>
        <w:drawing>
          <wp:anchor distT="0" distB="0" distL="114300" distR="114300" simplePos="0" relativeHeight="251757568" behindDoc="0" locked="0" layoutInCell="1" allowOverlap="1" wp14:anchorId="523E51AA" wp14:editId="3BCFCE02">
            <wp:simplePos x="0" y="0"/>
            <wp:positionH relativeFrom="column">
              <wp:posOffset>-114300</wp:posOffset>
            </wp:positionH>
            <wp:positionV relativeFrom="paragraph">
              <wp:posOffset>-228600</wp:posOffset>
            </wp:positionV>
            <wp:extent cx="5875020" cy="2286000"/>
            <wp:effectExtent l="0" t="0" r="0" b="0"/>
            <wp:wrapSquare wrapText="bothSides"/>
            <wp:docPr id="79" name="Picture 79" descr="Macintosh HD:Users:ClairFellows:Desktop:Screen Shot 2017-07-28 at 13.5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irFellows:Desktop:Screen Shot 2017-07-28 at 13.51.00.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7502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AFC60" w14:textId="168AC346" w:rsidR="00E7213F" w:rsidRPr="00FC4592" w:rsidRDefault="00E7213F" w:rsidP="00E7213F">
      <w:pPr>
        <w:spacing w:line="360" w:lineRule="auto"/>
        <w:jc w:val="both"/>
        <w:rPr>
          <w:rFonts w:ascii="Calibri" w:hAnsi="Calibri"/>
        </w:rPr>
      </w:pPr>
      <w:r>
        <w:rPr>
          <w:rFonts w:ascii="Calibri" w:hAnsi="Calibri"/>
        </w:rPr>
        <w:t xml:space="preserve">Considering that there were some differences in cell cycle profiles and to follow up further whether the cell lines were cycling slower if </w:t>
      </w:r>
      <w:r w:rsidRPr="004F501D">
        <w:rPr>
          <w:rFonts w:ascii="Calibri" w:hAnsi="Calibri"/>
          <w:i/>
        </w:rPr>
        <w:t>SRCAP</w:t>
      </w:r>
      <w:r>
        <w:rPr>
          <w:rFonts w:ascii="Calibri" w:hAnsi="Calibri"/>
        </w:rPr>
        <w:t xml:space="preserve"> was knocked down, an EdU Click-IT kit was utilised. With this approach it is possible to assess the number of S phase cells, as EdU is a modified thymidine analogue that when placed into seeded cells media is incorporated into actively synthesising DNA, and can be detected using an Alexa Fluor dye. When cells were incubated with EdU for 20mins there was no significant difference in the number of EdU+ cells in either cell line when counted by immunofluorescence (Figure 4.13). This indicates that after 48hrs of transfection with </w:t>
      </w:r>
      <w:r w:rsidRPr="004F501D">
        <w:rPr>
          <w:rFonts w:ascii="Calibri" w:hAnsi="Calibri"/>
          <w:i/>
        </w:rPr>
        <w:t>SRCAP</w:t>
      </w:r>
      <w:r>
        <w:rPr>
          <w:rFonts w:ascii="Calibri" w:hAnsi="Calibri"/>
        </w:rPr>
        <w:t xml:space="preserve"> siRNA, and in that 20min window, the cells were not cycling any different</w:t>
      </w:r>
      <w:r w:rsidR="00BE16F7">
        <w:rPr>
          <w:rFonts w:ascii="Calibri" w:hAnsi="Calibri"/>
        </w:rPr>
        <w:t xml:space="preserve">ly whether </w:t>
      </w:r>
      <w:r w:rsidR="00BE16F7" w:rsidRPr="00E83A72">
        <w:rPr>
          <w:rFonts w:ascii="Calibri" w:hAnsi="Calibri"/>
        </w:rPr>
        <w:t>they had SRCAP knock down or wild type levels</w:t>
      </w:r>
      <w:r w:rsidRPr="00E83A72">
        <w:rPr>
          <w:rFonts w:ascii="Calibri" w:hAnsi="Calibri"/>
        </w:rPr>
        <w:t>. This</w:t>
      </w:r>
      <w:r w:rsidRPr="00FD6E33">
        <w:rPr>
          <w:rFonts w:ascii="Calibri" w:hAnsi="Calibri"/>
        </w:rPr>
        <w:t xml:space="preserve"> observation is contradictory to the cell cycle profiles in</w:t>
      </w:r>
      <w:r w:rsidR="00FD6E33" w:rsidRPr="00FD6E33">
        <w:rPr>
          <w:rFonts w:ascii="Calibri" w:hAnsi="Calibri"/>
        </w:rPr>
        <w:t xml:space="preserve"> HCT116 cells at least, as at 72</w:t>
      </w:r>
      <w:r w:rsidRPr="00FD6E33">
        <w:rPr>
          <w:rFonts w:ascii="Calibri" w:hAnsi="Calibri"/>
        </w:rPr>
        <w:t>hrs there was a statistically significant decrease in S phase cells.</w:t>
      </w:r>
      <w:r>
        <w:rPr>
          <w:rFonts w:ascii="Calibri" w:hAnsi="Calibri"/>
        </w:rPr>
        <w:t xml:space="preserve"> </w:t>
      </w:r>
    </w:p>
    <w:p w14:paraId="1310D681" w14:textId="77777777" w:rsidR="00E7213F" w:rsidRPr="00FC4592" w:rsidRDefault="00E7213F" w:rsidP="00E7213F">
      <w:pPr>
        <w:spacing w:line="360" w:lineRule="auto"/>
        <w:rPr>
          <w:rFonts w:ascii="Calibri" w:hAnsi="Calibri"/>
        </w:rPr>
      </w:pPr>
      <w:r>
        <w:rPr>
          <w:rFonts w:ascii="Calibri" w:hAnsi="Calibri"/>
          <w:noProof/>
          <w:lang w:val="en-US"/>
        </w:rPr>
        <w:drawing>
          <wp:anchor distT="0" distB="0" distL="114300" distR="114300" simplePos="0" relativeHeight="251761664" behindDoc="0" locked="0" layoutInCell="1" allowOverlap="1" wp14:anchorId="2E1F081B" wp14:editId="20E2D2E4">
            <wp:simplePos x="0" y="0"/>
            <wp:positionH relativeFrom="column">
              <wp:posOffset>1257300</wp:posOffset>
            </wp:positionH>
            <wp:positionV relativeFrom="paragraph">
              <wp:posOffset>309245</wp:posOffset>
            </wp:positionV>
            <wp:extent cx="2774315" cy="1324610"/>
            <wp:effectExtent l="0" t="0" r="0" b="0"/>
            <wp:wrapSquare wrapText="bothSides"/>
            <wp:docPr id="88" name="Picture 88" descr="Macintosh HD:Users:ClairFellows:Desktop:Screen Shot 2017-07-28 at 14.3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airFellows:Desktop:Screen Shot 2017-07-28 at 14.37.27.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74315" cy="1324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01CE5C" w14:textId="77777777" w:rsidR="00E7213F" w:rsidRPr="00FC4592" w:rsidRDefault="00E7213F" w:rsidP="00E7213F">
      <w:pPr>
        <w:spacing w:line="360" w:lineRule="auto"/>
        <w:jc w:val="both"/>
        <w:rPr>
          <w:rFonts w:ascii="Calibri" w:hAnsi="Calibri"/>
        </w:rPr>
      </w:pPr>
    </w:p>
    <w:p w14:paraId="48565B70" w14:textId="2F06B8D8" w:rsidR="00E7213F" w:rsidRDefault="00E5260D" w:rsidP="00E7213F">
      <w:pPr>
        <w:rPr>
          <w:rFonts w:ascii="Calibri" w:hAnsi="Calibri"/>
          <w:b/>
          <w:sz w:val="28"/>
          <w:u w:val="single"/>
        </w:rPr>
      </w:pPr>
      <w:r>
        <w:rPr>
          <w:rFonts w:ascii="Calibri" w:hAnsi="Calibri"/>
          <w:noProof/>
          <w:lang w:val="en-US"/>
        </w:rPr>
        <mc:AlternateContent>
          <mc:Choice Requires="wps">
            <w:drawing>
              <wp:anchor distT="0" distB="0" distL="114300" distR="114300" simplePos="0" relativeHeight="251762688" behindDoc="0" locked="0" layoutInCell="1" allowOverlap="1" wp14:anchorId="082A9AE3" wp14:editId="78BE7134">
                <wp:simplePos x="0" y="0"/>
                <wp:positionH relativeFrom="column">
                  <wp:posOffset>-114300</wp:posOffset>
                </wp:positionH>
                <wp:positionV relativeFrom="paragraph">
                  <wp:posOffset>3065780</wp:posOffset>
                </wp:positionV>
                <wp:extent cx="5600700" cy="1828800"/>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56007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7B6ADC" w14:textId="77777777" w:rsidR="00E82D3B" w:rsidRDefault="00E82D3B" w:rsidP="00E7213F">
                            <w:pPr>
                              <w:jc w:val="both"/>
                              <w:rPr>
                                <w:b/>
                                <w:i/>
                                <w:sz w:val="22"/>
                                <w:szCs w:val="22"/>
                              </w:rPr>
                            </w:pPr>
                            <w:r w:rsidRPr="00632A67">
                              <w:rPr>
                                <w:b/>
                                <w:i/>
                                <w:sz w:val="22"/>
                                <w:szCs w:val="22"/>
                              </w:rPr>
                              <w:t>F</w:t>
                            </w:r>
                            <w:r>
                              <w:rPr>
                                <w:b/>
                                <w:i/>
                                <w:sz w:val="22"/>
                                <w:szCs w:val="22"/>
                              </w:rPr>
                              <w:t>igure 4</w:t>
                            </w:r>
                            <w:r w:rsidRPr="00632A67">
                              <w:rPr>
                                <w:b/>
                                <w:i/>
                                <w:sz w:val="22"/>
                                <w:szCs w:val="22"/>
                              </w:rPr>
                              <w:t>.13</w:t>
                            </w:r>
                            <w:r>
                              <w:rPr>
                                <w:b/>
                                <w:i/>
                                <w:sz w:val="22"/>
                                <w:szCs w:val="22"/>
                              </w:rPr>
                              <w:t xml:space="preserve"> EdU incorporation showed no difference in S phase cells. </w:t>
                            </w:r>
                          </w:p>
                          <w:p w14:paraId="48BF70E8" w14:textId="3D9089AA" w:rsidR="00E82D3B" w:rsidRPr="00A23411" w:rsidRDefault="00E82D3B" w:rsidP="00E7213F">
                            <w:pPr>
                              <w:jc w:val="both"/>
                              <w:rPr>
                                <w:i/>
                                <w:sz w:val="22"/>
                                <w:szCs w:val="22"/>
                              </w:rPr>
                            </w:pPr>
                            <w:r>
                              <w:rPr>
                                <w:i/>
                                <w:sz w:val="22"/>
                                <w:szCs w:val="22"/>
                              </w:rPr>
                              <w:t>SW48O (image) or HCT116 cells were seeded onto coverslips, transfected for 48hrs with SRCAP siRNA and then EdU placed in the media for 20mins. The cells were then fixed and EdU detected using click-</w:t>
                            </w:r>
                            <w:proofErr w:type="spellStart"/>
                            <w:r>
                              <w:rPr>
                                <w:i/>
                                <w:sz w:val="22"/>
                                <w:szCs w:val="22"/>
                              </w:rPr>
                              <w:t>iT</w:t>
                            </w:r>
                            <w:proofErr w:type="spellEnd"/>
                            <w:r>
                              <w:rPr>
                                <w:i/>
                                <w:sz w:val="22"/>
                                <w:szCs w:val="22"/>
                              </w:rPr>
                              <w:t xml:space="preserve"> chemistry. 10 images were taken per condition, the total number of DAPI stained cells counted plus the number of positive EdU cells and the percentage of EdU positive and so S phase cells calculated. After a number of repeats, as shown by the individual symbols on the graphs and median and range plotted, there was no significant difference in the percentage of S phase cells between any of the groups using a Kruskal-Wallis non-parametric test (SW480: p=0.9945, HCT116: p=0.1679), </w:t>
                            </w:r>
                            <w:r>
                              <w:rPr>
                                <w:i/>
                                <w:sz w:val="22"/>
                              </w:rPr>
                              <w:t xml:space="preserve">when significance was classed as </w:t>
                            </w:r>
                            <w:r>
                              <w:rPr>
                                <w:i/>
                                <w:sz w:val="22"/>
                                <w:lang w:val="en-US"/>
                              </w:rPr>
                              <w:t>p≤0.05</w:t>
                            </w:r>
                            <w:r>
                              <w:rPr>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133" type="#_x0000_t202" style="position:absolute;margin-left:-8.95pt;margin-top:241.4pt;width:441pt;height:2in;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" filled="f" stroked="f">
                <v:textbox>
                  <w:txbxContent>
                    <w:p w14:paraId="7B7B6ADC" w14:textId="77777777" w:rsidR="000A1E0D" w:rsidRDefault="000A1E0D" w:rsidP="00E7213F">
                      <w:pPr>
                        <w:jc w:val="both"/>
                        <w:rPr>
                          <w:b/>
                          <w:i/>
                          <w:sz w:val="22"/>
                          <w:szCs w:val="22"/>
                        </w:rPr>
                      </w:pPr>
                      <w:r w:rsidRPr="00632A67">
                        <w:rPr>
                          <w:b/>
                          <w:i/>
                          <w:sz w:val="22"/>
                          <w:szCs w:val="22"/>
                        </w:rPr>
                        <w:t>F</w:t>
                      </w:r>
                      <w:r>
                        <w:rPr>
                          <w:b/>
                          <w:i/>
                          <w:sz w:val="22"/>
                          <w:szCs w:val="22"/>
                        </w:rPr>
                        <w:t>igure 4</w:t>
                      </w:r>
                      <w:r w:rsidRPr="00632A67">
                        <w:rPr>
                          <w:b/>
                          <w:i/>
                          <w:sz w:val="22"/>
                          <w:szCs w:val="22"/>
                        </w:rPr>
                        <w:t>.13</w:t>
                      </w:r>
                      <w:r>
                        <w:rPr>
                          <w:b/>
                          <w:i/>
                          <w:sz w:val="22"/>
                          <w:szCs w:val="22"/>
                        </w:rPr>
                        <w:t xml:space="preserve"> EdU incorporation showed no difference in S phase cells. </w:t>
                      </w:r>
                    </w:p>
                    <w:p w14:paraId="48BF70E8" w14:textId="3D9089AA" w:rsidR="000A1E0D" w:rsidRPr="00A23411" w:rsidRDefault="000A1E0D" w:rsidP="00E7213F">
                      <w:pPr>
                        <w:jc w:val="both"/>
                        <w:rPr>
                          <w:i/>
                          <w:sz w:val="22"/>
                          <w:szCs w:val="22"/>
                        </w:rPr>
                      </w:pPr>
                      <w:r>
                        <w:rPr>
                          <w:i/>
                          <w:sz w:val="22"/>
                          <w:szCs w:val="22"/>
                        </w:rPr>
                        <w:t>SW48O (image) or HCT116 cells were seeded onto coverslips, transfected for 48hrs with SRCAP siRNA and then EdU placed in the media for 20mins. The cells were then fixed and EdU detected using click-</w:t>
                      </w:r>
                      <w:proofErr w:type="spellStart"/>
                      <w:r>
                        <w:rPr>
                          <w:i/>
                          <w:sz w:val="22"/>
                          <w:szCs w:val="22"/>
                        </w:rPr>
                        <w:t>iT</w:t>
                      </w:r>
                      <w:proofErr w:type="spellEnd"/>
                      <w:r>
                        <w:rPr>
                          <w:i/>
                          <w:sz w:val="22"/>
                          <w:szCs w:val="22"/>
                        </w:rPr>
                        <w:t xml:space="preserve"> chemistry. 10 images were taken per condition, the total number of DAPI stained cells counted plus the number of positive EdU cells and the percentage of EdU positive and so S phase cells calculated. After a number of repeats, as shown by the individual symbols on the graphs and median and range plotted, there was no significant difference in the percentage of S phase cells between any of the groups using a Kruskal-Wallis non-parametric test (SW480: p=0.9945, HCT116: p=0.1679), </w:t>
                      </w:r>
                      <w:r>
                        <w:rPr>
                          <w:i/>
                          <w:sz w:val="22"/>
                        </w:rPr>
                        <w:t xml:space="preserve">when significance was classed as </w:t>
                      </w:r>
                      <w:r>
                        <w:rPr>
                          <w:i/>
                          <w:sz w:val="22"/>
                          <w:lang w:val="en-US"/>
                        </w:rPr>
                        <w:t>p≤0.05</w:t>
                      </w:r>
                      <w:r>
                        <w:rPr>
                          <w:i/>
                          <w:sz w:val="22"/>
                          <w:szCs w:val="22"/>
                        </w:rPr>
                        <w:t>.</w:t>
                      </w:r>
                    </w:p>
                  </w:txbxContent>
                </v:textbox>
                <w10:wrap type="square"/>
              </v:shape>
            </w:pict>
          </mc:Fallback>
        </mc:AlternateContent>
      </w:r>
      <w:r>
        <w:rPr>
          <w:rFonts w:ascii="Calibri" w:hAnsi="Calibri"/>
          <w:b/>
          <w:noProof/>
          <w:sz w:val="28"/>
          <w:u w:val="single"/>
          <w:lang w:val="en-US"/>
        </w:rPr>
        <w:drawing>
          <wp:anchor distT="0" distB="0" distL="114300" distR="114300" simplePos="0" relativeHeight="251777024" behindDoc="0" locked="0" layoutInCell="1" allowOverlap="1" wp14:anchorId="2EA346C6" wp14:editId="2FEE025F">
            <wp:simplePos x="0" y="0"/>
            <wp:positionH relativeFrom="column">
              <wp:posOffset>0</wp:posOffset>
            </wp:positionH>
            <wp:positionV relativeFrom="paragraph">
              <wp:posOffset>1122680</wp:posOffset>
            </wp:positionV>
            <wp:extent cx="5380990" cy="1892935"/>
            <wp:effectExtent l="0" t="0" r="3810" b="12065"/>
            <wp:wrapTopAndBottom/>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80990" cy="1892935"/>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sidRPr="00ED4A4F">
        <w:rPr>
          <w:rFonts w:ascii="Calibri" w:hAnsi="Calibri"/>
          <w:b/>
          <w:sz w:val="28"/>
          <w:u w:val="single"/>
        </w:rPr>
        <w:t xml:space="preserve"> </w:t>
      </w:r>
      <w:r w:rsidR="00E7213F">
        <w:rPr>
          <w:rFonts w:ascii="Calibri" w:hAnsi="Calibri"/>
          <w:b/>
          <w:sz w:val="28"/>
          <w:u w:val="single"/>
        </w:rPr>
        <w:br w:type="page"/>
      </w:r>
    </w:p>
    <w:p w14:paraId="33FEC47C" w14:textId="219D8072" w:rsidR="00E7213F" w:rsidRDefault="00E7213F" w:rsidP="00E7213F">
      <w:pPr>
        <w:spacing w:line="360" w:lineRule="auto"/>
        <w:jc w:val="both"/>
        <w:rPr>
          <w:rFonts w:ascii="Calibri" w:hAnsi="Calibri"/>
        </w:rPr>
      </w:pPr>
      <w:r w:rsidRPr="00952BE5">
        <w:rPr>
          <w:rFonts w:ascii="Calibri" w:hAnsi="Calibri"/>
        </w:rPr>
        <w:t>The mi</w:t>
      </w:r>
      <w:r>
        <w:rPr>
          <w:rFonts w:ascii="Calibri" w:hAnsi="Calibri"/>
        </w:rPr>
        <w:t>totic cell fraction was then i</w:t>
      </w:r>
      <w:r w:rsidRPr="00952BE5">
        <w:rPr>
          <w:rFonts w:ascii="Calibri" w:hAnsi="Calibri"/>
        </w:rPr>
        <w:t xml:space="preserve">nvestigated, as this can also be an indicator </w:t>
      </w:r>
      <w:r>
        <w:rPr>
          <w:rFonts w:ascii="Calibri" w:hAnsi="Calibri"/>
        </w:rPr>
        <w:t xml:space="preserve">of whether cells are cycling more slowly. The percentage of mitotic cells was calculated using a marker of mitosis in flow cytometry; Phospho histone H3 (pH3), as histone H3 becomes phosphorylated at serine 10 during mitosis. As seen in Figure 4.14 there was a significant decrease in the number of pH3 positive cells when </w:t>
      </w:r>
      <w:r w:rsidRPr="004F501D">
        <w:rPr>
          <w:rFonts w:ascii="Calibri" w:hAnsi="Calibri"/>
          <w:i/>
        </w:rPr>
        <w:t>SRCAP</w:t>
      </w:r>
      <w:r>
        <w:rPr>
          <w:rFonts w:ascii="Calibri" w:hAnsi="Calibri"/>
        </w:rPr>
        <w:t xml:space="preserve"> was knocked down in both cell lin</w:t>
      </w:r>
      <w:r w:rsidR="00222D21">
        <w:rPr>
          <w:rFonts w:ascii="Calibri" w:hAnsi="Calibri"/>
        </w:rPr>
        <w:t>es, however, only with si6. This shows</w:t>
      </w:r>
      <w:r>
        <w:rPr>
          <w:rFonts w:ascii="Calibri" w:hAnsi="Calibri"/>
        </w:rPr>
        <w:t xml:space="preserve"> that when si6, at least, knocks down </w:t>
      </w:r>
      <w:r w:rsidRPr="004F501D">
        <w:rPr>
          <w:rFonts w:ascii="Calibri" w:hAnsi="Calibri"/>
          <w:i/>
        </w:rPr>
        <w:t>SRCAP</w:t>
      </w:r>
      <w:r>
        <w:rPr>
          <w:rFonts w:ascii="Calibri" w:hAnsi="Calibri"/>
        </w:rPr>
        <w:t xml:space="preserve"> there is a significant decrease of cells entering mitosis at 48hrs post-t</w:t>
      </w:r>
      <w:r w:rsidR="003A7259">
        <w:rPr>
          <w:rFonts w:ascii="Calibri" w:hAnsi="Calibri"/>
        </w:rPr>
        <w:t>ransfection</w:t>
      </w:r>
      <w:r w:rsidR="003A7259" w:rsidRPr="00FD6E33">
        <w:rPr>
          <w:rFonts w:ascii="Calibri" w:hAnsi="Calibri"/>
        </w:rPr>
        <w:t>. This decrease</w:t>
      </w:r>
      <w:r w:rsidR="00FD6E33" w:rsidRPr="00FD6E33">
        <w:rPr>
          <w:rFonts w:ascii="Calibri" w:hAnsi="Calibri"/>
        </w:rPr>
        <w:t>, however,</w:t>
      </w:r>
      <w:r w:rsidR="003A7259" w:rsidRPr="00FD6E33">
        <w:rPr>
          <w:rFonts w:ascii="Calibri" w:hAnsi="Calibri"/>
        </w:rPr>
        <w:t xml:space="preserve"> was no</w:t>
      </w:r>
      <w:r w:rsidRPr="00FD6E33">
        <w:rPr>
          <w:rFonts w:ascii="Calibri" w:hAnsi="Calibri"/>
        </w:rPr>
        <w:t>t seen when using PI staining</w:t>
      </w:r>
      <w:r w:rsidR="00FD6E33" w:rsidRPr="00FD6E33">
        <w:rPr>
          <w:rFonts w:ascii="Calibri" w:hAnsi="Calibri"/>
        </w:rPr>
        <w:t>, as</w:t>
      </w:r>
      <w:r w:rsidR="00FD6E33">
        <w:rPr>
          <w:rFonts w:ascii="Calibri" w:hAnsi="Calibri"/>
        </w:rPr>
        <w:t xml:space="preserve"> shown in Figure 4.12.</w:t>
      </w:r>
      <w:r>
        <w:rPr>
          <w:rFonts w:ascii="Calibri" w:hAnsi="Calibri"/>
        </w:rPr>
        <w:t xml:space="preserve"> </w:t>
      </w:r>
    </w:p>
    <w:p w14:paraId="4FC498FF" w14:textId="77777777" w:rsidR="00E7213F" w:rsidRDefault="00E7213F" w:rsidP="00E7213F">
      <w:pPr>
        <w:spacing w:line="360" w:lineRule="auto"/>
        <w:jc w:val="both"/>
        <w:rPr>
          <w:rFonts w:ascii="Calibri" w:hAnsi="Calibri"/>
        </w:rPr>
      </w:pPr>
    </w:p>
    <w:p w14:paraId="442E4135" w14:textId="2F338F0A" w:rsidR="00E7213F" w:rsidRDefault="00E7213F" w:rsidP="00E7213F">
      <w:pPr>
        <w:spacing w:line="360" w:lineRule="auto"/>
        <w:jc w:val="both"/>
        <w:rPr>
          <w:rFonts w:ascii="Calibri" w:hAnsi="Calibri"/>
        </w:rPr>
      </w:pPr>
      <w:r>
        <w:rPr>
          <w:rFonts w:ascii="Calibri" w:hAnsi="Calibri"/>
        </w:rPr>
        <w:t xml:space="preserve">Assessment of the cellular cycling appears to indicate that the depletion of </w:t>
      </w:r>
      <w:r w:rsidRPr="004F501D">
        <w:rPr>
          <w:rFonts w:ascii="Calibri" w:hAnsi="Calibri"/>
          <w:i/>
        </w:rPr>
        <w:t>SRCAP</w:t>
      </w:r>
      <w:r>
        <w:rPr>
          <w:rFonts w:ascii="Calibri" w:hAnsi="Calibri"/>
        </w:rPr>
        <w:t xml:space="preserve"> does not increase apoptosis significantly and therefore that the reduced growth rates over time are more likely due to slower cycling in the HCT116 cells, possibly which are accumulating in G1 because of the increase in damage. The same however cannot be said for SW480 cells, as although they have a reduced mitotic fraction by pH3 staining when </w:t>
      </w:r>
      <w:r w:rsidRPr="004F501D">
        <w:rPr>
          <w:rFonts w:ascii="Calibri" w:hAnsi="Calibri"/>
          <w:i/>
        </w:rPr>
        <w:t>SRCAP</w:t>
      </w:r>
      <w:r>
        <w:rPr>
          <w:rFonts w:ascii="Calibri" w:hAnsi="Calibri"/>
        </w:rPr>
        <w:t xml:space="preserve"> is knocked down, there was no dif</w:t>
      </w:r>
      <w:r w:rsidR="00FD6E33">
        <w:rPr>
          <w:rFonts w:ascii="Calibri" w:hAnsi="Calibri"/>
        </w:rPr>
        <w:t>ference in PI profiles at 48 or 72hrs</w:t>
      </w:r>
      <w:r>
        <w:rPr>
          <w:rFonts w:ascii="Calibri" w:hAnsi="Calibri"/>
        </w:rPr>
        <w:t>. This difference in behaviour may be due to TP53 levels.</w:t>
      </w:r>
      <w:r w:rsidRPr="00744428">
        <w:rPr>
          <w:rFonts w:asciiTheme="majorHAnsi" w:hAnsiTheme="majorHAnsi"/>
        </w:rPr>
        <w:t xml:space="preserve"> </w:t>
      </w:r>
      <w:r>
        <w:rPr>
          <w:rFonts w:asciiTheme="majorHAnsi" w:hAnsiTheme="majorHAnsi"/>
        </w:rPr>
        <w:t xml:space="preserve">SW480 cells are deficient in TP53, whereas HCT116 cells have functioning wild-type TP53. </w:t>
      </w:r>
      <w:r w:rsidRPr="004F501D">
        <w:rPr>
          <w:rFonts w:asciiTheme="majorHAnsi" w:hAnsiTheme="majorHAnsi"/>
        </w:rPr>
        <w:t>TP53</w:t>
      </w:r>
      <w:r>
        <w:rPr>
          <w:rFonts w:asciiTheme="majorHAnsi" w:hAnsiTheme="majorHAnsi"/>
        </w:rPr>
        <w:t xml:space="preserve"> is known as the ‘guardian of the genome’ and works as a tumour suppressor to signal for cell cycle arrest at G1/S in order for DNA repair to be carried out, or for apoptosis to occur in the event of very severe DNA damage. Therefore, in the SW480 cells where TP53 is deficient, increased DNA damage would not give rise to a TP53-elicited G1 arrest. </w:t>
      </w:r>
    </w:p>
    <w:p w14:paraId="3D886E8A" w14:textId="77777777" w:rsidR="00E7213F" w:rsidRDefault="00E7213F" w:rsidP="00E7213F">
      <w:pPr>
        <w:spacing w:line="360" w:lineRule="auto"/>
        <w:jc w:val="both"/>
        <w:rPr>
          <w:rFonts w:ascii="Calibri" w:hAnsi="Calibri"/>
        </w:rPr>
      </w:pPr>
    </w:p>
    <w:p w14:paraId="36056745" w14:textId="77777777" w:rsidR="00E7213F" w:rsidRPr="00952BE5" w:rsidRDefault="00E7213F" w:rsidP="00E7213F">
      <w:pPr>
        <w:spacing w:line="360" w:lineRule="auto"/>
        <w:jc w:val="both"/>
        <w:rPr>
          <w:rFonts w:ascii="Calibri" w:hAnsi="Calibri"/>
        </w:rPr>
      </w:pPr>
    </w:p>
    <w:p w14:paraId="08579251" w14:textId="77777777" w:rsidR="00E7213F" w:rsidRPr="00952BE5" w:rsidRDefault="00E7213F" w:rsidP="00E7213F">
      <w:pPr>
        <w:spacing w:line="360" w:lineRule="auto"/>
        <w:jc w:val="both"/>
        <w:rPr>
          <w:rFonts w:ascii="Calibri" w:hAnsi="Calibri"/>
        </w:rPr>
      </w:pPr>
    </w:p>
    <w:p w14:paraId="2294F582" w14:textId="77777777" w:rsidR="00E7213F" w:rsidRDefault="00E7213F" w:rsidP="00E7213F">
      <w:pPr>
        <w:rPr>
          <w:rFonts w:asciiTheme="majorHAnsi" w:hAnsiTheme="majorHAnsi"/>
          <w:sz w:val="28"/>
          <w:szCs w:val="28"/>
          <w:u w:val="single"/>
        </w:rPr>
      </w:pPr>
      <w:r>
        <w:rPr>
          <w:rFonts w:asciiTheme="majorHAnsi" w:hAnsiTheme="majorHAnsi"/>
          <w:sz w:val="28"/>
          <w:szCs w:val="28"/>
          <w:u w:val="single"/>
        </w:rPr>
        <w:br w:type="page"/>
      </w:r>
    </w:p>
    <w:p w14:paraId="479B4C06" w14:textId="7508CCD3" w:rsidR="00E7213F" w:rsidRDefault="00D94E3C" w:rsidP="00E7213F">
      <w:pPr>
        <w:rPr>
          <w:rFonts w:asciiTheme="majorHAnsi" w:hAnsiTheme="majorHAnsi"/>
          <w:sz w:val="28"/>
          <w:szCs w:val="28"/>
          <w:u w:val="single"/>
        </w:rPr>
      </w:pPr>
      <w:r>
        <w:rPr>
          <w:rFonts w:ascii="Calibri" w:hAnsi="Calibri"/>
          <w:noProof/>
          <w:lang w:val="en-US"/>
        </w:rPr>
        <mc:AlternateContent>
          <mc:Choice Requires="wps">
            <w:drawing>
              <wp:anchor distT="0" distB="0" distL="114300" distR="114300" simplePos="0" relativeHeight="251779072" behindDoc="0" locked="0" layoutInCell="1" allowOverlap="1" wp14:anchorId="2E21BD2E" wp14:editId="3094B2B8">
                <wp:simplePos x="0" y="0"/>
                <wp:positionH relativeFrom="column">
                  <wp:posOffset>-114300</wp:posOffset>
                </wp:positionH>
                <wp:positionV relativeFrom="paragraph">
                  <wp:posOffset>5600700</wp:posOffset>
                </wp:positionV>
                <wp:extent cx="5600700" cy="2971800"/>
                <wp:effectExtent l="0" t="0" r="0" b="0"/>
                <wp:wrapSquare wrapText="bothSides"/>
                <wp:docPr id="111" name="Text Box 111"/>
                <wp:cNvGraphicFramePr/>
                <a:graphic xmlns:a="http://schemas.openxmlformats.org/drawingml/2006/main">
                  <a:graphicData uri="http://schemas.microsoft.com/office/word/2010/wordprocessingShape">
                    <wps:wsp>
                      <wps:cNvSpPr txBox="1"/>
                      <wps:spPr>
                        <a:xfrm>
                          <a:off x="0" y="0"/>
                          <a:ext cx="56007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5B5F33" w14:textId="77777777" w:rsidR="00E82D3B" w:rsidRDefault="00E82D3B" w:rsidP="00E7213F">
                            <w:pPr>
                              <w:jc w:val="both"/>
                              <w:rPr>
                                <w:b/>
                                <w:i/>
                                <w:sz w:val="22"/>
                              </w:rPr>
                            </w:pPr>
                            <w:r w:rsidRPr="004F633B">
                              <w:rPr>
                                <w:b/>
                                <w:i/>
                                <w:sz w:val="22"/>
                              </w:rPr>
                              <w:t>Figure 4.14</w:t>
                            </w:r>
                            <w:r>
                              <w:rPr>
                                <w:b/>
                                <w:i/>
                                <w:sz w:val="22"/>
                              </w:rPr>
                              <w:t xml:space="preserve"> </w:t>
                            </w:r>
                            <w:proofErr w:type="gramStart"/>
                            <w:r w:rsidRPr="004F633B">
                              <w:rPr>
                                <w:b/>
                                <w:i/>
                                <w:sz w:val="22"/>
                              </w:rPr>
                              <w:t>The</w:t>
                            </w:r>
                            <w:proofErr w:type="gramEnd"/>
                            <w:r w:rsidRPr="004F633B">
                              <w:rPr>
                                <w:b/>
                                <w:i/>
                                <w:sz w:val="22"/>
                              </w:rPr>
                              <w:t xml:space="preserve"> mitotic fraction of SRC</w:t>
                            </w:r>
                            <w:r>
                              <w:rPr>
                                <w:b/>
                                <w:i/>
                                <w:sz w:val="22"/>
                              </w:rPr>
                              <w:t>AP depleted cells is decreased compared to control cells</w:t>
                            </w:r>
                          </w:p>
                          <w:p w14:paraId="13602F73" w14:textId="77777777" w:rsidR="00E82D3B" w:rsidRDefault="00E82D3B" w:rsidP="00E7213F">
                            <w:pPr>
                              <w:jc w:val="both"/>
                              <w:rPr>
                                <w:i/>
                                <w:sz w:val="22"/>
                              </w:rPr>
                            </w:pPr>
                            <w:r w:rsidRPr="004F633B">
                              <w:rPr>
                                <w:i/>
                                <w:sz w:val="22"/>
                              </w:rPr>
                              <w:t xml:space="preserve"> a.) </w:t>
                            </w:r>
                            <w:r>
                              <w:rPr>
                                <w:i/>
                                <w:sz w:val="22"/>
                              </w:rPr>
                              <w:t xml:space="preserve">Representative dot plot flow cytometry images showing the percentage of pH3 positive cells gated out from the rest of the population in both SW480 and HCT116 cells. </w:t>
                            </w:r>
                          </w:p>
                          <w:p w14:paraId="6C09156F" w14:textId="5D5A54FF" w:rsidR="00E82D3B" w:rsidRPr="004F633B" w:rsidRDefault="00E82D3B" w:rsidP="00E7213F">
                            <w:pPr>
                              <w:jc w:val="both"/>
                              <w:rPr>
                                <w:i/>
                                <w:sz w:val="22"/>
                              </w:rPr>
                            </w:pPr>
                            <w:r>
                              <w:rPr>
                                <w:i/>
                                <w:sz w:val="22"/>
                              </w:rPr>
                              <w:t>b.) SW480 and HCT116 cells were seeded and transfected 24hrs later with si6, si7 or control siRNA then left for 48hrs. Including a nocodozole positive control, nocodozole arrests the cells in mitosis as it prevents formation of metaphase spindles and so activates the spindle assembly checkpoint, it was used at a concentration of 0.2</w:t>
                            </w:r>
                            <w:r>
                              <w:rPr>
                                <w:rFonts w:ascii="Cambria" w:hAnsi="Cambria"/>
                                <w:i/>
                                <w:sz w:val="22"/>
                              </w:rPr>
                              <w:t>μ</w:t>
                            </w:r>
                            <w:r>
                              <w:rPr>
                                <w:i/>
                                <w:sz w:val="22"/>
                              </w:rPr>
                              <w:t>g/ml in the media of the wells for 16hrs. After this time point the cells were stained for pH3 as per the protocol and run on the FACS Calibur. Single cells were gated and the DNA content plotted against pH3 fluorescence. The population of cells extending up from the main population to the right above the G2-M section were gated as pH3 positive. The above graphs show the median and range of three separate experiments and using a Kruskall-Wallis non-parametric test there was an overall significant difference (SW480: p=0.0286, HCT116: p=0.05). Comparing each siRNA with control showed that si6 transfected cells had a significantly lower percentage of mitotic cells than control in both cell lines as shown by the significance stars on the graphs (</w:t>
                            </w:r>
                            <w:r w:rsidRPr="00841AD4">
                              <w:rPr>
                                <w:i/>
                                <w:sz w:val="22"/>
                                <w:lang w:val="en-US"/>
                              </w:rPr>
                              <w:t>*=p≤0.05</w:t>
                            </w:r>
                            <w:r>
                              <w:rPr>
                                <w:i/>
                                <w:sz w:val="22"/>
                                <w:lang w:val="en-US"/>
                              </w:rPr>
                              <w:t>).</w:t>
                            </w:r>
                          </w:p>
                          <w:p w14:paraId="3388282E" w14:textId="77777777" w:rsidR="00E82D3B" w:rsidRDefault="00E82D3B" w:rsidP="00E721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1" o:spid="_x0000_s1134" type="#_x0000_t202" style="position:absolute;margin-left:-8.95pt;margin-top:441pt;width:441pt;height:234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" filled="f" stroked="f">
                <v:textbox>
                  <w:txbxContent>
                    <w:p w14:paraId="735B5F33" w14:textId="77777777" w:rsidR="000A1E0D" w:rsidRDefault="000A1E0D" w:rsidP="00E7213F">
                      <w:pPr>
                        <w:jc w:val="both"/>
                        <w:rPr>
                          <w:b/>
                          <w:i/>
                          <w:sz w:val="22"/>
                        </w:rPr>
                      </w:pPr>
                      <w:r w:rsidRPr="004F633B">
                        <w:rPr>
                          <w:b/>
                          <w:i/>
                          <w:sz w:val="22"/>
                        </w:rPr>
                        <w:t>Figure 4.14</w:t>
                      </w:r>
                      <w:r>
                        <w:rPr>
                          <w:b/>
                          <w:i/>
                          <w:sz w:val="22"/>
                        </w:rPr>
                        <w:t xml:space="preserve"> </w:t>
                      </w:r>
                      <w:proofErr w:type="gramStart"/>
                      <w:r w:rsidRPr="004F633B">
                        <w:rPr>
                          <w:b/>
                          <w:i/>
                          <w:sz w:val="22"/>
                        </w:rPr>
                        <w:t>The</w:t>
                      </w:r>
                      <w:proofErr w:type="gramEnd"/>
                      <w:r w:rsidRPr="004F633B">
                        <w:rPr>
                          <w:b/>
                          <w:i/>
                          <w:sz w:val="22"/>
                        </w:rPr>
                        <w:t xml:space="preserve"> mitotic fraction of SRC</w:t>
                      </w:r>
                      <w:r>
                        <w:rPr>
                          <w:b/>
                          <w:i/>
                          <w:sz w:val="22"/>
                        </w:rPr>
                        <w:t>AP depleted cells is decreased compared to control cells</w:t>
                      </w:r>
                    </w:p>
                    <w:p w14:paraId="13602F73" w14:textId="77777777" w:rsidR="000A1E0D" w:rsidRDefault="000A1E0D" w:rsidP="00E7213F">
                      <w:pPr>
                        <w:jc w:val="both"/>
                        <w:rPr>
                          <w:i/>
                          <w:sz w:val="22"/>
                        </w:rPr>
                      </w:pPr>
                      <w:r w:rsidRPr="004F633B">
                        <w:rPr>
                          <w:i/>
                          <w:sz w:val="22"/>
                        </w:rPr>
                        <w:t xml:space="preserve"> a.) </w:t>
                      </w:r>
                      <w:r>
                        <w:rPr>
                          <w:i/>
                          <w:sz w:val="22"/>
                        </w:rPr>
                        <w:t xml:space="preserve">Representative dot plot flow cytometry images showing the percentage of pH3 positive cells gated out from the rest of the population in both SW480 and HCT116 cells. </w:t>
                      </w:r>
                    </w:p>
                    <w:p w14:paraId="6C09156F" w14:textId="5D5A54FF" w:rsidR="000A1E0D" w:rsidRPr="004F633B" w:rsidRDefault="000A1E0D" w:rsidP="00E7213F">
                      <w:pPr>
                        <w:jc w:val="both"/>
                        <w:rPr>
                          <w:i/>
                          <w:sz w:val="22"/>
                        </w:rPr>
                      </w:pPr>
                      <w:r>
                        <w:rPr>
                          <w:i/>
                          <w:sz w:val="22"/>
                        </w:rPr>
                        <w:t>b.) SW480 and HCT116 cells were seeded and transfected 24hrs later with si6, si7 or control siRNA then left for 48hrs. Including a nocodozole positive control, nocodozole arrests the cells in mitosis as it prevents formation of metaphase spindles and so activates the spindle assembly checkpoint, it was used at a concentration of 0.2</w:t>
                      </w:r>
                      <w:r>
                        <w:rPr>
                          <w:rFonts w:ascii="Cambria" w:hAnsi="Cambria"/>
                          <w:i/>
                          <w:sz w:val="22"/>
                        </w:rPr>
                        <w:t>μ</w:t>
                      </w:r>
                      <w:r>
                        <w:rPr>
                          <w:i/>
                          <w:sz w:val="22"/>
                        </w:rPr>
                        <w:t>g/ml in the media of the wells for 16hrs. After this time point the cells were stained for pH3 as per the protocol and run on the FACS Calibur. Single cells were gated and the DNA content plotted against pH3 fluorescence. The population of cells extending up from the main population to the right above the G2-M section were gated as pH3 positive. The above graphs show the median and range of three separate experiments and using a Kruskall-Wallis non-parametric test there was an overall significant difference (SW480: p=0.0286, HCT116: p=0.05). Comparing each siRNA with control showed that si6 transfected cells had a significantly lower percentage of mitotic cells than control in both cell lines as shown by the significance stars on the graphs (</w:t>
                      </w:r>
                      <w:r w:rsidRPr="00841AD4">
                        <w:rPr>
                          <w:i/>
                          <w:sz w:val="22"/>
                          <w:lang w:val="en-US"/>
                        </w:rPr>
                        <w:t>*=p≤0.05</w:t>
                      </w:r>
                      <w:r>
                        <w:rPr>
                          <w:i/>
                          <w:sz w:val="22"/>
                          <w:lang w:val="en-US"/>
                        </w:rPr>
                        <w:t>).</w:t>
                      </w:r>
                    </w:p>
                    <w:p w14:paraId="3388282E" w14:textId="77777777" w:rsidR="000A1E0D" w:rsidRDefault="000A1E0D" w:rsidP="00E7213F"/>
                  </w:txbxContent>
                </v:textbox>
                <w10:wrap type="square"/>
              </v:shape>
            </w:pict>
          </mc:Fallback>
        </mc:AlternateContent>
      </w:r>
      <w:r w:rsidRPr="00D94E3C">
        <w:rPr>
          <w:rFonts w:asciiTheme="majorHAnsi" w:hAnsiTheme="majorHAnsi"/>
          <w:noProof/>
          <w:sz w:val="28"/>
          <w:szCs w:val="28"/>
          <w:u w:val="single"/>
          <w:lang w:val="en-US"/>
        </w:rPr>
        <w:drawing>
          <wp:anchor distT="0" distB="0" distL="114300" distR="114300" simplePos="0" relativeHeight="252209152" behindDoc="0" locked="0" layoutInCell="1" allowOverlap="1" wp14:anchorId="3D5C38EE" wp14:editId="50737DAE">
            <wp:simplePos x="0" y="0"/>
            <wp:positionH relativeFrom="column">
              <wp:posOffset>342900</wp:posOffset>
            </wp:positionH>
            <wp:positionV relativeFrom="paragraph">
              <wp:posOffset>3657600</wp:posOffset>
            </wp:positionV>
            <wp:extent cx="4914900" cy="1772285"/>
            <wp:effectExtent l="0" t="0" r="12700" b="5715"/>
            <wp:wrapSquare wrapText="bothSides"/>
            <wp:docPr id="2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14900" cy="1772285"/>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rFonts w:asciiTheme="majorHAnsi" w:hAnsiTheme="majorHAnsi"/>
          <w:noProof/>
          <w:sz w:val="28"/>
          <w:szCs w:val="28"/>
          <w:u w:val="single"/>
          <w:lang w:val="en-US"/>
        </w:rPr>
        <w:drawing>
          <wp:anchor distT="0" distB="0" distL="114300" distR="114300" simplePos="0" relativeHeight="251795456" behindDoc="0" locked="0" layoutInCell="1" allowOverlap="1" wp14:anchorId="2B2C6A65" wp14:editId="6DA6BC5A">
            <wp:simplePos x="0" y="0"/>
            <wp:positionH relativeFrom="column">
              <wp:posOffset>114300</wp:posOffset>
            </wp:positionH>
            <wp:positionV relativeFrom="paragraph">
              <wp:posOffset>114300</wp:posOffset>
            </wp:positionV>
            <wp:extent cx="5109845" cy="3429000"/>
            <wp:effectExtent l="0" t="0" r="0" b="0"/>
            <wp:wrapSquare wrapText="bothSides"/>
            <wp:docPr id="115" name="Picture 115" descr="Macintosh HD:Users:ClairFellows:Desktop:Screen Shot 2017-09-20 at 15.5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irFellows:Desktop:Screen Shot 2017-09-20 at 15.56.06.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0984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13F">
        <w:rPr>
          <w:rFonts w:asciiTheme="majorHAnsi" w:hAnsiTheme="majorHAnsi"/>
          <w:noProof/>
          <w:sz w:val="28"/>
          <w:szCs w:val="28"/>
          <w:u w:val="single"/>
          <w:lang w:val="en-US"/>
        </w:rPr>
        <mc:AlternateContent>
          <mc:Choice Requires="wps">
            <w:drawing>
              <wp:anchor distT="0" distB="0" distL="114300" distR="114300" simplePos="0" relativeHeight="251797504" behindDoc="0" locked="0" layoutInCell="1" allowOverlap="1" wp14:anchorId="013278CC" wp14:editId="0850EA54">
                <wp:simplePos x="0" y="0"/>
                <wp:positionH relativeFrom="column">
                  <wp:posOffset>-114300</wp:posOffset>
                </wp:positionH>
                <wp:positionV relativeFrom="paragraph">
                  <wp:posOffset>3543300</wp:posOffset>
                </wp:positionV>
                <wp:extent cx="685800" cy="457200"/>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7A3312" w14:textId="77777777" w:rsidR="00E82D3B" w:rsidRPr="00F55D84" w:rsidRDefault="00E82D3B" w:rsidP="00E7213F">
                            <w:pPr>
                              <w:rPr>
                                <w:b/>
                              </w:rPr>
                            </w:pPr>
                            <w:proofErr w:type="gramStart"/>
                            <w:r>
                              <w:rPr>
                                <w:b/>
                              </w:rPr>
                              <w:t>b</w:t>
                            </w:r>
                            <w:proofErr w:type="gramEnd"/>
                            <w:r w:rsidRPr="00F55D84">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2" o:spid="_x0000_s1135" type="#_x0000_t202" style="position:absolute;margin-left:-8.95pt;margin-top:279pt;width:54pt;height:36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" filled="f" stroked="f">
                <v:textbox>
                  <w:txbxContent>
                    <w:p w14:paraId="097A3312" w14:textId="77777777" w:rsidR="000A1E0D" w:rsidRPr="00F55D84" w:rsidRDefault="000A1E0D" w:rsidP="00E7213F">
                      <w:pPr>
                        <w:rPr>
                          <w:b/>
                        </w:rPr>
                      </w:pPr>
                      <w:proofErr w:type="gramStart"/>
                      <w:r>
                        <w:rPr>
                          <w:b/>
                        </w:rPr>
                        <w:t>b</w:t>
                      </w:r>
                      <w:proofErr w:type="gramEnd"/>
                      <w:r w:rsidRPr="00F55D84">
                        <w:rPr>
                          <w:b/>
                        </w:rPr>
                        <w:t>.)</w:t>
                      </w:r>
                    </w:p>
                  </w:txbxContent>
                </v:textbox>
                <w10:wrap type="square"/>
              </v:shape>
            </w:pict>
          </mc:Fallback>
        </mc:AlternateContent>
      </w:r>
      <w:r w:rsidR="00E7213F">
        <w:rPr>
          <w:rFonts w:asciiTheme="majorHAnsi" w:hAnsiTheme="majorHAnsi"/>
          <w:noProof/>
          <w:sz w:val="28"/>
          <w:szCs w:val="28"/>
          <w:u w:val="single"/>
          <w:lang w:val="en-US"/>
        </w:rPr>
        <mc:AlternateContent>
          <mc:Choice Requires="wps">
            <w:drawing>
              <wp:anchor distT="0" distB="0" distL="114300" distR="114300" simplePos="0" relativeHeight="251796480" behindDoc="0" locked="0" layoutInCell="1" allowOverlap="1" wp14:anchorId="233A3F2F" wp14:editId="0C96A291">
                <wp:simplePos x="0" y="0"/>
                <wp:positionH relativeFrom="column">
                  <wp:posOffset>-114300</wp:posOffset>
                </wp:positionH>
                <wp:positionV relativeFrom="paragraph">
                  <wp:posOffset>0</wp:posOffset>
                </wp:positionV>
                <wp:extent cx="685800" cy="457200"/>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060285" w14:textId="77777777" w:rsidR="00E82D3B" w:rsidRPr="00F55D84" w:rsidRDefault="00E82D3B" w:rsidP="00E7213F">
                            <w:pPr>
                              <w:rPr>
                                <w:b/>
                              </w:rPr>
                            </w:pPr>
                            <w:proofErr w:type="gramStart"/>
                            <w:r w:rsidRPr="00F55D84">
                              <w:rPr>
                                <w:b/>
                              </w:rPr>
                              <w:t>a</w:t>
                            </w:r>
                            <w:proofErr w:type="gramEnd"/>
                            <w:r w:rsidRPr="00F55D84">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1" o:spid="_x0000_s1136" type="#_x0000_t202" style="position:absolute;margin-left:-8.95pt;margin-top:0;width:54pt;height:36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" filled="f" stroked="f">
                <v:textbox>
                  <w:txbxContent>
                    <w:p w14:paraId="30060285" w14:textId="77777777" w:rsidR="000A1E0D" w:rsidRPr="00F55D84" w:rsidRDefault="000A1E0D" w:rsidP="00E7213F">
                      <w:pPr>
                        <w:rPr>
                          <w:b/>
                        </w:rPr>
                      </w:pPr>
                      <w:proofErr w:type="gramStart"/>
                      <w:r w:rsidRPr="00F55D84">
                        <w:rPr>
                          <w:b/>
                        </w:rPr>
                        <w:t>a</w:t>
                      </w:r>
                      <w:proofErr w:type="gramEnd"/>
                      <w:r w:rsidRPr="00F55D84">
                        <w:rPr>
                          <w:b/>
                        </w:rPr>
                        <w:t>.)</w:t>
                      </w:r>
                    </w:p>
                  </w:txbxContent>
                </v:textbox>
                <w10:wrap type="square"/>
              </v:shape>
            </w:pict>
          </mc:Fallback>
        </mc:AlternateContent>
      </w:r>
      <w:r w:rsidR="00E7213F">
        <w:rPr>
          <w:rFonts w:asciiTheme="majorHAnsi" w:hAnsiTheme="majorHAnsi"/>
          <w:sz w:val="28"/>
          <w:szCs w:val="28"/>
          <w:u w:val="single"/>
        </w:rPr>
        <w:br w:type="page"/>
      </w:r>
    </w:p>
    <w:p w14:paraId="2BC06D2E" w14:textId="7E470EB1" w:rsidR="00E7213F" w:rsidRDefault="00E7213F" w:rsidP="00E7213F">
      <w:pPr>
        <w:spacing w:line="360" w:lineRule="auto"/>
        <w:jc w:val="both"/>
        <w:rPr>
          <w:rFonts w:asciiTheme="majorHAnsi" w:hAnsiTheme="majorHAnsi"/>
          <w:sz w:val="28"/>
          <w:szCs w:val="28"/>
          <w:u w:val="single"/>
        </w:rPr>
      </w:pPr>
      <w:r w:rsidRPr="00E46CE5">
        <w:rPr>
          <w:rFonts w:asciiTheme="majorHAnsi" w:hAnsiTheme="majorHAnsi"/>
          <w:sz w:val="28"/>
          <w:szCs w:val="28"/>
          <w:u w:val="single"/>
        </w:rPr>
        <w:t xml:space="preserve">4.6 Combining </w:t>
      </w:r>
      <w:r w:rsidRPr="004F501D">
        <w:rPr>
          <w:rFonts w:asciiTheme="majorHAnsi" w:hAnsiTheme="majorHAnsi"/>
          <w:i/>
          <w:sz w:val="28"/>
          <w:szCs w:val="28"/>
          <w:u w:val="single"/>
        </w:rPr>
        <w:t>SRCAP</w:t>
      </w:r>
      <w:r w:rsidRPr="00E46CE5">
        <w:rPr>
          <w:rFonts w:asciiTheme="majorHAnsi" w:hAnsiTheme="majorHAnsi"/>
          <w:sz w:val="28"/>
          <w:szCs w:val="28"/>
          <w:u w:val="single"/>
        </w:rPr>
        <w:t xml:space="preserve"> Knockdown with Clinical Treatments </w:t>
      </w:r>
    </w:p>
    <w:p w14:paraId="10293FE0" w14:textId="77777777" w:rsidR="00E7213F" w:rsidRDefault="00E7213F" w:rsidP="00E7213F">
      <w:pPr>
        <w:spacing w:line="360" w:lineRule="auto"/>
        <w:jc w:val="both"/>
        <w:rPr>
          <w:rFonts w:asciiTheme="majorHAnsi" w:hAnsiTheme="majorHAnsi"/>
          <w:sz w:val="28"/>
          <w:szCs w:val="28"/>
          <w:u w:val="single"/>
        </w:rPr>
      </w:pPr>
    </w:p>
    <w:p w14:paraId="198436C4" w14:textId="64EFC20E" w:rsidR="00E7213F" w:rsidRDefault="00E7213F" w:rsidP="00E7213F">
      <w:pPr>
        <w:spacing w:line="360" w:lineRule="auto"/>
        <w:jc w:val="both"/>
        <w:rPr>
          <w:rFonts w:asciiTheme="majorHAnsi" w:hAnsiTheme="majorHAnsi"/>
          <w:szCs w:val="28"/>
        </w:rPr>
      </w:pPr>
      <w:r>
        <w:rPr>
          <w:rFonts w:asciiTheme="majorHAnsi" w:hAnsiTheme="majorHAnsi"/>
          <w:szCs w:val="28"/>
        </w:rPr>
        <w:t>Ha</w:t>
      </w:r>
      <w:r w:rsidR="002E39A4">
        <w:rPr>
          <w:rFonts w:asciiTheme="majorHAnsi" w:hAnsiTheme="majorHAnsi"/>
          <w:szCs w:val="28"/>
        </w:rPr>
        <w:t>ving established that the knock</w:t>
      </w:r>
      <w:r>
        <w:rPr>
          <w:rFonts w:asciiTheme="majorHAnsi" w:hAnsiTheme="majorHAnsi"/>
          <w:szCs w:val="28"/>
        </w:rPr>
        <w:t xml:space="preserve">down of </w:t>
      </w:r>
      <w:r w:rsidRPr="004F501D">
        <w:rPr>
          <w:rFonts w:asciiTheme="majorHAnsi" w:hAnsiTheme="majorHAnsi"/>
          <w:i/>
          <w:szCs w:val="28"/>
        </w:rPr>
        <w:t>SRCAP</w:t>
      </w:r>
      <w:r>
        <w:rPr>
          <w:rFonts w:asciiTheme="majorHAnsi" w:hAnsiTheme="majorHAnsi"/>
          <w:szCs w:val="28"/>
        </w:rPr>
        <w:t xml:space="preserve"> resulted in an increased genomic instability phenotype and reduced cell proliferation, the CRC cell lines were subjected to therapeutics commonly used in the treatment of CRC, in order to see whether a combination of </w:t>
      </w:r>
      <w:r w:rsidR="00084555">
        <w:rPr>
          <w:rFonts w:asciiTheme="majorHAnsi" w:hAnsiTheme="majorHAnsi"/>
          <w:szCs w:val="28"/>
        </w:rPr>
        <w:t xml:space="preserve">therapeutic </w:t>
      </w:r>
      <w:r>
        <w:rPr>
          <w:rFonts w:asciiTheme="majorHAnsi" w:hAnsiTheme="majorHAnsi"/>
          <w:szCs w:val="28"/>
        </w:rPr>
        <w:t xml:space="preserve">drug plus </w:t>
      </w:r>
      <w:r w:rsidRPr="004F501D">
        <w:rPr>
          <w:rFonts w:asciiTheme="majorHAnsi" w:hAnsiTheme="majorHAnsi"/>
          <w:i/>
          <w:szCs w:val="28"/>
        </w:rPr>
        <w:t>SRCAP</w:t>
      </w:r>
      <w:r>
        <w:rPr>
          <w:rFonts w:asciiTheme="majorHAnsi" w:hAnsiTheme="majorHAnsi"/>
          <w:szCs w:val="28"/>
        </w:rPr>
        <w:t xml:space="preserve"> depletion could reduce cellular survival compared to when drug alone was used. </w:t>
      </w:r>
    </w:p>
    <w:p w14:paraId="0035AE23" w14:textId="77777777" w:rsidR="00E7213F" w:rsidRPr="00903264" w:rsidRDefault="00E7213F" w:rsidP="00E7213F">
      <w:pPr>
        <w:spacing w:line="360" w:lineRule="auto"/>
        <w:jc w:val="both"/>
        <w:rPr>
          <w:rFonts w:asciiTheme="majorHAnsi" w:hAnsiTheme="majorHAnsi"/>
          <w:szCs w:val="28"/>
        </w:rPr>
      </w:pPr>
    </w:p>
    <w:p w14:paraId="26661948" w14:textId="77777777" w:rsidR="00E7213F" w:rsidRDefault="00E7213F" w:rsidP="00E6223C">
      <w:pPr>
        <w:pStyle w:val="ListParagraph"/>
        <w:numPr>
          <w:ilvl w:val="0"/>
          <w:numId w:val="3"/>
        </w:numPr>
        <w:spacing w:line="360" w:lineRule="auto"/>
        <w:jc w:val="both"/>
        <w:rPr>
          <w:rFonts w:asciiTheme="majorHAnsi" w:hAnsiTheme="majorHAnsi"/>
          <w:b/>
          <w:i/>
        </w:rPr>
      </w:pPr>
      <w:r>
        <w:rPr>
          <w:rFonts w:asciiTheme="majorHAnsi" w:hAnsiTheme="majorHAnsi"/>
          <w:b/>
          <w:i/>
        </w:rPr>
        <w:t>5-Fluorouracil</w:t>
      </w:r>
    </w:p>
    <w:p w14:paraId="06278229" w14:textId="6B50E114" w:rsidR="007F7907" w:rsidRDefault="00E7213F" w:rsidP="007F7907">
      <w:pPr>
        <w:pStyle w:val="NoSpacing"/>
        <w:spacing w:line="360" w:lineRule="auto"/>
        <w:jc w:val="both"/>
        <w:rPr>
          <w:rFonts w:asciiTheme="majorHAnsi" w:hAnsiTheme="majorHAnsi"/>
        </w:rPr>
      </w:pPr>
      <w:r w:rsidRPr="00846628">
        <w:rPr>
          <w:rFonts w:asciiTheme="majorHAnsi" w:hAnsiTheme="majorHAnsi"/>
        </w:rPr>
        <w:t xml:space="preserve"> </w:t>
      </w:r>
      <w:r w:rsidR="009931EF">
        <w:rPr>
          <w:rFonts w:asciiTheme="majorHAnsi" w:hAnsiTheme="majorHAnsi"/>
        </w:rPr>
        <w:t>As mentioned in the introduction, 5-FU is one of the most common chemotherapy treatments in cancer, and especially CRC. 5-FU functions as an anti-metabolite to block the action of thymidylate syntha</w:t>
      </w:r>
      <w:r w:rsidR="00146EF5">
        <w:rPr>
          <w:rFonts w:asciiTheme="majorHAnsi" w:hAnsiTheme="majorHAnsi"/>
        </w:rPr>
        <w:t>se and therefore either create</w:t>
      </w:r>
      <w:r w:rsidR="009931EF">
        <w:rPr>
          <w:rFonts w:asciiTheme="majorHAnsi" w:hAnsiTheme="majorHAnsi"/>
        </w:rPr>
        <w:t xml:space="preserve"> a dNTP pool imbalance or by its metabolites incorporating into RNA thereby disrupting synthesis and repair of the genome</w:t>
      </w:r>
      <w:r w:rsidR="00146EF5">
        <w:rPr>
          <w:rFonts w:asciiTheme="majorHAnsi" w:hAnsiTheme="majorHAnsi"/>
        </w:rPr>
        <w:t xml:space="preserve"> </w:t>
      </w:r>
      <w:r w:rsidR="00146EF5">
        <w:rPr>
          <w:rFonts w:asciiTheme="majorHAnsi" w:hAnsiTheme="majorHAnsi"/>
        </w:rPr>
        <w:fldChar w:fldCharType="begin"/>
      </w:r>
      <w:r w:rsidR="00146EF5">
        <w:rPr>
          <w:rFonts w:asciiTheme="majorHAnsi" w:hAnsiTheme="majorHAnsi"/>
        </w:rPr>
        <w:instrText xml:space="preserve"> ADDIN EN.CITE &lt;EndNote&gt;&lt;Cite&gt;&lt;Author&gt;Longley&lt;/Author&gt;&lt;Year&gt;2003&lt;/Year&gt;&lt;IDText&gt;5-fluorouracil: mechanisms of action and clinical strategies&lt;/IDText&gt;&lt;DisplayText&gt;(Longley et al., 2003)&lt;/DisplayText&gt;&lt;record&gt;&lt;dates&gt;&lt;pub-dates&gt;&lt;date&gt;May&lt;/date&gt;&lt;/pub-dates&gt;&lt;year&gt;2003&lt;/year&gt;&lt;/dates&gt;&lt;keywords&gt;&lt;keyword&gt;Animals&lt;/keyword&gt;&lt;keyword&gt;Antimetabolites, Antineoplastic&lt;/keyword&gt;&lt;keyword&gt;Biomarkers&lt;/keyword&gt;&lt;keyword&gt;Dihydrouracil Dehydrogenase (NADP)&lt;/keyword&gt;&lt;keyword&gt;Fluorouracil&lt;/keyword&gt;&lt;keyword&gt;Humans&lt;/keyword&gt;&lt;keyword&gt;Interferons&lt;/keyword&gt;&lt;keyword&gt;Microsatellite Repeats&lt;/keyword&gt;&lt;keyword&gt;Oligonucleotide Array Sequence Analysis&lt;/keyword&gt;&lt;keyword&gt;Oxidoreductases&lt;/keyword&gt;&lt;keyword&gt;RNA&lt;/keyword&gt;&lt;keyword&gt;Thymidine Phosphorylase&lt;/keyword&gt;&lt;keyword&gt;Thymidylate Synthase&lt;/keyword&gt;&lt;keyword&gt;Tumor Suppressor Protein p53&lt;/keyword&gt;&lt;/keywords&gt;&lt;urls&gt;&lt;related-urls&gt;&lt;url&gt;https://www.ncbi.nlm.nih.gov/pubmed/12724731&lt;/url&gt;&lt;/related-urls&gt;&lt;/urls&gt;&lt;isbn&gt;1474-175X&lt;/isbn&gt;&lt;titles&gt;&lt;title&gt;5-fluorouracil: mechanisms of action and clinical strategies&lt;/title&gt;&lt;secondary-title&gt;Nat Rev Cancer&lt;/secondary-title&gt;&lt;/titles&gt;&lt;pages&gt;330-8&lt;/pages&gt;&lt;number&gt;5&lt;/number&gt;&lt;contributors&gt;&lt;authors&gt;&lt;author&gt;Longley, D. B.&lt;/author&gt;&lt;author&gt;Harkin, D. P.&lt;/author&gt;&lt;author&gt;Johnston, P. G.&lt;/author&gt;&lt;/authors&gt;&lt;/contributors&gt;&lt;language&gt;eng&lt;/language&gt;&lt;added-date format="utc"&gt;1485523629&lt;/added-date&gt;&lt;ref-type name="Journal Article"&gt;17&lt;/ref-type&gt;&lt;rec-number&gt;183&lt;/rec-number&gt;&lt;last-updated-date format="utc"&gt;1485523629&lt;/last-updated-date&gt;&lt;accession-num&gt;12724731&lt;/accession-num&gt;&lt;electronic-resource-num&gt;10.1038/nrc1074&lt;/electronic-resource-num&gt;&lt;volume&gt;3&lt;/volume&gt;&lt;/record&gt;&lt;/Cite&gt;&lt;/EndNote&gt;</w:instrText>
      </w:r>
      <w:r w:rsidR="00146EF5">
        <w:rPr>
          <w:rFonts w:asciiTheme="majorHAnsi" w:hAnsiTheme="majorHAnsi"/>
        </w:rPr>
        <w:fldChar w:fldCharType="separate"/>
      </w:r>
      <w:r w:rsidR="00146EF5">
        <w:rPr>
          <w:rFonts w:asciiTheme="majorHAnsi" w:hAnsiTheme="majorHAnsi"/>
          <w:noProof/>
        </w:rPr>
        <w:t>(Longley et al., 2003)</w:t>
      </w:r>
      <w:r w:rsidR="00146EF5">
        <w:rPr>
          <w:rFonts w:asciiTheme="majorHAnsi" w:hAnsiTheme="majorHAnsi"/>
        </w:rPr>
        <w:fldChar w:fldCharType="end"/>
      </w:r>
      <w:r w:rsidR="009931EF">
        <w:rPr>
          <w:rFonts w:asciiTheme="majorHAnsi" w:hAnsiTheme="majorHAnsi"/>
        </w:rPr>
        <w:t xml:space="preserve">. </w:t>
      </w:r>
      <w:r w:rsidR="007F7907">
        <w:rPr>
          <w:rFonts w:asciiTheme="majorHAnsi" w:hAnsiTheme="majorHAnsi"/>
        </w:rPr>
        <w:t>However, d</w:t>
      </w:r>
      <w:r w:rsidR="007F7907" w:rsidRPr="00846628">
        <w:rPr>
          <w:rFonts w:asciiTheme="majorHAnsi" w:hAnsiTheme="majorHAnsi"/>
        </w:rPr>
        <w:t>ue to low response rates and high resistance, other pathways of 5-FU cytotoxicity need to be explored. In 2015</w:t>
      </w:r>
      <w:r w:rsidR="007F7907">
        <w:rPr>
          <w:rFonts w:asciiTheme="majorHAnsi" w:hAnsiTheme="majorHAnsi"/>
        </w:rPr>
        <w:t xml:space="preserve"> </w:t>
      </w:r>
      <w:proofErr w:type="spellStart"/>
      <w:r w:rsidR="007F7907" w:rsidRPr="00846628">
        <w:rPr>
          <w:rFonts w:asciiTheme="majorHAnsi" w:hAnsiTheme="majorHAnsi"/>
        </w:rPr>
        <w:t>Mojardin</w:t>
      </w:r>
      <w:proofErr w:type="spellEnd"/>
      <w:r w:rsidR="007F7907" w:rsidRPr="00846628">
        <w:rPr>
          <w:rFonts w:asciiTheme="majorHAnsi" w:hAnsiTheme="majorHAnsi"/>
        </w:rPr>
        <w:t xml:space="preserve"> et al. used a yeast genome wide screen to look at whether the knockdown of any genes within the library lend themselves to increasing the sensitivity of 5-FU. Interestingly they found that knockdown of genes involved in the chromosome segregation and </w:t>
      </w:r>
      <w:proofErr w:type="spellStart"/>
      <w:r w:rsidR="007F7907" w:rsidRPr="00846628">
        <w:rPr>
          <w:rFonts w:asciiTheme="majorHAnsi" w:hAnsiTheme="majorHAnsi"/>
        </w:rPr>
        <w:t>organisation</w:t>
      </w:r>
      <w:proofErr w:type="spellEnd"/>
      <w:r w:rsidR="007F7907" w:rsidRPr="00846628">
        <w:rPr>
          <w:rFonts w:asciiTheme="majorHAnsi" w:hAnsiTheme="majorHAnsi"/>
        </w:rPr>
        <w:t xml:space="preserve"> pathway conferred sensitivity to 5-FU. Following bioinformatics to obtain a protein interaction network the group found a significant enrichment in components of the histone modification family. This included yeast muta</w:t>
      </w:r>
      <w:r w:rsidR="007F7907">
        <w:rPr>
          <w:rFonts w:asciiTheme="majorHAnsi" w:hAnsiTheme="majorHAnsi"/>
        </w:rPr>
        <w:t xml:space="preserve">nts with deletions in helicase </w:t>
      </w:r>
      <w:r w:rsidR="007F7907" w:rsidRPr="009E0334">
        <w:rPr>
          <w:rFonts w:asciiTheme="majorHAnsi" w:hAnsiTheme="majorHAnsi"/>
          <w:i/>
        </w:rPr>
        <w:t>Swr1</w:t>
      </w:r>
      <w:r w:rsidR="007F7907" w:rsidRPr="00846628">
        <w:rPr>
          <w:rFonts w:asciiTheme="majorHAnsi" w:hAnsiTheme="majorHAnsi"/>
        </w:rPr>
        <w:t xml:space="preserve">, </w:t>
      </w:r>
      <w:r w:rsidR="007F7907">
        <w:rPr>
          <w:rFonts w:asciiTheme="majorHAnsi" w:hAnsiTheme="majorHAnsi"/>
        </w:rPr>
        <w:t xml:space="preserve">of </w:t>
      </w:r>
      <w:r w:rsidR="007F7907" w:rsidRPr="00846628">
        <w:rPr>
          <w:rFonts w:asciiTheme="majorHAnsi" w:hAnsiTheme="majorHAnsi"/>
        </w:rPr>
        <w:t xml:space="preserve">which </w:t>
      </w:r>
      <w:r w:rsidR="007F7907" w:rsidRPr="009E0334">
        <w:rPr>
          <w:rFonts w:asciiTheme="majorHAnsi" w:hAnsiTheme="majorHAnsi"/>
          <w:i/>
        </w:rPr>
        <w:t>SRCAP</w:t>
      </w:r>
      <w:r w:rsidR="007F7907">
        <w:rPr>
          <w:rFonts w:asciiTheme="majorHAnsi" w:hAnsiTheme="majorHAnsi"/>
        </w:rPr>
        <w:t xml:space="preserve"> is the human ortholog.</w:t>
      </w:r>
      <w:r w:rsidR="007F7907" w:rsidRPr="00846628">
        <w:rPr>
          <w:rFonts w:asciiTheme="majorHAnsi" w:hAnsiTheme="majorHAnsi"/>
        </w:rPr>
        <w:t xml:space="preserve"> Therefore</w:t>
      </w:r>
      <w:r w:rsidR="007F7907">
        <w:rPr>
          <w:rFonts w:asciiTheme="majorHAnsi" w:hAnsiTheme="majorHAnsi"/>
        </w:rPr>
        <w:t>,</w:t>
      </w:r>
      <w:r w:rsidR="007F7907" w:rsidRPr="00846628">
        <w:rPr>
          <w:rFonts w:asciiTheme="majorHAnsi" w:hAnsiTheme="majorHAnsi"/>
        </w:rPr>
        <w:t xml:space="preserve"> this work suggests that combination therapy of 5-FU and agents that target chromatin remodeling might result in higher response rates. In fact, a previous paper </w:t>
      </w:r>
      <w:r w:rsidR="007F7907">
        <w:rPr>
          <w:rFonts w:asciiTheme="majorHAnsi" w:hAnsiTheme="majorHAnsi"/>
        </w:rPr>
        <w:fldChar w:fldCharType="begin">
          <w:fldData xml:space="preserve">PEVuZE5vdGU+PENpdGU+PEF1dGhvcj5MZWU8L0F1dGhvcj48WWVhcj4yMDA2PC9ZZWFyPjxJRFRl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</w:fldData>
        </w:fldChar>
      </w:r>
      <w:r w:rsidR="007F7907">
        <w:rPr>
          <w:rFonts w:asciiTheme="majorHAnsi" w:hAnsiTheme="majorHAnsi"/>
        </w:rPr>
        <w:instrText xml:space="preserve"> ADDIN EN.CITE </w:instrText>
      </w:r>
      <w:r w:rsidR="007F7907">
        <w:rPr>
          <w:rFonts w:asciiTheme="majorHAnsi" w:hAnsiTheme="majorHAnsi"/>
        </w:rPr>
        <w:fldChar w:fldCharType="begin">
          <w:fldData xml:space="preserve">PEVuZE5vdGU+PENpdGU+PEF1dGhvcj5MZWU8L0F1dGhvcj48WWVhcj4yMDA2PC9ZZWFyPjxJRFRl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</w:fldData>
        </w:fldChar>
      </w:r>
      <w:r w:rsidR="007F7907">
        <w:rPr>
          <w:rFonts w:asciiTheme="majorHAnsi" w:hAnsiTheme="majorHAnsi"/>
        </w:rPr>
        <w:instrText xml:space="preserve"> ADDIN EN.CITE.DATA </w:instrText>
      </w:r>
      <w:r w:rsidR="007F7907">
        <w:rPr>
          <w:rFonts w:asciiTheme="majorHAnsi" w:hAnsiTheme="majorHAnsi"/>
        </w:rPr>
      </w:r>
      <w:r w:rsidR="007F7907">
        <w:rPr>
          <w:rFonts w:asciiTheme="majorHAnsi" w:hAnsiTheme="majorHAnsi"/>
        </w:rPr>
        <w:fldChar w:fldCharType="end"/>
      </w:r>
      <w:r w:rsidR="007F7907">
        <w:rPr>
          <w:rFonts w:asciiTheme="majorHAnsi" w:hAnsiTheme="majorHAnsi"/>
        </w:rPr>
      </w:r>
      <w:r w:rsidR="007F7907">
        <w:rPr>
          <w:rFonts w:asciiTheme="majorHAnsi" w:hAnsiTheme="majorHAnsi"/>
        </w:rPr>
        <w:fldChar w:fldCharType="separate"/>
      </w:r>
      <w:r w:rsidR="007F7907">
        <w:rPr>
          <w:rFonts w:asciiTheme="majorHAnsi" w:hAnsiTheme="majorHAnsi"/>
          <w:noProof/>
        </w:rPr>
        <w:t>(Lee et al., 2006)</w:t>
      </w:r>
      <w:r w:rsidR="007F7907">
        <w:rPr>
          <w:rFonts w:asciiTheme="majorHAnsi" w:hAnsiTheme="majorHAnsi"/>
        </w:rPr>
        <w:fldChar w:fldCharType="end"/>
      </w:r>
      <w:r w:rsidR="007F7907">
        <w:rPr>
          <w:rFonts w:asciiTheme="majorHAnsi" w:hAnsiTheme="majorHAnsi"/>
        </w:rPr>
        <w:t xml:space="preserve"> </w:t>
      </w:r>
      <w:r w:rsidR="007F7907" w:rsidRPr="00846628">
        <w:rPr>
          <w:rFonts w:asciiTheme="majorHAnsi" w:hAnsiTheme="majorHAnsi"/>
        </w:rPr>
        <w:t xml:space="preserve">showed that a histone deacetylase inhibitor (Trichostatin A) increases the apoptotic affect of 5-FU when in combination. Interestingly, the mechanism of action behind this was down regulation of TS through acetylation of Hsp90 and recruitment of Hsp70 to the Hsp/TS chaperone complex, thereby </w:t>
      </w:r>
      <w:r w:rsidR="007F7907">
        <w:rPr>
          <w:rFonts w:asciiTheme="majorHAnsi" w:hAnsiTheme="majorHAnsi"/>
        </w:rPr>
        <w:t>flagging</w:t>
      </w:r>
      <w:r w:rsidR="007F7907" w:rsidRPr="00846628">
        <w:rPr>
          <w:rFonts w:asciiTheme="majorHAnsi" w:hAnsiTheme="majorHAnsi"/>
        </w:rPr>
        <w:t xml:space="preserve"> TS for proteasomal degradation. By using an agent that </w:t>
      </w:r>
      <w:r w:rsidR="007F7907">
        <w:rPr>
          <w:rFonts w:asciiTheme="majorHAnsi" w:hAnsiTheme="majorHAnsi"/>
        </w:rPr>
        <w:t>does not</w:t>
      </w:r>
      <w:r w:rsidR="007F7907" w:rsidRPr="00846628">
        <w:rPr>
          <w:rFonts w:asciiTheme="majorHAnsi" w:hAnsiTheme="majorHAnsi"/>
        </w:rPr>
        <w:t xml:space="preserve"> inhibit TS directly it will hopefully avoid the chemoresistance being seen with TS inhibitors, whilst also lowering TS expression </w:t>
      </w:r>
      <w:r w:rsidR="007F7907">
        <w:rPr>
          <w:rFonts w:asciiTheme="majorHAnsi" w:hAnsiTheme="majorHAnsi"/>
        </w:rPr>
        <w:t>in</w:t>
      </w:r>
      <w:r w:rsidR="007F7907" w:rsidRPr="00846628">
        <w:rPr>
          <w:rFonts w:asciiTheme="majorHAnsi" w:hAnsiTheme="majorHAnsi"/>
        </w:rPr>
        <w:t xml:space="preserve"> order to significant</w:t>
      </w:r>
      <w:r w:rsidR="007F7907">
        <w:rPr>
          <w:rFonts w:asciiTheme="majorHAnsi" w:hAnsiTheme="majorHAnsi"/>
        </w:rPr>
        <w:t>ly increase 5-FU response rates</w:t>
      </w:r>
      <w:r w:rsidR="007F7907" w:rsidRPr="00846628">
        <w:rPr>
          <w:rFonts w:asciiTheme="majorHAnsi" w:hAnsiTheme="majorHAnsi"/>
        </w:rPr>
        <w:t xml:space="preserve"> </w:t>
      </w:r>
      <w:r w:rsidR="007F7907" w:rsidRPr="00846628">
        <w:rPr>
          <w:rFonts w:asciiTheme="majorHAnsi" w:hAnsiTheme="majorHAnsi"/>
        </w:rPr>
        <w:fldChar w:fldCharType="begin">
          <w:fldData xml:space="preserve">PEVuZE5vdGU+PENpdGU+PEF1dGhvcj5MZWU8L0F1dGhvcj48WWVhcj4yMDA2PC9ZZWFyPjxJRFRl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</w:fldData>
        </w:fldChar>
      </w:r>
      <w:r w:rsidR="007F7907" w:rsidRPr="00846628">
        <w:rPr>
          <w:rFonts w:asciiTheme="majorHAnsi" w:hAnsiTheme="majorHAnsi"/>
        </w:rPr>
        <w:instrText xml:space="preserve"> ADDIN EN.CITE </w:instrText>
      </w:r>
      <w:r w:rsidR="007F7907" w:rsidRPr="00846628">
        <w:rPr>
          <w:rFonts w:asciiTheme="majorHAnsi" w:hAnsiTheme="majorHAnsi"/>
        </w:rPr>
        <w:fldChar w:fldCharType="begin">
          <w:fldData xml:space="preserve">PEVuZE5vdGU+PENpdGU+PEF1dGhvcj5MZWU8L0F1dGhvcj48WWVhcj4yMDA2PC9ZZWFyPjxJRFRl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</w:fldData>
        </w:fldChar>
      </w:r>
      <w:r w:rsidR="007F7907" w:rsidRPr="00846628">
        <w:rPr>
          <w:rFonts w:asciiTheme="majorHAnsi" w:hAnsiTheme="majorHAnsi"/>
        </w:rPr>
        <w:instrText xml:space="preserve"> ADDIN EN.CITE.DATA </w:instrText>
      </w:r>
      <w:r w:rsidR="007F7907" w:rsidRPr="00846628">
        <w:rPr>
          <w:rFonts w:asciiTheme="majorHAnsi" w:hAnsiTheme="majorHAnsi"/>
        </w:rPr>
      </w:r>
      <w:r w:rsidR="007F7907" w:rsidRPr="00846628">
        <w:rPr>
          <w:rFonts w:asciiTheme="majorHAnsi" w:hAnsiTheme="majorHAnsi"/>
        </w:rPr>
        <w:fldChar w:fldCharType="end"/>
      </w:r>
      <w:r w:rsidR="007F7907" w:rsidRPr="00846628">
        <w:rPr>
          <w:rFonts w:asciiTheme="majorHAnsi" w:hAnsiTheme="majorHAnsi"/>
        </w:rPr>
      </w:r>
      <w:r w:rsidR="007F7907" w:rsidRPr="00846628">
        <w:rPr>
          <w:rFonts w:asciiTheme="majorHAnsi" w:hAnsiTheme="majorHAnsi"/>
        </w:rPr>
        <w:fldChar w:fldCharType="separate"/>
      </w:r>
      <w:r w:rsidR="007F7907" w:rsidRPr="00846628">
        <w:rPr>
          <w:rFonts w:asciiTheme="majorHAnsi" w:hAnsiTheme="majorHAnsi"/>
          <w:noProof/>
        </w:rPr>
        <w:t>(Lee et al., 2006)</w:t>
      </w:r>
      <w:r w:rsidR="007F7907" w:rsidRPr="00846628">
        <w:rPr>
          <w:rFonts w:asciiTheme="majorHAnsi" w:hAnsiTheme="majorHAnsi"/>
        </w:rPr>
        <w:fldChar w:fldCharType="end"/>
      </w:r>
      <w:r w:rsidR="007F7907" w:rsidRPr="00846628">
        <w:rPr>
          <w:rFonts w:asciiTheme="majorHAnsi" w:hAnsiTheme="majorHAnsi"/>
        </w:rPr>
        <w:t xml:space="preserve">. This area of drug development for cancer treatment remains largely unexplored, as it is only in recent years that epigenetic alterations to chromatin architecture have been discovered as potential targets for anticancer drugs </w:t>
      </w:r>
      <w:r w:rsidR="007F7907" w:rsidRPr="00846628">
        <w:rPr>
          <w:rFonts w:asciiTheme="majorHAnsi" w:hAnsiTheme="majorHAnsi"/>
        </w:rPr>
        <w:fldChar w:fldCharType="begin"/>
      </w:r>
      <w:r w:rsidR="007F7907" w:rsidRPr="00846628">
        <w:rPr>
          <w:rFonts w:asciiTheme="majorHAnsi" w:hAnsiTheme="majorHAnsi"/>
        </w:rPr>
        <w:instrText xml:space="preserve"> ADDIN EN.CITE &lt;EndNote&gt;&lt;Cite&gt;&lt;Author&gt;Mojardín&lt;/Author&gt;&lt;Year&gt;2015&lt;/Year&gt;&lt;IDText&gt;Chromosome segregation and organization are targets of 5&amp;apos;-Fluorouracil in eukaryotic cells&lt;/IDText&gt;&lt;DisplayText&gt;(Mojardín et al., 2015)&lt;/DisplayText&gt;&lt;record&gt;&lt;keywords&gt;&lt;keyword&gt;Chromatids&lt;/keyword&gt;&lt;keyword&gt;Chromosome Segregation&lt;/keyword&gt;&lt;keyword&gt;Down-Regulation&lt;/keyword&gt;&lt;keyword&gt;Fluorouracil&lt;/keyword&gt;&lt;keyword&gt;Heterochromatin&lt;/keyword&gt;&lt;keyword&gt;Histones&lt;/keyword&gt;&lt;keyword&gt;Kinetochores&lt;/keyword&gt;&lt;keyword&gt;Methylation&lt;/keyword&gt;&lt;keyword&gt;Schizosaccharomyces&lt;/keyword&gt;&lt;keyword&gt;Schizosaccharomyces pombe Proteins&lt;/keyword&gt;&lt;/keywords&gt;&lt;urls&gt;&lt;related-urls&gt;&lt;url&gt;https://www.ncbi.nlm.nih.gov/pubmed/25483073&lt;/url&gt;&lt;/related-urls&gt;&lt;/urls&gt;&lt;isbn&gt;1551-4005&lt;/isbn&gt;&lt;custom2&gt;PMC4352961&lt;/custom2&gt;&lt;titles&gt;&lt;title&gt;Chromosome segregation and organization are targets of 5&amp;apos;-Fluorouracil in eukaryotic cells&lt;/title&gt;&lt;secondary-title&gt;Cell Cycle&lt;/secondary-title&gt;&lt;/titles&gt;&lt;pages&gt;206-18&lt;/pages&gt;&lt;number&gt;2&lt;/number&gt;&lt;contributors&gt;&lt;authors&gt;&lt;author&gt;Mojardín, L.&lt;/author&gt;&lt;author&gt;Botet, J.&lt;/author&gt;&lt;author&gt;Moreno, S.&lt;/author&gt;&lt;author&gt;Salas, M.&lt;/author&gt;&lt;/authors&gt;&lt;/contributors&gt;&lt;language&gt;eng&lt;/language&gt;&lt;added-date format="utc"&gt;1485429287&lt;/added-date&gt;&lt;ref-type name="Journal Article"&gt;17&lt;/ref-type&gt;&lt;dates&gt;&lt;year&gt;2015&lt;/year&gt;&lt;/dates&gt;&lt;rec-number&gt;180&lt;/rec-number&gt;&lt;last-updated-date format="utc"&gt;1485429287&lt;/last-updated-date&gt;&lt;accession-num&gt;25483073&lt;/accession-num&gt;&lt;electronic-resource-num&gt;10.4161/15384101.2014.974425&lt;/electronic-resource-num&gt;&lt;volume&gt;14&lt;/volume&gt;&lt;/record&gt;&lt;/Cite&gt;&lt;/EndNote&gt;</w:instrText>
      </w:r>
      <w:r w:rsidR="007F7907" w:rsidRPr="00846628">
        <w:rPr>
          <w:rFonts w:asciiTheme="majorHAnsi" w:hAnsiTheme="majorHAnsi"/>
        </w:rPr>
        <w:fldChar w:fldCharType="separate"/>
      </w:r>
      <w:r w:rsidR="007F7907" w:rsidRPr="00846628">
        <w:rPr>
          <w:rFonts w:asciiTheme="majorHAnsi" w:hAnsiTheme="majorHAnsi"/>
          <w:noProof/>
        </w:rPr>
        <w:t>(Mojardín et al., 2015)</w:t>
      </w:r>
      <w:r w:rsidR="007F7907" w:rsidRPr="00846628">
        <w:rPr>
          <w:rFonts w:asciiTheme="majorHAnsi" w:hAnsiTheme="majorHAnsi"/>
        </w:rPr>
        <w:fldChar w:fldCharType="end"/>
      </w:r>
      <w:r w:rsidR="007F7907" w:rsidRPr="00846628">
        <w:rPr>
          <w:rFonts w:asciiTheme="majorHAnsi" w:hAnsiTheme="majorHAnsi"/>
        </w:rPr>
        <w:t>.</w:t>
      </w:r>
    </w:p>
    <w:p w14:paraId="2569ED25" w14:textId="77777777" w:rsidR="00E7213F" w:rsidRDefault="00E7213F" w:rsidP="00E7213F">
      <w:pPr>
        <w:spacing w:line="360" w:lineRule="auto"/>
        <w:jc w:val="both"/>
        <w:rPr>
          <w:rFonts w:asciiTheme="majorHAnsi" w:hAnsiTheme="majorHAnsi"/>
        </w:rPr>
      </w:pPr>
    </w:p>
    <w:p w14:paraId="499DCB3B" w14:textId="3A098841" w:rsidR="00E7213F" w:rsidRDefault="00E7213F" w:rsidP="00146EF5">
      <w:pPr>
        <w:spacing w:line="360" w:lineRule="auto"/>
        <w:jc w:val="both"/>
        <w:rPr>
          <w:rFonts w:asciiTheme="majorHAnsi" w:hAnsiTheme="majorHAnsi"/>
        </w:rPr>
      </w:pPr>
      <w:r>
        <w:rPr>
          <w:rFonts w:asciiTheme="majorHAnsi" w:hAnsiTheme="majorHAnsi"/>
        </w:rPr>
        <w:t xml:space="preserve">SW480 and HCT116 cells were subjected to treatment with differing doses of 5-FU 48hrs after being transfected with </w:t>
      </w:r>
      <w:r w:rsidRPr="009E0334">
        <w:rPr>
          <w:rFonts w:asciiTheme="majorHAnsi" w:hAnsiTheme="majorHAnsi"/>
          <w:i/>
        </w:rPr>
        <w:t>SRCAP</w:t>
      </w:r>
      <w:r>
        <w:rPr>
          <w:rFonts w:asciiTheme="majorHAnsi" w:hAnsiTheme="majorHAnsi"/>
        </w:rPr>
        <w:t xml:space="preserve"> or control</w:t>
      </w:r>
      <w:r w:rsidRPr="00AE68B1">
        <w:rPr>
          <w:rFonts w:asciiTheme="majorHAnsi" w:hAnsiTheme="majorHAnsi"/>
        </w:rPr>
        <w:t xml:space="preserve"> </w:t>
      </w:r>
      <w:r>
        <w:rPr>
          <w:rFonts w:asciiTheme="majorHAnsi" w:hAnsiTheme="majorHAnsi"/>
        </w:rPr>
        <w:t xml:space="preserve">siRNA. Figure 4.15 shows the percentage of cells that survived after 4 days of drug treatment using an MTT assay. HCT116 cells with </w:t>
      </w:r>
      <w:r w:rsidRPr="009E0334">
        <w:rPr>
          <w:rFonts w:asciiTheme="majorHAnsi" w:hAnsiTheme="majorHAnsi"/>
          <w:i/>
        </w:rPr>
        <w:t>SRCAP</w:t>
      </w:r>
      <w:r>
        <w:rPr>
          <w:rFonts w:asciiTheme="majorHAnsi" w:hAnsiTheme="majorHAnsi"/>
        </w:rPr>
        <w:t xml:space="preserve"> knock down were more sensitive to the 5-FU treatment; with between 30-45% cellular survival compared to 70% in the control cells at 5</w:t>
      </w:r>
      <w:r>
        <w:rPr>
          <w:rFonts w:ascii="Calibri" w:hAnsi="Calibri"/>
        </w:rPr>
        <w:t>μ</w:t>
      </w:r>
      <w:r>
        <w:rPr>
          <w:rFonts w:asciiTheme="majorHAnsi" w:hAnsiTheme="majorHAnsi"/>
        </w:rPr>
        <w:t>M 5-FU. However, this only appeared to be true at the lower concentrations; at 25</w:t>
      </w:r>
      <w:r>
        <w:rPr>
          <w:rFonts w:ascii="Calibri" w:hAnsi="Calibri"/>
        </w:rPr>
        <w:t>μ</w:t>
      </w:r>
      <w:r>
        <w:rPr>
          <w:rFonts w:asciiTheme="majorHAnsi" w:hAnsiTheme="majorHAnsi"/>
        </w:rPr>
        <w:t xml:space="preserve">M there was no difference between </w:t>
      </w:r>
      <w:r w:rsidRPr="009E0334">
        <w:rPr>
          <w:rFonts w:asciiTheme="majorHAnsi" w:hAnsiTheme="majorHAnsi"/>
          <w:i/>
        </w:rPr>
        <w:t>SRCAP</w:t>
      </w:r>
      <w:r>
        <w:rPr>
          <w:rFonts w:asciiTheme="majorHAnsi" w:hAnsiTheme="majorHAnsi"/>
        </w:rPr>
        <w:t xml:space="preserve"> depletion or not, possibly due to being at the end of the assay for detectable cytotoxicity (Figure 4.15a). In the SW480 cells there was a much clearer differenc</w:t>
      </w:r>
      <w:r w:rsidR="002E39A4">
        <w:rPr>
          <w:rFonts w:asciiTheme="majorHAnsi" w:hAnsiTheme="majorHAnsi"/>
        </w:rPr>
        <w:t>e between the control and knock</w:t>
      </w:r>
      <w:r>
        <w:rPr>
          <w:rFonts w:asciiTheme="majorHAnsi" w:hAnsiTheme="majorHAnsi"/>
        </w:rPr>
        <w:t xml:space="preserve">down cells, yet this was the opposite of what was seen in HCT116 cells. SW480 cells with </w:t>
      </w:r>
      <w:r w:rsidRPr="009E0334">
        <w:rPr>
          <w:rFonts w:asciiTheme="majorHAnsi" w:hAnsiTheme="majorHAnsi"/>
          <w:i/>
        </w:rPr>
        <w:t>SRCAP</w:t>
      </w:r>
      <w:r w:rsidR="002E39A4">
        <w:rPr>
          <w:rFonts w:asciiTheme="majorHAnsi" w:hAnsiTheme="majorHAnsi"/>
        </w:rPr>
        <w:t xml:space="preserve"> knock</w:t>
      </w:r>
      <w:r>
        <w:rPr>
          <w:rFonts w:asciiTheme="majorHAnsi" w:hAnsiTheme="majorHAnsi"/>
        </w:rPr>
        <w:t xml:space="preserve">down became significantly more resistant to the 5-FU treatment (Figure 4.15b).  Even though they represent both main molecular subtypes of CRC- chromosomally unstable (SW480) and microsatellite unstable (HCT116)- the cell lines also differ in TP53 status, as mentioned previously. Therefore, the same experiments were conducted again but in HCT116 cells which had been engineered to have deficient TP53 (TP53-/- HCT116, a kind gift from the Vogelstein laboratory </w:t>
      </w:r>
      <w:r>
        <w:rPr>
          <w:rFonts w:asciiTheme="majorHAnsi" w:hAnsiTheme="majorHAnsi"/>
        </w:rPr>
        <w:fldChar w:fldCharType="begin"/>
      </w:r>
      <w:r>
        <w:rPr>
          <w:rFonts w:asciiTheme="majorHAnsi" w:hAnsiTheme="majorHAnsi"/>
        </w:rPr>
        <w:instrText xml:space="preserve"> ADDIN EN.CITE &lt;EndNote&gt;&lt;Cite&gt;&lt;Author&gt;Bunz&lt;/Author&gt;&lt;Year&gt;1998&lt;/Year&gt;&lt;IDText&gt;Requirement for p53 and p21 to sustain G2 arrest after DNA damage&lt;/IDText&gt;&lt;DisplayText&gt;(Bunz et al., 1998)&lt;/DisplayText&gt;&lt;record&gt;&lt;dates&gt;&lt;pub-dates&gt;&lt;date&gt;Nov&lt;/date&gt;&lt;/pub-dates&gt;&lt;year&gt;1998&lt;/year&gt;&lt;/dates&gt;&lt;keywords&gt;&lt;keyword&gt;Apoptosis&lt;/keyword&gt;&lt;keyword&gt;CDC2 Protein Kinase&lt;/keyword&gt;&lt;keyword&gt;Cell Line&lt;/keyword&gt;&lt;keyword&gt;Cyclin B&lt;/keyword&gt;&lt;keyword&gt;Cyclin B1&lt;/keyword&gt;&lt;keyword&gt;Cyclin-Dependent Kinase Inhibitor p21&lt;/keyword&gt;&lt;keyword&gt;Cyclins&lt;/keyword&gt;&lt;keyword&gt;DNA&lt;/keyword&gt;&lt;keyword&gt;DNA Damage&lt;/keyword&gt;&lt;keyword&gt;G2 Phase&lt;/keyword&gt;&lt;keyword&gt;Gamma Rays&lt;/keyword&gt;&lt;keyword&gt;Gene Expression Regulation&lt;/keyword&gt;&lt;keyword&gt;Genes, p53&lt;/keyword&gt;&lt;keyword&gt;Humans&lt;/keyword&gt;&lt;keyword&gt;Mitosis&lt;/keyword&gt;&lt;keyword&gt;Mutation&lt;/keyword&gt;&lt;keyword&gt;Nocodazole&lt;/keyword&gt;&lt;keyword&gt;Tumor Cells, Cultured&lt;/keyword&gt;&lt;keyword&gt;Tumor Suppressor Protein p53&lt;/keyword&gt;&lt;/keywords&gt;&lt;urls&gt;&lt;related-urls&gt;&lt;url&gt;https://www.ncbi.nlm.nih.gov/pubmed/9822382&lt;/url&gt;&lt;/related-urls&gt;&lt;/urls&gt;&lt;isbn&gt;0036-8075&lt;/isbn&gt;&lt;titles&gt;&lt;title&gt;Requirement for p53 and p21 to sustain G2 arrest after DNA damage&lt;/title&gt;&lt;secondary-title&gt;Science&lt;/secondary-title&gt;&lt;/titles&gt;&lt;pages&gt;1497-501&lt;/pages&gt;&lt;number&gt;5393&lt;/number&gt;&lt;contributors&gt;&lt;authors&gt;&lt;author&gt;Bunz, F.&lt;/author&gt;&lt;author&gt;Dutriaux, A.&lt;/author&gt;&lt;author&gt;Lengauer, C.&lt;/author&gt;&lt;author&gt;Waldman, T.&lt;/author&gt;&lt;author&gt;Zhou, S.&lt;/author&gt;&lt;author&gt;Brown, J. P.&lt;/author&gt;&lt;author&gt;Sedivy, J. M.&lt;/author&gt;&lt;author&gt;Kinzler, K. W.&lt;/author&gt;&lt;author&gt;Vogelstein, B.&lt;/author&gt;&lt;/authors&gt;&lt;/contributors&gt;&lt;language&gt;eng&lt;/language&gt;&lt;added-date format="utc"&gt;1500296518&lt;/added-date&gt;&lt;ref-type name="Journal Article"&gt;17&lt;/ref-type&gt;&lt;rec-number&gt;199&lt;/rec-number&gt;&lt;last-updated-date format="utc"&gt;1500296518&lt;/last-updated-date&gt;&lt;accession-num&gt;9822382&lt;/accession-num&gt;&lt;volume&gt;282&lt;/volume&gt;&lt;/record&gt;&lt;/Cite&gt;&lt;/EndNote&gt;</w:instrText>
      </w:r>
      <w:r>
        <w:rPr>
          <w:rFonts w:asciiTheme="majorHAnsi" w:hAnsiTheme="majorHAnsi"/>
        </w:rPr>
        <w:fldChar w:fldCharType="separate"/>
      </w:r>
      <w:r>
        <w:rPr>
          <w:rFonts w:asciiTheme="majorHAnsi" w:hAnsiTheme="majorHAnsi"/>
          <w:noProof/>
        </w:rPr>
        <w:t>(Bunz et al., 1998)</w:t>
      </w:r>
      <w:r>
        <w:rPr>
          <w:rFonts w:asciiTheme="majorHAnsi" w:hAnsiTheme="majorHAnsi"/>
        </w:rPr>
        <w:fldChar w:fldCharType="end"/>
      </w:r>
      <w:r>
        <w:rPr>
          <w:rFonts w:asciiTheme="majorHAnsi" w:hAnsiTheme="majorHAnsi"/>
        </w:rPr>
        <w:t xml:space="preserve">). This experiment would be a good indicator of whether </w:t>
      </w:r>
      <w:r w:rsidRPr="009E0334">
        <w:rPr>
          <w:rFonts w:asciiTheme="majorHAnsi" w:hAnsiTheme="majorHAnsi"/>
          <w:i/>
        </w:rPr>
        <w:t>SRCAP</w:t>
      </w:r>
      <w:r w:rsidR="002E39A4">
        <w:rPr>
          <w:rFonts w:asciiTheme="majorHAnsi" w:hAnsiTheme="majorHAnsi"/>
        </w:rPr>
        <w:t xml:space="preserve"> knock</w:t>
      </w:r>
      <w:r>
        <w:rPr>
          <w:rFonts w:asciiTheme="majorHAnsi" w:hAnsiTheme="majorHAnsi"/>
        </w:rPr>
        <w:t xml:space="preserve">down plus chemotherapy is affected by TP53 status. </w:t>
      </w:r>
      <w:r>
        <w:rPr>
          <w:rFonts w:asciiTheme="majorHAnsi" w:hAnsiTheme="majorHAnsi"/>
        </w:rPr>
        <w:br w:type="page"/>
      </w:r>
    </w:p>
    <w:p w14:paraId="79F94185" w14:textId="6A40D089" w:rsidR="003D7599" w:rsidRDefault="006D35F3" w:rsidP="00E7213F">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800576" behindDoc="0" locked="0" layoutInCell="1" allowOverlap="1" wp14:anchorId="7311C617" wp14:editId="66AC9F53">
                <wp:simplePos x="0" y="0"/>
                <wp:positionH relativeFrom="column">
                  <wp:posOffset>0</wp:posOffset>
                </wp:positionH>
                <wp:positionV relativeFrom="paragraph">
                  <wp:posOffset>1943100</wp:posOffset>
                </wp:positionV>
                <wp:extent cx="5486400" cy="2971800"/>
                <wp:effectExtent l="0" t="0" r="0" b="0"/>
                <wp:wrapSquare wrapText="bothSides"/>
                <wp:docPr id="128" name="Text Box 128"/>
                <wp:cNvGraphicFramePr/>
                <a:graphic xmlns:a="http://schemas.openxmlformats.org/drawingml/2006/main">
                  <a:graphicData uri="http://schemas.microsoft.com/office/word/2010/wordprocessingShape">
                    <wps:wsp>
                      <wps:cNvSpPr txBox="1"/>
                      <wps:spPr>
                        <a:xfrm>
                          <a:off x="0" y="0"/>
                          <a:ext cx="54864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9B7F01" w14:textId="29C09C9A" w:rsidR="00E82D3B" w:rsidRDefault="00E82D3B" w:rsidP="00E7213F">
                            <w:pPr>
                              <w:jc w:val="both"/>
                              <w:rPr>
                                <w:b/>
                                <w:i/>
                                <w:sz w:val="22"/>
                              </w:rPr>
                            </w:pPr>
                            <w:r w:rsidRPr="00B53400">
                              <w:rPr>
                                <w:b/>
                                <w:i/>
                                <w:sz w:val="22"/>
                              </w:rPr>
                              <w:t xml:space="preserve">Figure 4.15 5-FU treatment plus SRCAP knockdown </w:t>
                            </w:r>
                            <w:r>
                              <w:rPr>
                                <w:b/>
                                <w:i/>
                                <w:sz w:val="22"/>
                              </w:rPr>
                              <w:t>causes both resistance and sensitisation depending on cell line.</w:t>
                            </w:r>
                          </w:p>
                          <w:p w14:paraId="75644FA2" w14:textId="43162385" w:rsidR="00E82D3B" w:rsidRDefault="00E82D3B" w:rsidP="00E7213F">
                            <w:pPr>
                              <w:jc w:val="both"/>
                              <w:rPr>
                                <w:i/>
                                <w:sz w:val="22"/>
                              </w:rPr>
                            </w:pPr>
                            <w:r w:rsidRPr="00B53400">
                              <w:rPr>
                                <w:i/>
                                <w:sz w:val="22"/>
                              </w:rPr>
                              <w:t>a.)</w:t>
                            </w:r>
                            <w:r>
                              <w:rPr>
                                <w:i/>
                                <w:sz w:val="22"/>
                              </w:rPr>
                              <w:t xml:space="preserve"> 1000 HCT116 cells per well were plated in a 96 well plate, transfected with SRCAP or control siRNA for 48hrs and then different concentrations of 5-FU added for four days. The MTT protocol as outlined in the methods was then followed and surviving fraction calculated, with the graphs showing the mean and standard deviation of five repeats. Using a Kruskall-Wallis non-parametric test there was a statistically significant difference overall at each concentration apart from 25</w:t>
                            </w:r>
                            <w:r>
                              <w:rPr>
                                <w:rFonts w:ascii="Cambria" w:hAnsi="Cambria"/>
                                <w:i/>
                                <w:sz w:val="22"/>
                              </w:rPr>
                              <w:t>μM (2.5-p&lt;0.0001, 5-p&lt;0.0001, 10-p=0.0021, 25-p=0.4226) and comparing the siRNA individually to control</w:t>
                            </w:r>
                            <w:r>
                              <w:rPr>
                                <w:i/>
                                <w:sz w:val="22"/>
                              </w:rPr>
                              <w:t xml:space="preserve"> gave a significant sensitisation when SRCAP was knocked down with both siRNA as shown by the significance stars on the graph (</w:t>
                            </w:r>
                            <w:r w:rsidRPr="00841AD4">
                              <w:rPr>
                                <w:i/>
                                <w:sz w:val="22"/>
                                <w:lang w:val="en-US"/>
                              </w:rPr>
                              <w:t>*=p≤0.05</w:t>
                            </w:r>
                            <w:r>
                              <w:rPr>
                                <w:i/>
                                <w:sz w:val="22"/>
                                <w:lang w:val="en-US"/>
                              </w:rPr>
                              <w:t>, **=p</w:t>
                            </w:r>
                            <w:r w:rsidRPr="00841AD4">
                              <w:rPr>
                                <w:i/>
                                <w:sz w:val="22"/>
                                <w:lang w:val="en-US"/>
                              </w:rPr>
                              <w:t>≤</w:t>
                            </w:r>
                            <w:r>
                              <w:rPr>
                                <w:i/>
                                <w:sz w:val="22"/>
                                <w:lang w:val="en-US"/>
                              </w:rPr>
                              <w:t>0.01, ***=p</w:t>
                            </w:r>
                            <w:r w:rsidRPr="00841AD4">
                              <w:rPr>
                                <w:i/>
                                <w:sz w:val="22"/>
                                <w:lang w:val="en-US"/>
                              </w:rPr>
                              <w:t>≤</w:t>
                            </w:r>
                            <w:r>
                              <w:rPr>
                                <w:i/>
                                <w:sz w:val="22"/>
                                <w:lang w:val="en-US"/>
                              </w:rPr>
                              <w:t>0.001)</w:t>
                            </w:r>
                            <w:r>
                              <w:rPr>
                                <w:i/>
                                <w:sz w:val="22"/>
                              </w:rPr>
                              <w:t xml:space="preserve">. </w:t>
                            </w:r>
                          </w:p>
                          <w:p w14:paraId="244FE6E0" w14:textId="05EF383D" w:rsidR="00E82D3B" w:rsidRPr="00B53400" w:rsidRDefault="00E82D3B" w:rsidP="00E7213F">
                            <w:pPr>
                              <w:jc w:val="both"/>
                              <w:rPr>
                                <w:i/>
                                <w:sz w:val="22"/>
                              </w:rPr>
                            </w:pPr>
                            <w:r>
                              <w:rPr>
                                <w:i/>
                                <w:sz w:val="22"/>
                              </w:rPr>
                              <w:t xml:space="preserve">b.) 1500 SW480 cells per well were plated and the protocol followed as outlined above. Using a Kruskall-Wallis non-parametric test there was a statistically significant difference overall at each concentration </w:t>
                            </w:r>
                            <w:r>
                              <w:rPr>
                                <w:rFonts w:ascii="Cambria" w:hAnsi="Cambria"/>
                                <w:i/>
                                <w:sz w:val="22"/>
                              </w:rPr>
                              <w:t>(2.5-p=0.0135, 5-p=0.0054, 10-p=0.0009, 25-p=0.0014) and comparing the siRNA individually to control</w:t>
                            </w:r>
                            <w:r>
                              <w:rPr>
                                <w:i/>
                                <w:sz w:val="22"/>
                              </w:rPr>
                              <w:t xml:space="preserve"> gave a significant resistance when SRCAP was knocked down with both siRNA as shown by the significance stars on the graph (</w:t>
                            </w:r>
                            <w:r w:rsidRPr="00841AD4">
                              <w:rPr>
                                <w:i/>
                                <w:sz w:val="22"/>
                                <w:lang w:val="en-US"/>
                              </w:rPr>
                              <w:t>*=p≤0.05</w:t>
                            </w:r>
                            <w:r>
                              <w:rPr>
                                <w:i/>
                                <w:sz w:val="22"/>
                                <w:lang w:val="en-US"/>
                              </w:rPr>
                              <w:t>, **=p</w:t>
                            </w:r>
                            <w:r w:rsidRPr="00841AD4">
                              <w:rPr>
                                <w:i/>
                                <w:sz w:val="22"/>
                                <w:lang w:val="en-US"/>
                              </w:rPr>
                              <w:t>≤</w:t>
                            </w:r>
                            <w:r>
                              <w:rPr>
                                <w:i/>
                                <w:sz w:val="22"/>
                                <w:lang w:val="en-US"/>
                              </w:rPr>
                              <w:t>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137" type="#_x0000_t202" style="position:absolute;left:0;text-align:left;margin-left:0;margin-top:153pt;width:6in;height:23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" filled="f" stroked="f">
                <v:textbox>
                  <w:txbxContent>
                    <w:p w14:paraId="719B7F01" w14:textId="29C09C9A" w:rsidR="000A1E0D" w:rsidRDefault="000A1E0D" w:rsidP="00E7213F">
                      <w:pPr>
                        <w:jc w:val="both"/>
                        <w:rPr>
                          <w:b/>
                          <w:i/>
                          <w:sz w:val="22"/>
                        </w:rPr>
                      </w:pPr>
                      <w:r w:rsidRPr="00B53400">
                        <w:rPr>
                          <w:b/>
                          <w:i/>
                          <w:sz w:val="22"/>
                        </w:rPr>
                        <w:t xml:space="preserve">Figure 4.15 5-FU treatment plus SRCAP knockdown </w:t>
                      </w:r>
                      <w:r>
                        <w:rPr>
                          <w:b/>
                          <w:i/>
                          <w:sz w:val="22"/>
                        </w:rPr>
                        <w:t>causes both resistance and sensitisation depending on cell line.</w:t>
                      </w:r>
                    </w:p>
                    <w:p w14:paraId="75644FA2" w14:textId="43162385" w:rsidR="000A1E0D" w:rsidRDefault="000A1E0D" w:rsidP="00E7213F">
                      <w:pPr>
                        <w:jc w:val="both"/>
                        <w:rPr>
                          <w:i/>
                          <w:sz w:val="22"/>
                        </w:rPr>
                      </w:pPr>
                      <w:r w:rsidRPr="00B53400">
                        <w:rPr>
                          <w:i/>
                          <w:sz w:val="22"/>
                        </w:rPr>
                        <w:t>a.)</w:t>
                      </w:r>
                      <w:r>
                        <w:rPr>
                          <w:i/>
                          <w:sz w:val="22"/>
                        </w:rPr>
                        <w:t xml:space="preserve"> 1000 HCT116 cells per well were plated in a 96 well plate, transfected with SRCAP or control siRNA for 48hrs and then different concentrations of 5-FU added for four days. The MTT protocol as outlined in the methods was then followed and surviving fraction calculated, with the graphs showing the mean and standard deviation of five repeats. Using a Kruskall-Wallis non-parametric test there was a statistically significant difference overall at each concentration apart from 25</w:t>
                      </w:r>
                      <w:r>
                        <w:rPr>
                          <w:rFonts w:ascii="Cambria" w:hAnsi="Cambria"/>
                          <w:i/>
                          <w:sz w:val="22"/>
                        </w:rPr>
                        <w:t>μM (2.5-p&lt;0.0001, 5-p&lt;0.0001, 10-p=0.0021, 25-p=0.4226) and comparing the siRNA individually to control</w:t>
                      </w:r>
                      <w:r>
                        <w:rPr>
                          <w:i/>
                          <w:sz w:val="22"/>
                        </w:rPr>
                        <w:t xml:space="preserve"> gave a significant sensitisation when SRCAP was knocked down with both siRNA as shown by the significance stars on the graph (</w:t>
                      </w:r>
                      <w:r w:rsidRPr="00841AD4">
                        <w:rPr>
                          <w:i/>
                          <w:sz w:val="22"/>
                          <w:lang w:val="en-US"/>
                        </w:rPr>
                        <w:t>*=p≤0.05</w:t>
                      </w:r>
                      <w:r>
                        <w:rPr>
                          <w:i/>
                          <w:sz w:val="22"/>
                          <w:lang w:val="en-US"/>
                        </w:rPr>
                        <w:t>, **=p</w:t>
                      </w:r>
                      <w:r w:rsidRPr="00841AD4">
                        <w:rPr>
                          <w:i/>
                          <w:sz w:val="22"/>
                          <w:lang w:val="en-US"/>
                        </w:rPr>
                        <w:t>≤</w:t>
                      </w:r>
                      <w:r>
                        <w:rPr>
                          <w:i/>
                          <w:sz w:val="22"/>
                          <w:lang w:val="en-US"/>
                        </w:rPr>
                        <w:t>0.01, ***=p</w:t>
                      </w:r>
                      <w:r w:rsidRPr="00841AD4">
                        <w:rPr>
                          <w:i/>
                          <w:sz w:val="22"/>
                          <w:lang w:val="en-US"/>
                        </w:rPr>
                        <w:t>≤</w:t>
                      </w:r>
                      <w:r>
                        <w:rPr>
                          <w:i/>
                          <w:sz w:val="22"/>
                          <w:lang w:val="en-US"/>
                        </w:rPr>
                        <w:t>0.001)</w:t>
                      </w:r>
                      <w:r>
                        <w:rPr>
                          <w:i/>
                          <w:sz w:val="22"/>
                        </w:rPr>
                        <w:t xml:space="preserve">. </w:t>
                      </w:r>
                    </w:p>
                    <w:p w14:paraId="244FE6E0" w14:textId="05EF383D" w:rsidR="000A1E0D" w:rsidRPr="00B53400" w:rsidRDefault="000A1E0D" w:rsidP="00E7213F">
                      <w:pPr>
                        <w:jc w:val="both"/>
                        <w:rPr>
                          <w:i/>
                          <w:sz w:val="22"/>
                        </w:rPr>
                      </w:pPr>
                      <w:r>
                        <w:rPr>
                          <w:i/>
                          <w:sz w:val="22"/>
                        </w:rPr>
                        <w:t xml:space="preserve">b.) 1500 SW480 cells per well were plated and the protocol followed as outlined above. Using a Kruskall-Wallis non-parametric test there was a statistically significant difference overall at each concentration </w:t>
                      </w:r>
                      <w:r>
                        <w:rPr>
                          <w:rFonts w:ascii="Cambria" w:hAnsi="Cambria"/>
                          <w:i/>
                          <w:sz w:val="22"/>
                        </w:rPr>
                        <w:t>(2.5-p=0.0135, 5-p=0.0054, 10-p=0.0009, 25-p=0.0014) and comparing the siRNA individually to control</w:t>
                      </w:r>
                      <w:r>
                        <w:rPr>
                          <w:i/>
                          <w:sz w:val="22"/>
                        </w:rPr>
                        <w:t xml:space="preserve"> gave a significant resistance when SRCAP was knocked down with both siRNA as shown by the significance stars on the graph (</w:t>
                      </w:r>
                      <w:r w:rsidRPr="00841AD4">
                        <w:rPr>
                          <w:i/>
                          <w:sz w:val="22"/>
                          <w:lang w:val="en-US"/>
                        </w:rPr>
                        <w:t>*=p≤0.05</w:t>
                      </w:r>
                      <w:r>
                        <w:rPr>
                          <w:i/>
                          <w:sz w:val="22"/>
                          <w:lang w:val="en-US"/>
                        </w:rPr>
                        <w:t>, **=p</w:t>
                      </w:r>
                      <w:r w:rsidRPr="00841AD4">
                        <w:rPr>
                          <w:i/>
                          <w:sz w:val="22"/>
                          <w:lang w:val="en-US"/>
                        </w:rPr>
                        <w:t>≤</w:t>
                      </w:r>
                      <w:r>
                        <w:rPr>
                          <w:i/>
                          <w:sz w:val="22"/>
                          <w:lang w:val="en-US"/>
                        </w:rPr>
                        <w:t>0.01).</w:t>
                      </w:r>
                    </w:p>
                  </w:txbxContent>
                </v:textbox>
                <w10:wrap type="square"/>
              </v:shape>
            </w:pict>
          </mc:Fallback>
        </mc:AlternateContent>
      </w:r>
      <w:r>
        <w:rPr>
          <w:rFonts w:asciiTheme="majorHAnsi" w:hAnsiTheme="majorHAnsi"/>
          <w:noProof/>
          <w:lang w:val="en-US"/>
        </w:rPr>
        <w:drawing>
          <wp:anchor distT="0" distB="0" distL="114300" distR="114300" simplePos="0" relativeHeight="252282880" behindDoc="0" locked="0" layoutInCell="1" allowOverlap="1" wp14:anchorId="3D025EC0" wp14:editId="538D16B2">
            <wp:simplePos x="0" y="0"/>
            <wp:positionH relativeFrom="column">
              <wp:posOffset>-228600</wp:posOffset>
            </wp:positionH>
            <wp:positionV relativeFrom="paragraph">
              <wp:posOffset>-228600</wp:posOffset>
            </wp:positionV>
            <wp:extent cx="5993130" cy="2171700"/>
            <wp:effectExtent l="0" t="0" r="1270" b="12700"/>
            <wp:wrapSquare wrapText="bothSides"/>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9313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A72E5" w14:textId="55338E91" w:rsidR="00E7213F" w:rsidRDefault="00E7213F" w:rsidP="00E7213F">
      <w:pPr>
        <w:spacing w:line="360" w:lineRule="auto"/>
        <w:jc w:val="both"/>
        <w:rPr>
          <w:rFonts w:asciiTheme="majorHAnsi" w:hAnsiTheme="majorHAnsi"/>
        </w:rPr>
      </w:pPr>
      <w:r>
        <w:rPr>
          <w:rFonts w:asciiTheme="majorHAnsi" w:hAnsiTheme="majorHAnsi"/>
        </w:rPr>
        <w:t>Indeed TP53-/- HCT116 cells transfected with SRCAP si6 showed a significant resistance to 5-FU in comparison to the control cells, which followed a similar cell survival pattern to the wild type HCT116 cells. However, when transfected with si7 the cell survival remained u</w:t>
      </w:r>
      <w:r w:rsidR="00BE16F7">
        <w:rPr>
          <w:rFonts w:asciiTheme="majorHAnsi" w:hAnsiTheme="majorHAnsi"/>
        </w:rPr>
        <w:t xml:space="preserve">nchanged from the control </w:t>
      </w:r>
      <w:r w:rsidR="00BE16F7" w:rsidRPr="00E83A72">
        <w:rPr>
          <w:rFonts w:asciiTheme="majorHAnsi" w:hAnsiTheme="majorHAnsi"/>
        </w:rPr>
        <w:t>cells.</w:t>
      </w:r>
      <w:r w:rsidR="008C59AE" w:rsidRPr="00E83A72">
        <w:rPr>
          <w:rFonts w:asciiTheme="majorHAnsi" w:hAnsiTheme="majorHAnsi"/>
        </w:rPr>
        <w:t xml:space="preserve"> T</w:t>
      </w:r>
      <w:r w:rsidR="002E39A4" w:rsidRPr="00E83A72">
        <w:rPr>
          <w:rFonts w:asciiTheme="majorHAnsi" w:hAnsiTheme="majorHAnsi"/>
        </w:rPr>
        <w:t>he</w:t>
      </w:r>
      <w:r w:rsidR="008C59AE" w:rsidRPr="00E83A72">
        <w:rPr>
          <w:rFonts w:asciiTheme="majorHAnsi" w:hAnsiTheme="majorHAnsi"/>
        </w:rPr>
        <w:t>refore,</w:t>
      </w:r>
      <w:r w:rsidR="008C59AE">
        <w:rPr>
          <w:rFonts w:asciiTheme="majorHAnsi" w:hAnsiTheme="majorHAnsi"/>
        </w:rPr>
        <w:t xml:space="preserve"> the</w:t>
      </w:r>
      <w:r w:rsidR="002E39A4">
        <w:rPr>
          <w:rFonts w:asciiTheme="majorHAnsi" w:hAnsiTheme="majorHAnsi"/>
        </w:rPr>
        <w:t xml:space="preserve"> TP53-/- HCT116 si7 knock</w:t>
      </w:r>
      <w:r>
        <w:rPr>
          <w:rFonts w:asciiTheme="majorHAnsi" w:hAnsiTheme="majorHAnsi"/>
        </w:rPr>
        <w:t xml:space="preserve">down did not show the sensitisation that was seen in the wild type HCT116 cells, </w:t>
      </w:r>
      <w:r w:rsidR="008C59AE">
        <w:rPr>
          <w:rFonts w:asciiTheme="majorHAnsi" w:hAnsiTheme="majorHAnsi"/>
        </w:rPr>
        <w:t xml:space="preserve">and </w:t>
      </w:r>
      <w:r>
        <w:rPr>
          <w:rFonts w:asciiTheme="majorHAnsi" w:hAnsiTheme="majorHAnsi"/>
        </w:rPr>
        <w:t>there was a large di</w:t>
      </w:r>
      <w:r w:rsidR="002E39A4">
        <w:rPr>
          <w:rFonts w:asciiTheme="majorHAnsi" w:hAnsiTheme="majorHAnsi"/>
        </w:rPr>
        <w:t>screpancy compared to si6 knock</w:t>
      </w:r>
      <w:r>
        <w:rPr>
          <w:rFonts w:asciiTheme="majorHAnsi" w:hAnsiTheme="majorHAnsi"/>
        </w:rPr>
        <w:t xml:space="preserve">down siRNA (Figure 4.16). It remains unknown as to why this was the case, although si6 throughout the experiments has shown the more significant phenotype, and so although </w:t>
      </w:r>
      <w:r w:rsidRPr="00E83A72">
        <w:rPr>
          <w:rFonts w:asciiTheme="majorHAnsi" w:hAnsiTheme="majorHAnsi"/>
        </w:rPr>
        <w:t>bo</w:t>
      </w:r>
      <w:r w:rsidR="002E39A4" w:rsidRPr="00E83A72">
        <w:rPr>
          <w:rFonts w:asciiTheme="majorHAnsi" w:hAnsiTheme="majorHAnsi"/>
        </w:rPr>
        <w:t>th siRNA</w:t>
      </w:r>
      <w:r w:rsidR="002E39A4">
        <w:rPr>
          <w:rFonts w:asciiTheme="majorHAnsi" w:hAnsiTheme="majorHAnsi"/>
        </w:rPr>
        <w:t xml:space="preserve"> appear to knock</w:t>
      </w:r>
      <w:r>
        <w:rPr>
          <w:rFonts w:asciiTheme="majorHAnsi" w:hAnsiTheme="majorHAnsi"/>
        </w:rPr>
        <w:t xml:space="preserve">down to similar extents it may be that one has a larger effect on </w:t>
      </w:r>
      <w:r w:rsidRPr="009E0334">
        <w:rPr>
          <w:rFonts w:asciiTheme="majorHAnsi" w:hAnsiTheme="majorHAnsi"/>
          <w:i/>
        </w:rPr>
        <w:t>SRCAP</w:t>
      </w:r>
      <w:r>
        <w:rPr>
          <w:rFonts w:asciiTheme="majorHAnsi" w:hAnsiTheme="majorHAnsi"/>
        </w:rPr>
        <w:t xml:space="preserve"> levels, or that there are off target effects. It has been previously shown that </w:t>
      </w:r>
      <w:r w:rsidRPr="002E0DEE">
        <w:rPr>
          <w:rFonts w:asciiTheme="majorHAnsi" w:hAnsiTheme="majorHAnsi"/>
          <w:i/>
        </w:rPr>
        <w:t>in vitro</w:t>
      </w:r>
      <w:r>
        <w:rPr>
          <w:rFonts w:asciiTheme="majorHAnsi" w:hAnsiTheme="majorHAnsi"/>
        </w:rPr>
        <w:t xml:space="preserve"> loss of TP53 decreases sensitivity of cells to 5-FU </w:t>
      </w:r>
      <w:r>
        <w:rPr>
          <w:rFonts w:asciiTheme="majorHAnsi" w:hAnsiTheme="majorHAnsi"/>
        </w:rPr>
        <w:fldChar w:fldCharType="begin"/>
      </w:r>
      <w:r>
        <w:rPr>
          <w:rFonts w:asciiTheme="majorHAnsi" w:hAnsiTheme="majorHAnsi"/>
        </w:rPr>
        <w:instrText xml:space="preserve"> ADDIN EN.CITE &lt;EndNote&gt;&lt;Cite&gt;&lt;Author&gt;Longley&lt;/Author&gt;&lt;Year&gt;2002&lt;/Year&gt;&lt;IDText&gt;The role of thymidylate synthase induction in modulating p53-regulated gene expression in response to 5-fluorouracil and antifolates&lt;/IDText&gt;&lt;DisplayText&gt;(Longley et al., 2002)&lt;/DisplayText&gt;&lt;record&gt;&lt;dates&gt;&lt;pub-dates&gt;&lt;date&gt;May&lt;/date&gt;&lt;/pub-dates&gt;&lt;year&gt;2002&lt;/year&gt;&lt;/dates&gt;&lt;keywords&gt;&lt;keyword&gt;Antigens, CD95&lt;/keyword&gt;&lt;keyword&gt;Breast Neoplasms&lt;/keyword&gt;&lt;keyword&gt;Cell Cycle&lt;/keyword&gt;&lt;keyword&gt;Enzyme Induction&lt;/keyword&gt;&lt;keyword&gt;Fluorouracil&lt;/keyword&gt;&lt;keyword&gt;Folic Acid Antagonists&lt;/keyword&gt;&lt;keyword&gt;Gene Expression Regulation, Enzymologic&lt;/keyword&gt;&lt;keyword&gt;Gene Expression Regulation, Neoplastic&lt;/keyword&gt;&lt;keyword&gt;Genes, p53&lt;/keyword&gt;&lt;keyword&gt;Humans&lt;/keyword&gt;&lt;keyword&gt;Thymidylate Synthase&lt;/keyword&gt;&lt;keyword&gt;Tumor Cells, Cultured&lt;/keyword&gt;&lt;keyword&gt;Tumor Suppressor Protein p53&lt;/keyword&gt;&lt;keyword&gt;Up-Regulation&lt;/keyword&gt;&lt;/keywords&gt;&lt;urls&gt;&lt;related-urls&gt;&lt;url&gt;https://www.ncbi.nlm.nih.gov/pubmed/11980662&lt;/url&gt;&lt;/related-urls&gt;&lt;/urls&gt;&lt;isbn&gt;0008-5472&lt;/isbn&gt;&lt;titles&gt;&lt;title&gt;The role of thymidylate synthase induction in modulating p53-regulated gene expression in response to 5-fluorouracil and antifolates&lt;/title&gt;&lt;secondary-title&gt;Cancer Res&lt;/secondary-title&gt;&lt;/titles&gt;&lt;pages&gt;2644-9&lt;/pages&gt;&lt;number&gt;9&lt;/number&gt;&lt;contributors&gt;&lt;authors&gt;&lt;author&gt;Longley, D. B.&lt;/author&gt;&lt;author&gt;Boyer, J.&lt;/author&gt;&lt;author&gt;Allen, W. L.&lt;/author&gt;&lt;author&gt;Latif, T.&lt;/author&gt;&lt;author&gt;Ferguson, P. R.&lt;/author&gt;&lt;author&gt;Maxwell, P. J.&lt;/author&gt;&lt;author&gt;McDermott, U.&lt;/author&gt;&lt;author&gt;Lynch, M.&lt;/author&gt;&lt;author&gt;Harkin, D. P.&lt;/author&gt;&lt;author&gt;Johnston, P. G.&lt;/author&gt;&lt;/authors&gt;&lt;/contributors&gt;&lt;language&gt;eng&lt;/language&gt;&lt;added-date format="utc"&gt;1505388550&lt;/added-date&gt;&lt;ref-type name="Journal Article"&gt;17&lt;/ref-type&gt;&lt;rec-number&gt;282&lt;/rec-number&gt;&lt;last-updated-date format="utc"&gt;1505388550&lt;/last-updated-date&gt;&lt;accession-num&gt;11980662&lt;/accession-num&gt;&lt;volume&gt;62&lt;/volume&gt;&lt;/record&gt;&lt;/Cite&gt;&lt;/EndNote&gt;</w:instrText>
      </w:r>
      <w:r>
        <w:rPr>
          <w:rFonts w:asciiTheme="majorHAnsi" w:hAnsiTheme="majorHAnsi"/>
        </w:rPr>
        <w:fldChar w:fldCharType="separate"/>
      </w:r>
      <w:r>
        <w:rPr>
          <w:rFonts w:asciiTheme="majorHAnsi" w:hAnsiTheme="majorHAnsi"/>
          <w:noProof/>
        </w:rPr>
        <w:t>(Longley et al., 2002)</w:t>
      </w:r>
      <w:r>
        <w:rPr>
          <w:rFonts w:asciiTheme="majorHAnsi" w:hAnsiTheme="majorHAnsi"/>
        </w:rPr>
        <w:fldChar w:fldCharType="end"/>
      </w:r>
      <w:r>
        <w:rPr>
          <w:rFonts w:asciiTheme="majorHAnsi" w:hAnsiTheme="majorHAnsi"/>
        </w:rPr>
        <w:t xml:space="preserve">, which is consistent with what was seen here, as the TP53 deficient cell lines were either more resistant to 5-FU plus </w:t>
      </w:r>
      <w:r w:rsidRPr="009E0334">
        <w:rPr>
          <w:rFonts w:asciiTheme="majorHAnsi" w:hAnsiTheme="majorHAnsi"/>
          <w:i/>
        </w:rPr>
        <w:t>SRCAP</w:t>
      </w:r>
      <w:r w:rsidR="002E39A4">
        <w:rPr>
          <w:rFonts w:asciiTheme="majorHAnsi" w:hAnsiTheme="majorHAnsi"/>
        </w:rPr>
        <w:t xml:space="preserve"> knock</w:t>
      </w:r>
      <w:r>
        <w:rPr>
          <w:rFonts w:asciiTheme="majorHAnsi" w:hAnsiTheme="majorHAnsi"/>
        </w:rPr>
        <w:t>down or did not differ from the control.</w:t>
      </w:r>
    </w:p>
    <w:p w14:paraId="1EB91411" w14:textId="35F14471" w:rsidR="00E7213F" w:rsidRDefault="00AA7B03" w:rsidP="00E7213F">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801600" behindDoc="0" locked="0" layoutInCell="1" allowOverlap="1" wp14:anchorId="14632E46" wp14:editId="20616003">
                <wp:simplePos x="0" y="0"/>
                <wp:positionH relativeFrom="column">
                  <wp:posOffset>3086100</wp:posOffset>
                </wp:positionH>
                <wp:positionV relativeFrom="paragraph">
                  <wp:posOffset>-114300</wp:posOffset>
                </wp:positionV>
                <wp:extent cx="2400300" cy="332867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2400300" cy="33286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58DDF1" w14:textId="77777777" w:rsidR="00E82D3B" w:rsidRDefault="00E82D3B" w:rsidP="00E7213F">
                            <w:pPr>
                              <w:jc w:val="both"/>
                              <w:rPr>
                                <w:b/>
                                <w:i/>
                                <w:sz w:val="22"/>
                                <w:szCs w:val="22"/>
                              </w:rPr>
                            </w:pPr>
                            <w:r w:rsidRPr="000E3359">
                              <w:rPr>
                                <w:b/>
                                <w:i/>
                                <w:sz w:val="22"/>
                                <w:szCs w:val="22"/>
                              </w:rPr>
                              <w:t>F</w:t>
                            </w:r>
                            <w:r>
                              <w:rPr>
                                <w:b/>
                                <w:i/>
                                <w:sz w:val="22"/>
                                <w:szCs w:val="22"/>
                              </w:rPr>
                              <w:t>igure 4.16 TP</w:t>
                            </w:r>
                            <w:r w:rsidRPr="000E3359">
                              <w:rPr>
                                <w:b/>
                                <w:i/>
                                <w:sz w:val="22"/>
                                <w:szCs w:val="22"/>
                              </w:rPr>
                              <w:t>5</w:t>
                            </w:r>
                            <w:r>
                              <w:rPr>
                                <w:b/>
                                <w:i/>
                                <w:sz w:val="22"/>
                                <w:szCs w:val="22"/>
                              </w:rPr>
                              <w:t>3 deficient HCT116 cells show</w:t>
                            </w:r>
                            <w:r w:rsidRPr="000E3359">
                              <w:rPr>
                                <w:b/>
                                <w:i/>
                                <w:sz w:val="22"/>
                                <w:szCs w:val="22"/>
                              </w:rPr>
                              <w:t xml:space="preserve"> differing response to 5-FU compared to p53 wild type HCT116 cells. </w:t>
                            </w:r>
                          </w:p>
                          <w:p w14:paraId="744733B9" w14:textId="732E56A9" w:rsidR="00E82D3B" w:rsidRPr="000E3359" w:rsidRDefault="00E82D3B" w:rsidP="00E7213F">
                            <w:pPr>
                              <w:jc w:val="both"/>
                              <w:rPr>
                                <w:i/>
                                <w:sz w:val="22"/>
                                <w:szCs w:val="22"/>
                              </w:rPr>
                            </w:pPr>
                            <w:r>
                              <w:rPr>
                                <w:i/>
                                <w:sz w:val="22"/>
                                <w:szCs w:val="22"/>
                              </w:rPr>
                              <w:t xml:space="preserve">1000 TP53-/- HCT116 cells were seeded per well in a 96 well plate and the protocol followed as in Figure 4.15. </w:t>
                            </w:r>
                            <w:r>
                              <w:rPr>
                                <w:i/>
                                <w:sz w:val="22"/>
                              </w:rPr>
                              <w:t>The graph shows the mean and SD of four repeats. Using a Kruskall-Wallis non-parametric test there was a statistically significant difference overall at 10 and 25</w:t>
                            </w:r>
                            <w:r w:rsidRPr="00954EB0">
                              <w:rPr>
                                <w:rFonts w:ascii="Cambria" w:hAnsi="Cambria"/>
                                <w:i/>
                                <w:sz w:val="22"/>
                              </w:rPr>
                              <w:t xml:space="preserve"> </w:t>
                            </w:r>
                            <w:proofErr w:type="spellStart"/>
                            <w:r>
                              <w:rPr>
                                <w:rFonts w:ascii="Cambria" w:hAnsi="Cambria"/>
                                <w:i/>
                                <w:sz w:val="22"/>
                              </w:rPr>
                              <w:t>μM</w:t>
                            </w:r>
                            <w:proofErr w:type="spellEnd"/>
                            <w:r>
                              <w:rPr>
                                <w:i/>
                                <w:sz w:val="22"/>
                              </w:rPr>
                              <w:t xml:space="preserve"> </w:t>
                            </w:r>
                            <w:r>
                              <w:rPr>
                                <w:rFonts w:ascii="Cambria" w:hAnsi="Cambria"/>
                                <w:i/>
                                <w:sz w:val="22"/>
                              </w:rPr>
                              <w:t>(2.5-p=0.2487, 5-p=0.3571, 10-p=0.0083, 25-p=0.0054) and comparing the siRNA individually to control</w:t>
                            </w:r>
                            <w:r>
                              <w:rPr>
                                <w:i/>
                                <w:sz w:val="22"/>
                              </w:rPr>
                              <w:t xml:space="preserve"> gave a significant resistance when SRCAP was knocked down with si6 only as shown by the significance stars on the graph (</w:t>
                            </w:r>
                            <w:r w:rsidRPr="00841AD4">
                              <w:rPr>
                                <w:i/>
                                <w:sz w:val="22"/>
                                <w:lang w:val="en-US"/>
                              </w:rPr>
                              <w:t>*=p≤0.05</w:t>
                            </w:r>
                            <w:r>
                              <w:rPr>
                                <w:i/>
                                <w:sz w:val="22"/>
                                <w:lang w:val="en-US"/>
                              </w:rPr>
                              <w:t>, **=p</w:t>
                            </w:r>
                            <w:r w:rsidRPr="00841AD4">
                              <w:rPr>
                                <w:i/>
                                <w:sz w:val="22"/>
                                <w:lang w:val="en-US"/>
                              </w:rPr>
                              <w:t>≤</w:t>
                            </w:r>
                            <w:r>
                              <w:rPr>
                                <w:i/>
                                <w:sz w:val="22"/>
                                <w:lang w:val="en-US"/>
                              </w:rPr>
                              <w:t>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138" type="#_x0000_t202" style="position:absolute;left:0;text-align:left;margin-left:243pt;margin-top:-8.95pt;width:189pt;height:262.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" filled="f" stroked="f">
                <v:textbox>
                  <w:txbxContent>
                    <w:p w14:paraId="2858DDF1" w14:textId="77777777" w:rsidR="000A1E0D" w:rsidRDefault="000A1E0D" w:rsidP="00E7213F">
                      <w:pPr>
                        <w:jc w:val="both"/>
                        <w:rPr>
                          <w:b/>
                          <w:i/>
                          <w:sz w:val="22"/>
                          <w:szCs w:val="22"/>
                        </w:rPr>
                      </w:pPr>
                      <w:r w:rsidRPr="000E3359">
                        <w:rPr>
                          <w:b/>
                          <w:i/>
                          <w:sz w:val="22"/>
                          <w:szCs w:val="22"/>
                        </w:rPr>
                        <w:t>F</w:t>
                      </w:r>
                      <w:r>
                        <w:rPr>
                          <w:b/>
                          <w:i/>
                          <w:sz w:val="22"/>
                          <w:szCs w:val="22"/>
                        </w:rPr>
                        <w:t>igure 4.16 TP</w:t>
                      </w:r>
                      <w:r w:rsidRPr="000E3359">
                        <w:rPr>
                          <w:b/>
                          <w:i/>
                          <w:sz w:val="22"/>
                          <w:szCs w:val="22"/>
                        </w:rPr>
                        <w:t>5</w:t>
                      </w:r>
                      <w:r>
                        <w:rPr>
                          <w:b/>
                          <w:i/>
                          <w:sz w:val="22"/>
                          <w:szCs w:val="22"/>
                        </w:rPr>
                        <w:t>3 deficient HCT116 cells show</w:t>
                      </w:r>
                      <w:r w:rsidRPr="000E3359">
                        <w:rPr>
                          <w:b/>
                          <w:i/>
                          <w:sz w:val="22"/>
                          <w:szCs w:val="22"/>
                        </w:rPr>
                        <w:t xml:space="preserve"> differing response to 5-FU compared to p53 wild type HCT116 cells. </w:t>
                      </w:r>
                    </w:p>
                    <w:p w14:paraId="744733B9" w14:textId="732E56A9" w:rsidR="000A1E0D" w:rsidRPr="000E3359" w:rsidRDefault="000A1E0D" w:rsidP="00E7213F">
                      <w:pPr>
                        <w:jc w:val="both"/>
                        <w:rPr>
                          <w:i/>
                          <w:sz w:val="22"/>
                          <w:szCs w:val="22"/>
                        </w:rPr>
                      </w:pPr>
                      <w:r>
                        <w:rPr>
                          <w:i/>
                          <w:sz w:val="22"/>
                          <w:szCs w:val="22"/>
                        </w:rPr>
                        <w:t xml:space="preserve">1000 TP53-/- HCT116 cells were seeded per well in a 96 well plate and the protocol followed as in Figure 4.15. </w:t>
                      </w:r>
                      <w:r>
                        <w:rPr>
                          <w:i/>
                          <w:sz w:val="22"/>
                        </w:rPr>
                        <w:t>The graph shows the mean and SD of four repeats. Using a Kruskall-Wallis non-parametric test there was a statistically significant difference overall at 10 and 25</w:t>
                      </w:r>
                      <w:r w:rsidRPr="00954EB0">
                        <w:rPr>
                          <w:rFonts w:ascii="Cambria" w:hAnsi="Cambria"/>
                          <w:i/>
                          <w:sz w:val="22"/>
                        </w:rPr>
                        <w:t xml:space="preserve"> </w:t>
                      </w:r>
                      <w:proofErr w:type="spellStart"/>
                      <w:r>
                        <w:rPr>
                          <w:rFonts w:ascii="Cambria" w:hAnsi="Cambria"/>
                          <w:i/>
                          <w:sz w:val="22"/>
                        </w:rPr>
                        <w:t>μM</w:t>
                      </w:r>
                      <w:proofErr w:type="spellEnd"/>
                      <w:r>
                        <w:rPr>
                          <w:i/>
                          <w:sz w:val="22"/>
                        </w:rPr>
                        <w:t xml:space="preserve"> </w:t>
                      </w:r>
                      <w:r>
                        <w:rPr>
                          <w:rFonts w:ascii="Cambria" w:hAnsi="Cambria"/>
                          <w:i/>
                          <w:sz w:val="22"/>
                        </w:rPr>
                        <w:t>(2.5-p=0.2487, 5-p=0.3571, 10-p=0.0083, 25-p=0.0054) and comparing the siRNA individually to control</w:t>
                      </w:r>
                      <w:r>
                        <w:rPr>
                          <w:i/>
                          <w:sz w:val="22"/>
                        </w:rPr>
                        <w:t xml:space="preserve"> gave a significant resistance when SRCAP was knocked down with si6 only as shown by the significance stars on the graph (</w:t>
                      </w:r>
                      <w:r w:rsidRPr="00841AD4">
                        <w:rPr>
                          <w:i/>
                          <w:sz w:val="22"/>
                          <w:lang w:val="en-US"/>
                        </w:rPr>
                        <w:t>*=p≤0.05</w:t>
                      </w:r>
                      <w:r>
                        <w:rPr>
                          <w:i/>
                          <w:sz w:val="22"/>
                          <w:lang w:val="en-US"/>
                        </w:rPr>
                        <w:t>, **=p</w:t>
                      </w:r>
                      <w:r w:rsidRPr="00841AD4">
                        <w:rPr>
                          <w:i/>
                          <w:sz w:val="22"/>
                          <w:lang w:val="en-US"/>
                        </w:rPr>
                        <w:t>≤</w:t>
                      </w:r>
                      <w:r>
                        <w:rPr>
                          <w:i/>
                          <w:sz w:val="22"/>
                          <w:lang w:val="en-US"/>
                        </w:rPr>
                        <w:t>0.01).</w:t>
                      </w:r>
                    </w:p>
                  </w:txbxContent>
                </v:textbox>
                <w10:wrap type="square"/>
              </v:shape>
            </w:pict>
          </mc:Fallback>
        </mc:AlternateContent>
      </w:r>
      <w:r w:rsidR="00E7213F" w:rsidRPr="00E22A60">
        <w:t xml:space="preserve"> </w:t>
      </w:r>
      <w:r w:rsidR="00E7213F" w:rsidRPr="00C453BD">
        <w:t xml:space="preserve"> </w:t>
      </w:r>
    </w:p>
    <w:p w14:paraId="7CA495FC" w14:textId="6E1CCC41" w:rsidR="00954EB0" w:rsidRDefault="00AA7B03" w:rsidP="00E7213F">
      <w:pPr>
        <w:spacing w:line="360" w:lineRule="auto"/>
        <w:jc w:val="both"/>
        <w:rPr>
          <w:rFonts w:asciiTheme="majorHAnsi" w:hAnsiTheme="majorHAnsi"/>
        </w:rPr>
      </w:pPr>
      <w:r>
        <w:rPr>
          <w:rFonts w:asciiTheme="majorHAnsi" w:hAnsiTheme="majorHAnsi"/>
          <w:noProof/>
          <w:lang w:val="en-US"/>
        </w:rPr>
        <w:drawing>
          <wp:anchor distT="0" distB="0" distL="114300" distR="114300" simplePos="0" relativeHeight="252281856" behindDoc="0" locked="0" layoutInCell="1" allowOverlap="1" wp14:anchorId="0CC21DF2" wp14:editId="68D2E804">
            <wp:simplePos x="0" y="0"/>
            <wp:positionH relativeFrom="column">
              <wp:posOffset>-342900</wp:posOffset>
            </wp:positionH>
            <wp:positionV relativeFrom="paragraph">
              <wp:posOffset>64135</wp:posOffset>
            </wp:positionV>
            <wp:extent cx="3429000" cy="2286000"/>
            <wp:effectExtent l="0" t="0" r="0" b="0"/>
            <wp:wrapSquare wrapText="bothSides"/>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96ACBA" w14:textId="77777777" w:rsidR="00011B48" w:rsidRDefault="00011B48" w:rsidP="00E7213F">
      <w:pPr>
        <w:spacing w:line="360" w:lineRule="auto"/>
        <w:jc w:val="both"/>
        <w:rPr>
          <w:rFonts w:asciiTheme="majorHAnsi" w:hAnsiTheme="majorHAnsi"/>
        </w:rPr>
      </w:pPr>
    </w:p>
    <w:p w14:paraId="64E50992" w14:textId="77777777" w:rsidR="00011B48" w:rsidRDefault="00011B48" w:rsidP="00E7213F">
      <w:pPr>
        <w:spacing w:line="360" w:lineRule="auto"/>
        <w:jc w:val="both"/>
        <w:rPr>
          <w:rFonts w:asciiTheme="majorHAnsi" w:hAnsiTheme="majorHAnsi"/>
        </w:rPr>
      </w:pPr>
    </w:p>
    <w:p w14:paraId="64887388" w14:textId="662F072C" w:rsidR="00E7213F" w:rsidRPr="009C2405" w:rsidRDefault="00E7213F" w:rsidP="00E7213F">
      <w:pPr>
        <w:spacing w:line="360" w:lineRule="auto"/>
        <w:jc w:val="both"/>
        <w:rPr>
          <w:rFonts w:asciiTheme="majorHAnsi" w:hAnsiTheme="majorHAnsi"/>
        </w:rPr>
      </w:pPr>
      <w:r>
        <w:rPr>
          <w:rFonts w:asciiTheme="majorHAnsi" w:hAnsiTheme="majorHAnsi"/>
        </w:rPr>
        <w:t xml:space="preserve">In order to confirm the MTT assay results and be sure that there was a differing effect on combination drug plus </w:t>
      </w:r>
      <w:r w:rsidRPr="009E0334">
        <w:rPr>
          <w:rFonts w:asciiTheme="majorHAnsi" w:hAnsiTheme="majorHAnsi"/>
          <w:i/>
        </w:rPr>
        <w:t>SRCAP</w:t>
      </w:r>
      <w:r w:rsidR="002E39A4">
        <w:rPr>
          <w:rFonts w:asciiTheme="majorHAnsi" w:hAnsiTheme="majorHAnsi"/>
        </w:rPr>
        <w:t xml:space="preserve"> knock</w:t>
      </w:r>
      <w:r>
        <w:rPr>
          <w:rFonts w:asciiTheme="majorHAnsi" w:hAnsiTheme="majorHAnsi"/>
        </w:rPr>
        <w:t xml:space="preserve">down depending on TP53 status, clonogenic survival assays were used. Again HCT116 cells showed a very prominent sensitivity to 5-FU after </w:t>
      </w:r>
      <w:r w:rsidRPr="009E0334">
        <w:rPr>
          <w:rFonts w:asciiTheme="majorHAnsi" w:hAnsiTheme="majorHAnsi"/>
          <w:i/>
        </w:rPr>
        <w:t>SRCAP</w:t>
      </w:r>
      <w:r>
        <w:rPr>
          <w:rFonts w:asciiTheme="majorHAnsi" w:hAnsiTheme="majorHAnsi"/>
        </w:rPr>
        <w:t xml:space="preserve"> was knocked down (Figure 4.17a), much more than what was seen in the MTT assay due to the increased sensitivity of clonogenics, whereas SW480 cells showed a trend towards resistance, however </w:t>
      </w:r>
      <w:r w:rsidR="00351D68">
        <w:rPr>
          <w:rFonts w:asciiTheme="majorHAnsi" w:hAnsiTheme="majorHAnsi"/>
        </w:rPr>
        <w:t xml:space="preserve">only </w:t>
      </w:r>
      <w:r>
        <w:rPr>
          <w:rFonts w:asciiTheme="majorHAnsi" w:hAnsiTheme="majorHAnsi"/>
        </w:rPr>
        <w:t xml:space="preserve">statistically significant </w:t>
      </w:r>
      <w:r w:rsidR="00351D68">
        <w:rPr>
          <w:rFonts w:asciiTheme="majorHAnsi" w:hAnsiTheme="majorHAnsi"/>
        </w:rPr>
        <w:t xml:space="preserve">with si6 at the highest concentration </w:t>
      </w:r>
      <w:r>
        <w:rPr>
          <w:rFonts w:asciiTheme="majorHAnsi" w:hAnsiTheme="majorHAnsi"/>
        </w:rPr>
        <w:t xml:space="preserve">(Figure 4.17b).  When the same test was carried out on TP53-/- HCT116 cells they again showed a </w:t>
      </w:r>
      <w:r w:rsidR="00351D68">
        <w:rPr>
          <w:rFonts w:asciiTheme="majorHAnsi" w:hAnsiTheme="majorHAnsi"/>
        </w:rPr>
        <w:t>significant</w:t>
      </w:r>
      <w:r>
        <w:rPr>
          <w:rFonts w:asciiTheme="majorHAnsi" w:hAnsiTheme="majorHAnsi"/>
        </w:rPr>
        <w:t xml:space="preserve"> resistance to 5-FU along the same li</w:t>
      </w:r>
      <w:r w:rsidR="00351D68">
        <w:rPr>
          <w:rFonts w:asciiTheme="majorHAnsi" w:hAnsiTheme="majorHAnsi"/>
        </w:rPr>
        <w:t xml:space="preserve">nes as was seen in SW480 cells </w:t>
      </w:r>
      <w:r>
        <w:rPr>
          <w:rFonts w:asciiTheme="majorHAnsi" w:hAnsiTheme="majorHAnsi"/>
        </w:rPr>
        <w:t xml:space="preserve">(Figure 4.17c). These data </w:t>
      </w:r>
      <w:r w:rsidR="00084555">
        <w:rPr>
          <w:rFonts w:asciiTheme="majorHAnsi" w:hAnsiTheme="majorHAnsi"/>
        </w:rPr>
        <w:t xml:space="preserve">are </w:t>
      </w:r>
      <w:r>
        <w:rPr>
          <w:rFonts w:asciiTheme="majorHAnsi" w:hAnsiTheme="majorHAnsi"/>
        </w:rPr>
        <w:t xml:space="preserve">therefore </w:t>
      </w:r>
      <w:r w:rsidR="00084555">
        <w:rPr>
          <w:rFonts w:asciiTheme="majorHAnsi" w:hAnsiTheme="majorHAnsi"/>
        </w:rPr>
        <w:t>broadly consistent with</w:t>
      </w:r>
      <w:r>
        <w:rPr>
          <w:rFonts w:asciiTheme="majorHAnsi" w:hAnsiTheme="majorHAnsi"/>
        </w:rPr>
        <w:t xml:space="preserve"> the results from the MTT assays, demonstrating that TP53 functioning cells show good sensitivity to 5-FU when in combination with </w:t>
      </w:r>
      <w:r w:rsidRPr="009E0334">
        <w:rPr>
          <w:rFonts w:asciiTheme="majorHAnsi" w:hAnsiTheme="majorHAnsi"/>
          <w:i/>
        </w:rPr>
        <w:t>SRCAP</w:t>
      </w:r>
      <w:r>
        <w:rPr>
          <w:rFonts w:asciiTheme="majorHAnsi" w:hAnsiTheme="majorHAnsi"/>
        </w:rPr>
        <w:t xml:space="preserve"> depletion. However, patients with TP53 deficient tumours would not be good targets for SRCAP inhibitors and clinically used 5-FU treatment. Therefore, although it has already been reported that TP53 deficient cells are less sensitive to 5-FU </w:t>
      </w:r>
      <w:r>
        <w:rPr>
          <w:rFonts w:asciiTheme="majorHAnsi" w:hAnsiTheme="majorHAnsi"/>
        </w:rPr>
        <w:fldChar w:fldCharType="begin"/>
      </w:r>
      <w:r>
        <w:rPr>
          <w:rFonts w:asciiTheme="majorHAnsi" w:hAnsiTheme="majorHAnsi"/>
        </w:rPr>
        <w:instrText xml:space="preserve"> ADDIN EN.CITE &lt;EndNote&gt;&lt;Cite&gt;&lt;Author&gt;Bunz&lt;/Author&gt;&lt;Year&gt;1999&lt;/Year&gt;&lt;IDText&gt;Disruption of p53 in human cancer cells alters the responses to therapeutic agents&lt;/IDText&gt;&lt;DisplayText&gt;(Bunz et al., 1999)&lt;/DisplayText&gt;&lt;record&gt;&lt;dates&gt;&lt;pub-dates&gt;&lt;date&gt;Aug&lt;/date&gt;&lt;/pub-dates&gt;&lt;year&gt;1999&lt;/year&gt;&lt;/dates&gt;&lt;keywords&gt;&lt;keyword&gt;Animals&lt;/keyword&gt;&lt;keyword&gt;Antineoplastic Agents&lt;/keyword&gt;&lt;keyword&gt;Apoptosis&lt;/keyword&gt;&lt;keyword&gt;Colonic Neoplasms&lt;/keyword&gt;&lt;keyword&gt;Cyclin-Dependent Kinase Inhibitor p21&lt;/keyword&gt;&lt;keyword&gt;Cyclins&lt;/keyword&gt;&lt;keyword&gt;DNA Damage&lt;/keyword&gt;&lt;keyword&gt;Doxorubicin&lt;/keyword&gt;&lt;keyword&gt;Drug Resistance, Neoplasm&lt;/keyword&gt;&lt;keyword&gt;Fluorouracil&lt;/keyword&gt;&lt;keyword&gt;Gene Deletion&lt;/keyword&gt;&lt;keyword&gt;Genes, p53&lt;/keyword&gt;&lt;keyword&gt;Humans&lt;/keyword&gt;&lt;keyword&gt;Mice&lt;/keyword&gt;&lt;keyword&gt;Mice, Nude&lt;/keyword&gt;&lt;keyword&gt;Neoplasm Transplantation&lt;/keyword&gt;&lt;keyword&gt;Transplantation, Heterologous&lt;/keyword&gt;&lt;keyword&gt;Tumor Cells, Cultured&lt;/keyword&gt;&lt;keyword&gt;Tumor Suppressor Protein p53&lt;/keyword&gt;&lt;/keywords&gt;&lt;urls&gt;&lt;related-urls&gt;&lt;url&gt;https://www.ncbi.nlm.nih.gov/pubmed/10430607&lt;/url&gt;&lt;/related-urls&gt;&lt;/urls&gt;&lt;isbn&gt;0021-9738&lt;/isbn&gt;&lt;custom2&gt;PMC408422&lt;/custom2&gt;&lt;titles&gt;&lt;title&gt;Disruption of p53 in human cancer cells alters the responses to therapeutic agents&lt;/title&gt;&lt;secondary-title&gt;J Clin Invest&lt;/secondary-title&gt;&lt;/titles&gt;&lt;pages&gt;263-9&lt;/pages&gt;&lt;number&gt;3&lt;/number&gt;&lt;contributors&gt;&lt;authors&gt;&lt;author&gt;Bunz, F.&lt;/author&gt;&lt;author&gt;Hwang, P. M.&lt;/author&gt;&lt;author&gt;Torrance, C.&lt;/author&gt;&lt;author&gt;Waldman, T.&lt;/author&gt;&lt;author&gt;Zhang, Y.&lt;/author&gt;&lt;author&gt;Dillehay, L.&lt;/author&gt;&lt;author&gt;Williams, J.&lt;/author&gt;&lt;author&gt;Lengauer, C.&lt;/author&gt;&lt;author&gt;Kinzler, K. W.&lt;/author&gt;&lt;author&gt;Vogelstein, B.&lt;/author&gt;&lt;/authors&gt;&lt;/contributors&gt;&lt;language&gt;eng&lt;/language&gt;&lt;added-date format="utc"&gt;1505388658&lt;/added-date&gt;&lt;ref-type name="Journal Article"&gt;17&lt;/ref-type&gt;&lt;rec-number&gt;283&lt;/rec-number&gt;&lt;last-updated-date format="utc"&gt;1505388658&lt;/last-updated-date&gt;&lt;accession-num&gt;10430607&lt;/accession-num&gt;&lt;electronic-resource-num&gt;10.1172/JCI6863&lt;/electronic-resource-num&gt;&lt;volume&gt;104&lt;/volume&gt;&lt;/record&gt;&lt;/Cite&gt;&lt;/EndNote&gt;</w:instrText>
      </w:r>
      <w:r>
        <w:rPr>
          <w:rFonts w:asciiTheme="majorHAnsi" w:hAnsiTheme="majorHAnsi"/>
        </w:rPr>
        <w:fldChar w:fldCharType="separate"/>
      </w:r>
      <w:r>
        <w:rPr>
          <w:rFonts w:asciiTheme="majorHAnsi" w:hAnsiTheme="majorHAnsi"/>
          <w:noProof/>
        </w:rPr>
        <w:t>(Bunz et al., 1999)</w:t>
      </w:r>
      <w:r>
        <w:rPr>
          <w:rFonts w:asciiTheme="majorHAnsi" w:hAnsiTheme="majorHAnsi"/>
        </w:rPr>
        <w:fldChar w:fldCharType="end"/>
      </w:r>
      <w:r>
        <w:rPr>
          <w:rFonts w:asciiTheme="majorHAnsi" w:hAnsiTheme="majorHAnsi"/>
        </w:rPr>
        <w:t xml:space="preserve">, in cells with active TP53, such as HCT116 cells, there is an even bigger sensitisation to the treatment when </w:t>
      </w:r>
      <w:r w:rsidRPr="009E0334">
        <w:rPr>
          <w:rFonts w:asciiTheme="majorHAnsi" w:hAnsiTheme="majorHAnsi"/>
          <w:i/>
        </w:rPr>
        <w:t>SRCAP</w:t>
      </w:r>
      <w:r>
        <w:rPr>
          <w:rFonts w:asciiTheme="majorHAnsi" w:hAnsiTheme="majorHAnsi"/>
        </w:rPr>
        <w:t xml:space="preserve"> is also knocked out. </w:t>
      </w:r>
    </w:p>
    <w:p w14:paraId="61C5247C" w14:textId="01EEBC11" w:rsidR="00E7213F" w:rsidRDefault="00011B48" w:rsidP="00E7213F">
      <w:pPr>
        <w:rPr>
          <w:rFonts w:asciiTheme="majorHAnsi" w:hAnsiTheme="majorHAnsi"/>
          <w:b/>
          <w:i/>
        </w:rPr>
      </w:pPr>
      <w:r>
        <w:rPr>
          <w:rFonts w:asciiTheme="majorHAnsi" w:hAnsiTheme="majorHAnsi"/>
          <w:noProof/>
          <w:lang w:val="en-US"/>
        </w:rPr>
        <mc:AlternateContent>
          <mc:Choice Requires="wps">
            <w:drawing>
              <wp:anchor distT="0" distB="0" distL="114300" distR="114300" simplePos="0" relativeHeight="251802624" behindDoc="0" locked="0" layoutInCell="1" allowOverlap="1" wp14:anchorId="757D1DE4" wp14:editId="3DA327B2">
                <wp:simplePos x="0" y="0"/>
                <wp:positionH relativeFrom="column">
                  <wp:posOffset>-228600</wp:posOffset>
                </wp:positionH>
                <wp:positionV relativeFrom="paragraph">
                  <wp:posOffset>4343400</wp:posOffset>
                </wp:positionV>
                <wp:extent cx="5600700" cy="3429000"/>
                <wp:effectExtent l="0" t="0" r="0" b="0"/>
                <wp:wrapSquare wrapText="bothSides"/>
                <wp:docPr id="133" name="Text Box 133"/>
                <wp:cNvGraphicFramePr/>
                <a:graphic xmlns:a="http://schemas.openxmlformats.org/drawingml/2006/main">
                  <a:graphicData uri="http://schemas.microsoft.com/office/word/2010/wordprocessingShape">
                    <wps:wsp>
                      <wps:cNvSpPr txBox="1"/>
                      <wps:spPr>
                        <a:xfrm>
                          <a:off x="0" y="0"/>
                          <a:ext cx="56007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9843DB" w14:textId="771BD16F" w:rsidR="00E82D3B" w:rsidRPr="005B46A9" w:rsidRDefault="00E82D3B" w:rsidP="00E7213F">
                            <w:pPr>
                              <w:jc w:val="both"/>
                              <w:rPr>
                                <w:b/>
                                <w:i/>
                                <w:sz w:val="22"/>
                              </w:rPr>
                            </w:pPr>
                            <w:r w:rsidRPr="005B46A9">
                              <w:rPr>
                                <w:b/>
                                <w:i/>
                                <w:sz w:val="22"/>
                              </w:rPr>
                              <w:t>Figure 4.17 Clonogenic assays correlate to MTT data with 5-FU and SRCAP knockdown.</w:t>
                            </w:r>
                          </w:p>
                          <w:p w14:paraId="6E7007F1" w14:textId="31951717" w:rsidR="00E82D3B" w:rsidRDefault="00E82D3B" w:rsidP="00E7213F">
                            <w:pPr>
                              <w:jc w:val="both"/>
                              <w:rPr>
                                <w:i/>
                                <w:sz w:val="22"/>
                                <w:szCs w:val="22"/>
                              </w:rPr>
                            </w:pPr>
                            <w:r w:rsidRPr="005B46A9">
                              <w:rPr>
                                <w:i/>
                                <w:sz w:val="22"/>
                                <w:szCs w:val="22"/>
                              </w:rPr>
                              <w:t>a.)</w:t>
                            </w:r>
                            <w:r>
                              <w:rPr>
                                <w:i/>
                                <w:sz w:val="22"/>
                                <w:szCs w:val="22"/>
                              </w:rPr>
                              <w:t xml:space="preserve"> HCT116 cells were seeded in 6 well plates, transfected with control or SRCAP siRNA for 48hrs then differing concentrations of 5-FU added. Clonogenic plates were stained with methylene blue and the colonies of approximately 50 cells or more manually counted. Each graph represents the mean and standard deviation from three repeats. A Kruskal-Wallis test showed an overall statistical difference at 2.5 and 5</w:t>
                            </w:r>
                            <w:r>
                              <w:rPr>
                                <w:rFonts w:ascii="Cambria" w:hAnsi="Cambria"/>
                                <w:i/>
                                <w:sz w:val="22"/>
                              </w:rPr>
                              <w:t>μ</w:t>
                            </w:r>
                            <w:r>
                              <w:rPr>
                                <w:i/>
                                <w:sz w:val="22"/>
                              </w:rPr>
                              <w:t>M concentration (2.5-p=0.036, 5- p=0.025, 10-p=0.1643). Assessing the individual siRNA against control showed significance with only si6 as shown by the significance stars on the graph, highlighting a sensitisation to 5-FU when SRCAP is knocked down (</w:t>
                            </w:r>
                            <w:r w:rsidRPr="00841AD4">
                              <w:rPr>
                                <w:i/>
                                <w:sz w:val="22"/>
                                <w:lang w:val="en-US"/>
                              </w:rPr>
                              <w:t>*=p≤0.05</w:t>
                            </w:r>
                            <w:r>
                              <w:rPr>
                                <w:i/>
                                <w:sz w:val="22"/>
                                <w:lang w:val="en-US"/>
                              </w:rPr>
                              <w:t>, **=p</w:t>
                            </w:r>
                            <w:r w:rsidRPr="00841AD4">
                              <w:rPr>
                                <w:i/>
                                <w:sz w:val="22"/>
                                <w:lang w:val="en-US"/>
                              </w:rPr>
                              <w:t>≤</w:t>
                            </w:r>
                            <w:r>
                              <w:rPr>
                                <w:i/>
                                <w:sz w:val="22"/>
                                <w:lang w:val="en-US"/>
                              </w:rPr>
                              <w:t>0.01).</w:t>
                            </w:r>
                          </w:p>
                          <w:p w14:paraId="5AED8B28" w14:textId="0D2EBB70" w:rsidR="00E82D3B" w:rsidRDefault="00E82D3B" w:rsidP="00E7213F">
                            <w:pPr>
                              <w:jc w:val="both"/>
                              <w:rPr>
                                <w:i/>
                                <w:sz w:val="22"/>
                                <w:szCs w:val="22"/>
                              </w:rPr>
                            </w:pPr>
                            <w:r>
                              <w:rPr>
                                <w:i/>
                                <w:sz w:val="22"/>
                                <w:szCs w:val="22"/>
                              </w:rPr>
                              <w:t xml:space="preserve">b.) SW480 cells were seeded and transfected in the same way as above and after three repeats a Kruskall-Wallis test showed no difference between the groups overall </w:t>
                            </w:r>
                            <w:r>
                              <w:rPr>
                                <w:i/>
                                <w:sz w:val="22"/>
                              </w:rPr>
                              <w:t>(2.5-p=0.3821, 5- p=0.9893, 10-p=0.0857). However, comparing the siRNA to control individually showed a significant resistance with si6 at 10</w:t>
                            </w:r>
                            <w:r>
                              <w:rPr>
                                <w:rFonts w:ascii="Cambria" w:hAnsi="Cambria"/>
                                <w:i/>
                                <w:sz w:val="22"/>
                              </w:rPr>
                              <w:t>μ</w:t>
                            </w:r>
                            <w:r>
                              <w:rPr>
                                <w:i/>
                                <w:sz w:val="22"/>
                              </w:rPr>
                              <w:t>M as shown by the significance stars on the graph.</w:t>
                            </w:r>
                          </w:p>
                          <w:p w14:paraId="62E15BFB" w14:textId="6007AC92" w:rsidR="00E82D3B" w:rsidRDefault="00E82D3B" w:rsidP="005D3A2C">
                            <w:pPr>
                              <w:jc w:val="both"/>
                              <w:rPr>
                                <w:i/>
                                <w:sz w:val="22"/>
                                <w:szCs w:val="22"/>
                              </w:rPr>
                            </w:pPr>
                            <w:r>
                              <w:rPr>
                                <w:i/>
                                <w:sz w:val="22"/>
                                <w:szCs w:val="22"/>
                              </w:rPr>
                              <w:t xml:space="preserve">c.) TP53-/- HCT116 cells again underwent the same experimental conditions as above and also showed no significant difference between the groups overall </w:t>
                            </w:r>
                            <w:r>
                              <w:rPr>
                                <w:i/>
                                <w:sz w:val="22"/>
                              </w:rPr>
                              <w:t>(2.5-p=0.0857, 5- p=0.1, 10-p=0.5107). However, when compared separately si6 was significantly more resistant to 5-FU treatment than control at 5</w:t>
                            </w:r>
                            <w:r>
                              <w:rPr>
                                <w:rFonts w:ascii="Cambria" w:hAnsi="Cambria"/>
                                <w:i/>
                                <w:sz w:val="22"/>
                              </w:rPr>
                              <w:t>μ</w:t>
                            </w:r>
                            <w:r>
                              <w:rPr>
                                <w:i/>
                                <w:sz w:val="22"/>
                              </w:rPr>
                              <w:t>M and si7 at 2.5</w:t>
                            </w:r>
                            <w:r>
                              <w:rPr>
                                <w:rFonts w:ascii="Cambria" w:hAnsi="Cambria"/>
                                <w:i/>
                                <w:sz w:val="22"/>
                              </w:rPr>
                              <w:t>μ</w:t>
                            </w:r>
                            <w:r>
                              <w:rPr>
                                <w:i/>
                                <w:sz w:val="22"/>
                              </w:rPr>
                              <w:t>M</w:t>
                            </w:r>
                            <w:r w:rsidRPr="005D3A2C">
                              <w:rPr>
                                <w:i/>
                                <w:sz w:val="22"/>
                              </w:rPr>
                              <w:t xml:space="preserve"> </w:t>
                            </w:r>
                            <w:r>
                              <w:rPr>
                                <w:i/>
                                <w:sz w:val="22"/>
                              </w:rPr>
                              <w:t>as shown by the significance stars on the graph (</w:t>
                            </w:r>
                            <w:r w:rsidRPr="00841AD4">
                              <w:rPr>
                                <w:i/>
                                <w:sz w:val="22"/>
                                <w:lang w:val="en-US"/>
                              </w:rPr>
                              <w:t>*=p≤0.05</w:t>
                            </w:r>
                            <w:r>
                              <w:rPr>
                                <w:i/>
                                <w:sz w:val="22"/>
                                <w:lang w:val="en-US"/>
                              </w:rPr>
                              <w:t>, **=p</w:t>
                            </w:r>
                            <w:r w:rsidRPr="00841AD4">
                              <w:rPr>
                                <w:i/>
                                <w:sz w:val="22"/>
                                <w:lang w:val="en-US"/>
                              </w:rPr>
                              <w:t>≤</w:t>
                            </w:r>
                            <w:r>
                              <w:rPr>
                                <w:i/>
                                <w:sz w:val="22"/>
                                <w:lang w:val="en-US"/>
                              </w:rPr>
                              <w:t>0.01).</w:t>
                            </w:r>
                          </w:p>
                          <w:p w14:paraId="660058DE" w14:textId="259F1B8D" w:rsidR="00E82D3B" w:rsidRPr="005B46A9" w:rsidRDefault="00E82D3B" w:rsidP="00E7213F">
                            <w:pPr>
                              <w:jc w:val="both"/>
                              <w:rPr>
                                <w: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139" type="#_x0000_t202" style="position:absolute;margin-left:-17.95pt;margin-top:342pt;width:441pt;height:270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qi79MCAAAc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" filled="f" stroked="f">
                <v:textbox>
                  <w:txbxContent>
                    <w:p w14:paraId="6A9843DB" w14:textId="771BD16F" w:rsidR="000A1E0D" w:rsidRPr="005B46A9" w:rsidRDefault="000A1E0D" w:rsidP="00E7213F">
                      <w:pPr>
                        <w:jc w:val="both"/>
                        <w:rPr>
                          <w:b/>
                          <w:i/>
                          <w:sz w:val="22"/>
                        </w:rPr>
                      </w:pPr>
                      <w:r w:rsidRPr="005B46A9">
                        <w:rPr>
                          <w:b/>
                          <w:i/>
                          <w:sz w:val="22"/>
                        </w:rPr>
                        <w:t>Figure 4.17 Clonogenic assays correlate to MTT data with 5-FU and SRCAP knockdown.</w:t>
                      </w:r>
                    </w:p>
                    <w:p w14:paraId="6E7007F1" w14:textId="31951717" w:rsidR="000A1E0D" w:rsidRDefault="000A1E0D" w:rsidP="00E7213F">
                      <w:pPr>
                        <w:jc w:val="both"/>
                        <w:rPr>
                          <w:i/>
                          <w:sz w:val="22"/>
                          <w:szCs w:val="22"/>
                        </w:rPr>
                      </w:pPr>
                      <w:r w:rsidRPr="005B46A9">
                        <w:rPr>
                          <w:i/>
                          <w:sz w:val="22"/>
                          <w:szCs w:val="22"/>
                        </w:rPr>
                        <w:t>a.)</w:t>
                      </w:r>
                      <w:r>
                        <w:rPr>
                          <w:i/>
                          <w:sz w:val="22"/>
                          <w:szCs w:val="22"/>
                        </w:rPr>
                        <w:t xml:space="preserve"> HCT116 cells were seeded in 6 well plates, transfected with control or SRCAP siRNA for 48hrs then differing concentrations of 5-FU added. Clonogenic plates were stained with methylene blue and the colonies of approximately 50 cells or more manually counted. Each graph represents the mean and standard deviation from three repeats. A Kruskal-Wallis test showed an overall statistical difference at 2.5 and 5</w:t>
                      </w:r>
                      <w:r>
                        <w:rPr>
                          <w:rFonts w:ascii="Cambria" w:hAnsi="Cambria"/>
                          <w:i/>
                          <w:sz w:val="22"/>
                        </w:rPr>
                        <w:t>μ</w:t>
                      </w:r>
                      <w:r>
                        <w:rPr>
                          <w:i/>
                          <w:sz w:val="22"/>
                        </w:rPr>
                        <w:t>M concentration (2.5-p=0.036, 5- p=0.025, 10-p=0.1643). Assessing the individual siRNA against control showed significance with only si6 as shown by the significance stars on the graph, highlighting a sensitisation to 5-FU when SRCAP is knocked down (</w:t>
                      </w:r>
                      <w:r w:rsidRPr="00841AD4">
                        <w:rPr>
                          <w:i/>
                          <w:sz w:val="22"/>
                          <w:lang w:val="en-US"/>
                        </w:rPr>
                        <w:t>*=p≤0.05</w:t>
                      </w:r>
                      <w:r>
                        <w:rPr>
                          <w:i/>
                          <w:sz w:val="22"/>
                          <w:lang w:val="en-US"/>
                        </w:rPr>
                        <w:t>, **=p</w:t>
                      </w:r>
                      <w:r w:rsidRPr="00841AD4">
                        <w:rPr>
                          <w:i/>
                          <w:sz w:val="22"/>
                          <w:lang w:val="en-US"/>
                        </w:rPr>
                        <w:t>≤</w:t>
                      </w:r>
                      <w:r>
                        <w:rPr>
                          <w:i/>
                          <w:sz w:val="22"/>
                          <w:lang w:val="en-US"/>
                        </w:rPr>
                        <w:t>0.01).</w:t>
                      </w:r>
                    </w:p>
                    <w:p w14:paraId="5AED8B28" w14:textId="0D2EBB70" w:rsidR="000A1E0D" w:rsidRDefault="000A1E0D" w:rsidP="00E7213F">
                      <w:pPr>
                        <w:jc w:val="both"/>
                        <w:rPr>
                          <w:i/>
                          <w:sz w:val="22"/>
                          <w:szCs w:val="22"/>
                        </w:rPr>
                      </w:pPr>
                      <w:r>
                        <w:rPr>
                          <w:i/>
                          <w:sz w:val="22"/>
                          <w:szCs w:val="22"/>
                        </w:rPr>
                        <w:t xml:space="preserve">b.) SW480 cells were seeded and transfected in the same way as above and after three repeats a Kruskall-Wallis test showed no difference between the groups overall </w:t>
                      </w:r>
                      <w:r>
                        <w:rPr>
                          <w:i/>
                          <w:sz w:val="22"/>
                        </w:rPr>
                        <w:t>(2.5-p=0.3821, 5- p=0.9893, 10-p=0.0857). However, comparing the siRNA to control individually showed a significant resistance with si6 at 10</w:t>
                      </w:r>
                      <w:r>
                        <w:rPr>
                          <w:rFonts w:ascii="Cambria" w:hAnsi="Cambria"/>
                          <w:i/>
                          <w:sz w:val="22"/>
                        </w:rPr>
                        <w:t>μ</w:t>
                      </w:r>
                      <w:r>
                        <w:rPr>
                          <w:i/>
                          <w:sz w:val="22"/>
                        </w:rPr>
                        <w:t>M as shown by the significance stars on the graph.</w:t>
                      </w:r>
                    </w:p>
                    <w:p w14:paraId="62E15BFB" w14:textId="6007AC92" w:rsidR="000A1E0D" w:rsidRDefault="000A1E0D" w:rsidP="005D3A2C">
                      <w:pPr>
                        <w:jc w:val="both"/>
                        <w:rPr>
                          <w:i/>
                          <w:sz w:val="22"/>
                          <w:szCs w:val="22"/>
                        </w:rPr>
                      </w:pPr>
                      <w:r>
                        <w:rPr>
                          <w:i/>
                          <w:sz w:val="22"/>
                          <w:szCs w:val="22"/>
                        </w:rPr>
                        <w:t xml:space="preserve">c.) TP53-/- HCT116 cells again underwent the same experimental conditions as above and also showed no significant difference between the groups overall </w:t>
                      </w:r>
                      <w:r>
                        <w:rPr>
                          <w:i/>
                          <w:sz w:val="22"/>
                        </w:rPr>
                        <w:t>(2.5-p=0.0857, 5- p=0.1, 10-p=0.5107). However, when compared separately si6 was significantly more resistant to 5-FU treatment than control at 5</w:t>
                      </w:r>
                      <w:r>
                        <w:rPr>
                          <w:rFonts w:ascii="Cambria" w:hAnsi="Cambria"/>
                          <w:i/>
                          <w:sz w:val="22"/>
                        </w:rPr>
                        <w:t>μ</w:t>
                      </w:r>
                      <w:r>
                        <w:rPr>
                          <w:i/>
                          <w:sz w:val="22"/>
                        </w:rPr>
                        <w:t>M and si7 at 2.5</w:t>
                      </w:r>
                      <w:r>
                        <w:rPr>
                          <w:rFonts w:ascii="Cambria" w:hAnsi="Cambria"/>
                          <w:i/>
                          <w:sz w:val="22"/>
                        </w:rPr>
                        <w:t>μ</w:t>
                      </w:r>
                      <w:r>
                        <w:rPr>
                          <w:i/>
                          <w:sz w:val="22"/>
                        </w:rPr>
                        <w:t>M</w:t>
                      </w:r>
                      <w:r w:rsidRPr="005D3A2C">
                        <w:rPr>
                          <w:i/>
                          <w:sz w:val="22"/>
                        </w:rPr>
                        <w:t xml:space="preserve"> </w:t>
                      </w:r>
                      <w:r>
                        <w:rPr>
                          <w:i/>
                          <w:sz w:val="22"/>
                        </w:rPr>
                        <w:t>as shown by the significance stars on the graph (</w:t>
                      </w:r>
                      <w:r w:rsidRPr="00841AD4">
                        <w:rPr>
                          <w:i/>
                          <w:sz w:val="22"/>
                          <w:lang w:val="en-US"/>
                        </w:rPr>
                        <w:t>*=p≤0.05</w:t>
                      </w:r>
                      <w:r>
                        <w:rPr>
                          <w:i/>
                          <w:sz w:val="22"/>
                          <w:lang w:val="en-US"/>
                        </w:rPr>
                        <w:t>, **=p</w:t>
                      </w:r>
                      <w:r w:rsidRPr="00841AD4">
                        <w:rPr>
                          <w:i/>
                          <w:sz w:val="22"/>
                          <w:lang w:val="en-US"/>
                        </w:rPr>
                        <w:t>≤</w:t>
                      </w:r>
                      <w:r>
                        <w:rPr>
                          <w:i/>
                          <w:sz w:val="22"/>
                          <w:lang w:val="en-US"/>
                        </w:rPr>
                        <w:t>0.01).</w:t>
                      </w:r>
                    </w:p>
                    <w:p w14:paraId="660058DE" w14:textId="259F1B8D" w:rsidR="000A1E0D" w:rsidRPr="005B46A9" w:rsidRDefault="000A1E0D" w:rsidP="00E7213F">
                      <w:pPr>
                        <w:jc w:val="both"/>
                        <w:rPr>
                          <w:i/>
                          <w:sz w:val="22"/>
                          <w:szCs w:val="22"/>
                        </w:rPr>
                      </w:pPr>
                    </w:p>
                  </w:txbxContent>
                </v:textbox>
                <w10:wrap type="square"/>
              </v:shape>
            </w:pict>
          </mc:Fallback>
        </mc:AlternateContent>
      </w:r>
      <w:r>
        <w:rPr>
          <w:rFonts w:asciiTheme="majorHAnsi" w:hAnsiTheme="majorHAnsi"/>
          <w:b/>
          <w:i/>
          <w:noProof/>
          <w:lang w:val="en-US"/>
        </w:rPr>
        <w:drawing>
          <wp:anchor distT="0" distB="0" distL="114300" distR="114300" simplePos="0" relativeHeight="252219392" behindDoc="0" locked="0" layoutInCell="1" allowOverlap="1" wp14:anchorId="2CEB09AD" wp14:editId="3EB194B8">
            <wp:simplePos x="0" y="0"/>
            <wp:positionH relativeFrom="column">
              <wp:posOffset>-342900</wp:posOffset>
            </wp:positionH>
            <wp:positionV relativeFrom="paragraph">
              <wp:posOffset>0</wp:posOffset>
            </wp:positionV>
            <wp:extent cx="5869940" cy="4248785"/>
            <wp:effectExtent l="0" t="0" r="0" b="0"/>
            <wp:wrapTopAndBottom/>
            <wp:docPr id="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69940" cy="424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6503EE" w:rsidRPr="006503EE">
        <w:rPr>
          <w:rFonts w:asciiTheme="majorHAnsi" w:hAnsiTheme="majorHAnsi"/>
          <w:b/>
          <w:i/>
        </w:rPr>
        <w:t xml:space="preserve"> </w:t>
      </w:r>
      <w:r w:rsidR="00E7213F">
        <w:rPr>
          <w:rFonts w:asciiTheme="majorHAnsi" w:hAnsiTheme="majorHAnsi"/>
          <w:b/>
          <w:i/>
        </w:rPr>
        <w:br w:type="page"/>
      </w:r>
    </w:p>
    <w:p w14:paraId="4FDFDB5F" w14:textId="4827F4CA" w:rsidR="00E7213F" w:rsidRPr="00AC6D47" w:rsidRDefault="00E7213F" w:rsidP="00AC6D47">
      <w:pPr>
        <w:pStyle w:val="ListParagraph"/>
        <w:numPr>
          <w:ilvl w:val="0"/>
          <w:numId w:val="3"/>
        </w:numPr>
        <w:spacing w:line="360" w:lineRule="auto"/>
        <w:jc w:val="both"/>
        <w:rPr>
          <w:rFonts w:asciiTheme="majorHAnsi" w:hAnsiTheme="majorHAnsi"/>
          <w:b/>
          <w:i/>
        </w:rPr>
      </w:pPr>
      <w:r>
        <w:rPr>
          <w:rFonts w:asciiTheme="majorHAnsi" w:hAnsiTheme="majorHAnsi"/>
          <w:b/>
          <w:i/>
        </w:rPr>
        <w:t>Irinotecan/Camp</w:t>
      </w:r>
      <w:r w:rsidRPr="000C0514">
        <w:rPr>
          <w:rFonts w:asciiTheme="majorHAnsi" w:hAnsiTheme="majorHAnsi"/>
          <w:b/>
          <w:i/>
        </w:rPr>
        <w:t>tothecin</w:t>
      </w:r>
    </w:p>
    <w:p w14:paraId="72861227" w14:textId="13185055" w:rsidR="00B41D92" w:rsidRDefault="006D35F3" w:rsidP="00D01D43">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806720" behindDoc="0" locked="0" layoutInCell="1" allowOverlap="1" wp14:anchorId="53A43C09" wp14:editId="5CDC80AF">
                <wp:simplePos x="0" y="0"/>
                <wp:positionH relativeFrom="column">
                  <wp:posOffset>-114300</wp:posOffset>
                </wp:positionH>
                <wp:positionV relativeFrom="paragraph">
                  <wp:posOffset>6464935</wp:posOffset>
                </wp:positionV>
                <wp:extent cx="5600700" cy="2286000"/>
                <wp:effectExtent l="0" t="0" r="0" b="0"/>
                <wp:wrapSquare wrapText="bothSides"/>
                <wp:docPr id="137" name="Text Box 137"/>
                <wp:cNvGraphicFramePr/>
                <a:graphic xmlns:a="http://schemas.openxmlformats.org/drawingml/2006/main">
                  <a:graphicData uri="http://schemas.microsoft.com/office/word/2010/wordprocessingShape">
                    <wps:wsp>
                      <wps:cNvSpPr txBox="1"/>
                      <wps:spPr>
                        <a:xfrm>
                          <a:off x="0" y="0"/>
                          <a:ext cx="56007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5E2699" w14:textId="013E84F7" w:rsidR="00E82D3B" w:rsidRDefault="00E82D3B" w:rsidP="00E7213F">
                            <w:pPr>
                              <w:jc w:val="both"/>
                              <w:rPr>
                                <w:b/>
                                <w:i/>
                                <w:sz w:val="22"/>
                              </w:rPr>
                            </w:pPr>
                            <w:r w:rsidRPr="00487ADB">
                              <w:rPr>
                                <w:b/>
                                <w:i/>
                                <w:sz w:val="22"/>
                              </w:rPr>
                              <w:t>F</w:t>
                            </w:r>
                            <w:r>
                              <w:rPr>
                                <w:b/>
                                <w:i/>
                                <w:sz w:val="22"/>
                              </w:rPr>
                              <w:t>igure 4.18</w:t>
                            </w:r>
                            <w:r w:rsidRPr="00487ADB">
                              <w:rPr>
                                <w:b/>
                                <w:i/>
                                <w:sz w:val="22"/>
                              </w:rPr>
                              <w:t xml:space="preserve"> Camptothecin plus SRCAP knockdown shows no difference to control cells</w:t>
                            </w:r>
                          </w:p>
                          <w:p w14:paraId="54FB8F47" w14:textId="6A551086" w:rsidR="00E82D3B" w:rsidRDefault="00E82D3B" w:rsidP="00E7213F">
                            <w:pPr>
                              <w:jc w:val="both"/>
                              <w:rPr>
                                <w:i/>
                                <w:sz w:val="22"/>
                              </w:rPr>
                            </w:pPr>
                            <w:r w:rsidRPr="00487ADB">
                              <w:rPr>
                                <w:i/>
                                <w:sz w:val="22"/>
                              </w:rPr>
                              <w:t xml:space="preserve">a.) HCT116 cells were seeded in a 96 well plate, transfected with control or SRCAP siRNA for 48hrs then differing concentrations of Camptothecin added for 4 days. </w:t>
                            </w:r>
                            <w:r>
                              <w:rPr>
                                <w:i/>
                                <w:sz w:val="22"/>
                              </w:rPr>
                              <w:t xml:space="preserve">The surviving fraction was calculated from the OD values and the above graphs show the mean and standard deviations from three repeats. Using a Kruskal-Wallis test there was no significant difference between any of the groups at any of the concentrations </w:t>
                            </w:r>
                            <w:r>
                              <w:rPr>
                                <w:rFonts w:ascii="Cambria" w:hAnsi="Cambria"/>
                                <w:i/>
                                <w:sz w:val="22"/>
                              </w:rPr>
                              <w:t>(2.5-p=0.8261, 5-p=0.6529, 10-p=0.5249, 25-p=0.8699), or any differences when individual comparisons were made between the siRNA and the control.</w:t>
                            </w:r>
                          </w:p>
                          <w:p w14:paraId="66ABD2F5" w14:textId="2C3BF7E3" w:rsidR="00E82D3B" w:rsidRDefault="00E82D3B" w:rsidP="00B41D92">
                            <w:pPr>
                              <w:jc w:val="both"/>
                              <w:rPr>
                                <w:i/>
                                <w:sz w:val="22"/>
                              </w:rPr>
                            </w:pPr>
                            <w:r>
                              <w:rPr>
                                <w:i/>
                                <w:sz w:val="22"/>
                              </w:rPr>
                              <w:t xml:space="preserve">b.) Using the same experimental parameters as above, there was also no significant difference overall in cell survival in SW480 cells concentrations </w:t>
                            </w:r>
                            <w:r>
                              <w:rPr>
                                <w:rFonts w:ascii="Cambria" w:hAnsi="Cambria"/>
                                <w:i/>
                                <w:sz w:val="22"/>
                              </w:rPr>
                              <w:t>(2.5-p=0.1835, 5-p=0.1209, 10-p=0.5606, 25-p=0.4761). However, individually assessing the siRNA vs. control showed a significant resistance to the treatment when SRCAP was knocked down with si7 at 5μ</w:t>
                            </w:r>
                            <w:r>
                              <w:rPr>
                                <w:i/>
                                <w:sz w:val="22"/>
                              </w:rPr>
                              <w:t>M (</w:t>
                            </w:r>
                            <w:r w:rsidRPr="00841AD4">
                              <w:rPr>
                                <w:i/>
                                <w:sz w:val="22"/>
                                <w:lang w:val="en-US"/>
                              </w:rPr>
                              <w:t>*=p≤0.05</w:t>
                            </w:r>
                            <w:r>
                              <w:rPr>
                                <w:i/>
                                <w:sz w:val="22"/>
                                <w:lang w:val="en-US"/>
                              </w:rPr>
                              <w:t>).</w:t>
                            </w:r>
                          </w:p>
                          <w:p w14:paraId="51B46C83" w14:textId="2353B1A2" w:rsidR="00E82D3B" w:rsidRPr="00487ADB" w:rsidRDefault="00E82D3B" w:rsidP="00E7213F">
                            <w:pPr>
                              <w:jc w:val="both"/>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7" o:spid="_x0000_s1140" type="#_x0000_t202" style="position:absolute;left:0;text-align:left;margin-left:-8.95pt;margin-top:509.05pt;width:441pt;height:180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" filled="f" stroked="f">
                <v:textbox>
                  <w:txbxContent>
                    <w:p w14:paraId="365E2699" w14:textId="013E84F7" w:rsidR="000A1E0D" w:rsidRDefault="000A1E0D" w:rsidP="00E7213F">
                      <w:pPr>
                        <w:jc w:val="both"/>
                        <w:rPr>
                          <w:b/>
                          <w:i/>
                          <w:sz w:val="22"/>
                        </w:rPr>
                      </w:pPr>
                      <w:r w:rsidRPr="00487ADB">
                        <w:rPr>
                          <w:b/>
                          <w:i/>
                          <w:sz w:val="22"/>
                        </w:rPr>
                        <w:t>F</w:t>
                      </w:r>
                      <w:r>
                        <w:rPr>
                          <w:b/>
                          <w:i/>
                          <w:sz w:val="22"/>
                        </w:rPr>
                        <w:t>igure 4.18</w:t>
                      </w:r>
                      <w:r w:rsidRPr="00487ADB">
                        <w:rPr>
                          <w:b/>
                          <w:i/>
                          <w:sz w:val="22"/>
                        </w:rPr>
                        <w:t xml:space="preserve"> Camptothecin plus SRCAP knockdown shows no difference to control cells</w:t>
                      </w:r>
                    </w:p>
                    <w:p w14:paraId="54FB8F47" w14:textId="6A551086" w:rsidR="000A1E0D" w:rsidRDefault="000A1E0D" w:rsidP="00E7213F">
                      <w:pPr>
                        <w:jc w:val="both"/>
                        <w:rPr>
                          <w:i/>
                          <w:sz w:val="22"/>
                        </w:rPr>
                      </w:pPr>
                      <w:r w:rsidRPr="00487ADB">
                        <w:rPr>
                          <w:i/>
                          <w:sz w:val="22"/>
                        </w:rPr>
                        <w:t xml:space="preserve">a.) HCT116 cells were seeded in a 96 well plate, transfected with control or SRCAP siRNA for 48hrs then differing concentrations of Camptothecin added for 4 days. </w:t>
                      </w:r>
                      <w:r>
                        <w:rPr>
                          <w:i/>
                          <w:sz w:val="22"/>
                        </w:rPr>
                        <w:t xml:space="preserve">The surviving fraction was calculated from the OD values and the above graphs show the mean and standard deviations from three repeats. Using a Kruskal-Wallis test there was no significant difference between any of the groups at any of the concentrations </w:t>
                      </w:r>
                      <w:r>
                        <w:rPr>
                          <w:rFonts w:ascii="Cambria" w:hAnsi="Cambria"/>
                          <w:i/>
                          <w:sz w:val="22"/>
                        </w:rPr>
                        <w:t>(2.5-p=0.8261, 5-p=0.6529, 10-p=0.5249, 25-p=0.8699), or any differences when individual comparisons were made between the siRNA and the control.</w:t>
                      </w:r>
                    </w:p>
                    <w:p w14:paraId="66ABD2F5" w14:textId="2C3BF7E3" w:rsidR="000A1E0D" w:rsidRDefault="000A1E0D" w:rsidP="00B41D92">
                      <w:pPr>
                        <w:jc w:val="both"/>
                        <w:rPr>
                          <w:i/>
                          <w:sz w:val="22"/>
                        </w:rPr>
                      </w:pPr>
                      <w:r>
                        <w:rPr>
                          <w:i/>
                          <w:sz w:val="22"/>
                        </w:rPr>
                        <w:t xml:space="preserve">b.) Using the same experimental parameters as above, there was also no significant difference overall in cell survival in SW480 cells concentrations </w:t>
                      </w:r>
                      <w:r>
                        <w:rPr>
                          <w:rFonts w:ascii="Cambria" w:hAnsi="Cambria"/>
                          <w:i/>
                          <w:sz w:val="22"/>
                        </w:rPr>
                        <w:t>(2.5-p=0.1835, 5-p=0.1209, 10-p=0.5606, 25-p=0.4761). However, individually assessing the siRNA vs. control showed a significant resistance to the treatment when SRCAP was knocked down with si7 at 5μ</w:t>
                      </w:r>
                      <w:r>
                        <w:rPr>
                          <w:i/>
                          <w:sz w:val="22"/>
                        </w:rPr>
                        <w:t>M (</w:t>
                      </w:r>
                      <w:r w:rsidRPr="00841AD4">
                        <w:rPr>
                          <w:i/>
                          <w:sz w:val="22"/>
                          <w:lang w:val="en-US"/>
                        </w:rPr>
                        <w:t>*=p≤0.05</w:t>
                      </w:r>
                      <w:r>
                        <w:rPr>
                          <w:i/>
                          <w:sz w:val="22"/>
                          <w:lang w:val="en-US"/>
                        </w:rPr>
                        <w:t>).</w:t>
                      </w:r>
                    </w:p>
                    <w:p w14:paraId="51B46C83" w14:textId="2353B1A2" w:rsidR="000A1E0D" w:rsidRPr="00487ADB" w:rsidRDefault="000A1E0D" w:rsidP="00E7213F">
                      <w:pPr>
                        <w:jc w:val="both"/>
                        <w:rPr>
                          <w:i/>
                          <w:sz w:val="22"/>
                        </w:rPr>
                      </w:pPr>
                    </w:p>
                  </w:txbxContent>
                </v:textbox>
                <w10:wrap type="square"/>
              </v:shape>
            </w:pict>
          </mc:Fallback>
        </mc:AlternateContent>
      </w:r>
      <w:r w:rsidR="002655C3" w:rsidRPr="002655C3">
        <w:rPr>
          <w:rFonts w:asciiTheme="majorHAnsi" w:hAnsiTheme="majorHAnsi"/>
          <w:noProof/>
          <w:lang w:val="en-US"/>
        </w:rPr>
        <w:drawing>
          <wp:anchor distT="0" distB="0" distL="114300" distR="114300" simplePos="0" relativeHeight="252280832" behindDoc="0" locked="0" layoutInCell="1" allowOverlap="1" wp14:anchorId="73A6BB85" wp14:editId="26CE8BF8">
            <wp:simplePos x="0" y="0"/>
            <wp:positionH relativeFrom="column">
              <wp:posOffset>0</wp:posOffset>
            </wp:positionH>
            <wp:positionV relativeFrom="paragraph">
              <wp:posOffset>4521835</wp:posOffset>
            </wp:positionV>
            <wp:extent cx="5396230" cy="1931670"/>
            <wp:effectExtent l="0" t="0" r="0" b="0"/>
            <wp:wrapSquare wrapText="bothSides"/>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96230" cy="1931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EF5">
        <w:rPr>
          <w:rFonts w:asciiTheme="majorHAnsi" w:hAnsiTheme="majorHAnsi"/>
        </w:rPr>
        <w:t>Irinotecan is a CRC treatment often used simultaneously with 5-FU in the FOLFIRI regime (see introduction), this drug inhibits TOP1 activity resulting in</w:t>
      </w:r>
      <w:r w:rsidR="00AC6D47">
        <w:rPr>
          <w:rFonts w:asciiTheme="majorHAnsi" w:hAnsiTheme="majorHAnsi"/>
        </w:rPr>
        <w:t xml:space="preserve"> DNA DSBs and consequently an inhibition of replication and transcription resulting in cell death </w:t>
      </w:r>
      <w:r w:rsidR="00AC6D47">
        <w:rPr>
          <w:rFonts w:asciiTheme="majorHAnsi" w:hAnsiTheme="majorHAnsi"/>
        </w:rPr>
        <w:fldChar w:fldCharType="begin">
          <w:fldData xml:space="preserve">PEVuZE5vdGU+PENpdGU+PEF1dGhvcj5Sb3RoZW5iZXJnPC9BdXRob3I+PFllYXI+MTk5OTwvWWVh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</w:fldData>
        </w:fldChar>
      </w:r>
      <w:r w:rsidR="00AC6D47">
        <w:rPr>
          <w:rFonts w:asciiTheme="majorHAnsi" w:hAnsiTheme="majorHAnsi"/>
        </w:rPr>
        <w:instrText xml:space="preserve"> ADDIN EN.CITE </w:instrText>
      </w:r>
      <w:r w:rsidR="00AC6D47">
        <w:rPr>
          <w:rFonts w:asciiTheme="majorHAnsi" w:hAnsiTheme="majorHAnsi"/>
        </w:rPr>
        <w:fldChar w:fldCharType="begin">
          <w:fldData xml:space="preserve">PEVuZE5vdGU+PENpdGU+PEF1dGhvcj5Sb3RoZW5iZXJnPC9BdXRob3I+PFllYXI+MTk5OTwvWWVh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</w:fldData>
        </w:fldChar>
      </w:r>
      <w:r w:rsidR="00AC6D47">
        <w:rPr>
          <w:rFonts w:asciiTheme="majorHAnsi" w:hAnsiTheme="majorHAnsi"/>
        </w:rPr>
        <w:instrText xml:space="preserve"> ADDIN EN.CITE.DATA </w:instrText>
      </w:r>
      <w:r w:rsidR="00AC6D47">
        <w:rPr>
          <w:rFonts w:asciiTheme="majorHAnsi" w:hAnsiTheme="majorHAnsi"/>
        </w:rPr>
      </w:r>
      <w:r w:rsidR="00AC6D47">
        <w:rPr>
          <w:rFonts w:asciiTheme="majorHAnsi" w:hAnsiTheme="majorHAnsi"/>
        </w:rPr>
        <w:fldChar w:fldCharType="end"/>
      </w:r>
      <w:r w:rsidR="00AC6D47">
        <w:rPr>
          <w:rFonts w:asciiTheme="majorHAnsi" w:hAnsiTheme="majorHAnsi"/>
        </w:rPr>
      </w:r>
      <w:r w:rsidR="00AC6D47">
        <w:rPr>
          <w:rFonts w:asciiTheme="majorHAnsi" w:hAnsiTheme="majorHAnsi"/>
        </w:rPr>
        <w:fldChar w:fldCharType="separate"/>
      </w:r>
      <w:r w:rsidR="00AC6D47">
        <w:rPr>
          <w:rFonts w:asciiTheme="majorHAnsi" w:hAnsiTheme="majorHAnsi"/>
          <w:noProof/>
        </w:rPr>
        <w:t>(Rothenberg et al., 1999)</w:t>
      </w:r>
      <w:r w:rsidR="00AC6D47">
        <w:rPr>
          <w:rFonts w:asciiTheme="majorHAnsi" w:hAnsiTheme="majorHAnsi"/>
        </w:rPr>
        <w:fldChar w:fldCharType="end"/>
      </w:r>
      <w:r w:rsidR="00146EF5">
        <w:rPr>
          <w:rFonts w:asciiTheme="majorHAnsi" w:hAnsiTheme="majorHAnsi"/>
        </w:rPr>
        <w:t xml:space="preserve">. </w:t>
      </w:r>
      <w:r w:rsidR="00E7213F">
        <w:rPr>
          <w:rFonts w:asciiTheme="majorHAnsi" w:hAnsiTheme="majorHAnsi"/>
        </w:rPr>
        <w:t xml:space="preserve">Camptothecin has been used within these studies as the laboratory derivative </w:t>
      </w:r>
      <w:r w:rsidR="00084555">
        <w:rPr>
          <w:rFonts w:asciiTheme="majorHAnsi" w:hAnsiTheme="majorHAnsi"/>
        </w:rPr>
        <w:t>of</w:t>
      </w:r>
      <w:r w:rsidR="00E7213F">
        <w:rPr>
          <w:rFonts w:asciiTheme="majorHAnsi" w:hAnsiTheme="majorHAnsi"/>
        </w:rPr>
        <w:t xml:space="preserve"> the clinically used colorectal cancer treatment drug Irinotecan. Camptothecin showed promising outcomes as a treatment for lung and skin cancer, among others, in the early 1970s. However, due to severe toxic effects, analogues more suitable for human use were needed, and thus irinotecan was developed </w:t>
      </w:r>
      <w:r w:rsidR="00E7213F">
        <w:rPr>
          <w:rFonts w:asciiTheme="majorHAnsi" w:hAnsiTheme="majorHAnsi"/>
        </w:rPr>
        <w:fldChar w:fldCharType="begin"/>
      </w:r>
      <w:r w:rsidR="00E7213F">
        <w:rPr>
          <w:rFonts w:asciiTheme="majorHAnsi" w:hAnsiTheme="majorHAnsi"/>
        </w:rPr>
        <w:instrText xml:space="preserve"> ADDIN EN.CITE &lt;EndNote&gt;&lt;Cite&gt;&lt;Author&gt;Creemers&lt;/Author&gt;&lt;Year&gt;1994&lt;/Year&gt;&lt;IDText&gt;Topoisomerase I inhibitors: topotecan and irenotecan&lt;/IDText&gt;&lt;DisplayText&gt;(Creemers et al., 1994)&lt;/DisplayText&gt;&lt;record&gt;&lt;dates&gt;&lt;pub-dates&gt;&lt;date&gt;Jan&lt;/date&gt;&lt;/pub-dates&gt;&lt;year&gt;1994&lt;/year&gt;&lt;/dates&gt;&lt;keywords&gt;&lt;keyword&gt;Antineoplastic Agents&lt;/keyword&gt;&lt;keyword&gt;Antineoplastic Agents, Phytogenic&lt;/keyword&gt;&lt;keyword&gt;Antineoplastic Combined Chemotherapy Protocols&lt;/keyword&gt;&lt;keyword&gt;Camptothecin&lt;/keyword&gt;&lt;keyword&gt;Combined Modality Therapy&lt;/keyword&gt;&lt;keyword&gt;Drug Resistance&lt;/keyword&gt;&lt;keyword&gt;Humans&lt;/keyword&gt;&lt;keyword&gt;Neoplasms&lt;/keyword&gt;&lt;keyword&gt;Topoisomerase I Inhibitors&lt;/keyword&gt;&lt;keyword&gt;Topotecan&lt;/keyword&gt;&lt;/keywords&gt;&lt;urls&gt;&lt;related-urls&gt;&lt;url&gt;https://www.ncbi.nlm.nih.gov/pubmed/8293429&lt;/url&gt;&lt;/related-urls&gt;&lt;/urls&gt;&lt;isbn&gt;0305-7372&lt;/isbn&gt;&lt;titles&gt;&lt;title&gt;Topoisomerase I inhibitors: topotecan and irenotecan&lt;/title&gt;&lt;secondary-title&gt;Cancer Treat Rev&lt;/secondary-title&gt;&lt;/titles&gt;&lt;pages&gt;73-96&lt;/pages&gt;&lt;number&gt;1&lt;/number&gt;&lt;contributors&gt;&lt;authors&gt;&lt;author&gt;Creemers, G. J.&lt;/author&gt;&lt;author&gt;Lund, B.&lt;/author&gt;&lt;author&gt;Verweij, J.&lt;/author&gt;&lt;/authors&gt;&lt;/contributors&gt;&lt;language&gt;eng&lt;/language&gt;&lt;added-date format="utc"&gt;1501496990&lt;/added-date&gt;&lt;ref-type name="Journal Article"&gt;17&lt;/ref-type&gt;&lt;rec-number&gt;215&lt;/rec-number&gt;&lt;last-updated-date format="utc"&gt;1501496990&lt;/last-updated-date&gt;&lt;accession-num&gt;8293429&lt;/accession-num&gt;&lt;volume&gt;20&lt;/volume&gt;&lt;/record&gt;&lt;/Cite&gt;&lt;/EndNote&gt;</w:instrText>
      </w:r>
      <w:r w:rsidR="00E7213F">
        <w:rPr>
          <w:rFonts w:asciiTheme="majorHAnsi" w:hAnsiTheme="majorHAnsi"/>
        </w:rPr>
        <w:fldChar w:fldCharType="separate"/>
      </w:r>
      <w:r w:rsidR="00E7213F">
        <w:rPr>
          <w:rFonts w:asciiTheme="majorHAnsi" w:hAnsiTheme="majorHAnsi"/>
          <w:noProof/>
        </w:rPr>
        <w:t>(Creemers et al., 1994)</w:t>
      </w:r>
      <w:r w:rsidR="00E7213F">
        <w:rPr>
          <w:rFonts w:asciiTheme="majorHAnsi" w:hAnsiTheme="majorHAnsi"/>
        </w:rPr>
        <w:fldChar w:fldCharType="end"/>
      </w:r>
      <w:r w:rsidR="00AC6D47">
        <w:rPr>
          <w:rFonts w:asciiTheme="majorHAnsi" w:hAnsiTheme="majorHAnsi"/>
        </w:rPr>
        <w:t xml:space="preserve">. </w:t>
      </w:r>
      <w:r w:rsidR="00E7213F">
        <w:rPr>
          <w:rFonts w:asciiTheme="majorHAnsi" w:hAnsiTheme="majorHAnsi"/>
        </w:rPr>
        <w:t xml:space="preserve">Therefore, we examined SRCAP depletion along with camptothecin to assess if the potential effect of TP53 extended to other clinically used drugs. Unfortunately even though the doses in an MTT survival assay showed a 70% decrease in cell survival, this was unchanged whether </w:t>
      </w:r>
      <w:r w:rsidR="00E7213F" w:rsidRPr="00BE6581">
        <w:rPr>
          <w:rFonts w:asciiTheme="majorHAnsi" w:hAnsiTheme="majorHAnsi"/>
          <w:i/>
        </w:rPr>
        <w:t>SRCAP</w:t>
      </w:r>
      <w:r w:rsidR="00E7213F">
        <w:rPr>
          <w:rFonts w:asciiTheme="majorHAnsi" w:hAnsiTheme="majorHAnsi"/>
        </w:rPr>
        <w:t xml:space="preserve"> was at normal levels or knocked down in </w:t>
      </w:r>
      <w:r w:rsidR="00B41D92">
        <w:rPr>
          <w:rFonts w:asciiTheme="majorHAnsi" w:hAnsiTheme="majorHAnsi"/>
        </w:rPr>
        <w:t xml:space="preserve">HCT116 </w:t>
      </w:r>
      <w:r w:rsidR="00E7213F">
        <w:rPr>
          <w:rFonts w:asciiTheme="majorHAnsi" w:hAnsiTheme="majorHAnsi"/>
        </w:rPr>
        <w:t xml:space="preserve">(Figure 4.18).  </w:t>
      </w:r>
      <w:r w:rsidR="00B41D92">
        <w:rPr>
          <w:rFonts w:asciiTheme="majorHAnsi" w:hAnsiTheme="majorHAnsi"/>
        </w:rPr>
        <w:t>In SW480 cells however, there was a significant difference in control and si7 at 5</w:t>
      </w:r>
      <w:r w:rsidR="00B41D92" w:rsidRPr="00B41D92">
        <w:rPr>
          <w:rFonts w:asciiTheme="majorHAnsi" w:hAnsiTheme="majorHAnsi"/>
        </w:rPr>
        <w:t>μM</w:t>
      </w:r>
      <w:r w:rsidR="004E4248">
        <w:rPr>
          <w:rFonts w:asciiTheme="majorHAnsi" w:hAnsiTheme="majorHAnsi"/>
        </w:rPr>
        <w:t xml:space="preserve">, however the trend of the assay was similar whether SRCAP was knocked down or not, and so further follow up experiments were not conducted. </w:t>
      </w:r>
    </w:p>
    <w:p w14:paraId="36FADAB3" w14:textId="55B420D0" w:rsidR="00E7213F" w:rsidRDefault="00E7213F" w:rsidP="00E7213F">
      <w:pPr>
        <w:spacing w:line="360" w:lineRule="auto"/>
        <w:jc w:val="both"/>
        <w:rPr>
          <w:rFonts w:asciiTheme="majorHAnsi" w:hAnsiTheme="majorHAnsi"/>
        </w:rPr>
      </w:pPr>
      <w:r>
        <w:rPr>
          <w:rFonts w:asciiTheme="majorHAnsi" w:hAnsiTheme="majorHAnsi"/>
        </w:rPr>
        <w:t xml:space="preserve">Although camptothecin derivatives are effective on their own and in combination, there is still a need for further novel mechanisms that can be combined to improve efficacy. We could not find reports in the literature on how camptothecin responsiveness is affected by chromatin remodelling complexes. However, it could be presumed that a more open and relaxed chromatin architecture, such as when H2A.Z is being deposited in chromatin, allows the drug to bind to the DNA cleavage complexes and cause TOP1 inhibition more easily. However, the unaltered cell survival when </w:t>
      </w:r>
      <w:r w:rsidRPr="00BE6581">
        <w:rPr>
          <w:rFonts w:asciiTheme="majorHAnsi" w:hAnsiTheme="majorHAnsi"/>
          <w:i/>
        </w:rPr>
        <w:t>SRCAP</w:t>
      </w:r>
      <w:r>
        <w:rPr>
          <w:rFonts w:asciiTheme="majorHAnsi" w:hAnsiTheme="majorHAnsi"/>
        </w:rPr>
        <w:t xml:space="preserve"> is knocked down (Figure 4.18), suggests that Camptothecin and its derivatives may not depend on chromatin remodelling in order to gain access to the DNA. One group did conduct a siRNA screen to reveal novel regulators that would improve the efficacy of TOP1 inhibitors and histone/nucleosome remodelers did not appear within the pathways that were enriched. Most significant were DNA repair and cell cycle regulators, specifically </w:t>
      </w:r>
      <w:r w:rsidRPr="00BE6581">
        <w:rPr>
          <w:rFonts w:asciiTheme="majorHAnsi" w:hAnsiTheme="majorHAnsi"/>
          <w:i/>
        </w:rPr>
        <w:t>ATR</w:t>
      </w:r>
      <w:r>
        <w:rPr>
          <w:rFonts w:asciiTheme="majorHAnsi" w:hAnsiTheme="majorHAnsi"/>
        </w:rPr>
        <w:t xml:space="preserve">, with which they found an enhanced tumour response when an ATR inhibitor was used in combination with irinotecan </w:t>
      </w:r>
      <w:r>
        <w:rPr>
          <w:rFonts w:asciiTheme="majorHAnsi" w:hAnsiTheme="majorHAnsi"/>
        </w:rPr>
        <w:fldChar w:fldCharType="begin">
          <w:fldData xml:space="preserve">PEVuZE5vdGU+PENpdGU+PEF1dGhvcj5Kb3Nzw6k8L0F1dGhvcj48WWVhcj4yMDE0PC9ZZWFyPjxJ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PEVuZE5vdGU+PENpdGU+PEF1dGhvcj5Kb3Nzw6k8L0F1dGhvcj48WWVhcj4yMDE0PC9ZZWFyPjxJ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(Jossé et al., 2014)</w:t>
      </w:r>
      <w:r>
        <w:rPr>
          <w:rFonts w:asciiTheme="majorHAnsi" w:hAnsiTheme="majorHAnsi"/>
        </w:rPr>
        <w:fldChar w:fldCharType="end"/>
      </w:r>
      <w:r>
        <w:rPr>
          <w:rFonts w:asciiTheme="majorHAnsi" w:hAnsiTheme="majorHAnsi"/>
        </w:rPr>
        <w:t xml:space="preserve">. </w:t>
      </w:r>
    </w:p>
    <w:p w14:paraId="19895DFD" w14:textId="77777777" w:rsidR="00AC6D47" w:rsidRDefault="00AC6D47" w:rsidP="00AC6D47">
      <w:pPr>
        <w:pStyle w:val="ListParagraph"/>
        <w:spacing w:line="360" w:lineRule="auto"/>
        <w:jc w:val="both"/>
        <w:rPr>
          <w:rFonts w:asciiTheme="majorHAnsi" w:hAnsiTheme="majorHAnsi"/>
          <w:b/>
          <w:i/>
        </w:rPr>
      </w:pPr>
    </w:p>
    <w:p w14:paraId="61514D72" w14:textId="6B9BE51A" w:rsidR="00E7213F" w:rsidRPr="00903264" w:rsidRDefault="00E7213F" w:rsidP="00E6223C">
      <w:pPr>
        <w:pStyle w:val="ListParagraph"/>
        <w:numPr>
          <w:ilvl w:val="0"/>
          <w:numId w:val="3"/>
        </w:numPr>
        <w:spacing w:line="360" w:lineRule="auto"/>
        <w:jc w:val="both"/>
        <w:rPr>
          <w:rFonts w:asciiTheme="majorHAnsi" w:hAnsiTheme="majorHAnsi"/>
          <w:b/>
          <w:i/>
        </w:rPr>
      </w:pPr>
      <w:r w:rsidRPr="00903264">
        <w:rPr>
          <w:rFonts w:asciiTheme="majorHAnsi" w:hAnsiTheme="majorHAnsi"/>
          <w:b/>
          <w:i/>
        </w:rPr>
        <w:t>Oxaliplatin/Cisplatin</w:t>
      </w:r>
    </w:p>
    <w:p w14:paraId="7FF6D37C" w14:textId="24725FB2" w:rsidR="00E7213F" w:rsidRDefault="00AC6D47" w:rsidP="00E7213F">
      <w:pPr>
        <w:spacing w:line="360" w:lineRule="auto"/>
        <w:jc w:val="both"/>
        <w:rPr>
          <w:rFonts w:ascii="Calibri" w:hAnsi="Calibri"/>
        </w:rPr>
      </w:pPr>
      <w:r>
        <w:rPr>
          <w:rFonts w:ascii="Calibri" w:hAnsi="Calibri"/>
        </w:rPr>
        <w:t xml:space="preserve">A further drug combination regime used in the clinical setting is FOLFOX, 5-FU plus the use of oxaliplatin, a platinum compound which form cross linking structures within the DNA to disrupt replication and transcription (see introduction for in depth discussion of oxaliplatin.) </w:t>
      </w:r>
      <w:r w:rsidR="00BC7586">
        <w:rPr>
          <w:rFonts w:ascii="Calibri" w:hAnsi="Calibri"/>
        </w:rPr>
        <w:t>Cisplatin is also a platinum compound but has higher toxicity levels, especially renal toxicity, and many tumours began to show cisplatin resistance, so it was therefore chemically adapted to oxaliplatin in order for use in patients</w:t>
      </w:r>
      <w:r>
        <w:rPr>
          <w:rFonts w:ascii="Calibri" w:hAnsi="Calibri"/>
        </w:rPr>
        <w:t xml:space="preserve"> </w:t>
      </w:r>
      <w:r w:rsidR="00510387">
        <w:rPr>
          <w:rFonts w:ascii="Calibri" w:hAnsi="Calibri"/>
        </w:rPr>
        <w:fldChar w:fldCharType="begin"/>
      </w:r>
      <w:r w:rsidR="00510387">
        <w:rPr>
          <w:rFonts w:ascii="Calibri" w:hAnsi="Calibri"/>
        </w:rPr>
        <w:instrText xml:space="preserve"> ADDIN EN.CITE &lt;EndNote&gt;&lt;Cite&gt;&lt;Author&gt;Mohelnikova-Duchonova&lt;/Author&gt;&lt;Year&gt;2014&lt;/Year&gt;&lt;IDText&gt;FOLFOX/FOLFIRI pharmacogenetics: the call for a personalized approach in colorectal cancer therapy&lt;/IDText&gt;&lt;DisplayText&gt;(Mohelnikova-Duchonova et al., 2014)&lt;/DisplayText&gt;&lt;record&gt;&lt;dates&gt;&lt;pub-dates&gt;&lt;date&gt;Aug&lt;/date&gt;&lt;/pub-dates&gt;&lt;year&gt;2014&lt;/year&gt;&lt;/dates&gt;&lt;keywords&gt;&lt;keyword&gt;Antineoplastic Combined Chemotherapy Protocols&lt;/keyword&gt;&lt;keyword&gt;Biomarkers, Tumor&lt;/keyword&gt;&lt;keyword&gt;Biotransformation&lt;/keyword&gt;&lt;keyword&gt;Camptothecin&lt;/keyword&gt;&lt;keyword&gt;Colorectal Neoplasms&lt;/keyword&gt;&lt;keyword&gt;Drug Resistance, Neoplasm&lt;/keyword&gt;&lt;keyword&gt;Fluorouracil&lt;/keyword&gt;&lt;keyword&gt;Humans&lt;/keyword&gt;&lt;keyword&gt;Leucovorin&lt;/keyword&gt;&lt;keyword&gt;Organoplatinum Compounds&lt;/keyword&gt;&lt;keyword&gt;Pharmacogenetics&lt;/keyword&gt;&lt;keyword&gt;Phenotype&lt;/keyword&gt;&lt;keyword&gt;Precision Medicine&lt;/keyword&gt;&lt;keyword&gt;Treatment Outcome&lt;/keyword&gt;&lt;/keywords&gt;&lt;urls&gt;&lt;related-urls&gt;&lt;url&gt;https://www.ncbi.nlm.nih.gov/pubmed/25132748&lt;/url&gt;&lt;/related-urls&gt;&lt;/urls&gt;&lt;isbn&gt;2219-2840&lt;/isbn&gt;&lt;custom2&gt;PMC4130839&lt;/custom2&gt;&lt;titles&gt;&lt;title&gt;FOLFOX/FOLFIRI pharmacogenetics: the call for a personalized approach in colorectal cancer therapy&lt;/title&gt;&lt;secondary-title&gt;World J Gastroenterol&lt;/secondary-title&gt;&lt;/titles&gt;&lt;pages&gt;10316-30&lt;/pages&gt;&lt;number&gt;30&lt;/number&gt;&lt;contributors&gt;&lt;authors&gt;&lt;author&gt;Mohelnikova-Duchonova, B.&lt;/author&gt;&lt;author&gt;Melichar, B.&lt;/author&gt;&lt;author&gt;Soucek, P.&lt;/author&gt;&lt;/authors&gt;&lt;/contributors&gt;&lt;language&gt;eng&lt;/language&gt;&lt;added-date format="utc"&gt;1505386440&lt;/added-date&gt;&lt;ref-type name="Journal Article"&gt;17&lt;/ref-type&gt;&lt;rec-number&gt;277&lt;/rec-number&gt;&lt;last-updated-date format="utc"&gt;1505386440&lt;/last-updated-date&gt;&lt;accession-num&gt;25132748&lt;/accession-num&gt;&lt;electronic-resource-num&gt;10.3748/wjg.v20.i30.10316&lt;/electronic-resource-num&gt;&lt;volume&gt;20&lt;/volume&gt;&lt;/record&gt;&lt;/Cite&gt;&lt;/EndNote&gt;</w:instrText>
      </w:r>
      <w:r w:rsidR="00510387">
        <w:rPr>
          <w:rFonts w:ascii="Calibri" w:hAnsi="Calibri"/>
        </w:rPr>
        <w:fldChar w:fldCharType="separate"/>
      </w:r>
      <w:r w:rsidR="00510387">
        <w:rPr>
          <w:rFonts w:ascii="Calibri" w:hAnsi="Calibri"/>
          <w:noProof/>
        </w:rPr>
        <w:t>(Mohelnikova-Duchonova et al., 2014)</w:t>
      </w:r>
      <w:r w:rsidR="00510387">
        <w:rPr>
          <w:rFonts w:ascii="Calibri" w:hAnsi="Calibri"/>
        </w:rPr>
        <w:fldChar w:fldCharType="end"/>
      </w:r>
      <w:r>
        <w:rPr>
          <w:rFonts w:ascii="Calibri" w:hAnsi="Calibri"/>
        </w:rPr>
        <w:t xml:space="preserve">. In these experiments cisplatin will be used as the laboratory derivative of oxaliplatin. </w:t>
      </w:r>
      <w:r w:rsidR="00E7213F">
        <w:rPr>
          <w:rFonts w:ascii="Calibri" w:hAnsi="Calibri"/>
        </w:rPr>
        <w:t xml:space="preserve">When CRC cells were subjected to cisplatin treatment in a MTT assay alongside </w:t>
      </w:r>
      <w:r w:rsidR="00E7213F" w:rsidRPr="00BE6581">
        <w:rPr>
          <w:rFonts w:ascii="Calibri" w:hAnsi="Calibri"/>
          <w:i/>
        </w:rPr>
        <w:t>SRCAP</w:t>
      </w:r>
      <w:r w:rsidR="002E39A4">
        <w:rPr>
          <w:rFonts w:ascii="Calibri" w:hAnsi="Calibri"/>
        </w:rPr>
        <w:t xml:space="preserve"> knock</w:t>
      </w:r>
      <w:r w:rsidR="00E7213F">
        <w:rPr>
          <w:rFonts w:ascii="Calibri" w:hAnsi="Calibri"/>
        </w:rPr>
        <w:t xml:space="preserve">down the HCT116 cells showed sensitivity compared to control cells with normal levels of </w:t>
      </w:r>
      <w:r w:rsidR="00E7213F" w:rsidRPr="00BE6581">
        <w:rPr>
          <w:rFonts w:ascii="Calibri" w:hAnsi="Calibri"/>
          <w:i/>
        </w:rPr>
        <w:t>SRCAP</w:t>
      </w:r>
      <w:r w:rsidR="00E7213F">
        <w:rPr>
          <w:rFonts w:ascii="Calibri" w:hAnsi="Calibri"/>
        </w:rPr>
        <w:t xml:space="preserve"> (Figure 4.19a). In contrast, the SW480 cells showed resistance when </w:t>
      </w:r>
      <w:r w:rsidR="00E7213F" w:rsidRPr="00BE6581">
        <w:rPr>
          <w:rFonts w:ascii="Calibri" w:hAnsi="Calibri"/>
          <w:i/>
        </w:rPr>
        <w:t>SRCAP</w:t>
      </w:r>
      <w:r w:rsidR="00E7213F">
        <w:rPr>
          <w:rFonts w:ascii="Calibri" w:hAnsi="Calibri"/>
        </w:rPr>
        <w:t xml:space="preserve"> was depleted (Figure 4.19b)</w:t>
      </w:r>
      <w:r w:rsidR="003377D3">
        <w:rPr>
          <w:rFonts w:ascii="Calibri" w:hAnsi="Calibri"/>
        </w:rPr>
        <w:t>;</w:t>
      </w:r>
      <w:r w:rsidR="00E7213F">
        <w:rPr>
          <w:rFonts w:ascii="Calibri" w:hAnsi="Calibri"/>
        </w:rPr>
        <w:t xml:space="preserve"> cisplatin treatment of the cell model therefore followed the same pattern of response as when 5-FU was used.</w:t>
      </w:r>
      <w:r>
        <w:rPr>
          <w:rFonts w:ascii="Calibri" w:hAnsi="Calibri"/>
        </w:rPr>
        <w:t xml:space="preserve"> </w:t>
      </w:r>
      <w:r w:rsidR="00E7213F">
        <w:rPr>
          <w:rFonts w:ascii="Calibri" w:hAnsi="Calibri"/>
        </w:rPr>
        <w:t xml:space="preserve">In the same way as with 5-FU treatment, a clonogenic assay was carried out to verify the results. And indeed, the HCT116 cells transfected with </w:t>
      </w:r>
      <w:r w:rsidR="00E7213F" w:rsidRPr="00BE6581">
        <w:rPr>
          <w:rFonts w:ascii="Calibri" w:hAnsi="Calibri"/>
          <w:i/>
        </w:rPr>
        <w:t>SRCAP</w:t>
      </w:r>
      <w:r w:rsidR="003377D3">
        <w:rPr>
          <w:rFonts w:ascii="Calibri" w:hAnsi="Calibri"/>
        </w:rPr>
        <w:t xml:space="preserve"> siRNA showed significant sensitivity, although only with si7 </w:t>
      </w:r>
      <w:r w:rsidR="00E7213F">
        <w:rPr>
          <w:rFonts w:ascii="Calibri" w:hAnsi="Calibri"/>
        </w:rPr>
        <w:t xml:space="preserve">(Figure 4.20a). However, </w:t>
      </w:r>
      <w:r w:rsidR="00E7213F" w:rsidRPr="00BE6581">
        <w:rPr>
          <w:rFonts w:ascii="Calibri" w:hAnsi="Calibri"/>
          <w:i/>
        </w:rPr>
        <w:t>SRCAP</w:t>
      </w:r>
      <w:r w:rsidR="00E7213F">
        <w:rPr>
          <w:rFonts w:ascii="Calibri" w:hAnsi="Calibri"/>
        </w:rPr>
        <w:t xml:space="preserve"> knockdown in SW480 cells showed no difference in cisplatin sensitivity compared to control cells (Figure 4.20b). </w:t>
      </w:r>
    </w:p>
    <w:p w14:paraId="3B1C3B20" w14:textId="374EBCEE" w:rsidR="00E7213F" w:rsidRDefault="00406577" w:rsidP="00E7213F">
      <w:pPr>
        <w:spacing w:line="360" w:lineRule="auto"/>
        <w:jc w:val="both"/>
        <w:rPr>
          <w:rFonts w:ascii="Calibri" w:hAnsi="Calibri"/>
        </w:rPr>
      </w:pPr>
      <w:r>
        <w:rPr>
          <w:rFonts w:ascii="Calibri" w:hAnsi="Calibri"/>
          <w:noProof/>
          <w:lang w:val="en-US"/>
        </w:rPr>
        <mc:AlternateContent>
          <mc:Choice Requires="wps">
            <w:drawing>
              <wp:anchor distT="0" distB="0" distL="114300" distR="114300" simplePos="0" relativeHeight="251808768" behindDoc="0" locked="0" layoutInCell="1" allowOverlap="1" wp14:anchorId="3B52839C" wp14:editId="02245DAE">
                <wp:simplePos x="0" y="0"/>
                <wp:positionH relativeFrom="column">
                  <wp:posOffset>0</wp:posOffset>
                </wp:positionH>
                <wp:positionV relativeFrom="paragraph">
                  <wp:posOffset>2527935</wp:posOffset>
                </wp:positionV>
                <wp:extent cx="5372100" cy="2857500"/>
                <wp:effectExtent l="0" t="0" r="0" b="12700"/>
                <wp:wrapSquare wrapText="bothSides"/>
                <wp:docPr id="140" name="Text Box 140"/>
                <wp:cNvGraphicFramePr/>
                <a:graphic xmlns:a="http://schemas.openxmlformats.org/drawingml/2006/main">
                  <a:graphicData uri="http://schemas.microsoft.com/office/word/2010/wordprocessingShape">
                    <wps:wsp>
                      <wps:cNvSpPr txBox="1"/>
                      <wps:spPr>
                        <a:xfrm>
                          <a:off x="0" y="0"/>
                          <a:ext cx="53721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B3AFA4" w14:textId="77777777" w:rsidR="00E82D3B" w:rsidRDefault="00E82D3B" w:rsidP="00E7213F">
                            <w:pPr>
                              <w:jc w:val="both"/>
                              <w:rPr>
                                <w:b/>
                                <w:i/>
                                <w:sz w:val="22"/>
                              </w:rPr>
                            </w:pPr>
                            <w:r w:rsidRPr="00FE293F">
                              <w:rPr>
                                <w:b/>
                                <w:i/>
                                <w:sz w:val="22"/>
                              </w:rPr>
                              <w:t>F</w:t>
                            </w:r>
                            <w:r>
                              <w:rPr>
                                <w:b/>
                                <w:i/>
                                <w:sz w:val="22"/>
                              </w:rPr>
                              <w:t>igure 4.19</w:t>
                            </w:r>
                            <w:r w:rsidRPr="00FE293F">
                              <w:rPr>
                                <w:b/>
                                <w:i/>
                                <w:sz w:val="22"/>
                              </w:rPr>
                              <w:t xml:space="preserve"> MTT cell survival data follows same trend of resistance/sensitisation as was shown with 5-FU</w:t>
                            </w:r>
                          </w:p>
                          <w:p w14:paraId="3565D615" w14:textId="4A8DE9C1" w:rsidR="00E82D3B" w:rsidRDefault="00E82D3B" w:rsidP="00E7213F">
                            <w:pPr>
                              <w:jc w:val="both"/>
                              <w:rPr>
                                <w:i/>
                                <w:sz w:val="22"/>
                              </w:rPr>
                            </w:pPr>
                            <w:r>
                              <w:rPr>
                                <w:i/>
                                <w:sz w:val="22"/>
                              </w:rPr>
                              <w:t>a.) HCT116 cells were seeded in a 96 well plate, transfected with control or SRCAP siRNA for 48hrs then increasing concentrations of cisplatin added for 4 days. Surviving fraction was calculated from the OD values and the graphs show the mean and standard deviation from three repeats. Using a Kruskal-Wallis test there was an overall significant difference at every concentration apart from 1</w:t>
                            </w:r>
                            <w:r>
                              <w:rPr>
                                <w:rFonts w:ascii="Cambria" w:hAnsi="Cambria"/>
                                <w:i/>
                                <w:sz w:val="22"/>
                              </w:rPr>
                              <w:t>μ</w:t>
                            </w:r>
                            <w:r>
                              <w:rPr>
                                <w:i/>
                                <w:sz w:val="22"/>
                              </w:rPr>
                              <w:t xml:space="preserve">M </w:t>
                            </w:r>
                            <w:r>
                              <w:rPr>
                                <w:rFonts w:ascii="Cambria" w:hAnsi="Cambria"/>
                                <w:i/>
                                <w:sz w:val="22"/>
                              </w:rPr>
                              <w:t xml:space="preserve">(1-p=0.4269, 2.5-p=0.0165, 5-p=0.0071, 10-p=0.0027), the significance stars on the graphs show the individual comparisons made between the siRNA and the control, highlighting a sensitisation when SRCAP was knocked down </w:t>
                            </w:r>
                            <w:r>
                              <w:rPr>
                                <w:i/>
                                <w:sz w:val="22"/>
                              </w:rPr>
                              <w:t>(</w:t>
                            </w:r>
                            <w:r w:rsidRPr="00841AD4">
                              <w:rPr>
                                <w:i/>
                                <w:sz w:val="22"/>
                                <w:lang w:val="en-US"/>
                              </w:rPr>
                              <w:t>*=p≤0.05</w:t>
                            </w:r>
                            <w:r>
                              <w:rPr>
                                <w:i/>
                                <w:sz w:val="22"/>
                                <w:lang w:val="en-US"/>
                              </w:rPr>
                              <w:t>).</w:t>
                            </w:r>
                          </w:p>
                          <w:p w14:paraId="1ED2C39D" w14:textId="2A726CA2" w:rsidR="00E82D3B" w:rsidRDefault="00E82D3B" w:rsidP="00E7213F">
                            <w:pPr>
                              <w:jc w:val="both"/>
                              <w:rPr>
                                <w:i/>
                                <w:sz w:val="22"/>
                              </w:rPr>
                            </w:pPr>
                            <w:r>
                              <w:rPr>
                                <w:i/>
                                <w:sz w:val="22"/>
                              </w:rPr>
                              <w:t>b.) SW480 cells were subjected to the same experimental procedure as above and showed a significant resistance to cisplatin when SRCAP was knocked down. Using a Kruskal-Wallis test there was overall significance between the groups at 2.5 and 10</w:t>
                            </w:r>
                            <w:r>
                              <w:rPr>
                                <w:rFonts w:ascii="Cambria" w:hAnsi="Cambria"/>
                                <w:i/>
                                <w:sz w:val="22"/>
                              </w:rPr>
                              <w:t>μ</w:t>
                            </w:r>
                            <w:r>
                              <w:rPr>
                                <w:i/>
                                <w:sz w:val="22"/>
                              </w:rPr>
                              <w:t xml:space="preserve">M </w:t>
                            </w:r>
                            <w:r>
                              <w:rPr>
                                <w:rFonts w:ascii="Cambria" w:hAnsi="Cambria"/>
                                <w:i/>
                                <w:sz w:val="22"/>
                              </w:rPr>
                              <w:t>(1-p=0.3553, 2.5-p=0.0214, 5-p=0.0819, 10-p=0.0021), and multiple comparisons between the individual siRNA and the control again gave significance at those concentrations as can be seen by the significance stars on the graph</w:t>
                            </w:r>
                            <w:r>
                              <w:rPr>
                                <w:i/>
                                <w:sz w:val="22"/>
                              </w:rPr>
                              <w:t xml:space="preserve"> (</w:t>
                            </w:r>
                            <w:r w:rsidRPr="00841AD4">
                              <w:rPr>
                                <w:i/>
                                <w:sz w:val="22"/>
                                <w:lang w:val="en-US"/>
                              </w:rPr>
                              <w:t>*=p≤0.05</w:t>
                            </w:r>
                            <w:r>
                              <w:rPr>
                                <w:i/>
                                <w:sz w:val="22"/>
                                <w:lang w:val="en-US"/>
                              </w:rPr>
                              <w:t>).</w:t>
                            </w:r>
                          </w:p>
                          <w:p w14:paraId="16A72BAA" w14:textId="77777777" w:rsidR="00E82D3B" w:rsidRPr="00FE293F" w:rsidRDefault="00E82D3B" w:rsidP="00E7213F">
                            <w:pPr>
                              <w:jc w:val="both"/>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0" o:spid="_x0000_s1141" type="#_x0000_t202" style="position:absolute;left:0;text-align:left;margin-left:0;margin-top:199.05pt;width:423pt;height:22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" filled="f" stroked="f">
                <v:textbox>
                  <w:txbxContent>
                    <w:p w14:paraId="11B3AFA4" w14:textId="77777777" w:rsidR="000A1E0D" w:rsidRDefault="000A1E0D" w:rsidP="00E7213F">
                      <w:pPr>
                        <w:jc w:val="both"/>
                        <w:rPr>
                          <w:b/>
                          <w:i/>
                          <w:sz w:val="22"/>
                        </w:rPr>
                      </w:pPr>
                      <w:r w:rsidRPr="00FE293F">
                        <w:rPr>
                          <w:b/>
                          <w:i/>
                          <w:sz w:val="22"/>
                        </w:rPr>
                        <w:t>F</w:t>
                      </w:r>
                      <w:r>
                        <w:rPr>
                          <w:b/>
                          <w:i/>
                          <w:sz w:val="22"/>
                        </w:rPr>
                        <w:t>igure 4.19</w:t>
                      </w:r>
                      <w:r w:rsidRPr="00FE293F">
                        <w:rPr>
                          <w:b/>
                          <w:i/>
                          <w:sz w:val="22"/>
                        </w:rPr>
                        <w:t xml:space="preserve"> MTT cell survival data follows same trend of resistance/sensitisation as was shown with 5-FU</w:t>
                      </w:r>
                    </w:p>
                    <w:p w14:paraId="3565D615" w14:textId="4A8DE9C1" w:rsidR="000A1E0D" w:rsidRDefault="000A1E0D" w:rsidP="00E7213F">
                      <w:pPr>
                        <w:jc w:val="both"/>
                        <w:rPr>
                          <w:i/>
                          <w:sz w:val="22"/>
                        </w:rPr>
                      </w:pPr>
                      <w:r>
                        <w:rPr>
                          <w:i/>
                          <w:sz w:val="22"/>
                        </w:rPr>
                        <w:t>a.) HCT116 cells were seeded in a 96 well plate, transfected with control or SRCAP siRNA for 48hrs then increasing concentrations of cisplatin added for 4 days. Surviving fraction was calculated from the OD values and the graphs show the mean and standard deviation from three repeats. Using a Kruskal-Wallis test there was an overall significant difference at every concentration apart from 1</w:t>
                      </w:r>
                      <w:r>
                        <w:rPr>
                          <w:rFonts w:ascii="Cambria" w:hAnsi="Cambria"/>
                          <w:i/>
                          <w:sz w:val="22"/>
                        </w:rPr>
                        <w:t>μ</w:t>
                      </w:r>
                      <w:r>
                        <w:rPr>
                          <w:i/>
                          <w:sz w:val="22"/>
                        </w:rPr>
                        <w:t xml:space="preserve">M </w:t>
                      </w:r>
                      <w:r>
                        <w:rPr>
                          <w:rFonts w:ascii="Cambria" w:hAnsi="Cambria"/>
                          <w:i/>
                          <w:sz w:val="22"/>
                        </w:rPr>
                        <w:t xml:space="preserve">(1-p=0.4269, 2.5-p=0.0165, 5-p=0.0071, 10-p=0.0027), the significance stars on the graphs show the individual comparisons made between the siRNA and the control, highlighting a sensitisation when SRCAP was knocked down </w:t>
                      </w:r>
                      <w:r>
                        <w:rPr>
                          <w:i/>
                          <w:sz w:val="22"/>
                        </w:rPr>
                        <w:t>(</w:t>
                      </w:r>
                      <w:r w:rsidRPr="00841AD4">
                        <w:rPr>
                          <w:i/>
                          <w:sz w:val="22"/>
                          <w:lang w:val="en-US"/>
                        </w:rPr>
                        <w:t>*=p≤0.05</w:t>
                      </w:r>
                      <w:r>
                        <w:rPr>
                          <w:i/>
                          <w:sz w:val="22"/>
                          <w:lang w:val="en-US"/>
                        </w:rPr>
                        <w:t>).</w:t>
                      </w:r>
                    </w:p>
                    <w:p w14:paraId="1ED2C39D" w14:textId="2A726CA2" w:rsidR="000A1E0D" w:rsidRDefault="000A1E0D" w:rsidP="00E7213F">
                      <w:pPr>
                        <w:jc w:val="both"/>
                        <w:rPr>
                          <w:i/>
                          <w:sz w:val="22"/>
                        </w:rPr>
                      </w:pPr>
                      <w:r>
                        <w:rPr>
                          <w:i/>
                          <w:sz w:val="22"/>
                        </w:rPr>
                        <w:t>b.) SW480 cells were subjected to the same experimental procedure as above and showed a significant resistance to cisplatin when SRCAP was knocked down. Using a Kruskal-Wallis test there was overall significance between the groups at 2.5 and 10</w:t>
                      </w:r>
                      <w:r>
                        <w:rPr>
                          <w:rFonts w:ascii="Cambria" w:hAnsi="Cambria"/>
                          <w:i/>
                          <w:sz w:val="22"/>
                        </w:rPr>
                        <w:t>μ</w:t>
                      </w:r>
                      <w:r>
                        <w:rPr>
                          <w:i/>
                          <w:sz w:val="22"/>
                        </w:rPr>
                        <w:t xml:space="preserve">M </w:t>
                      </w:r>
                      <w:r>
                        <w:rPr>
                          <w:rFonts w:ascii="Cambria" w:hAnsi="Cambria"/>
                          <w:i/>
                          <w:sz w:val="22"/>
                        </w:rPr>
                        <w:t>(1-p=0.3553, 2.5-p=0.0214, 5-p=0.0819, 10-p=0.0021), and multiple comparisons between the individual siRNA and the control again gave significance at those concentrations as can be seen by the significance stars on the graph</w:t>
                      </w:r>
                      <w:r>
                        <w:rPr>
                          <w:i/>
                          <w:sz w:val="22"/>
                        </w:rPr>
                        <w:t xml:space="preserve"> (</w:t>
                      </w:r>
                      <w:r w:rsidRPr="00841AD4">
                        <w:rPr>
                          <w:i/>
                          <w:sz w:val="22"/>
                          <w:lang w:val="en-US"/>
                        </w:rPr>
                        <w:t>*=p≤0.05</w:t>
                      </w:r>
                      <w:r>
                        <w:rPr>
                          <w:i/>
                          <w:sz w:val="22"/>
                          <w:lang w:val="en-US"/>
                        </w:rPr>
                        <w:t>).</w:t>
                      </w:r>
                    </w:p>
                    <w:p w14:paraId="16A72BAA" w14:textId="77777777" w:rsidR="000A1E0D" w:rsidRPr="00FE293F" w:rsidRDefault="000A1E0D" w:rsidP="00E7213F">
                      <w:pPr>
                        <w:jc w:val="both"/>
                        <w:rPr>
                          <w:i/>
                          <w:sz w:val="22"/>
                        </w:rPr>
                      </w:pPr>
                    </w:p>
                  </w:txbxContent>
                </v:textbox>
                <w10:wrap type="square"/>
              </v:shape>
            </w:pict>
          </mc:Fallback>
        </mc:AlternateContent>
      </w:r>
      <w:r>
        <w:rPr>
          <w:rFonts w:ascii="Calibri" w:hAnsi="Calibri"/>
          <w:noProof/>
          <w:lang w:val="en-US"/>
        </w:rPr>
        <w:drawing>
          <wp:anchor distT="0" distB="0" distL="114300" distR="114300" simplePos="0" relativeHeight="252283904" behindDoc="0" locked="0" layoutInCell="1" allowOverlap="1" wp14:anchorId="00530A46" wp14:editId="62B2D864">
            <wp:simplePos x="0" y="0"/>
            <wp:positionH relativeFrom="column">
              <wp:posOffset>-342900</wp:posOffset>
            </wp:positionH>
            <wp:positionV relativeFrom="paragraph">
              <wp:posOffset>127635</wp:posOffset>
            </wp:positionV>
            <wp:extent cx="6129655" cy="2245995"/>
            <wp:effectExtent l="0" t="0" r="0" b="0"/>
            <wp:wrapSquare wrapText="bothSides"/>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9655" cy="2245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516DD" w14:textId="1E36D301" w:rsidR="00E7213F" w:rsidRDefault="00E7213F" w:rsidP="00E7213F">
      <w:pPr>
        <w:spacing w:line="360" w:lineRule="auto"/>
        <w:jc w:val="both"/>
        <w:rPr>
          <w:rFonts w:ascii="Calibri" w:hAnsi="Calibri"/>
        </w:rPr>
      </w:pPr>
    </w:p>
    <w:p w14:paraId="551AE6C3" w14:textId="77777777" w:rsidR="00E7213F" w:rsidRDefault="00E7213F" w:rsidP="00E7213F">
      <w:pPr>
        <w:spacing w:line="360" w:lineRule="auto"/>
        <w:jc w:val="both"/>
        <w:rPr>
          <w:rFonts w:ascii="Calibri" w:hAnsi="Calibri"/>
        </w:rPr>
      </w:pPr>
    </w:p>
    <w:p w14:paraId="0413B5D0" w14:textId="45F778AE" w:rsidR="00E7213F" w:rsidRDefault="00C40F96" w:rsidP="00E7213F">
      <w:pPr>
        <w:rPr>
          <w:rFonts w:ascii="Calibri" w:hAnsi="Calibri"/>
        </w:rPr>
      </w:pPr>
      <w:r w:rsidRPr="00C40F96">
        <w:t xml:space="preserve"> </w:t>
      </w:r>
    </w:p>
    <w:p w14:paraId="0332A06B" w14:textId="77777777" w:rsidR="00E7213F" w:rsidRDefault="00E7213F" w:rsidP="00E7213F">
      <w:pPr>
        <w:rPr>
          <w:rFonts w:ascii="Calibri" w:hAnsi="Calibri"/>
        </w:rPr>
      </w:pPr>
      <w:r>
        <w:rPr>
          <w:rFonts w:ascii="Calibri" w:hAnsi="Calibri"/>
        </w:rPr>
        <w:br w:type="page"/>
      </w:r>
    </w:p>
    <w:p w14:paraId="4840D0A8" w14:textId="2DD1943C" w:rsidR="00E7213F" w:rsidRDefault="003B7B61" w:rsidP="00E7213F">
      <w:pPr>
        <w:spacing w:line="360" w:lineRule="auto"/>
        <w:jc w:val="both"/>
        <w:rPr>
          <w:rFonts w:ascii="Calibri" w:hAnsi="Calibri"/>
        </w:rPr>
      </w:pPr>
      <w:r>
        <w:rPr>
          <w:rFonts w:ascii="Calibri" w:hAnsi="Calibri"/>
          <w:noProof/>
          <w:lang w:val="en-US"/>
        </w:rPr>
        <mc:AlternateContent>
          <mc:Choice Requires="wps">
            <w:drawing>
              <wp:anchor distT="0" distB="0" distL="114300" distR="114300" simplePos="0" relativeHeight="251804672" behindDoc="0" locked="0" layoutInCell="1" allowOverlap="1" wp14:anchorId="09D83A97" wp14:editId="5F82382A">
                <wp:simplePos x="0" y="0"/>
                <wp:positionH relativeFrom="column">
                  <wp:posOffset>-114300</wp:posOffset>
                </wp:positionH>
                <wp:positionV relativeFrom="paragraph">
                  <wp:posOffset>2286000</wp:posOffset>
                </wp:positionV>
                <wp:extent cx="5486400" cy="2743200"/>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54864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42D321" w14:textId="4D14800E" w:rsidR="00E82D3B" w:rsidRDefault="00E82D3B" w:rsidP="00E7213F">
                            <w:pPr>
                              <w:jc w:val="both"/>
                              <w:rPr>
                                <w:b/>
                                <w:i/>
                                <w:sz w:val="22"/>
                              </w:rPr>
                            </w:pPr>
                            <w:r w:rsidRPr="00D562F0">
                              <w:rPr>
                                <w:b/>
                                <w:i/>
                                <w:sz w:val="22"/>
                              </w:rPr>
                              <w:t>F</w:t>
                            </w:r>
                            <w:r>
                              <w:rPr>
                                <w:b/>
                                <w:i/>
                                <w:sz w:val="22"/>
                              </w:rPr>
                              <w:t>igure 4.20</w:t>
                            </w:r>
                            <w:r w:rsidRPr="00D562F0">
                              <w:rPr>
                                <w:b/>
                                <w:i/>
                                <w:sz w:val="22"/>
                              </w:rPr>
                              <w:t xml:space="preserve"> Cisplatin plus SRCAP knockdown only causes a significant difference in HCT116 cells by clonogenic assay</w:t>
                            </w:r>
                          </w:p>
                          <w:p w14:paraId="6CAA5F91" w14:textId="4DE0CE41" w:rsidR="00E82D3B" w:rsidRDefault="00E82D3B" w:rsidP="00E7213F">
                            <w:pPr>
                              <w:jc w:val="both"/>
                              <w:rPr>
                                <w:i/>
                                <w:sz w:val="22"/>
                              </w:rPr>
                            </w:pPr>
                            <w:r>
                              <w:rPr>
                                <w:i/>
                                <w:sz w:val="22"/>
                              </w:rPr>
                              <w:t>a.) HCT116 cells were seeded in six well plates, transfected with control or SRCAP siRNA for 48hrs, then cisplatin at differing concentrations added. Clonogenic plates were stained with methylene blue and colonies of approximately 50 or more cells manually counted, with each graph showing the mean and standard deviation of three repeats. Using a Kruskal-Wallis test there was a significant difference overall between the groups at 2.5 and 10</w:t>
                            </w:r>
                            <w:r>
                              <w:rPr>
                                <w:rFonts w:ascii="Cambria" w:hAnsi="Cambria"/>
                                <w:i/>
                                <w:sz w:val="22"/>
                              </w:rPr>
                              <w:t>μ</w:t>
                            </w:r>
                            <w:r>
                              <w:rPr>
                                <w:i/>
                                <w:sz w:val="22"/>
                              </w:rPr>
                              <w:t xml:space="preserve">M, highlighting a sensitisation of SRCAP knockdown cells to cisplatin </w:t>
                            </w:r>
                            <w:r>
                              <w:rPr>
                                <w:rFonts w:ascii="Cambria" w:hAnsi="Cambria"/>
                                <w:i/>
                                <w:sz w:val="22"/>
                              </w:rPr>
                              <w:t>(2.5-p=0.0286, 5-p=0.1964, 10-p=0.0250),</w:t>
                            </w:r>
                            <w:r>
                              <w:rPr>
                                <w:i/>
                                <w:sz w:val="22"/>
                              </w:rPr>
                              <w:t xml:space="preserve"> assessing the individual comparisons between the siRNA and control, there was only significance between si7 and control as can be seen by the significance stars on the graph (</w:t>
                            </w:r>
                            <w:r w:rsidRPr="00841AD4">
                              <w:rPr>
                                <w:i/>
                                <w:sz w:val="22"/>
                                <w:lang w:val="en-US"/>
                              </w:rPr>
                              <w:t>*=p≤0.05</w:t>
                            </w:r>
                            <w:r>
                              <w:rPr>
                                <w:i/>
                                <w:sz w:val="22"/>
                                <w:lang w:val="en-US"/>
                              </w:rPr>
                              <w:t>).</w:t>
                            </w:r>
                          </w:p>
                          <w:p w14:paraId="5F2141EC" w14:textId="0E409AA8" w:rsidR="00E82D3B" w:rsidRPr="00D562F0" w:rsidRDefault="00E82D3B" w:rsidP="00E7213F">
                            <w:pPr>
                              <w:jc w:val="both"/>
                              <w:rPr>
                                <w:i/>
                                <w:sz w:val="22"/>
                              </w:rPr>
                            </w:pPr>
                            <w:r>
                              <w:rPr>
                                <w:i/>
                                <w:sz w:val="22"/>
                              </w:rPr>
                              <w:t xml:space="preserve">b.) SW480 cells were subjected to the same experimental conditions as above but with lower concentrations of Cisplatin. There was no significant difference between any of the groups over any of the concentrations using a Kruskal-Wallis test  </w:t>
                            </w:r>
                            <w:r>
                              <w:rPr>
                                <w:rFonts w:ascii="Cambria" w:hAnsi="Cambria"/>
                                <w:i/>
                                <w:sz w:val="22"/>
                              </w:rPr>
                              <w:t>(1-p&gt;0.9999, 2.5-p=0.5429, 5-p=0.6286), indicating that knockdown of SRCAP does not impact sensitivity of the cells to cisplatin.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142" type="#_x0000_t202" style="position:absolute;left:0;text-align:left;margin-left:-8.95pt;margin-top:180pt;width:6in;height:3in;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cUrtQCAAAc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" filled="f" stroked="f">
                <v:textbox>
                  <w:txbxContent>
                    <w:p w14:paraId="2642D321" w14:textId="4D14800E" w:rsidR="000A1E0D" w:rsidRDefault="000A1E0D" w:rsidP="00E7213F">
                      <w:pPr>
                        <w:jc w:val="both"/>
                        <w:rPr>
                          <w:b/>
                          <w:i/>
                          <w:sz w:val="22"/>
                        </w:rPr>
                      </w:pPr>
                      <w:r w:rsidRPr="00D562F0">
                        <w:rPr>
                          <w:b/>
                          <w:i/>
                          <w:sz w:val="22"/>
                        </w:rPr>
                        <w:t>F</w:t>
                      </w:r>
                      <w:r>
                        <w:rPr>
                          <w:b/>
                          <w:i/>
                          <w:sz w:val="22"/>
                        </w:rPr>
                        <w:t>igure 4.20</w:t>
                      </w:r>
                      <w:r w:rsidRPr="00D562F0">
                        <w:rPr>
                          <w:b/>
                          <w:i/>
                          <w:sz w:val="22"/>
                        </w:rPr>
                        <w:t xml:space="preserve"> Cisplatin plus SRCAP knockdown only causes a significant difference in HCT116 cells by clonogenic assay</w:t>
                      </w:r>
                    </w:p>
                    <w:p w14:paraId="6CAA5F91" w14:textId="4DE0CE41" w:rsidR="000A1E0D" w:rsidRDefault="000A1E0D" w:rsidP="00E7213F">
                      <w:pPr>
                        <w:jc w:val="both"/>
                        <w:rPr>
                          <w:i/>
                          <w:sz w:val="22"/>
                        </w:rPr>
                      </w:pPr>
                      <w:r>
                        <w:rPr>
                          <w:i/>
                          <w:sz w:val="22"/>
                        </w:rPr>
                        <w:t>a.) HCT116 cells were seeded in six well plates, transfected with control or SRCAP siRNA for 48hrs, then cisplatin at differing concentrations added. Clonogenic plates were stained with methylene blue and colonies of approximately 50 or more cells manually counted, with each graph showing the mean and standard deviation of three repeats. Using a Kruskal-Wallis test there was a significant difference overall between the groups at 2.5 and 10</w:t>
                      </w:r>
                      <w:r>
                        <w:rPr>
                          <w:rFonts w:ascii="Cambria" w:hAnsi="Cambria"/>
                          <w:i/>
                          <w:sz w:val="22"/>
                        </w:rPr>
                        <w:t>μ</w:t>
                      </w:r>
                      <w:r>
                        <w:rPr>
                          <w:i/>
                          <w:sz w:val="22"/>
                        </w:rPr>
                        <w:t xml:space="preserve">M, highlighting a sensitisation of SRCAP knockdown cells to cisplatin </w:t>
                      </w:r>
                      <w:r>
                        <w:rPr>
                          <w:rFonts w:ascii="Cambria" w:hAnsi="Cambria"/>
                          <w:i/>
                          <w:sz w:val="22"/>
                        </w:rPr>
                        <w:t>(2.5-p=0.0286, 5-p=0.1964, 10-p=0.0250),</w:t>
                      </w:r>
                      <w:r>
                        <w:rPr>
                          <w:i/>
                          <w:sz w:val="22"/>
                        </w:rPr>
                        <w:t xml:space="preserve"> assessing the individual comparisons between the siRNA and control, there was only significance between si7 and control as can be seen by the significance stars on the graph (</w:t>
                      </w:r>
                      <w:r w:rsidRPr="00841AD4">
                        <w:rPr>
                          <w:i/>
                          <w:sz w:val="22"/>
                          <w:lang w:val="en-US"/>
                        </w:rPr>
                        <w:t>*=p≤0.05</w:t>
                      </w:r>
                      <w:r>
                        <w:rPr>
                          <w:i/>
                          <w:sz w:val="22"/>
                          <w:lang w:val="en-US"/>
                        </w:rPr>
                        <w:t>).</w:t>
                      </w:r>
                    </w:p>
                    <w:p w14:paraId="5F2141EC" w14:textId="0E409AA8" w:rsidR="000A1E0D" w:rsidRPr="00D562F0" w:rsidRDefault="000A1E0D" w:rsidP="00E7213F">
                      <w:pPr>
                        <w:jc w:val="both"/>
                        <w:rPr>
                          <w:i/>
                          <w:sz w:val="22"/>
                        </w:rPr>
                      </w:pPr>
                      <w:r>
                        <w:rPr>
                          <w:i/>
                          <w:sz w:val="22"/>
                        </w:rPr>
                        <w:t xml:space="preserve">b.) SW480 cells were subjected to the same experimental conditions as above but with lower concentrations of Cisplatin. There was no significant difference between any of the groups over any of the concentrations using a Kruskal-Wallis test  </w:t>
                      </w:r>
                      <w:r>
                        <w:rPr>
                          <w:rFonts w:ascii="Cambria" w:hAnsi="Cambria"/>
                          <w:i/>
                          <w:sz w:val="22"/>
                        </w:rPr>
                        <w:t>(1-p&gt;0.9999, 2.5-p=0.5429, 5-p=0.6286), indicating that knockdown of SRCAP does not impact sensitivity of the cells to cisplatin.</w:t>
                      </w:r>
                    </w:p>
                  </w:txbxContent>
                </v:textbox>
                <w10:wrap type="square"/>
              </v:shape>
            </w:pict>
          </mc:Fallback>
        </mc:AlternateContent>
      </w:r>
      <w:r>
        <w:rPr>
          <w:rFonts w:ascii="Calibri" w:hAnsi="Calibri"/>
          <w:noProof/>
          <w:lang w:val="en-US"/>
        </w:rPr>
        <w:drawing>
          <wp:anchor distT="0" distB="0" distL="114300" distR="114300" simplePos="0" relativeHeight="252222464" behindDoc="0" locked="0" layoutInCell="1" allowOverlap="1" wp14:anchorId="46FF5EA7" wp14:editId="5C309BC9">
            <wp:simplePos x="0" y="0"/>
            <wp:positionH relativeFrom="column">
              <wp:posOffset>-228600</wp:posOffset>
            </wp:positionH>
            <wp:positionV relativeFrom="paragraph">
              <wp:posOffset>0</wp:posOffset>
            </wp:positionV>
            <wp:extent cx="5720080" cy="2057400"/>
            <wp:effectExtent l="0" t="0" r="0" b="0"/>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2008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91A82E" w14:textId="2FE28EBB" w:rsidR="00E7213F" w:rsidRPr="001C1F17" w:rsidRDefault="00E7213F" w:rsidP="00E7213F">
      <w:pPr>
        <w:spacing w:line="360" w:lineRule="auto"/>
        <w:jc w:val="both"/>
        <w:rPr>
          <w:rFonts w:ascii="Calibri" w:hAnsi="Calibri"/>
        </w:rPr>
      </w:pPr>
      <w:r>
        <w:rPr>
          <w:rFonts w:ascii="Calibri" w:hAnsi="Calibri"/>
        </w:rPr>
        <w:t xml:space="preserve">As both cell lines were showing differing results, TP53-/- HCT116 cells were again utilised to check whether cisplatin treatment plus </w:t>
      </w:r>
      <w:r w:rsidRPr="00BE6581">
        <w:rPr>
          <w:rFonts w:ascii="Calibri" w:hAnsi="Calibri"/>
          <w:i/>
        </w:rPr>
        <w:t>SRCAP</w:t>
      </w:r>
      <w:r w:rsidR="002E39A4">
        <w:rPr>
          <w:rFonts w:ascii="Calibri" w:hAnsi="Calibri"/>
        </w:rPr>
        <w:t xml:space="preserve"> knock</w:t>
      </w:r>
      <w:r>
        <w:rPr>
          <w:rFonts w:ascii="Calibri" w:hAnsi="Calibri"/>
        </w:rPr>
        <w:t xml:space="preserve">down is only sensitive in cells with functioning TP53. Interestingly, in an MTT assay, si6 again showed the opposite trend to what was observed in the wild type HCT116 cells, where it was significantly resistant compared to control cells, but si7 was the same as control (Figure 4.21a). However, the TP53-/- HCT116 cells with or without </w:t>
      </w:r>
      <w:r w:rsidRPr="00BE6581">
        <w:rPr>
          <w:rFonts w:ascii="Calibri" w:hAnsi="Calibri"/>
          <w:i/>
        </w:rPr>
        <w:t>SRCAP</w:t>
      </w:r>
      <w:r w:rsidR="002E39A4">
        <w:rPr>
          <w:rFonts w:ascii="Calibri" w:hAnsi="Calibri"/>
        </w:rPr>
        <w:t xml:space="preserve"> knock</w:t>
      </w:r>
      <w:r>
        <w:rPr>
          <w:rFonts w:ascii="Calibri" w:hAnsi="Calibri"/>
        </w:rPr>
        <w:t xml:space="preserve">down had high values of cell survival in comparison to the wild type HCT116, showing that cells lacking in TP53 were increasingly more resistant to cisplatin then their wild type counterparts. In the clonogenic assay however, </w:t>
      </w:r>
      <w:r w:rsidRPr="00BE6581">
        <w:rPr>
          <w:rFonts w:ascii="Calibri" w:hAnsi="Calibri"/>
          <w:i/>
        </w:rPr>
        <w:t>SRCAP</w:t>
      </w:r>
      <w:r w:rsidR="002E39A4">
        <w:rPr>
          <w:rFonts w:ascii="Calibri" w:hAnsi="Calibri"/>
        </w:rPr>
        <w:t xml:space="preserve"> knock</w:t>
      </w:r>
      <w:r>
        <w:rPr>
          <w:rFonts w:ascii="Calibri" w:hAnsi="Calibri"/>
        </w:rPr>
        <w:t xml:space="preserve">down plus cisplatin resulted in a sensitisation compared to control (Figure 4.21b). Although a large amount of variability between the repeats was seen towards the higher concentrations. The results with TP53-/- HCT116 cells and cisplatin were therefore not as conclusive as with the 5-FU data. Indeed although TP53 status does appear to play a role in the responsiveness towards a drug when </w:t>
      </w:r>
      <w:r w:rsidRPr="00BE6581">
        <w:rPr>
          <w:rFonts w:ascii="Calibri" w:hAnsi="Calibri"/>
          <w:i/>
        </w:rPr>
        <w:t>SRCAP</w:t>
      </w:r>
      <w:r>
        <w:rPr>
          <w:rFonts w:ascii="Calibri" w:hAnsi="Calibri"/>
        </w:rPr>
        <w:t xml:space="preserve"> is knocked down, it may not be the only mechanism. Further insight would need to be established as to why 5-FU and cisplatin, but not camptothecin, show sensitivity in the absence of </w:t>
      </w:r>
      <w:r w:rsidRPr="00BE6581">
        <w:rPr>
          <w:rFonts w:ascii="Calibri" w:hAnsi="Calibri"/>
          <w:i/>
        </w:rPr>
        <w:t>SRCAP</w:t>
      </w:r>
      <w:r>
        <w:rPr>
          <w:rFonts w:ascii="Calibri" w:hAnsi="Calibri"/>
        </w:rPr>
        <w:t xml:space="preserve"> and also check a panel of further CRC cell lines with differing TP53 status and differing instability mechanisms to conclusively deduce why differences are observed when clinical treatments are </w:t>
      </w:r>
      <w:r w:rsidR="000F5A19">
        <w:rPr>
          <w:rFonts w:ascii="Calibri" w:hAnsi="Calibri"/>
          <w:b/>
          <w:noProof/>
          <w:sz w:val="28"/>
          <w:u w:val="single"/>
          <w:lang w:val="en-US"/>
        </w:rPr>
        <w:drawing>
          <wp:anchor distT="0" distB="0" distL="114300" distR="114300" simplePos="0" relativeHeight="252284928" behindDoc="0" locked="0" layoutInCell="1" allowOverlap="1" wp14:anchorId="0D873042" wp14:editId="34DF64CB">
            <wp:simplePos x="0" y="0"/>
            <wp:positionH relativeFrom="column">
              <wp:posOffset>-114300</wp:posOffset>
            </wp:positionH>
            <wp:positionV relativeFrom="paragraph">
              <wp:posOffset>1714500</wp:posOffset>
            </wp:positionV>
            <wp:extent cx="5481320" cy="2257425"/>
            <wp:effectExtent l="0" t="0" r="5080" b="3175"/>
            <wp:wrapSquare wrapText="bothSides"/>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8132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9D09F2">
        <w:rPr>
          <w:rFonts w:ascii="Calibri" w:hAnsi="Calibri"/>
          <w:b/>
          <w:noProof/>
          <w:sz w:val="28"/>
          <w:u w:val="single"/>
          <w:lang w:val="en-US"/>
        </w:rPr>
        <mc:AlternateContent>
          <mc:Choice Requires="wps">
            <w:drawing>
              <wp:anchor distT="0" distB="0" distL="114300" distR="114300" simplePos="0" relativeHeight="251809792" behindDoc="0" locked="0" layoutInCell="1" allowOverlap="1" wp14:anchorId="70197A4F" wp14:editId="6387D8E0">
                <wp:simplePos x="0" y="0"/>
                <wp:positionH relativeFrom="column">
                  <wp:posOffset>0</wp:posOffset>
                </wp:positionH>
                <wp:positionV relativeFrom="paragraph">
                  <wp:posOffset>4165600</wp:posOffset>
                </wp:positionV>
                <wp:extent cx="5372100" cy="2921000"/>
                <wp:effectExtent l="0" t="0" r="0" b="0"/>
                <wp:wrapSquare wrapText="bothSides"/>
                <wp:docPr id="142" name="Text Box 142"/>
                <wp:cNvGraphicFramePr/>
                <a:graphic xmlns:a="http://schemas.openxmlformats.org/drawingml/2006/main">
                  <a:graphicData uri="http://schemas.microsoft.com/office/word/2010/wordprocessingShape">
                    <wps:wsp>
                      <wps:cNvSpPr txBox="1"/>
                      <wps:spPr>
                        <a:xfrm>
                          <a:off x="0" y="0"/>
                          <a:ext cx="5372100" cy="292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EAEB81" w14:textId="77777777" w:rsidR="00E82D3B" w:rsidRDefault="00E82D3B" w:rsidP="00E7213F">
                            <w:pPr>
                              <w:jc w:val="both"/>
                              <w:rPr>
                                <w:b/>
                                <w:i/>
                                <w:sz w:val="22"/>
                              </w:rPr>
                            </w:pPr>
                            <w:r w:rsidRPr="00146088">
                              <w:rPr>
                                <w:b/>
                                <w:i/>
                                <w:sz w:val="22"/>
                              </w:rPr>
                              <w:t>F</w:t>
                            </w:r>
                            <w:r>
                              <w:rPr>
                                <w:b/>
                                <w:i/>
                                <w:sz w:val="22"/>
                              </w:rPr>
                              <w:t>igure 4.21 TP</w:t>
                            </w:r>
                            <w:r w:rsidRPr="00146088">
                              <w:rPr>
                                <w:b/>
                                <w:i/>
                                <w:sz w:val="22"/>
                              </w:rPr>
                              <w:t>53-/- HCT116 cells show differing responses to cisplatin in comparison to wild type cells.</w:t>
                            </w:r>
                          </w:p>
                          <w:p w14:paraId="64597580" w14:textId="36A2C464" w:rsidR="00E82D3B" w:rsidRDefault="00E82D3B" w:rsidP="00E7213F">
                            <w:pPr>
                              <w:jc w:val="both"/>
                              <w:rPr>
                                <w:i/>
                                <w:sz w:val="22"/>
                              </w:rPr>
                            </w:pPr>
                            <w:r w:rsidRPr="00146088">
                              <w:rPr>
                                <w:i/>
                                <w:sz w:val="22"/>
                              </w:rPr>
                              <w:t>a.)</w:t>
                            </w:r>
                            <w:r>
                              <w:rPr>
                                <w:i/>
                                <w:sz w:val="22"/>
                              </w:rPr>
                              <w:t xml:space="preserve"> TP53-/- HCT116 cells were seeded in a 96 well plate, transfected for 48hrs with control or SRCAP siRNA and increasing concentrations of cisplatin added for 4 days. Surviving fraction was calculated from the OD values and the graphs show the mean and standard deviation of three repeats. Using a Kruskal-Wallis test there was no overall significant difference between the groups (1-p=0.1881, 2.5-p=0.2826, 5-p=0.0512, 10-p=0.0577). However, assessing the individual siRNA with control there was a significant difference between si6 and control at the two higher concentrations, indicating resistance to cisplatin, as shown by the significance stars on the graph (</w:t>
                            </w:r>
                            <w:r w:rsidRPr="00841AD4">
                              <w:rPr>
                                <w:i/>
                                <w:sz w:val="22"/>
                                <w:lang w:val="en-US"/>
                              </w:rPr>
                              <w:t>*=p≤0.05</w:t>
                            </w:r>
                            <w:r>
                              <w:rPr>
                                <w:i/>
                                <w:sz w:val="22"/>
                                <w:lang w:val="en-US"/>
                              </w:rPr>
                              <w:t>).</w:t>
                            </w:r>
                          </w:p>
                          <w:p w14:paraId="56FD8DD5" w14:textId="15AFAF91" w:rsidR="00E82D3B" w:rsidRPr="00146088" w:rsidRDefault="00E82D3B" w:rsidP="00E7213F">
                            <w:pPr>
                              <w:jc w:val="both"/>
                              <w:rPr>
                                <w:i/>
                                <w:sz w:val="22"/>
                              </w:rPr>
                            </w:pPr>
                            <w:r>
                              <w:rPr>
                                <w:i/>
                                <w:sz w:val="22"/>
                              </w:rPr>
                              <w:t>b.) TP53-/- HCT116 cells were this time seeded in 6 well plates for clonogenic assay, they were transfected for 48hrs and differing concentration of cisplatin added. Methylene blue was used to stain the cells and colonies of approximately 50 or more cells manually counted. Using a Kruskal-Wallis test there was an overall significance difference between the groups at the two lower concentrations (1-p=0.05, 2.5-p=0.025, 5-p=0.2321).  SRCAP depleted cells with si6 only were statistically more sensitive to cisplatin than control as shown by the significance stars on the graph (</w:t>
                            </w:r>
                            <w:r w:rsidRPr="00841AD4">
                              <w:rPr>
                                <w:i/>
                                <w:sz w:val="22"/>
                                <w:lang w:val="en-US"/>
                              </w:rPr>
                              <w:t>*=p≤0.05</w:t>
                            </w:r>
                            <w:r>
                              <w:rPr>
                                <w:i/>
                                <w:sz w:val="22"/>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2" o:spid="_x0000_s1143" type="#_x0000_t202" style="position:absolute;left:0;text-align:left;margin-left:0;margin-top:328pt;width:423pt;height:230pt;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QR4tMCAAAc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" filled="f" stroked="f">
                <v:textbox>
                  <w:txbxContent>
                    <w:p w14:paraId="19EAEB81" w14:textId="77777777" w:rsidR="000A1E0D" w:rsidRDefault="000A1E0D" w:rsidP="00E7213F">
                      <w:pPr>
                        <w:jc w:val="both"/>
                        <w:rPr>
                          <w:b/>
                          <w:i/>
                          <w:sz w:val="22"/>
                        </w:rPr>
                      </w:pPr>
                      <w:r w:rsidRPr="00146088">
                        <w:rPr>
                          <w:b/>
                          <w:i/>
                          <w:sz w:val="22"/>
                        </w:rPr>
                        <w:t>F</w:t>
                      </w:r>
                      <w:r>
                        <w:rPr>
                          <w:b/>
                          <w:i/>
                          <w:sz w:val="22"/>
                        </w:rPr>
                        <w:t>igure 4.21 TP</w:t>
                      </w:r>
                      <w:r w:rsidRPr="00146088">
                        <w:rPr>
                          <w:b/>
                          <w:i/>
                          <w:sz w:val="22"/>
                        </w:rPr>
                        <w:t>53-/- HCT116 cells show differing responses to cisplatin in comparison to wild type cells.</w:t>
                      </w:r>
                    </w:p>
                    <w:p w14:paraId="64597580" w14:textId="36A2C464" w:rsidR="000A1E0D" w:rsidRDefault="000A1E0D" w:rsidP="00E7213F">
                      <w:pPr>
                        <w:jc w:val="both"/>
                        <w:rPr>
                          <w:i/>
                          <w:sz w:val="22"/>
                        </w:rPr>
                      </w:pPr>
                      <w:r w:rsidRPr="00146088">
                        <w:rPr>
                          <w:i/>
                          <w:sz w:val="22"/>
                        </w:rPr>
                        <w:t>a.)</w:t>
                      </w:r>
                      <w:r>
                        <w:rPr>
                          <w:i/>
                          <w:sz w:val="22"/>
                        </w:rPr>
                        <w:t xml:space="preserve"> TP53-/- HCT116 cells were seeded in a 96 well plate, transfected for 48hrs with control or SRCAP siRNA and increasing concentrations of cisplatin added for 4 days. Surviving fraction was calculated from the OD values and the graphs show the mean and standard deviation of three repeats. Using a Kruskal-Wallis test there was no overall significant difference between the groups (1-p=0.1881, 2.5-p=0.2826, 5-p=0.0512, 10-p=0.0577). However, assessing the individual siRNA with control there was a significant difference between si6 and control at the two higher concentrations, indicating resistance to cisplatin, as shown by the significance stars on the graph (</w:t>
                      </w:r>
                      <w:r w:rsidRPr="00841AD4">
                        <w:rPr>
                          <w:i/>
                          <w:sz w:val="22"/>
                          <w:lang w:val="en-US"/>
                        </w:rPr>
                        <w:t>*=p≤0.05</w:t>
                      </w:r>
                      <w:r>
                        <w:rPr>
                          <w:i/>
                          <w:sz w:val="22"/>
                          <w:lang w:val="en-US"/>
                        </w:rPr>
                        <w:t>).</w:t>
                      </w:r>
                    </w:p>
                    <w:p w14:paraId="56FD8DD5" w14:textId="15AFAF91" w:rsidR="000A1E0D" w:rsidRPr="00146088" w:rsidRDefault="000A1E0D" w:rsidP="00E7213F">
                      <w:pPr>
                        <w:jc w:val="both"/>
                        <w:rPr>
                          <w:i/>
                          <w:sz w:val="22"/>
                        </w:rPr>
                      </w:pPr>
                      <w:r>
                        <w:rPr>
                          <w:i/>
                          <w:sz w:val="22"/>
                        </w:rPr>
                        <w:t>b.) TP53-/- HCT116 cells were this time seeded in 6 well plates for clonogenic assay, they were transfected for 48hrs and differing concentration of cisplatin added. Methylene blue was used to stain the cells and colonies of approximately 50 or more cells manually counted. Using a Kruskal-Wallis test there was an overall significance difference between the groups at the two lower concentrations (1-p=0.05, 2.5-p=0.025, 5-p=0.2321).  SRCAP depleted cells with si6 only were statistically more sensitive to cisplatin than control as shown by the significance stars on the graph (</w:t>
                      </w:r>
                      <w:r w:rsidRPr="00841AD4">
                        <w:rPr>
                          <w:i/>
                          <w:sz w:val="22"/>
                          <w:lang w:val="en-US"/>
                        </w:rPr>
                        <w:t>*=p≤0.05</w:t>
                      </w:r>
                      <w:r>
                        <w:rPr>
                          <w:i/>
                          <w:sz w:val="22"/>
                          <w:lang w:val="en-US"/>
                        </w:rPr>
                        <w:t>).</w:t>
                      </w:r>
                    </w:p>
                  </w:txbxContent>
                </v:textbox>
                <w10:wrap type="square"/>
              </v:shape>
            </w:pict>
          </mc:Fallback>
        </mc:AlternateContent>
      </w:r>
      <w:r>
        <w:rPr>
          <w:rFonts w:ascii="Calibri" w:hAnsi="Calibri"/>
        </w:rPr>
        <w:t xml:space="preserve">combined with the depletion of </w:t>
      </w:r>
      <w:r w:rsidRPr="00BE6581">
        <w:rPr>
          <w:rFonts w:ascii="Calibri" w:hAnsi="Calibri"/>
          <w:i/>
        </w:rPr>
        <w:t>SRCAP</w:t>
      </w:r>
      <w:r>
        <w:rPr>
          <w:rFonts w:ascii="Calibri" w:hAnsi="Calibri"/>
        </w:rPr>
        <w:t xml:space="preserve">. </w:t>
      </w:r>
    </w:p>
    <w:p w14:paraId="63EDD3CF" w14:textId="55E43C1A" w:rsidR="00E7213F" w:rsidRDefault="00E7213F" w:rsidP="00E7213F">
      <w:pPr>
        <w:spacing w:line="360" w:lineRule="auto"/>
        <w:rPr>
          <w:rFonts w:ascii="Calibri" w:hAnsi="Calibri"/>
          <w:b/>
          <w:sz w:val="28"/>
          <w:u w:val="single"/>
        </w:rPr>
      </w:pPr>
      <w:r>
        <w:rPr>
          <w:rFonts w:ascii="Calibri" w:hAnsi="Calibri"/>
          <w:b/>
          <w:sz w:val="28"/>
          <w:u w:val="single"/>
        </w:rPr>
        <w:br w:type="page"/>
      </w:r>
    </w:p>
    <w:p w14:paraId="35E3AA01" w14:textId="77777777" w:rsidR="00E7213F" w:rsidRPr="00E7213F" w:rsidRDefault="00E7213F" w:rsidP="00E7213F">
      <w:pPr>
        <w:spacing w:line="360" w:lineRule="auto"/>
        <w:jc w:val="both"/>
        <w:rPr>
          <w:rFonts w:ascii="Calibri" w:hAnsi="Calibri"/>
          <w:sz w:val="28"/>
          <w:u w:val="single"/>
        </w:rPr>
      </w:pPr>
      <w:r w:rsidRPr="00E7213F">
        <w:rPr>
          <w:rFonts w:ascii="Calibri" w:hAnsi="Calibri"/>
          <w:sz w:val="28"/>
          <w:u w:val="single"/>
        </w:rPr>
        <w:t>4.7 Discussion</w:t>
      </w:r>
    </w:p>
    <w:p w14:paraId="79FDC13A" w14:textId="77777777" w:rsidR="00E7213F" w:rsidRDefault="00E7213F" w:rsidP="00E7213F">
      <w:pPr>
        <w:spacing w:line="360" w:lineRule="auto"/>
        <w:jc w:val="both"/>
        <w:rPr>
          <w:rFonts w:ascii="Calibri" w:hAnsi="Calibri"/>
        </w:rPr>
      </w:pPr>
    </w:p>
    <w:p w14:paraId="16EAB83F" w14:textId="296B222F" w:rsidR="00E7213F" w:rsidRDefault="00E7213F" w:rsidP="00E7213F">
      <w:pPr>
        <w:spacing w:line="360" w:lineRule="auto"/>
        <w:jc w:val="both"/>
        <w:rPr>
          <w:rFonts w:ascii="Calibri" w:hAnsi="Calibri"/>
          <w:lang w:val="en-US"/>
        </w:rPr>
      </w:pPr>
      <w:r w:rsidRPr="00736F31">
        <w:rPr>
          <w:rFonts w:ascii="Calibri" w:hAnsi="Calibri"/>
          <w:i/>
        </w:rPr>
        <w:t>SRCAP</w:t>
      </w:r>
      <w:r>
        <w:rPr>
          <w:rFonts w:ascii="Calibri" w:hAnsi="Calibri"/>
        </w:rPr>
        <w:t xml:space="preserve"> was flagged as a potential driver of CRC </w:t>
      </w:r>
      <w:r w:rsidR="00C878F4">
        <w:rPr>
          <w:rFonts w:ascii="Calibri" w:hAnsi="Calibri"/>
        </w:rPr>
        <w:t xml:space="preserve">from preliminary experimental and bioinformatic analysis </w:t>
      </w:r>
      <w:r>
        <w:rPr>
          <w:rFonts w:ascii="Calibri" w:hAnsi="Calibri"/>
        </w:rPr>
        <w:t xml:space="preserve">and therefore could be a novel therapeutic target. Consequently, the work described in this chapter sought to establish the </w:t>
      </w:r>
      <w:r w:rsidRPr="00223570">
        <w:rPr>
          <w:rFonts w:ascii="Calibri" w:hAnsi="Calibri"/>
          <w:lang w:val="en-US"/>
        </w:rPr>
        <w:t xml:space="preserve">role that </w:t>
      </w:r>
      <w:r>
        <w:rPr>
          <w:rFonts w:ascii="Calibri" w:hAnsi="Calibri"/>
          <w:lang w:val="en-US"/>
        </w:rPr>
        <w:t xml:space="preserve">the reduction of </w:t>
      </w:r>
      <w:r w:rsidRPr="00736F31">
        <w:rPr>
          <w:rFonts w:ascii="Calibri" w:hAnsi="Calibri"/>
          <w:i/>
          <w:lang w:val="en-US"/>
        </w:rPr>
        <w:t>SRCAP</w:t>
      </w:r>
      <w:r w:rsidRPr="00223570">
        <w:rPr>
          <w:rFonts w:ascii="Calibri" w:hAnsi="Calibri"/>
          <w:lang w:val="en-US"/>
        </w:rPr>
        <w:t xml:space="preserve"> </w:t>
      </w:r>
      <w:r>
        <w:rPr>
          <w:rFonts w:ascii="Calibri" w:hAnsi="Calibri"/>
          <w:lang w:val="en-US"/>
        </w:rPr>
        <w:t xml:space="preserve">expression may </w:t>
      </w:r>
      <w:r w:rsidRPr="00223570">
        <w:rPr>
          <w:rFonts w:ascii="Calibri" w:hAnsi="Calibri"/>
          <w:lang w:val="en-US"/>
        </w:rPr>
        <w:t>play</w:t>
      </w:r>
      <w:r>
        <w:rPr>
          <w:rFonts w:ascii="Calibri" w:hAnsi="Calibri"/>
          <w:lang w:val="en-US"/>
        </w:rPr>
        <w:t xml:space="preserve"> a role in genome instability, a key hallmark of cancer and a known driver of </w:t>
      </w:r>
      <w:r w:rsidRPr="00223570">
        <w:rPr>
          <w:rFonts w:ascii="Calibri" w:hAnsi="Calibri"/>
          <w:lang w:val="en-US"/>
        </w:rPr>
        <w:t>CRC tumouri</w:t>
      </w:r>
      <w:r>
        <w:rPr>
          <w:rFonts w:ascii="Calibri" w:hAnsi="Calibri"/>
          <w:lang w:val="en-US"/>
        </w:rPr>
        <w:t xml:space="preserve">genesis. </w:t>
      </w:r>
    </w:p>
    <w:p w14:paraId="45AB0B33" w14:textId="77777777" w:rsidR="00E7213F" w:rsidRDefault="00E7213F" w:rsidP="00E7213F">
      <w:pPr>
        <w:spacing w:line="360" w:lineRule="auto"/>
        <w:jc w:val="both"/>
        <w:rPr>
          <w:rFonts w:ascii="Calibri" w:hAnsi="Calibri"/>
          <w:lang w:val="en-US"/>
        </w:rPr>
      </w:pPr>
    </w:p>
    <w:p w14:paraId="4DD973DA" w14:textId="77777777" w:rsidR="00E7213F" w:rsidRPr="00B36A9C" w:rsidRDefault="00E7213F" w:rsidP="00E6223C">
      <w:pPr>
        <w:pStyle w:val="ListParagraph"/>
        <w:numPr>
          <w:ilvl w:val="0"/>
          <w:numId w:val="6"/>
        </w:numPr>
        <w:spacing w:line="360" w:lineRule="auto"/>
        <w:jc w:val="both"/>
        <w:rPr>
          <w:rFonts w:ascii="Calibri" w:hAnsi="Calibri"/>
          <w:b/>
          <w:i/>
          <w:lang w:val="en-US"/>
        </w:rPr>
      </w:pPr>
      <w:r w:rsidRPr="00B36A9C">
        <w:rPr>
          <w:rFonts w:ascii="Calibri" w:hAnsi="Calibri"/>
          <w:b/>
          <w:i/>
          <w:lang w:val="en-US"/>
        </w:rPr>
        <w:t xml:space="preserve">SRCAP </w:t>
      </w:r>
      <w:r>
        <w:rPr>
          <w:rFonts w:ascii="Calibri" w:hAnsi="Calibri"/>
          <w:b/>
          <w:i/>
          <w:lang w:val="en-US"/>
        </w:rPr>
        <w:t xml:space="preserve">depletion </w:t>
      </w:r>
      <w:r w:rsidRPr="00B36A9C">
        <w:rPr>
          <w:rFonts w:ascii="Calibri" w:hAnsi="Calibri"/>
          <w:b/>
          <w:i/>
          <w:lang w:val="en-US"/>
        </w:rPr>
        <w:t>increase</w:t>
      </w:r>
      <w:r>
        <w:rPr>
          <w:rFonts w:ascii="Calibri" w:hAnsi="Calibri"/>
          <w:b/>
          <w:i/>
          <w:lang w:val="en-US"/>
        </w:rPr>
        <w:t>s</w:t>
      </w:r>
      <w:r w:rsidRPr="00B36A9C">
        <w:rPr>
          <w:rFonts w:ascii="Calibri" w:hAnsi="Calibri"/>
          <w:b/>
          <w:i/>
          <w:lang w:val="en-US"/>
        </w:rPr>
        <w:t xml:space="preserve"> genomic instability</w:t>
      </w:r>
    </w:p>
    <w:p w14:paraId="2A3E413F" w14:textId="53E4C017" w:rsidR="00E7213F" w:rsidRPr="00F372BC" w:rsidRDefault="00E7213F" w:rsidP="00E7213F">
      <w:pPr>
        <w:spacing w:line="360" w:lineRule="auto"/>
        <w:jc w:val="both"/>
        <w:rPr>
          <w:rFonts w:ascii="Calibri" w:hAnsi="Calibri"/>
          <w:lang w:val="en-US"/>
        </w:rPr>
      </w:pPr>
      <w:r>
        <w:rPr>
          <w:rFonts w:ascii="Calibri" w:hAnsi="Calibri"/>
          <w:lang w:val="en-US"/>
        </w:rPr>
        <w:t xml:space="preserve">Firstly, it was determined that </w:t>
      </w:r>
      <w:r w:rsidRPr="00736F31">
        <w:rPr>
          <w:rFonts w:ascii="Calibri" w:hAnsi="Calibri"/>
          <w:i/>
          <w:lang w:val="en-US"/>
        </w:rPr>
        <w:t>SRCAP</w:t>
      </w:r>
      <w:r>
        <w:rPr>
          <w:rFonts w:ascii="Calibri" w:hAnsi="Calibri"/>
          <w:lang w:val="en-US"/>
        </w:rPr>
        <w:t xml:space="preserve"> depletion caused an increase in genomic instability as highlighted by increased DNA damage markers, an increase in DNA damage visualized in the comet assay and also by higher levels of total nuclear abnormalities.</w:t>
      </w:r>
      <w:r w:rsidRPr="00346D10">
        <w:rPr>
          <w:rFonts w:ascii="Calibri" w:hAnsi="Calibri"/>
          <w:lang w:val="en-US"/>
        </w:rPr>
        <w:t xml:space="preserve"> </w:t>
      </w:r>
      <w:r>
        <w:rPr>
          <w:rFonts w:ascii="Calibri" w:hAnsi="Calibri"/>
          <w:lang w:val="en-US"/>
        </w:rPr>
        <w:t>The increase in</w:t>
      </w:r>
      <w:r w:rsidRPr="00346D10">
        <w:rPr>
          <w:rFonts w:ascii="Calibri" w:hAnsi="Calibri"/>
          <w:lang w:val="en-US"/>
        </w:rPr>
        <w:t xml:space="preserve"> DNA damage</w:t>
      </w:r>
      <w:r>
        <w:rPr>
          <w:rFonts w:ascii="Calibri" w:hAnsi="Calibri"/>
          <w:lang w:val="en-US"/>
        </w:rPr>
        <w:t xml:space="preserve"> in SRCAP depleted cells wa</w:t>
      </w:r>
      <w:r w:rsidRPr="00346D10">
        <w:rPr>
          <w:rFonts w:ascii="Calibri" w:hAnsi="Calibri"/>
          <w:lang w:val="en-US"/>
        </w:rPr>
        <w:t xml:space="preserve">s consistent with the </w:t>
      </w:r>
      <w:r>
        <w:rPr>
          <w:rFonts w:ascii="Calibri" w:hAnsi="Calibri"/>
          <w:lang w:val="en-US"/>
        </w:rPr>
        <w:t xml:space="preserve">original </w:t>
      </w:r>
      <w:r w:rsidRPr="00346D10">
        <w:rPr>
          <w:rFonts w:ascii="Calibri" w:hAnsi="Calibri"/>
          <w:lang w:val="en-US"/>
        </w:rPr>
        <w:t xml:space="preserve">siRNA screen conducted previously in the </w:t>
      </w:r>
      <w:r w:rsidR="00084555">
        <w:rPr>
          <w:rFonts w:ascii="Calibri" w:hAnsi="Calibri"/>
          <w:lang w:val="en-US"/>
        </w:rPr>
        <w:t xml:space="preserve">Collis </w:t>
      </w:r>
      <w:r w:rsidRPr="00346D10">
        <w:rPr>
          <w:rFonts w:ascii="Calibri" w:hAnsi="Calibri"/>
          <w:lang w:val="en-US"/>
        </w:rPr>
        <w:t xml:space="preserve">laboratory </w:t>
      </w:r>
      <w:r>
        <w:rPr>
          <w:rFonts w:ascii="Calibri" w:hAnsi="Calibri"/>
          <w:lang w:val="en-US"/>
        </w:rPr>
        <w:t>which</w:t>
      </w:r>
      <w:r w:rsidRPr="00346D10">
        <w:rPr>
          <w:rFonts w:ascii="Calibri" w:hAnsi="Calibri"/>
          <w:lang w:val="en-US"/>
        </w:rPr>
        <w:t xml:space="preserve"> </w:t>
      </w:r>
      <w:r>
        <w:rPr>
          <w:rFonts w:ascii="Calibri" w:hAnsi="Calibri"/>
          <w:lang w:val="en-US"/>
        </w:rPr>
        <w:t>u</w:t>
      </w:r>
      <w:r>
        <w:rPr>
          <w:rFonts w:asciiTheme="majorHAnsi" w:hAnsiTheme="majorHAnsi"/>
          <w:szCs w:val="28"/>
          <w:lang w:val="en-US"/>
        </w:rPr>
        <w:t xml:space="preserve">sed increased </w:t>
      </w:r>
      <w:r>
        <w:rPr>
          <w:rFonts w:ascii="Calibri" w:hAnsi="Calibri"/>
          <w:szCs w:val="28"/>
          <w:lang w:val="en-US"/>
        </w:rPr>
        <w:t>γ</w:t>
      </w:r>
      <w:r w:rsidRPr="00F3763C">
        <w:rPr>
          <w:rFonts w:asciiTheme="majorHAnsi" w:hAnsiTheme="majorHAnsi"/>
          <w:szCs w:val="28"/>
          <w:lang w:val="en-US"/>
        </w:rPr>
        <w:t xml:space="preserve">H2AX as a </w:t>
      </w:r>
      <w:r>
        <w:rPr>
          <w:rFonts w:asciiTheme="majorHAnsi" w:hAnsiTheme="majorHAnsi"/>
          <w:szCs w:val="28"/>
          <w:lang w:val="en-US"/>
        </w:rPr>
        <w:t xml:space="preserve">marker of increased DNA damage </w:t>
      </w:r>
      <w:r w:rsidRPr="00F3763C">
        <w:rPr>
          <w:rFonts w:asciiTheme="majorHAnsi" w:hAnsiTheme="majorHAnsi"/>
          <w:szCs w:val="28"/>
          <w:lang w:val="en-US"/>
        </w:rPr>
        <w:t>to identify potential novel regulators of genome stability</w:t>
      </w:r>
      <w:r w:rsidRPr="00346D10">
        <w:rPr>
          <w:rFonts w:ascii="Calibri" w:hAnsi="Calibri"/>
          <w:lang w:val="en-US"/>
        </w:rPr>
        <w:t xml:space="preserve"> for DNA damage in HCT116 cells</w:t>
      </w:r>
      <w:r>
        <w:rPr>
          <w:rFonts w:ascii="Calibri" w:hAnsi="Calibri"/>
          <w:lang w:val="en-US"/>
        </w:rPr>
        <w:t xml:space="preserve"> </w:t>
      </w:r>
      <w:r>
        <w:rPr>
          <w:rFonts w:ascii="Calibri" w:hAnsi="Calibri"/>
          <w:lang w:val="en-US"/>
        </w:rPr>
        <w:fldChar w:fldCharType="begin">
          <w:fldData xml:space="preserve">PEVuZE5vdGU+PENpdGU+PEF1dGhvcj5TdGFwbGVzPC9BdXRob3I+PFllYXI+MjAxNDwvWWVhcj48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==
</w:fldData>
        </w:fldChar>
      </w:r>
      <w:r>
        <w:rPr>
          <w:rFonts w:ascii="Calibri" w:hAnsi="Calibri"/>
          <w:lang w:val="en-US"/>
        </w:rPr>
        <w:instrText xml:space="preserve"> ADDIN EN.CITE </w:instrText>
      </w:r>
      <w:r>
        <w:rPr>
          <w:rFonts w:ascii="Calibri" w:hAnsi="Calibri"/>
          <w:lang w:val="en-US"/>
        </w:rPr>
        <w:fldChar w:fldCharType="begin">
          <w:fldData xml:space="preserve">PEVuZE5vdGU+PENpdGU+PEF1dGhvcj5TdGFwbGVzPC9BdXRob3I+PFllYXI+MjAxNDwvWWVhcj48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==
</w:fldData>
        </w:fldChar>
      </w:r>
      <w:r>
        <w:rPr>
          <w:rFonts w:ascii="Calibri" w:hAnsi="Calibri"/>
          <w:lang w:val="en-US"/>
        </w:rPr>
        <w:instrText xml:space="preserve"> ADDIN EN.CITE.DATA </w:instrText>
      </w:r>
      <w:r>
        <w:rPr>
          <w:rFonts w:ascii="Calibri" w:hAnsi="Calibri"/>
          <w:lang w:val="en-US"/>
        </w:rPr>
      </w:r>
      <w:r>
        <w:rPr>
          <w:rFonts w:ascii="Calibri" w:hAnsi="Calibri"/>
          <w:lang w:val="en-US"/>
        </w:rPr>
        <w:fldChar w:fldCharType="end"/>
      </w:r>
      <w:r>
        <w:rPr>
          <w:rFonts w:ascii="Calibri" w:hAnsi="Calibri"/>
          <w:lang w:val="en-US"/>
        </w:rPr>
      </w:r>
      <w:r>
        <w:rPr>
          <w:rFonts w:ascii="Calibri" w:hAnsi="Calibri"/>
          <w:lang w:val="en-US"/>
        </w:rPr>
        <w:fldChar w:fldCharType="separate"/>
      </w:r>
      <w:r>
        <w:rPr>
          <w:rFonts w:ascii="Calibri" w:hAnsi="Calibri"/>
          <w:noProof/>
          <w:lang w:val="en-US"/>
        </w:rPr>
        <w:t>(Staples et al., 2014, Staples et al., 2012, Barone et al., 2016, Staples et al., 2016, Myers et al., 2016)</w:t>
      </w:r>
      <w:r>
        <w:rPr>
          <w:rFonts w:ascii="Calibri" w:hAnsi="Calibri"/>
          <w:lang w:val="en-US"/>
        </w:rPr>
        <w:fldChar w:fldCharType="end"/>
      </w:r>
      <w:r>
        <w:rPr>
          <w:rFonts w:ascii="Calibri" w:hAnsi="Calibri"/>
          <w:lang w:val="en-US"/>
        </w:rPr>
        <w:t xml:space="preserve">. The HCT116 </w:t>
      </w:r>
      <w:r w:rsidRPr="00346D10">
        <w:rPr>
          <w:rFonts w:ascii="Calibri" w:hAnsi="Calibri"/>
          <w:lang w:val="en-US"/>
        </w:rPr>
        <w:t>cell line displays a</w:t>
      </w:r>
      <w:r w:rsidR="00084555">
        <w:rPr>
          <w:rFonts w:ascii="Calibri" w:hAnsi="Calibri"/>
          <w:lang w:val="en-US"/>
        </w:rPr>
        <w:t>n</w:t>
      </w:r>
      <w:r w:rsidRPr="00346D10">
        <w:rPr>
          <w:rFonts w:ascii="Calibri" w:hAnsi="Calibri"/>
          <w:lang w:val="en-US"/>
        </w:rPr>
        <w:t xml:space="preserve"> MSI phenotype, whereas SW480 cells are MS stable, but chromosomal</w:t>
      </w:r>
      <w:r>
        <w:rPr>
          <w:rFonts w:ascii="Calibri" w:hAnsi="Calibri"/>
          <w:lang w:val="en-US"/>
        </w:rPr>
        <w:t>ly</w:t>
      </w:r>
      <w:r w:rsidRPr="00346D10">
        <w:rPr>
          <w:rFonts w:ascii="Calibri" w:hAnsi="Calibri"/>
          <w:lang w:val="en-US"/>
        </w:rPr>
        <w:t xml:space="preserve"> unstable. This suggests that effects of knockdown of </w:t>
      </w:r>
      <w:r w:rsidRPr="00304F79">
        <w:rPr>
          <w:rFonts w:ascii="Calibri" w:hAnsi="Calibri"/>
          <w:i/>
          <w:lang w:val="en-US"/>
        </w:rPr>
        <w:t>SRCAP</w:t>
      </w:r>
      <w:r w:rsidRPr="00346D10">
        <w:rPr>
          <w:rFonts w:ascii="Calibri" w:hAnsi="Calibri"/>
          <w:lang w:val="en-US"/>
        </w:rPr>
        <w:t xml:space="preserve"> </w:t>
      </w:r>
      <w:r>
        <w:rPr>
          <w:rFonts w:ascii="Calibri" w:hAnsi="Calibri"/>
          <w:lang w:val="en-US"/>
        </w:rPr>
        <w:t xml:space="preserve">on DNA damage </w:t>
      </w:r>
      <w:r w:rsidRPr="00346D10">
        <w:rPr>
          <w:rFonts w:ascii="Calibri" w:hAnsi="Calibri"/>
          <w:lang w:val="en-US"/>
        </w:rPr>
        <w:t xml:space="preserve">are independent of the genetic background of the </w:t>
      </w:r>
      <w:r>
        <w:rPr>
          <w:rFonts w:ascii="Calibri" w:hAnsi="Calibri"/>
          <w:lang w:val="en-US"/>
        </w:rPr>
        <w:t xml:space="preserve">CRC </w:t>
      </w:r>
      <w:r w:rsidRPr="00346D10">
        <w:rPr>
          <w:rFonts w:ascii="Calibri" w:hAnsi="Calibri"/>
          <w:lang w:val="en-US"/>
        </w:rPr>
        <w:t>cells.</w:t>
      </w:r>
      <w:r>
        <w:rPr>
          <w:rFonts w:ascii="Calibri" w:hAnsi="Calibri"/>
          <w:lang w:val="en-US"/>
        </w:rPr>
        <w:t xml:space="preserve"> Indeed it appears that </w:t>
      </w:r>
      <w:r w:rsidRPr="00304F79">
        <w:rPr>
          <w:rFonts w:ascii="Calibri" w:hAnsi="Calibri"/>
          <w:lang w:val="en-US"/>
        </w:rPr>
        <w:t>SRCAP</w:t>
      </w:r>
      <w:r w:rsidR="002E39A4">
        <w:rPr>
          <w:rFonts w:ascii="Calibri" w:hAnsi="Calibri"/>
          <w:lang w:val="en-US"/>
        </w:rPr>
        <w:t xml:space="preserve"> knock</w:t>
      </w:r>
      <w:r>
        <w:rPr>
          <w:rFonts w:ascii="Calibri" w:hAnsi="Calibri"/>
          <w:lang w:val="en-US"/>
        </w:rPr>
        <w:t xml:space="preserve">down consistently causes genomic instability across other cell lines, as Dong et al. (2014), also showed an increase in </w:t>
      </w:r>
      <w:r>
        <w:rPr>
          <w:rFonts w:ascii="Calibri" w:hAnsi="Calibri"/>
          <w:szCs w:val="28"/>
          <w:lang w:val="en-US"/>
        </w:rPr>
        <w:t>γ</w:t>
      </w:r>
      <w:r w:rsidRPr="00F3763C">
        <w:rPr>
          <w:rFonts w:asciiTheme="majorHAnsi" w:hAnsiTheme="majorHAnsi"/>
          <w:szCs w:val="28"/>
          <w:lang w:val="en-US"/>
        </w:rPr>
        <w:t>H2AX</w:t>
      </w:r>
      <w:r>
        <w:rPr>
          <w:rFonts w:asciiTheme="majorHAnsi" w:hAnsiTheme="majorHAnsi"/>
          <w:szCs w:val="28"/>
          <w:lang w:val="en-US"/>
        </w:rPr>
        <w:t xml:space="preserve"> foci in Hela cells. They looked into the mechanism behind this increase in DNA damage and found that although it is hypothesized that SRCAP indirectly affects the DNA damage repair pathway through H2A.Z deposition and opening up of the chromatin to allow repair factors to bind, and SRCAP also plays a direct role through the promotion of DSB end resection and CtIP recruitment following DNA damage. These results suggest that inhibition of SRCAP could cause an increase in unrepaired DNA damage, which could be potentially lethal to the cells and mark them for apoptosis, and thereby reduce tumourigenesis. Work on H2A.Z has concluded that SRCAP depletion causes high genomic instability due to its necessary function in chromosome segregation </w:t>
      </w:r>
      <w:r>
        <w:rPr>
          <w:rFonts w:asciiTheme="majorHAnsi" w:hAnsiTheme="majorHAnsi"/>
          <w:szCs w:val="28"/>
          <w:lang w:val="en-US"/>
        </w:rPr>
        <w:fldChar w:fldCharType="begin"/>
      </w:r>
      <w:r>
        <w:rPr>
          <w:rFonts w:asciiTheme="majorHAnsi" w:hAnsiTheme="majorHAnsi"/>
          <w:szCs w:val="28"/>
          <w:lang w:val="en-US"/>
        </w:rPr>
        <w:instrText xml:space="preserve"> ADDIN EN.CITE &lt;EndNote&gt;&lt;Cite&gt;&lt;Author&gt;Rangasamy&lt;/Author&gt;&lt;Year&gt;2004&lt;/Year&gt;&lt;IDText&gt;RNA interference demonstrates a novel role for H2A.Z in chromosome segregation&lt;/IDText&gt;&lt;DisplayText&gt;(Rangasamy et al., 2004)&lt;/DisplayText&gt;&lt;record&gt;&lt;dates&gt;&lt;pub-dates&gt;&lt;date&gt;Jul&lt;/date&gt;&lt;/pub-dates&gt;&lt;year&gt;2004&lt;/year&gt;&lt;/dates&gt;&lt;keywords&gt;&lt;keyword&gt;Base Sequence&lt;/keyword&gt;&lt;keyword&gt;Blotting, Northern&lt;/keyword&gt;&lt;keyword&gt;Chromatin&lt;/keyword&gt;&lt;keyword&gt;DNA Primers&lt;/keyword&gt;&lt;keyword&gt;Genome&lt;/keyword&gt;&lt;keyword&gt;Histones&lt;/keyword&gt;&lt;keyword&gt;Molecular Sequence Data&lt;/keyword&gt;&lt;keyword&gt;RNA Interference&lt;/keyword&gt;&lt;keyword&gt;Reverse Transcriptase Polymerase Chain Reaction&lt;/keyword&gt;&lt;/keywords&gt;&lt;urls&gt;&lt;related-urls&gt;&lt;url&gt;http://www.ncbi.nlm.nih.gov/pubmed/15195148&lt;/url&gt;&lt;/related-urls&gt;&lt;/urls&gt;&lt;isbn&gt;1545-9993&lt;/isbn&gt;&lt;titles&gt;&lt;title&gt;RNA interference demonstrates a novel role for H2A.Z in chromosome segregation&lt;/title&gt;&lt;secondary-title&gt;Nat Struct Mol Biol&lt;/secondary-title&gt;&lt;/titles&gt;&lt;pages&gt;650-5&lt;/pages&gt;&lt;number&gt;7&lt;/number&gt;&lt;contributors&gt;&lt;authors&gt;&lt;author&gt;Rangasamy, D.&lt;/author&gt;&lt;author&gt;Greaves, I.&lt;/author&gt;&lt;author&gt;Tremethick, D. J.&lt;/author&gt;&lt;/authors&gt;&lt;/contributors&gt;&lt;language&gt;eng&lt;/language&gt;&lt;added-date format="utc"&gt;1425998456&lt;/added-date&gt;&lt;ref-type name="Journal Article"&gt;17&lt;/ref-type&gt;&lt;rec-number&gt;89&lt;/rec-number&gt;&lt;last-updated-date format="utc"&gt;1447344248&lt;/last-updated-date&gt;&lt;accession-num&gt;15195148&lt;/accession-num&gt;&lt;electronic-resource-num&gt;10.1038/nsmb786&lt;/electronic-resource-num&gt;&lt;volume&gt;11&lt;/volume&gt;&lt;/record&gt;&lt;/Cite&gt;&lt;/EndNote&gt;</w:instrText>
      </w:r>
      <w:r>
        <w:rPr>
          <w:rFonts w:asciiTheme="majorHAnsi" w:hAnsiTheme="majorHAnsi"/>
          <w:szCs w:val="28"/>
          <w:lang w:val="en-US"/>
        </w:rPr>
        <w:fldChar w:fldCharType="separate"/>
      </w:r>
      <w:r>
        <w:rPr>
          <w:rFonts w:asciiTheme="majorHAnsi" w:hAnsiTheme="majorHAnsi"/>
          <w:noProof/>
          <w:szCs w:val="28"/>
          <w:lang w:val="en-US"/>
        </w:rPr>
        <w:t>(Rangasamy et al., 2004)</w:t>
      </w:r>
      <w:r>
        <w:rPr>
          <w:rFonts w:asciiTheme="majorHAnsi" w:hAnsiTheme="majorHAnsi"/>
          <w:szCs w:val="28"/>
          <w:lang w:val="en-US"/>
        </w:rPr>
        <w:fldChar w:fldCharType="end"/>
      </w:r>
      <w:r>
        <w:rPr>
          <w:rFonts w:asciiTheme="majorHAnsi" w:hAnsiTheme="majorHAnsi"/>
          <w:szCs w:val="28"/>
          <w:lang w:val="en-US"/>
        </w:rPr>
        <w:t xml:space="preserve">. Indeed this study saw increased levels of nuclear abnormalities including micronuclei and bridges; consistent with results shown here when </w:t>
      </w:r>
      <w:r w:rsidRPr="00304F79">
        <w:rPr>
          <w:rFonts w:asciiTheme="majorHAnsi" w:hAnsiTheme="majorHAnsi"/>
          <w:i/>
          <w:szCs w:val="28"/>
          <w:lang w:val="en-US"/>
        </w:rPr>
        <w:t>SRCAP</w:t>
      </w:r>
      <w:r>
        <w:rPr>
          <w:rFonts w:asciiTheme="majorHAnsi" w:hAnsiTheme="majorHAnsi"/>
          <w:szCs w:val="28"/>
          <w:lang w:val="en-US"/>
        </w:rPr>
        <w:t xml:space="preserve"> w</w:t>
      </w:r>
      <w:r w:rsidR="002E39A4">
        <w:rPr>
          <w:rFonts w:asciiTheme="majorHAnsi" w:hAnsiTheme="majorHAnsi"/>
          <w:szCs w:val="28"/>
          <w:lang w:val="en-US"/>
        </w:rPr>
        <w:t>as knocked down. Thus the knock</w:t>
      </w:r>
      <w:r>
        <w:rPr>
          <w:rFonts w:asciiTheme="majorHAnsi" w:hAnsiTheme="majorHAnsi"/>
          <w:szCs w:val="28"/>
          <w:lang w:val="en-US"/>
        </w:rPr>
        <w:t xml:space="preserve">down of </w:t>
      </w:r>
      <w:r w:rsidRPr="00304F79">
        <w:rPr>
          <w:rFonts w:asciiTheme="majorHAnsi" w:hAnsiTheme="majorHAnsi"/>
          <w:i/>
          <w:szCs w:val="28"/>
          <w:lang w:val="en-US"/>
        </w:rPr>
        <w:t>SRCAP</w:t>
      </w:r>
      <w:r>
        <w:rPr>
          <w:rFonts w:asciiTheme="majorHAnsi" w:hAnsiTheme="majorHAnsi"/>
          <w:szCs w:val="28"/>
          <w:lang w:val="en-US"/>
        </w:rPr>
        <w:t xml:space="preserve"> and therefore the subsequent inhibition of H2A.Z deposition </w:t>
      </w:r>
      <w:proofErr w:type="gramStart"/>
      <w:r>
        <w:rPr>
          <w:rFonts w:asciiTheme="majorHAnsi" w:hAnsiTheme="majorHAnsi"/>
          <w:szCs w:val="28"/>
          <w:lang w:val="en-US"/>
        </w:rPr>
        <w:t>causes</w:t>
      </w:r>
      <w:proofErr w:type="gramEnd"/>
      <w:r>
        <w:rPr>
          <w:rFonts w:asciiTheme="majorHAnsi" w:hAnsiTheme="majorHAnsi"/>
          <w:szCs w:val="28"/>
          <w:lang w:val="en-US"/>
        </w:rPr>
        <w:t xml:space="preserve"> similar genomic instability mechanisms within human CRC cell lines.</w:t>
      </w:r>
    </w:p>
    <w:p w14:paraId="3159D991" w14:textId="77777777" w:rsidR="00E7213F" w:rsidRDefault="00E7213F" w:rsidP="00E7213F">
      <w:pPr>
        <w:spacing w:line="360" w:lineRule="auto"/>
        <w:jc w:val="both"/>
        <w:rPr>
          <w:rFonts w:ascii="Calibri" w:hAnsi="Calibri"/>
        </w:rPr>
      </w:pPr>
    </w:p>
    <w:p w14:paraId="5EFC54AF" w14:textId="6B73C579" w:rsidR="00E7213F" w:rsidRDefault="00E7213F" w:rsidP="00E7213F">
      <w:pPr>
        <w:spacing w:line="360" w:lineRule="auto"/>
        <w:jc w:val="both"/>
        <w:rPr>
          <w:rFonts w:ascii="Calibri" w:hAnsi="Calibri"/>
        </w:rPr>
      </w:pPr>
      <w:r>
        <w:rPr>
          <w:rFonts w:ascii="Calibri" w:hAnsi="Calibri"/>
        </w:rPr>
        <w:t>Dong et al. (2014) also showed that</w:t>
      </w:r>
      <w:r w:rsidR="002E39A4">
        <w:rPr>
          <w:rFonts w:ascii="Calibri" w:hAnsi="Calibri"/>
        </w:rPr>
        <w:t xml:space="preserve"> in Hela cells with SRCAP knock</w:t>
      </w:r>
      <w:r>
        <w:rPr>
          <w:rFonts w:ascii="Calibri" w:hAnsi="Calibri"/>
        </w:rPr>
        <w:t>down there was less digestion of the chromatin by micrococcal nuclease, possibly due to the inability of the nuclease to access the tightly wound DNA. The data presented here is broadly consiste</w:t>
      </w:r>
      <w:r w:rsidR="002E39A4">
        <w:rPr>
          <w:rFonts w:ascii="Calibri" w:hAnsi="Calibri"/>
        </w:rPr>
        <w:t>nt with these findings as knock</w:t>
      </w:r>
      <w:r>
        <w:rPr>
          <w:rFonts w:ascii="Calibri" w:hAnsi="Calibri"/>
        </w:rPr>
        <w:t xml:space="preserve">down of </w:t>
      </w:r>
      <w:r w:rsidRPr="00304F79">
        <w:rPr>
          <w:rFonts w:ascii="Calibri" w:hAnsi="Calibri"/>
          <w:i/>
        </w:rPr>
        <w:t>SRCAP</w:t>
      </w:r>
      <w:r>
        <w:rPr>
          <w:rFonts w:ascii="Calibri" w:hAnsi="Calibri"/>
        </w:rPr>
        <w:t xml:space="preserve">, (and so probably the depletion of H2A.Z being deposited into the nucleosome in SW480 cells), caused less digestion as shown by agarose gel images and bioanalyser traces. In SW480 cells with </w:t>
      </w:r>
      <w:r w:rsidRPr="00304F79">
        <w:rPr>
          <w:rFonts w:ascii="Calibri" w:hAnsi="Calibri"/>
          <w:i/>
        </w:rPr>
        <w:t>SRCAP</w:t>
      </w:r>
      <w:r>
        <w:rPr>
          <w:rFonts w:ascii="Calibri" w:hAnsi="Calibri"/>
        </w:rPr>
        <w:t xml:space="preserve"> depletion there was an increased percentag</w:t>
      </w:r>
      <w:r w:rsidR="003F1D4C">
        <w:rPr>
          <w:rFonts w:ascii="Calibri" w:hAnsi="Calibri"/>
        </w:rPr>
        <w:t>e of larger fragments of DNA tha</w:t>
      </w:r>
      <w:r>
        <w:rPr>
          <w:rFonts w:ascii="Calibri" w:hAnsi="Calibri"/>
        </w:rPr>
        <w:t xml:space="preserve">n compared to control cells after 20mins of micrococcal nuclease digestion, indicating that rates of digestion were not as fast. These data therefore </w:t>
      </w:r>
      <w:r w:rsidR="00084555">
        <w:rPr>
          <w:rFonts w:ascii="Calibri" w:hAnsi="Calibri"/>
        </w:rPr>
        <w:t xml:space="preserve">may </w:t>
      </w:r>
      <w:r w:rsidR="002E39A4">
        <w:rPr>
          <w:rFonts w:ascii="Calibri" w:hAnsi="Calibri"/>
        </w:rPr>
        <w:t>suggest that knock</w:t>
      </w:r>
      <w:r>
        <w:rPr>
          <w:rFonts w:ascii="Calibri" w:hAnsi="Calibri"/>
        </w:rPr>
        <w:t>down of SRCAP causes widespread chromatin remodelling changes</w:t>
      </w:r>
      <w:r w:rsidR="003F1D4C">
        <w:rPr>
          <w:rFonts w:ascii="Calibri" w:hAnsi="Calibri"/>
        </w:rPr>
        <w:t xml:space="preserve"> in CIN CRC cell lines</w:t>
      </w:r>
      <w:r>
        <w:rPr>
          <w:rFonts w:ascii="Calibri" w:hAnsi="Calibri"/>
        </w:rPr>
        <w:t>. However, as mentioned previously we were not able to reliably reproduce this result. We hypothesise that issues around the stability of the enzyme may explain the inconsistencies, and therefore further repeat experiments would be needed to allow a robust conclusion.</w:t>
      </w:r>
    </w:p>
    <w:p w14:paraId="1149A295" w14:textId="77777777" w:rsidR="00E7213F" w:rsidRDefault="00E7213F" w:rsidP="00E7213F">
      <w:pPr>
        <w:spacing w:line="360" w:lineRule="auto"/>
        <w:jc w:val="both"/>
        <w:rPr>
          <w:rFonts w:ascii="Calibri" w:hAnsi="Calibri"/>
        </w:rPr>
      </w:pPr>
    </w:p>
    <w:p w14:paraId="50EEDBE9" w14:textId="77777777" w:rsidR="00E7213F" w:rsidRPr="00B36A9C" w:rsidRDefault="00E7213F" w:rsidP="00E6223C">
      <w:pPr>
        <w:pStyle w:val="ListParagraph"/>
        <w:numPr>
          <w:ilvl w:val="0"/>
          <w:numId w:val="6"/>
        </w:numPr>
        <w:spacing w:line="360" w:lineRule="auto"/>
        <w:jc w:val="both"/>
        <w:rPr>
          <w:rFonts w:ascii="Calibri" w:hAnsi="Calibri"/>
          <w:b/>
          <w:i/>
        </w:rPr>
      </w:pPr>
      <w:r w:rsidRPr="00B36A9C">
        <w:rPr>
          <w:rFonts w:ascii="Calibri" w:hAnsi="Calibri"/>
          <w:b/>
          <w:i/>
        </w:rPr>
        <w:t>SRCAP depletion creates cell cycling aberrations</w:t>
      </w:r>
    </w:p>
    <w:p w14:paraId="767752CE" w14:textId="38373A01" w:rsidR="00E7213F" w:rsidRDefault="00E7213F" w:rsidP="00E7213F">
      <w:pPr>
        <w:spacing w:line="360" w:lineRule="auto"/>
        <w:jc w:val="both"/>
        <w:rPr>
          <w:rFonts w:ascii="Calibri" w:hAnsi="Calibri"/>
        </w:rPr>
      </w:pPr>
      <w:r>
        <w:rPr>
          <w:rFonts w:ascii="Calibri" w:hAnsi="Calibri"/>
        </w:rPr>
        <w:t xml:space="preserve">Similar to published work on prostate cancer cells </w:t>
      </w:r>
      <w:r>
        <w:rPr>
          <w:rFonts w:ascii="Calibri" w:hAnsi="Calibr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Pr>
          <w:rFonts w:ascii="Calibri" w:hAnsi="Calibri"/>
        </w:rPr>
        <w:instrText xml:space="preserve"> ADDIN EN.CITE </w:instrText>
      </w:r>
      <w:r>
        <w:rPr>
          <w:rFonts w:ascii="Calibri" w:hAnsi="Calibr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(Slupianek et al., 2010)</w:t>
      </w:r>
      <w:r>
        <w:rPr>
          <w:rFonts w:ascii="Calibri" w:hAnsi="Calibri"/>
        </w:rPr>
        <w:fldChar w:fldCharType="end"/>
      </w:r>
      <w:r>
        <w:rPr>
          <w:rFonts w:ascii="Calibri" w:hAnsi="Calibri"/>
        </w:rPr>
        <w:t>, it</w:t>
      </w:r>
      <w:r w:rsidR="002E39A4">
        <w:rPr>
          <w:rFonts w:ascii="Calibri" w:hAnsi="Calibri"/>
        </w:rPr>
        <w:t xml:space="preserve"> has been shown here that knock</w:t>
      </w:r>
      <w:r>
        <w:rPr>
          <w:rFonts w:ascii="Calibri" w:hAnsi="Calibri"/>
        </w:rPr>
        <w:t xml:space="preserve">down of </w:t>
      </w:r>
      <w:r w:rsidRPr="00304F79">
        <w:rPr>
          <w:rFonts w:ascii="Calibri" w:hAnsi="Calibri"/>
          <w:i/>
        </w:rPr>
        <w:t>SRCAP</w:t>
      </w:r>
      <w:r>
        <w:rPr>
          <w:rFonts w:ascii="Calibri" w:hAnsi="Calibri"/>
        </w:rPr>
        <w:t xml:space="preserve"> causes a decrease in cell proliferation, and additionally that this effect is longer lasting than previous studies which examined up to 48hrs post transfection. It was shown that when H2A.Z was knocked down there was an increase in p21 expression and cellular senescence </w:t>
      </w:r>
      <w:r>
        <w:rPr>
          <w:rFonts w:ascii="Calibri" w:hAnsi="Calibri"/>
        </w:rPr>
        <w:fldChar w:fldCharType="begin"/>
      </w:r>
      <w:r>
        <w:rPr>
          <w:rFonts w:ascii="Calibri" w:hAnsi="Calibri"/>
        </w:rPr>
        <w:instrText xml:space="preserve"> ADDIN EN.CITE &lt;EndNote&gt;&lt;Cite&gt;&lt;Author&gt;Gévry&lt;/Author&gt;&lt;Year&gt;2007&lt;/Year&gt;&lt;IDText&gt;p21 transcription is regulated by differential localization of histone H2A.Z&lt;/IDText&gt;&lt;DisplayText&gt;(Gévry et al., 2007)&lt;/DisplayText&gt;&lt;record&gt;&lt;dates&gt;&lt;pub-dates&gt;&lt;date&gt;Aug&lt;/date&gt;&lt;/pub-dates&gt;&lt;year&gt;2007&lt;/year&gt;&lt;/dates&gt;&lt;keywords&gt;&lt;keyword&gt;Amino Acid Sequence&lt;/keyword&gt;&lt;keyword&gt;Base Sequence&lt;/keyword&gt;&lt;keyword&gt;Binding Sites&lt;/keyword&gt;&lt;keyword&gt;Cell Aging&lt;/keyword&gt;&lt;keyword&gt;Cell Line&lt;/keyword&gt;&lt;keyword&gt;Cells, Cultured&lt;/keyword&gt;&lt;keyword&gt;Chromatin&lt;/keyword&gt;&lt;keyword&gt;Cyclin-Dependent Kinase Inhibitor p21&lt;/keyword&gt;&lt;keyword&gt;DNA Damage&lt;/keyword&gt;&lt;keyword&gt;DNA Helicases&lt;/keyword&gt;&lt;keyword&gt;DNA, Complementary&lt;/keyword&gt;&lt;keyword&gt;DNA-Binding Proteins&lt;/keyword&gt;&lt;keyword&gt;Epigenesis, Genetic&lt;/keyword&gt;&lt;keyword&gt;Fibroblasts&lt;/keyword&gt;&lt;keyword&gt;Histone Acetyltransferases&lt;/keyword&gt;&lt;keyword&gt;Histones&lt;/keyword&gt;&lt;keyword&gt;Humans&lt;/keyword&gt;&lt;keyword&gt;Molecular Sequence Data&lt;/keyword&gt;&lt;keyword&gt;Promoter Regions, Genetic&lt;/keyword&gt;&lt;keyword&gt;Proto-Oncogene Proteins c-myc&lt;/keyword&gt;&lt;keyword&gt;Transcription, Genetic&lt;/keyword&gt;&lt;keyword&gt;Tumor Suppressor Protein p53&lt;/keyword&gt;&lt;/keywords&gt;&lt;urls&gt;&lt;related-urls&gt;&lt;url&gt;http://www.ncbi.nlm.nih.gov/pubmed/17671089&lt;/url&gt;&lt;/related-urls&gt;&lt;/urls&gt;&lt;isbn&gt;0890-9369&lt;/isbn&gt;&lt;custom2&gt;PMC1935026&lt;/custom2&gt;&lt;titles&gt;&lt;title&gt;p21 transcription is regulated by differential localization of histone H2A.Z&lt;/title&gt;&lt;secondary-title&gt;Genes Dev&lt;/secondary-title&gt;&lt;/titles&gt;&lt;pages&gt;1869-81&lt;/pages&gt;&lt;number&gt;15&lt;/number&gt;&lt;contributors&gt;&lt;authors&gt;&lt;author&gt;Gévry, N.&lt;/author&gt;&lt;author&gt;Chan, H. M.&lt;/author&gt;&lt;author&gt;Laflamme, L.&lt;/author&gt;&lt;author&gt;Livingston, D. M.&lt;/author&gt;&lt;author&gt;Gaudreau, L.&lt;/author&gt;&lt;/authors&gt;&lt;/contributors&gt;&lt;language&gt;eng&lt;/language&gt;&lt;added-date format="utc"&gt;1425982080&lt;/added-date&gt;&lt;ref-type name="Journal Article"&gt;17&lt;/ref-type&gt;&lt;rec-number&gt;41&lt;/rec-number&gt;&lt;last-updated-date format="utc"&gt;1447343862&lt;/last-updated-date&gt;&lt;accession-num&gt;17671089&lt;/accession-num&gt;&lt;electronic-resource-num&gt;10.1101/gad.1545707&lt;/electronic-resource-num&gt;&lt;volume&gt;21&lt;/volume&gt;&lt;/record&gt;&lt;/Cite&gt;&lt;/EndNote&gt;</w:instrText>
      </w:r>
      <w:r>
        <w:rPr>
          <w:rFonts w:ascii="Calibri" w:hAnsi="Calibri"/>
        </w:rPr>
        <w:fldChar w:fldCharType="separate"/>
      </w:r>
      <w:r>
        <w:rPr>
          <w:rFonts w:ascii="Calibri" w:hAnsi="Calibri"/>
          <w:noProof/>
        </w:rPr>
        <w:t>(Gévry et al., 2007)</w:t>
      </w:r>
      <w:r>
        <w:rPr>
          <w:rFonts w:ascii="Calibri" w:hAnsi="Calibri"/>
        </w:rPr>
        <w:fldChar w:fldCharType="end"/>
      </w:r>
      <w:r>
        <w:rPr>
          <w:rFonts w:ascii="Calibri" w:hAnsi="Calibri"/>
        </w:rPr>
        <w:t xml:space="preserve">. This may be a similar mechanism to what happens when </w:t>
      </w:r>
      <w:r w:rsidRPr="00304F79">
        <w:rPr>
          <w:rFonts w:ascii="Calibri" w:hAnsi="Calibri"/>
        </w:rPr>
        <w:t>SRCAP</w:t>
      </w:r>
      <w:r>
        <w:rPr>
          <w:rFonts w:ascii="Calibri" w:hAnsi="Calibri"/>
        </w:rPr>
        <w:t xml:space="preserve"> is depleted and therefore H2A.Z deposition is reduced within nucleosomes. However, this could mean that when SRCAP is inhibited, the slowing of cell cycle progression and possibly senescence of a population of the tumour cells could result in resistance to standard clinically used treatments which target rapidly dividing cells, and would therefore make any SRCAP inhibitor-based therapy unsuccessful. The theory that the decrease in growth of </w:t>
      </w:r>
      <w:r w:rsidRPr="00304F79">
        <w:rPr>
          <w:rFonts w:ascii="Calibri" w:hAnsi="Calibri"/>
          <w:i/>
        </w:rPr>
        <w:t>SRCAP</w:t>
      </w:r>
      <w:r>
        <w:rPr>
          <w:rFonts w:ascii="Calibri" w:hAnsi="Calibri"/>
        </w:rPr>
        <w:t xml:space="preserve"> </w:t>
      </w:r>
      <w:r w:rsidR="002E39A4">
        <w:rPr>
          <w:rFonts w:ascii="Calibri" w:hAnsi="Calibri"/>
        </w:rPr>
        <w:t>knock</w:t>
      </w:r>
      <w:r>
        <w:rPr>
          <w:rFonts w:ascii="Calibri" w:hAnsi="Calibri"/>
        </w:rPr>
        <w:t xml:space="preserve">down cells compared to control cells was due to cell cycle slowing was further supported by the Annexin V/PI flow cytometry data, which showed no difference in apoptotic cells when </w:t>
      </w:r>
      <w:r w:rsidRPr="00304F79">
        <w:rPr>
          <w:rFonts w:ascii="Calibri" w:hAnsi="Calibri"/>
          <w:i/>
        </w:rPr>
        <w:t>SRCAP</w:t>
      </w:r>
      <w:r>
        <w:rPr>
          <w:rFonts w:ascii="Calibri" w:hAnsi="Calibri"/>
        </w:rPr>
        <w:t xml:space="preserve"> was depleted in either cell line. </w:t>
      </w:r>
    </w:p>
    <w:p w14:paraId="5AB0AEE2" w14:textId="77777777" w:rsidR="00E7213F" w:rsidRDefault="00E7213F" w:rsidP="00E7213F">
      <w:pPr>
        <w:spacing w:line="360" w:lineRule="auto"/>
        <w:jc w:val="both"/>
        <w:rPr>
          <w:rFonts w:ascii="Calibri" w:hAnsi="Calibri"/>
        </w:rPr>
      </w:pPr>
    </w:p>
    <w:p w14:paraId="4731EC4B" w14:textId="7ABE1F13" w:rsidR="00E7213F" w:rsidRDefault="00E7213F" w:rsidP="00E7213F">
      <w:pPr>
        <w:spacing w:line="360" w:lineRule="auto"/>
        <w:jc w:val="both"/>
        <w:rPr>
          <w:rFonts w:ascii="Calibri" w:hAnsi="Calibri"/>
        </w:rPr>
      </w:pPr>
      <w:r>
        <w:rPr>
          <w:rFonts w:ascii="Calibri" w:hAnsi="Calibri"/>
        </w:rPr>
        <w:t xml:space="preserve">Investigation of the cell cycle profiles after </w:t>
      </w:r>
      <w:r w:rsidRPr="00304F79">
        <w:rPr>
          <w:rFonts w:ascii="Calibri" w:hAnsi="Calibri"/>
          <w:i/>
        </w:rPr>
        <w:t>SRCAP</w:t>
      </w:r>
      <w:r w:rsidR="002E39A4">
        <w:rPr>
          <w:rFonts w:ascii="Calibri" w:hAnsi="Calibri"/>
        </w:rPr>
        <w:t xml:space="preserve"> knock</w:t>
      </w:r>
      <w:r>
        <w:rPr>
          <w:rFonts w:ascii="Calibri" w:hAnsi="Calibri"/>
        </w:rPr>
        <w:t xml:space="preserve">down in HCT116 cells was consistent with the data seen in the genomic instability experiments; a higher percentage of cells in G1 with a subsequent decrease in cells in S, indicating an accumulation of cells possibly carrying DNA damage at the G1 checkpoint. However, this was </w:t>
      </w:r>
      <w:r w:rsidR="00754D3C">
        <w:rPr>
          <w:rFonts w:ascii="Calibri" w:hAnsi="Calibri"/>
        </w:rPr>
        <w:t xml:space="preserve">not </w:t>
      </w:r>
      <w:r>
        <w:rPr>
          <w:rFonts w:ascii="Calibri" w:hAnsi="Calibri"/>
        </w:rPr>
        <w:t xml:space="preserve">shown in SW480 cells, as </w:t>
      </w:r>
      <w:r w:rsidRPr="00304F79">
        <w:rPr>
          <w:rFonts w:ascii="Calibri" w:hAnsi="Calibri"/>
          <w:i/>
        </w:rPr>
        <w:t>SRCAP</w:t>
      </w:r>
      <w:r>
        <w:rPr>
          <w:rFonts w:ascii="Calibri" w:hAnsi="Calibri"/>
        </w:rPr>
        <w:t xml:space="preserve"> depletion</w:t>
      </w:r>
      <w:r w:rsidR="00754D3C">
        <w:rPr>
          <w:rFonts w:ascii="Calibri" w:hAnsi="Calibri"/>
        </w:rPr>
        <w:t xml:space="preserve"> resulted in no differences in cell cycle profiles</w:t>
      </w:r>
      <w:r>
        <w:rPr>
          <w:rFonts w:ascii="Calibri" w:hAnsi="Calibri"/>
        </w:rPr>
        <w:t xml:space="preserve">. This could be explained by the fact of SW480 cells being deficient in TP53-/-, as cells with DNA damage do not efficiently activate the G1 checkpoint and so can continue to cycle as normal. Further analysis on specific stages of the cell cycle showed no difference in EdU staining, which is indicative of the DNA synthesis stage of the cell cycle, but there was a decrease in pH3 and so the number of mitotic cells when </w:t>
      </w:r>
      <w:r w:rsidRPr="00304F79">
        <w:rPr>
          <w:rFonts w:ascii="Calibri" w:hAnsi="Calibri"/>
          <w:i/>
        </w:rPr>
        <w:t>SRCAP</w:t>
      </w:r>
      <w:r>
        <w:rPr>
          <w:rFonts w:ascii="Calibri" w:hAnsi="Calibri"/>
        </w:rPr>
        <w:t xml:space="preserve"> was knocked down in both cell lines. Therefore it does appear that the lower growth rates of cells with </w:t>
      </w:r>
      <w:r w:rsidRPr="00304F79">
        <w:rPr>
          <w:rFonts w:ascii="Calibri" w:hAnsi="Calibri"/>
          <w:i/>
        </w:rPr>
        <w:t>SRCAP</w:t>
      </w:r>
      <w:r w:rsidR="002E39A4">
        <w:rPr>
          <w:rFonts w:ascii="Calibri" w:hAnsi="Calibri"/>
        </w:rPr>
        <w:t xml:space="preserve"> knock</w:t>
      </w:r>
      <w:r>
        <w:rPr>
          <w:rFonts w:ascii="Calibri" w:hAnsi="Calibri"/>
        </w:rPr>
        <w:t>down are likely due to differences in cellular cycling, HCT116 cells had a much lower growth rate possibly because of being TP53 proficient and so damaged cells were caught at a much earlier time point, whereas SW480 cells seem to progress through G1 and then due to lower rates of mitosis do not appear to be entering this phase as efficiently.</w:t>
      </w:r>
    </w:p>
    <w:p w14:paraId="577B75BD" w14:textId="77777777" w:rsidR="00F2015C" w:rsidRDefault="00F2015C" w:rsidP="00E7213F">
      <w:pPr>
        <w:spacing w:line="360" w:lineRule="auto"/>
        <w:jc w:val="both"/>
        <w:rPr>
          <w:rFonts w:ascii="Calibri" w:hAnsi="Calibri"/>
        </w:rPr>
      </w:pPr>
    </w:p>
    <w:p w14:paraId="3660AFC0" w14:textId="666561D2" w:rsidR="00F2015C" w:rsidRDefault="00F2015C" w:rsidP="00E7213F">
      <w:pPr>
        <w:spacing w:line="360" w:lineRule="auto"/>
        <w:jc w:val="both"/>
        <w:rPr>
          <w:rFonts w:ascii="Calibri" w:hAnsi="Calibri"/>
        </w:rPr>
      </w:pPr>
      <w:r w:rsidRPr="00E83A72">
        <w:rPr>
          <w:rFonts w:ascii="Calibri" w:hAnsi="Calibri"/>
        </w:rPr>
        <w:t>It could be that when SRCAP is knocked down cells are entering a senescent state and that is why grow rates in figure 4.10 are reduced compared to control</w:t>
      </w:r>
      <w:r w:rsidR="00AC03C8" w:rsidRPr="00E83A72">
        <w:rPr>
          <w:rFonts w:ascii="Calibri" w:hAnsi="Calibri"/>
        </w:rPr>
        <w:t xml:space="preserve"> and why cells weren’t entering mitosis as efficiently</w:t>
      </w:r>
      <w:r w:rsidRPr="00E83A72">
        <w:rPr>
          <w:rFonts w:ascii="Calibri" w:hAnsi="Calibri"/>
        </w:rPr>
        <w:t xml:space="preserve">.  Future work </w:t>
      </w:r>
      <w:r w:rsidR="00AC03C8" w:rsidRPr="00E83A72">
        <w:rPr>
          <w:rFonts w:ascii="Calibri" w:hAnsi="Calibri"/>
        </w:rPr>
        <w:t>would be to assess whether this hypothesis of cells entering senes</w:t>
      </w:r>
      <w:r w:rsidR="009008AE" w:rsidRPr="00E83A72">
        <w:rPr>
          <w:rFonts w:ascii="Calibri" w:hAnsi="Calibri"/>
        </w:rPr>
        <w:t>cence is true by utilising well-</w:t>
      </w:r>
      <w:r w:rsidR="00AC03C8" w:rsidRPr="00E83A72">
        <w:rPr>
          <w:rFonts w:ascii="Calibri" w:hAnsi="Calibri"/>
        </w:rPr>
        <w:t xml:space="preserve">known senescent markers such as </w:t>
      </w:r>
      <w:r w:rsidR="009008AE" w:rsidRPr="00E83A72">
        <w:rPr>
          <w:rFonts w:ascii="Calibri" w:hAnsi="Calibri"/>
        </w:rPr>
        <w:t xml:space="preserve">senescence-associated beta-galactosidase. Cycling cells have beta-galactosidase activity at pH 4.0. However, cells in senescence have over expression of lysosomal beta-galactosidase and at pH 6.0 show activity, therefore </w:t>
      </w:r>
      <w:r w:rsidR="006624D2" w:rsidRPr="00E83A72">
        <w:rPr>
          <w:rFonts w:ascii="Calibri" w:hAnsi="Calibri"/>
        </w:rPr>
        <w:t>using a</w:t>
      </w:r>
      <w:r w:rsidR="009008AE" w:rsidRPr="00E83A72">
        <w:rPr>
          <w:rFonts w:ascii="Calibri" w:hAnsi="Calibri"/>
        </w:rPr>
        <w:t xml:space="preserve"> pH</w:t>
      </w:r>
      <w:r w:rsidR="006624D2" w:rsidRPr="00E83A72">
        <w:rPr>
          <w:rFonts w:ascii="Calibri" w:hAnsi="Calibri"/>
        </w:rPr>
        <w:t xml:space="preserve"> 6.0 buffer</w:t>
      </w:r>
      <w:r w:rsidR="009008AE" w:rsidRPr="00E83A72">
        <w:rPr>
          <w:rFonts w:ascii="Calibri" w:hAnsi="Calibri"/>
        </w:rPr>
        <w:t xml:space="preserve"> in a cytochemical assay using X-Gal as the substrate for beta-galactosidase mediated cleavage can be utilised to assess for senescent cells</w:t>
      </w:r>
      <w:r w:rsidR="006624D2" w:rsidRPr="00E83A72">
        <w:rPr>
          <w:rFonts w:ascii="Calibri" w:hAnsi="Calibri"/>
        </w:rPr>
        <w:t xml:space="preserve"> as they accumulate a distinctive blue colour </w:t>
      </w:r>
      <w:r w:rsidR="006624D2" w:rsidRPr="00E83A72">
        <w:rPr>
          <w:rFonts w:ascii="Calibri" w:hAnsi="Calibri"/>
        </w:rPr>
        <w:fldChar w:fldCharType="begin"/>
      </w:r>
      <w:r w:rsidR="006624D2" w:rsidRPr="00E83A72">
        <w:rPr>
          <w:rFonts w:ascii="Calibri" w:hAnsi="Calibri"/>
        </w:rPr>
        <w:instrText xml:space="preserve"> ADDIN EN.CITE &lt;EndNote&gt;&lt;Cite&gt;&lt;Author&gt;Gary&lt;/Author&gt;&lt;Year&gt;2005&lt;/Year&gt;&lt;IDText&gt;Quantitative assay of senescence-associated beta-galactosidase activity in mammalian cell extracts&lt;/IDText&gt;&lt;DisplayText&gt;(Gary and Kindell, 2005)&lt;/DisplayText&gt;&lt;record&gt;&lt;dates&gt;&lt;pub-dates&gt;&lt;date&gt;Aug&lt;/date&gt;&lt;/pub-dates&gt;&lt;year&gt;2005&lt;/year&gt;&lt;/dates&gt;&lt;keywords&gt;&lt;keyword&gt;Aging&lt;/keyword&gt;&lt;keyword&gt;Animals&lt;/keyword&gt;&lt;keyword&gt;Biomarkers&lt;/keyword&gt;&lt;keyword&gt;Cell Count&lt;/keyword&gt;&lt;keyword&gt;Cell Extracts&lt;/keyword&gt;&lt;keyword&gt;Cells, Cultured&lt;/keyword&gt;&lt;keyword&gt;Cellular Senescence&lt;/keyword&gt;&lt;keyword&gt;Fibroblasts&lt;/keyword&gt;&lt;keyword&gt;Galactosides&lt;/keyword&gt;&lt;keyword&gt;Histocytochemistry&lt;/keyword&gt;&lt;keyword&gt;Humans&lt;/keyword&gt;&lt;keyword&gt;Hydrogen-Ion Concentration&lt;/keyword&gt;&lt;keyword&gt;Hymecromone&lt;/keyword&gt;&lt;keyword&gt;Mammals&lt;/keyword&gt;&lt;keyword&gt;Time Factors&lt;/keyword&gt;&lt;keyword&gt;beta-Galactosidase&lt;/keyword&gt;&lt;/keywords&gt;&lt;urls&gt;&lt;related-urls&gt;&lt;url&gt;https://www.ncbi.nlm.nih.gov/pubmed/16004951&lt;/url&gt;&lt;/related-urls&gt;&lt;/urls&gt;&lt;isbn&gt;0003-2697&lt;/isbn&gt;&lt;titles&gt;&lt;title&gt;Quantitative assay of senescence-associated beta-galactosidase activity in mammalian cell extracts&lt;/title&gt;&lt;secondary-title&gt;Anal Biochem&lt;/secondary-title&gt;&lt;/titles&gt;&lt;pages&gt;329-34&lt;/pages&gt;&lt;number&gt;2&lt;/number&gt;&lt;contributors&gt;&lt;authors&gt;&lt;author&gt;Gary, R. K.&lt;/author&gt;&lt;author&gt;Kindell, S. M.&lt;/author&gt;&lt;/authors&gt;&lt;/contributors&gt;&lt;language&gt;eng&lt;/language&gt;&lt;added-date format="utc"&gt;1522937216&lt;/added-date&gt;&lt;ref-type name="Journal Article"&gt;17&lt;/ref-type&gt;&lt;rec-number&gt;397&lt;/rec-number&gt;&lt;last-updated-date format="utc"&gt;1522937216&lt;/last-updated-date&gt;&lt;accession-num&gt;16004951&lt;/accession-num&gt;&lt;electronic-resource-num&gt;10.1016/j.ab.2005.06.003&lt;/electronic-resource-num&gt;&lt;volume&gt;343&lt;/volume&gt;&lt;/record&gt;&lt;/Cite&gt;&lt;/EndNote&gt;</w:instrText>
      </w:r>
      <w:r w:rsidR="006624D2" w:rsidRPr="00E83A72">
        <w:rPr>
          <w:rFonts w:ascii="Calibri" w:hAnsi="Calibri"/>
        </w:rPr>
        <w:fldChar w:fldCharType="separate"/>
      </w:r>
      <w:r w:rsidR="006624D2" w:rsidRPr="00E83A72">
        <w:rPr>
          <w:rFonts w:ascii="Calibri" w:hAnsi="Calibri"/>
          <w:noProof/>
        </w:rPr>
        <w:t>(Gary and Kindell, 2005)</w:t>
      </w:r>
      <w:r w:rsidR="006624D2" w:rsidRPr="00E83A72">
        <w:rPr>
          <w:rFonts w:ascii="Calibri" w:hAnsi="Calibri"/>
        </w:rPr>
        <w:fldChar w:fldCharType="end"/>
      </w:r>
      <w:r w:rsidR="009008AE" w:rsidRPr="00E83A72">
        <w:rPr>
          <w:rFonts w:ascii="Calibri" w:hAnsi="Calibri"/>
        </w:rPr>
        <w:t>.</w:t>
      </w:r>
      <w:r w:rsidR="009008AE">
        <w:rPr>
          <w:rFonts w:ascii="Calibri" w:hAnsi="Calibri"/>
        </w:rPr>
        <w:t xml:space="preserve"> </w:t>
      </w:r>
    </w:p>
    <w:p w14:paraId="6142CB11" w14:textId="77777777" w:rsidR="00E7213F" w:rsidRDefault="00E7213F" w:rsidP="00E7213F">
      <w:pPr>
        <w:spacing w:line="360" w:lineRule="auto"/>
        <w:jc w:val="both"/>
        <w:rPr>
          <w:rFonts w:ascii="Calibri" w:hAnsi="Calibri"/>
        </w:rPr>
      </w:pPr>
    </w:p>
    <w:p w14:paraId="5A753280" w14:textId="77777777" w:rsidR="00E7213F" w:rsidRPr="00B36A9C" w:rsidRDefault="00E7213F" w:rsidP="00E6223C">
      <w:pPr>
        <w:pStyle w:val="ListParagraph"/>
        <w:numPr>
          <w:ilvl w:val="0"/>
          <w:numId w:val="6"/>
        </w:numPr>
        <w:spacing w:line="360" w:lineRule="auto"/>
        <w:jc w:val="both"/>
        <w:rPr>
          <w:rFonts w:ascii="Calibri" w:hAnsi="Calibri"/>
          <w:b/>
          <w:i/>
        </w:rPr>
      </w:pPr>
      <w:r>
        <w:rPr>
          <w:rFonts w:ascii="Calibri" w:hAnsi="Calibri"/>
          <w:b/>
          <w:i/>
        </w:rPr>
        <w:t>SRCAP as a possible novel therapeutic in CRC</w:t>
      </w:r>
    </w:p>
    <w:p w14:paraId="5D1F44D8" w14:textId="473070DB" w:rsidR="00E7213F" w:rsidRDefault="00E7213F" w:rsidP="00E7213F">
      <w:pPr>
        <w:spacing w:line="360" w:lineRule="auto"/>
        <w:jc w:val="both"/>
        <w:rPr>
          <w:rFonts w:ascii="Calibri" w:hAnsi="Calibri"/>
        </w:rPr>
      </w:pPr>
      <w:r>
        <w:rPr>
          <w:rFonts w:ascii="Calibri" w:hAnsi="Calibri"/>
        </w:rPr>
        <w:t xml:space="preserve">5-FU is a widely studied and clinically available drug used in the study and treatment of </w:t>
      </w:r>
      <w:proofErr w:type="gramStart"/>
      <w:r>
        <w:rPr>
          <w:rFonts w:ascii="Calibri" w:hAnsi="Calibri"/>
        </w:rPr>
        <w:t>CRC.</w:t>
      </w:r>
      <w:proofErr w:type="gramEnd"/>
      <w:r>
        <w:rPr>
          <w:rFonts w:ascii="Calibri" w:hAnsi="Calibri"/>
        </w:rPr>
        <w:t xml:space="preserve"> However, in metastatic CRC there is only around a 40-50% response rate when 5-FU is combined with either irinotecan or oxaliplatin </w:t>
      </w:r>
      <w:r>
        <w:rPr>
          <w:rFonts w:ascii="Calibri" w:hAnsi="Calibri"/>
        </w:rPr>
        <w:fldChar w:fldCharType="begin">
          <w:fldData xml:space="preserve">PEVuZE5vdGU+PENpdGU+PEF1dGhvcj5Eb3VpbGxhcmQ8L0F1dGhvcj48WWVhcj4yMDAwPC9ZZWFy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</w:fldData>
        </w:fldChar>
      </w:r>
      <w:r>
        <w:rPr>
          <w:rFonts w:ascii="Calibri" w:hAnsi="Calibri"/>
        </w:rPr>
        <w:instrText xml:space="preserve"> ADDIN EN.CITE </w:instrText>
      </w:r>
      <w:r>
        <w:rPr>
          <w:rFonts w:ascii="Calibri" w:hAnsi="Calibri"/>
        </w:rPr>
        <w:fldChar w:fldCharType="begin">
          <w:fldData xml:space="preserve">PEVuZE5vdGU+PENpdGU+PEF1dGhvcj5Eb3VpbGxhcmQ8L0F1dGhvcj48WWVhcj4yMDAwPC9ZZWFy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(Douillard et al., 2000, Giacchetti et al., 2000)</w:t>
      </w:r>
      <w:r>
        <w:rPr>
          <w:rFonts w:ascii="Calibri" w:hAnsi="Calibri"/>
        </w:rPr>
        <w:fldChar w:fldCharType="end"/>
      </w:r>
      <w:r>
        <w:rPr>
          <w:rFonts w:ascii="Calibri" w:hAnsi="Calibri"/>
        </w:rPr>
        <w:t xml:space="preserve"> meaning that other novel therapeutics need to be investigated in order to increase survival. Here, it was found that in HCT116 cells there was a significant increase in the sensitisation of the CRC cells to 5-FU when </w:t>
      </w:r>
      <w:r w:rsidRPr="00304F79">
        <w:rPr>
          <w:rFonts w:ascii="Calibri" w:hAnsi="Calibri"/>
          <w:i/>
        </w:rPr>
        <w:t>SRCAP</w:t>
      </w:r>
      <w:r>
        <w:rPr>
          <w:rFonts w:ascii="Calibri" w:hAnsi="Calibri"/>
        </w:rPr>
        <w:t xml:space="preserve"> was knocked down compared to control HCT116 cells. Interestingly, it has been reported that tumours displaying deficiencies in the MMR genes (which are often MSI CRC tumours) are not as sensitive to 5-FU </w:t>
      </w:r>
      <w:r>
        <w:rPr>
          <w:rFonts w:ascii="Calibri" w:hAnsi="Calibri"/>
        </w:rPr>
        <w:fldChar w:fldCharType="begin">
          <w:fldData xml:space="preserve">PEVuZE5vdGU+PENpdGU+PEF1dGhvcj5NZXllcnM8L0F1dGhvcj48WWVhcj4yMDAxPC9ZZWFyPjxJ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</w:fldData>
        </w:fldChar>
      </w:r>
      <w:r>
        <w:rPr>
          <w:rFonts w:ascii="Calibri" w:hAnsi="Calibri"/>
        </w:rPr>
        <w:instrText xml:space="preserve"> ADDIN EN.CITE </w:instrText>
      </w:r>
      <w:r>
        <w:rPr>
          <w:rFonts w:ascii="Calibri" w:hAnsi="Calibri"/>
        </w:rPr>
        <w:fldChar w:fldCharType="begin">
          <w:fldData xml:space="preserve">PEVuZE5vdGU+PENpdGU+PEF1dGhvcj5NZXllcnM8L0F1dGhvcj48WWVhcj4yMDAxPC9ZZWFyPjxJ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(Meyers et al., 2001)</w:t>
      </w:r>
      <w:r>
        <w:rPr>
          <w:rFonts w:ascii="Calibri" w:hAnsi="Calibri"/>
        </w:rPr>
        <w:fldChar w:fldCharType="end"/>
      </w:r>
      <w:r>
        <w:rPr>
          <w:rFonts w:ascii="Calibri" w:hAnsi="Calibri"/>
        </w:rPr>
        <w:t xml:space="preserve">. HCT116 cells are microsatellite unstable, yet when </w:t>
      </w:r>
      <w:r w:rsidRPr="00304F79">
        <w:rPr>
          <w:rFonts w:ascii="Calibri" w:hAnsi="Calibri"/>
          <w:i/>
        </w:rPr>
        <w:t>SRCAP</w:t>
      </w:r>
      <w:r>
        <w:rPr>
          <w:rFonts w:ascii="Calibri" w:hAnsi="Calibri"/>
        </w:rPr>
        <w:t xml:space="preserve"> is knocked down the response to 5-FU significantly increased. The same cannot be said for SW480 cells, which showed a significant resistance to 5-FU when </w:t>
      </w:r>
      <w:r w:rsidRPr="00304F79">
        <w:rPr>
          <w:rFonts w:ascii="Calibri" w:hAnsi="Calibri"/>
          <w:i/>
        </w:rPr>
        <w:t>SRCAP</w:t>
      </w:r>
      <w:r>
        <w:rPr>
          <w:rFonts w:ascii="Calibri" w:hAnsi="Calibri"/>
        </w:rPr>
        <w:t xml:space="preserve"> was knocked down. A further study showed that patients with the MSI genotype actually have a much higher survival rate when given 5-FU </w:t>
      </w:r>
      <w:r>
        <w:rPr>
          <w:rFonts w:ascii="Calibri" w:hAnsi="Calibri"/>
        </w:rPr>
        <w:fldChar w:fldCharType="begin"/>
      </w:r>
      <w:r>
        <w:rPr>
          <w:rFonts w:ascii="Calibri" w:hAnsi="Calibri"/>
        </w:rPr>
        <w:instrText xml:space="preserve"> ADDIN EN.CITE &lt;EndNote&gt;&lt;Cite&gt;&lt;Author&gt;Elsaleh&lt;/Author&gt;&lt;Year&gt;2001&lt;/Year&gt;&lt;IDText&gt;P53 alteration and microsatellite instability have predictive value for survival benefit from chemotherapy in stage III colorectal carcinoma&lt;/IDText&gt;&lt;DisplayText&gt;(Elsaleh et al., 2001)&lt;/DisplayText&gt;&lt;record&gt;&lt;dates&gt;&lt;pub-dates&gt;&lt;date&gt;May&lt;/date&gt;&lt;/pub-dates&gt;&lt;year&gt;2001&lt;/year&gt;&lt;/dates&gt;&lt;keywords&gt;&lt;keyword&gt;Adult&lt;/keyword&gt;&lt;keyword&gt;Aged&lt;/keyword&gt;&lt;keyword&gt;Colorectal Neoplasms&lt;/keyword&gt;&lt;keyword&gt;Female&lt;/keyword&gt;&lt;keyword&gt;Genetic Markers&lt;/keyword&gt;&lt;keyword&gt;Humans&lt;/keyword&gt;&lt;keyword&gt;Male&lt;/keyword&gt;&lt;keyword&gt;Microsatellite Repeats&lt;/keyword&gt;&lt;keyword&gt;Middle Aged&lt;/keyword&gt;&lt;keyword&gt;Multivariate Analysis&lt;/keyword&gt;&lt;keyword&gt;Mutation&lt;/keyword&gt;&lt;keyword&gt;Neoplasm Staging&lt;/keyword&gt;&lt;keyword&gt;Predictive Value of Tests&lt;/keyword&gt;&lt;keyword&gt;Prognosis&lt;/keyword&gt;&lt;keyword&gt;Survival Analysis&lt;/keyword&gt;&lt;keyword&gt;Tumor Suppressor Protein p53&lt;/keyword&gt;&lt;/keywords&gt;&lt;urls&gt;&lt;related-urls&gt;&lt;url&gt;https://www.ncbi.nlm.nih.gov/pubmed/11350904&lt;/url&gt;&lt;/related-urls&gt;&lt;/urls&gt;&lt;isbn&gt;1078-0432&lt;/isbn&gt;&lt;titles&gt;&lt;title&gt;P53 alteration and microsatellite instability have predictive value for survival benefit from chemotherapy in stage III colorectal carcinoma&lt;/title&gt;&lt;secondary-title&gt;Clin Cancer Res&lt;/secondary-title&gt;&lt;/titles&gt;&lt;pages&gt;1343-9&lt;/pages&gt;&lt;number&gt;5&lt;/number&gt;&lt;contributors&gt;&lt;authors&gt;&lt;author&gt;Elsaleh, H.&lt;/author&gt;&lt;author&gt;Powell, B.&lt;/author&gt;&lt;author&gt;McCaul, K.&lt;/author&gt;&lt;author&gt;Grieu, F.&lt;/author&gt;&lt;author&gt;Grant, R.&lt;/author&gt;&lt;author&gt;Joseph, D.&lt;/author&gt;&lt;author&gt;Iacopetta, B.&lt;/author&gt;&lt;/authors&gt;&lt;/contributors&gt;&lt;language&gt;eng&lt;/language&gt;&lt;added-date format="utc"&gt;1506521878&lt;/added-date&gt;&lt;ref-type name="Journal Article"&gt;17&lt;/ref-type&gt;&lt;rec-number&gt;292&lt;/rec-number&gt;&lt;last-updated-date format="utc"&gt;1506521878&lt;/last-updated-date&gt;&lt;accession-num&gt;11350904&lt;/accession-num&gt;&lt;volume&gt;7&lt;/volume&gt;&lt;/record&gt;&lt;/Cite&gt;&lt;/EndNote&gt;</w:instrText>
      </w:r>
      <w:r>
        <w:rPr>
          <w:rFonts w:ascii="Calibri" w:hAnsi="Calibri"/>
        </w:rPr>
        <w:fldChar w:fldCharType="separate"/>
      </w:r>
      <w:r>
        <w:rPr>
          <w:rFonts w:ascii="Calibri" w:hAnsi="Calibri"/>
          <w:noProof/>
        </w:rPr>
        <w:t>(Elsaleh et al., 2001)</w:t>
      </w:r>
      <w:r>
        <w:rPr>
          <w:rFonts w:ascii="Calibri" w:hAnsi="Calibri"/>
        </w:rPr>
        <w:fldChar w:fldCharType="end"/>
      </w:r>
      <w:r>
        <w:rPr>
          <w:rFonts w:ascii="Calibri" w:hAnsi="Calibri"/>
        </w:rPr>
        <w:t xml:space="preserve">. Therefore, the hypothesis is that as MSI tumours often have wild type </w:t>
      </w:r>
      <w:r w:rsidRPr="00304F79">
        <w:rPr>
          <w:rFonts w:ascii="Calibri" w:hAnsi="Calibri"/>
          <w:i/>
        </w:rPr>
        <w:t>TP53</w:t>
      </w:r>
      <w:r>
        <w:rPr>
          <w:rFonts w:ascii="Calibri" w:hAnsi="Calibri"/>
        </w:rPr>
        <w:t xml:space="preserve">, whereas MSS tumours are usually deficient in </w:t>
      </w:r>
      <w:r w:rsidRPr="00304F79">
        <w:rPr>
          <w:rFonts w:ascii="Calibri" w:hAnsi="Calibri"/>
          <w:i/>
        </w:rPr>
        <w:t>TP53</w:t>
      </w:r>
      <w:r>
        <w:rPr>
          <w:rFonts w:ascii="Calibri" w:hAnsi="Calibri"/>
        </w:rPr>
        <w:t xml:space="preserve">, it is this functional loss that is the most important factor as to whether patients have a response to 5-FU. There was a similar pattern of response when cisplatin was used alongside </w:t>
      </w:r>
      <w:r w:rsidRPr="00304F79">
        <w:rPr>
          <w:rFonts w:ascii="Calibri" w:hAnsi="Calibri"/>
          <w:i/>
        </w:rPr>
        <w:t>SRCAP</w:t>
      </w:r>
      <w:r>
        <w:rPr>
          <w:rFonts w:ascii="Calibri" w:hAnsi="Calibri"/>
        </w:rPr>
        <w:t xml:space="preserve"> depletion, with HCT116 cells showing sensitisation both by MTT and clonogenic assay and SW480 cells showing resistance</w:t>
      </w:r>
      <w:r w:rsidR="00181823">
        <w:rPr>
          <w:rFonts w:ascii="Calibri" w:hAnsi="Calibri"/>
        </w:rPr>
        <w:t xml:space="preserve"> (only in MTT)</w:t>
      </w:r>
      <w:r>
        <w:rPr>
          <w:rFonts w:ascii="Calibri" w:hAnsi="Calibri"/>
        </w:rPr>
        <w:t xml:space="preserve">. Therefore, showing that disruption to </w:t>
      </w:r>
      <w:r w:rsidRPr="00304F79">
        <w:rPr>
          <w:rFonts w:ascii="Calibri" w:hAnsi="Calibri"/>
          <w:i/>
        </w:rPr>
        <w:t>SRCAP</w:t>
      </w:r>
      <w:r>
        <w:rPr>
          <w:rFonts w:ascii="Calibri" w:hAnsi="Calibri"/>
        </w:rPr>
        <w:t xml:space="preserve"> could be a means to sensitise inherently resistant MMR deficient tumours to 5-FU and cisplatin</w:t>
      </w:r>
      <w:r w:rsidR="001654B2">
        <w:rPr>
          <w:rFonts w:ascii="Calibri" w:hAnsi="Calibri"/>
        </w:rPr>
        <w:t>. However, MSI tumours usually have a better prognosis</w:t>
      </w:r>
      <w:r w:rsidR="00181823">
        <w:rPr>
          <w:rFonts w:ascii="Calibri" w:hAnsi="Calibri"/>
        </w:rPr>
        <w:t>,</w:t>
      </w:r>
      <w:r w:rsidR="001654B2">
        <w:rPr>
          <w:rFonts w:ascii="Calibri" w:hAnsi="Calibri"/>
        </w:rPr>
        <w:t xml:space="preserve"> </w:t>
      </w:r>
      <w:r w:rsidR="00181823">
        <w:rPr>
          <w:rFonts w:ascii="Calibri" w:hAnsi="Calibri"/>
        </w:rPr>
        <w:t xml:space="preserve">as they are inherently less aggressive, </w:t>
      </w:r>
      <w:r w:rsidR="001654B2">
        <w:rPr>
          <w:rFonts w:ascii="Calibri" w:hAnsi="Calibri"/>
        </w:rPr>
        <w:t>compared to MSS tumours, therefore this combined therapy of 5-FU/ cisplatin may have more effect once metastasis has occurred.</w:t>
      </w:r>
    </w:p>
    <w:p w14:paraId="13A10556" w14:textId="77777777" w:rsidR="00E7213F" w:rsidRDefault="00E7213F" w:rsidP="00E7213F">
      <w:pPr>
        <w:spacing w:line="360" w:lineRule="auto"/>
        <w:jc w:val="both"/>
        <w:rPr>
          <w:rFonts w:ascii="Calibri" w:hAnsi="Calibri"/>
        </w:rPr>
      </w:pPr>
    </w:p>
    <w:p w14:paraId="2356792E" w14:textId="73CBFFAA" w:rsidR="00E7213F" w:rsidRDefault="00E7213F" w:rsidP="00E7213F">
      <w:pPr>
        <w:spacing w:line="360" w:lineRule="auto"/>
        <w:jc w:val="both"/>
        <w:rPr>
          <w:rFonts w:ascii="Calibri" w:hAnsi="Calibri"/>
        </w:rPr>
      </w:pPr>
      <w:r>
        <w:rPr>
          <w:rFonts w:ascii="Calibri" w:hAnsi="Calibri"/>
        </w:rPr>
        <w:t xml:space="preserve">Apart from the instability mechanisms of the two CRC cell lines there was also a difference in </w:t>
      </w:r>
      <w:r w:rsidRPr="00304F79">
        <w:rPr>
          <w:rFonts w:ascii="Calibri" w:hAnsi="Calibri"/>
          <w:i/>
        </w:rPr>
        <w:t>TP53</w:t>
      </w:r>
      <w:r>
        <w:rPr>
          <w:rFonts w:ascii="Calibri" w:hAnsi="Calibri"/>
        </w:rPr>
        <w:t xml:space="preserve"> expression. Therefore isogenic TP53-/- HCT116 cells were utilised to test the theory that TP53 was playing a role in the response to chemotherapeutic drugs in combination with </w:t>
      </w:r>
      <w:r w:rsidRPr="00304F79">
        <w:rPr>
          <w:rFonts w:ascii="Calibri" w:hAnsi="Calibri"/>
          <w:i/>
        </w:rPr>
        <w:t>SRCAP</w:t>
      </w:r>
      <w:r w:rsidR="002E39A4">
        <w:rPr>
          <w:rFonts w:ascii="Calibri" w:hAnsi="Calibri"/>
        </w:rPr>
        <w:t xml:space="preserve"> knock</w:t>
      </w:r>
      <w:r>
        <w:rPr>
          <w:rFonts w:ascii="Calibri" w:hAnsi="Calibri"/>
        </w:rPr>
        <w:t xml:space="preserve">down. Indeed the results with si6 were consistent with this hypothesis, but si7, although it did not show sensitisation, had a differing response to the other siRNA. Throughout most of the assays shown in this chapter, si6 resulted in a more significant response; therefore this could be the reason behind the differing reaction within the drug assays as well. Previous studies have shown that 5-FU sensitisation does correlate to TP53 activity </w:t>
      </w:r>
      <w:r>
        <w:rPr>
          <w:rFonts w:ascii="Calibri" w:hAnsi="Calibri"/>
        </w:rPr>
        <w:fldChar w:fldCharType="begin">
          <w:fldData xml:space="preserve">PEVuZE5vdGU+PENpdGU+PEF1dGhvcj5CdW56PC9BdXRob3I+PFllYXI+MTk5OTwvWWVhcj48SURU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</w:fldData>
        </w:fldChar>
      </w:r>
      <w:r>
        <w:rPr>
          <w:rFonts w:ascii="Calibri" w:hAnsi="Calibri"/>
        </w:rPr>
        <w:instrText xml:space="preserve"> ADDIN EN.CITE </w:instrText>
      </w:r>
      <w:r>
        <w:rPr>
          <w:rFonts w:ascii="Calibri" w:hAnsi="Calibri"/>
        </w:rPr>
        <w:fldChar w:fldCharType="begin">
          <w:fldData xml:space="preserve">PEVuZE5vdGU+PENpdGU+PEF1dGhvcj5CdW56PC9BdXRob3I+PFllYXI+MTk5OTwvWWVhcj48SURU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(Bunz et al., 1999, Longley et al., 2002)</w:t>
      </w:r>
      <w:r>
        <w:rPr>
          <w:rFonts w:ascii="Calibri" w:hAnsi="Calibri"/>
        </w:rPr>
        <w:fldChar w:fldCharType="end"/>
      </w:r>
      <w:r>
        <w:rPr>
          <w:rFonts w:ascii="Calibri" w:hAnsi="Calibri"/>
        </w:rPr>
        <w:t xml:space="preserve">, and it appears here that the addition of </w:t>
      </w:r>
      <w:r w:rsidRPr="00304F79">
        <w:rPr>
          <w:rFonts w:ascii="Calibri" w:hAnsi="Calibri"/>
          <w:i/>
        </w:rPr>
        <w:t>SRCAP</w:t>
      </w:r>
      <w:r w:rsidR="002E39A4">
        <w:rPr>
          <w:rFonts w:ascii="Calibri" w:hAnsi="Calibri"/>
        </w:rPr>
        <w:t xml:space="preserve"> knock</w:t>
      </w:r>
      <w:r>
        <w:rPr>
          <w:rFonts w:ascii="Calibri" w:hAnsi="Calibri"/>
        </w:rPr>
        <w:t xml:space="preserve">down potentiates that effect. </w:t>
      </w:r>
    </w:p>
    <w:p w14:paraId="47739162" w14:textId="77777777" w:rsidR="00E7213F" w:rsidRDefault="00E7213F" w:rsidP="00E7213F">
      <w:pPr>
        <w:spacing w:line="360" w:lineRule="auto"/>
        <w:jc w:val="both"/>
        <w:rPr>
          <w:rFonts w:ascii="Calibri" w:hAnsi="Calibri"/>
        </w:rPr>
      </w:pPr>
    </w:p>
    <w:p w14:paraId="379D34DE" w14:textId="77777777" w:rsidR="00E7213F" w:rsidRPr="00FC4592" w:rsidRDefault="00E7213F" w:rsidP="00E7213F">
      <w:pPr>
        <w:spacing w:line="360" w:lineRule="auto"/>
        <w:jc w:val="both"/>
        <w:rPr>
          <w:rFonts w:ascii="Calibri" w:hAnsi="Calibri"/>
        </w:rPr>
      </w:pPr>
      <w:r>
        <w:rPr>
          <w:rFonts w:ascii="Calibri" w:hAnsi="Calibri"/>
        </w:rPr>
        <w:t xml:space="preserve">Indeed in 2015 </w:t>
      </w:r>
      <w:r>
        <w:rPr>
          <w:rFonts w:ascii="Calibri" w:hAnsi="Calibri"/>
        </w:rPr>
        <w:fldChar w:fldCharType="begin"/>
      </w:r>
      <w:r>
        <w:rPr>
          <w:rFonts w:ascii="Calibri" w:hAnsi="Calibri"/>
        </w:rPr>
        <w:instrText xml:space="preserve"> ADDIN EN.CITE &lt;EndNote&gt;&lt;Cite&gt;&lt;Author&gt;Mojardín&lt;/Author&gt;&lt;Year&gt;2015&lt;/Year&gt;&lt;IDText&gt;Chromosome segregation and organization are targets of 5&amp;apos;-Fluorouracil in eukaryotic cells&lt;/IDText&gt;&lt;DisplayText&gt;(Mojardín et al., 2015)&lt;/DisplayText&gt;&lt;record&gt;&lt;keywords&gt;&lt;keyword&gt;Chromatids&lt;/keyword&gt;&lt;keyword&gt;Chromosome Segregation&lt;/keyword&gt;&lt;keyword&gt;Down-Regulation&lt;/keyword&gt;&lt;keyword&gt;Fluorouracil&lt;/keyword&gt;&lt;keyword&gt;Heterochromatin&lt;/keyword&gt;&lt;keyword&gt;Histones&lt;/keyword&gt;&lt;keyword&gt;Kinetochores&lt;/keyword&gt;&lt;keyword&gt;Methylation&lt;/keyword&gt;&lt;keyword&gt;Schizosaccharomyces&lt;/keyword&gt;&lt;keyword&gt;Schizosaccharomyces pombe Proteins&lt;/keyword&gt;&lt;/keywords&gt;&lt;urls&gt;&lt;related-urls&gt;&lt;url&gt;https://www.ncbi.nlm.nih.gov/pubmed/25483073&lt;/url&gt;&lt;/related-urls&gt;&lt;/urls&gt;&lt;isbn&gt;1551-4005&lt;/isbn&gt;&lt;custom2&gt;PMC4352961&lt;/custom2&gt;&lt;titles&gt;&lt;title&gt;Chromosome segregation and organization are targets of 5&amp;apos;-Fluorouracil in eukaryotic cells&lt;/title&gt;&lt;secondary-title&gt;Cell Cycle&lt;/secondary-title&gt;&lt;/titles&gt;&lt;pages&gt;206-18&lt;/pages&gt;&lt;number&gt;2&lt;/number&gt;&lt;contributors&gt;&lt;authors&gt;&lt;author&gt;Mojardín, L.&lt;/author&gt;&lt;author&gt;Botet, J.&lt;/author&gt;&lt;author&gt;Moreno, S.&lt;/author&gt;&lt;author&gt;Salas, M.&lt;/author&gt;&lt;/authors&gt;&lt;/contributors&gt;&lt;language&gt;eng&lt;/language&gt;&lt;added-date format="utc"&gt;1485429287&lt;/added-date&gt;&lt;ref-type name="Journal Article"&gt;17&lt;/ref-type&gt;&lt;dates&gt;&lt;year&gt;2015&lt;/year&gt;&lt;/dates&gt;&lt;rec-number&gt;180&lt;/rec-number&gt;&lt;last-updated-date format="utc"&gt;1485429287&lt;/last-updated-date&gt;&lt;accession-num&gt;25483073&lt;/accession-num&gt;&lt;electronic-resource-num&gt;10.4161/15384101.2014.974425&lt;/electronic-resource-num&gt;&lt;volume&gt;14&lt;/volume&gt;&lt;/record&gt;&lt;/Cite&gt;&lt;/EndNote&gt;</w:instrText>
      </w:r>
      <w:r>
        <w:rPr>
          <w:rFonts w:ascii="Calibri" w:hAnsi="Calibri"/>
        </w:rPr>
        <w:fldChar w:fldCharType="separate"/>
      </w:r>
      <w:r>
        <w:rPr>
          <w:rFonts w:ascii="Calibri" w:hAnsi="Calibri"/>
          <w:noProof/>
        </w:rPr>
        <w:t>(Mojardín et al., 2015)</w:t>
      </w:r>
      <w:r>
        <w:rPr>
          <w:rFonts w:ascii="Calibri" w:hAnsi="Calibri"/>
        </w:rPr>
        <w:fldChar w:fldCharType="end"/>
      </w:r>
      <w:r>
        <w:rPr>
          <w:rFonts w:ascii="Calibri" w:hAnsi="Calibri"/>
        </w:rPr>
        <w:t xml:space="preserve"> a fission yeast whole-genome screen for enhanced 5-FU cytotoxity found a surprising enrichment for genes associated with chromosome segregation and organisation, with one of the subcategories being the </w:t>
      </w:r>
      <w:r w:rsidRPr="00304F79">
        <w:rPr>
          <w:rFonts w:ascii="Calibri" w:hAnsi="Calibri"/>
          <w:i/>
        </w:rPr>
        <w:t>Swr1</w:t>
      </w:r>
      <w:r>
        <w:rPr>
          <w:rFonts w:ascii="Calibri" w:hAnsi="Calibri"/>
        </w:rPr>
        <w:t xml:space="preserve"> complex, of which </w:t>
      </w:r>
      <w:r w:rsidRPr="00304F79">
        <w:rPr>
          <w:rFonts w:ascii="Calibri" w:hAnsi="Calibri"/>
          <w:i/>
        </w:rPr>
        <w:t>SRCAP</w:t>
      </w:r>
      <w:r>
        <w:rPr>
          <w:rFonts w:ascii="Calibri" w:hAnsi="Calibri"/>
        </w:rPr>
        <w:t xml:space="preserve"> is the human ortholog. The fact that a large number of the hits correlated to histone modification genes also highlights that this area is an important field in which to focus new therapeutics that can be used in combination with clinically validated drugs such as 5-FU. Therefore, the observed sensitisation to 5-FU in </w:t>
      </w:r>
      <w:r w:rsidRPr="00304F79">
        <w:rPr>
          <w:rFonts w:ascii="Calibri" w:hAnsi="Calibri"/>
          <w:i/>
        </w:rPr>
        <w:t>SRCAP</w:t>
      </w:r>
      <w:r>
        <w:rPr>
          <w:rFonts w:ascii="Calibri" w:hAnsi="Calibri"/>
        </w:rPr>
        <w:t xml:space="preserve"> depleted human CRC cell lines could be the first step in showing that inhibitors of ATP dependent chromatin remodelers could be effective epigenetic treatments, particularly in MMR-deficient tumours. There have been studies into inhibitors of histone modifying genes along with 5-FU in human cell lines, including Trichostatin A, which did increase the apoptotic response of the cells to the drug </w:t>
      </w:r>
      <w:r>
        <w:rPr>
          <w:rFonts w:ascii="Calibri" w:hAnsi="Calibri"/>
        </w:rPr>
        <w:fldChar w:fldCharType="begin">
          <w:fldData xml:space="preserve">PEVuZE5vdGU+PENpdGU+PEF1dGhvcj5MZWU8L0F1dGhvcj48WWVhcj4yMDA2PC9ZZWFyPjxJRFRl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</w:fldData>
        </w:fldChar>
      </w:r>
      <w:r>
        <w:rPr>
          <w:rFonts w:ascii="Calibri" w:hAnsi="Calibri"/>
        </w:rPr>
        <w:instrText xml:space="preserve"> ADDIN EN.CITE </w:instrText>
      </w:r>
      <w:r>
        <w:rPr>
          <w:rFonts w:ascii="Calibri" w:hAnsi="Calibri"/>
        </w:rPr>
        <w:fldChar w:fldCharType="begin">
          <w:fldData xml:space="preserve">PEVuZE5vdGU+PENpdGU+PEF1dGhvcj5MZWU8L0F1dGhvcj48WWVhcj4yMDA2PC9ZZWFyPjxJRFRl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</w:fldData>
        </w:fldChar>
      </w:r>
      <w:r>
        <w:rPr>
          <w:rFonts w:ascii="Calibri" w:hAnsi="Calibri"/>
        </w:rPr>
        <w:instrText xml:space="preserve"> ADDIN EN.CITE.DATA </w:instrText>
      </w:r>
      <w:r>
        <w:rPr>
          <w:rFonts w:ascii="Calibri" w:hAnsi="Calibri"/>
        </w:rPr>
      </w:r>
      <w:r>
        <w:rPr>
          <w:rFonts w:ascii="Calibri" w:hAnsi="Calibri"/>
        </w:rPr>
        <w:fldChar w:fldCharType="end"/>
      </w:r>
      <w:r>
        <w:rPr>
          <w:rFonts w:ascii="Calibri" w:hAnsi="Calibri"/>
        </w:rPr>
      </w:r>
      <w:r>
        <w:rPr>
          <w:rFonts w:ascii="Calibri" w:hAnsi="Calibri"/>
        </w:rPr>
        <w:fldChar w:fldCharType="separate"/>
      </w:r>
      <w:r>
        <w:rPr>
          <w:rFonts w:ascii="Calibri" w:hAnsi="Calibri"/>
          <w:noProof/>
        </w:rPr>
        <w:t>(Lee et al., 2006)</w:t>
      </w:r>
      <w:r>
        <w:rPr>
          <w:rFonts w:ascii="Calibri" w:hAnsi="Calibri"/>
        </w:rPr>
        <w:fldChar w:fldCharType="end"/>
      </w:r>
      <w:r>
        <w:rPr>
          <w:rFonts w:ascii="Calibri" w:hAnsi="Calibri"/>
        </w:rPr>
        <w:t xml:space="preserve">. Hence showing how the area of epigenetic research and specifically chromatin modification could have implications on future cancer treatments. </w:t>
      </w:r>
    </w:p>
    <w:p w14:paraId="25020171" w14:textId="77777777" w:rsidR="00E7213F" w:rsidRPr="00FC4592" w:rsidRDefault="00E7213F" w:rsidP="00E7213F">
      <w:pPr>
        <w:spacing w:line="360" w:lineRule="auto"/>
        <w:jc w:val="both"/>
        <w:rPr>
          <w:rFonts w:ascii="Calibri" w:hAnsi="Calibri"/>
        </w:rPr>
      </w:pPr>
    </w:p>
    <w:p w14:paraId="58FE08E4" w14:textId="731A575C" w:rsidR="00E7213F" w:rsidRPr="00FC4592" w:rsidRDefault="00E7213F" w:rsidP="00E7213F">
      <w:pPr>
        <w:spacing w:line="360" w:lineRule="auto"/>
        <w:jc w:val="both"/>
        <w:rPr>
          <w:rFonts w:ascii="Calibri" w:hAnsi="Calibri"/>
        </w:rPr>
      </w:pPr>
      <w:r>
        <w:rPr>
          <w:rFonts w:ascii="Calibri" w:hAnsi="Calibri"/>
        </w:rPr>
        <w:t xml:space="preserve">Although differing responses were seen between control and </w:t>
      </w:r>
      <w:r w:rsidRPr="00304F79">
        <w:rPr>
          <w:rFonts w:ascii="Calibri" w:hAnsi="Calibri"/>
          <w:i/>
        </w:rPr>
        <w:t>SRCAP</w:t>
      </w:r>
      <w:r w:rsidR="002E39A4">
        <w:rPr>
          <w:rFonts w:ascii="Calibri" w:hAnsi="Calibri"/>
        </w:rPr>
        <w:t xml:space="preserve"> knock</w:t>
      </w:r>
      <w:r>
        <w:rPr>
          <w:rFonts w:ascii="Calibri" w:hAnsi="Calibri"/>
        </w:rPr>
        <w:t xml:space="preserve">down cells with 5-FU and cisplatin there was no difference seen with camptothecin, which is the laboratory derivative for the clinically utilised irinotecan. Although Dong et al. showed in their paper that Hela cells were sensitised towards camptothecin when SRCAP was knocked down at doses between 0-20nm, with the present study using much higher concentrations. Therefore, the published result could have been a cell line specific response and so would need to be tested on further cell lines. </w:t>
      </w:r>
    </w:p>
    <w:p w14:paraId="24A7FF8D" w14:textId="77777777" w:rsidR="00E7213F" w:rsidRDefault="00E7213F" w:rsidP="00E7213F">
      <w:pPr>
        <w:spacing w:line="360" w:lineRule="auto"/>
        <w:jc w:val="both"/>
        <w:rPr>
          <w:rFonts w:ascii="Calibri" w:hAnsi="Calibri"/>
        </w:rPr>
      </w:pPr>
    </w:p>
    <w:p w14:paraId="5C038D34" w14:textId="77777777" w:rsidR="00E7213F" w:rsidRPr="00B36A9C" w:rsidRDefault="00E7213F" w:rsidP="00E6223C">
      <w:pPr>
        <w:pStyle w:val="ListParagraph"/>
        <w:numPr>
          <w:ilvl w:val="0"/>
          <w:numId w:val="6"/>
        </w:numPr>
        <w:spacing w:line="360" w:lineRule="auto"/>
        <w:jc w:val="both"/>
        <w:rPr>
          <w:rFonts w:ascii="Calibri" w:hAnsi="Calibri"/>
          <w:b/>
          <w:i/>
        </w:rPr>
      </w:pPr>
      <w:r>
        <w:rPr>
          <w:rFonts w:ascii="Calibri" w:hAnsi="Calibri"/>
          <w:b/>
          <w:i/>
        </w:rPr>
        <w:t>Study Limitations and Future Directions</w:t>
      </w:r>
    </w:p>
    <w:p w14:paraId="0F4CDA96" w14:textId="5496520B" w:rsidR="00E7213F" w:rsidRDefault="00E7213F" w:rsidP="00E7213F">
      <w:pPr>
        <w:spacing w:line="360" w:lineRule="auto"/>
        <w:jc w:val="both"/>
        <w:rPr>
          <w:rFonts w:ascii="Calibri" w:hAnsi="Calibri"/>
          <w:lang w:val="en-US"/>
        </w:rPr>
      </w:pPr>
      <w:r>
        <w:rPr>
          <w:rFonts w:ascii="Calibri" w:hAnsi="Calibri"/>
          <w:lang w:val="en-US"/>
        </w:rPr>
        <w:t xml:space="preserve">In conclusion, it has been </w:t>
      </w:r>
      <w:r w:rsidRPr="00223570">
        <w:rPr>
          <w:rFonts w:ascii="Calibri" w:hAnsi="Calibri"/>
          <w:lang w:val="en-US"/>
        </w:rPr>
        <w:t>found that knockdown</w:t>
      </w:r>
      <w:r>
        <w:rPr>
          <w:rFonts w:ascii="Calibri" w:hAnsi="Calibri"/>
          <w:lang w:val="en-US"/>
        </w:rPr>
        <w:t xml:space="preserve"> of </w:t>
      </w:r>
      <w:r w:rsidRPr="00304F79">
        <w:rPr>
          <w:rFonts w:ascii="Calibri" w:hAnsi="Calibri"/>
          <w:i/>
          <w:lang w:val="en-US"/>
        </w:rPr>
        <w:t>SRCAP</w:t>
      </w:r>
      <w:r w:rsidRPr="00223570">
        <w:rPr>
          <w:rFonts w:ascii="Calibri" w:hAnsi="Calibri"/>
          <w:lang w:val="en-US"/>
        </w:rPr>
        <w:t xml:space="preserve"> causes genome instability, low rates of proliferation</w:t>
      </w:r>
      <w:r>
        <w:rPr>
          <w:rFonts w:ascii="Calibri" w:hAnsi="Calibri"/>
          <w:lang w:val="en-US"/>
        </w:rPr>
        <w:t xml:space="preserve"> possibly due to cell cycle changes</w:t>
      </w:r>
      <w:r w:rsidRPr="00223570">
        <w:rPr>
          <w:rFonts w:ascii="Calibri" w:hAnsi="Calibri"/>
          <w:lang w:val="en-US"/>
        </w:rPr>
        <w:t xml:space="preserve"> and affects response to c</w:t>
      </w:r>
      <w:r>
        <w:rPr>
          <w:rFonts w:ascii="Calibri" w:hAnsi="Calibri"/>
          <w:lang w:val="en-US"/>
        </w:rPr>
        <w:t>linically used chemotherapies, which i</w:t>
      </w:r>
      <w:r w:rsidRPr="00223570">
        <w:rPr>
          <w:rFonts w:ascii="Calibri" w:hAnsi="Calibri"/>
          <w:lang w:val="en-US"/>
        </w:rPr>
        <w:t xml:space="preserve">nterestingly </w:t>
      </w:r>
      <w:r>
        <w:rPr>
          <w:rFonts w:ascii="Calibri" w:hAnsi="Calibri"/>
          <w:lang w:val="en-US"/>
        </w:rPr>
        <w:t>appeared to differ according to cellular TP5</w:t>
      </w:r>
      <w:r w:rsidRPr="00223570">
        <w:rPr>
          <w:rFonts w:ascii="Calibri" w:hAnsi="Calibri"/>
          <w:lang w:val="en-US"/>
        </w:rPr>
        <w:t>3 status</w:t>
      </w:r>
      <w:r>
        <w:rPr>
          <w:rFonts w:ascii="Calibri" w:hAnsi="Calibri"/>
          <w:lang w:val="en-US"/>
        </w:rPr>
        <w:t xml:space="preserve">. These data therefore suggest the notion that </w:t>
      </w:r>
      <w:r w:rsidRPr="00304F79">
        <w:rPr>
          <w:rFonts w:ascii="Calibri" w:hAnsi="Calibri"/>
          <w:i/>
          <w:lang w:val="en-US"/>
        </w:rPr>
        <w:t>SRCAP</w:t>
      </w:r>
      <w:r>
        <w:rPr>
          <w:rFonts w:ascii="Calibri" w:hAnsi="Calibri"/>
          <w:lang w:val="en-US"/>
        </w:rPr>
        <w:t xml:space="preserve"> could be a driver of tumour proliferation and that it has the potential to be depleted and cause a </w:t>
      </w:r>
      <w:r w:rsidR="00084555">
        <w:rPr>
          <w:rFonts w:ascii="Calibri" w:hAnsi="Calibri"/>
          <w:lang w:val="en-US"/>
        </w:rPr>
        <w:t>therapy-</w:t>
      </w:r>
      <w:r>
        <w:rPr>
          <w:rFonts w:ascii="Calibri" w:hAnsi="Calibri"/>
          <w:lang w:val="en-US"/>
        </w:rPr>
        <w:t xml:space="preserve">sensitization response in a subset of CRC cells. </w:t>
      </w:r>
      <w:r w:rsidRPr="00223570">
        <w:rPr>
          <w:rFonts w:ascii="Calibri" w:hAnsi="Calibri"/>
          <w:lang w:val="en-US"/>
        </w:rPr>
        <w:t xml:space="preserve"> </w:t>
      </w:r>
    </w:p>
    <w:p w14:paraId="126A660A" w14:textId="77777777" w:rsidR="00E7213F" w:rsidRDefault="00E7213F" w:rsidP="00E7213F">
      <w:pPr>
        <w:spacing w:line="360" w:lineRule="auto"/>
        <w:jc w:val="both"/>
        <w:rPr>
          <w:rFonts w:ascii="Calibri" w:hAnsi="Calibri"/>
          <w:lang w:val="en-US"/>
        </w:rPr>
      </w:pPr>
    </w:p>
    <w:p w14:paraId="16D9544B" w14:textId="275FF97D" w:rsidR="00E7213F" w:rsidRDefault="00E7213F" w:rsidP="00E7213F">
      <w:pPr>
        <w:spacing w:line="360" w:lineRule="auto"/>
        <w:jc w:val="both"/>
        <w:rPr>
          <w:rFonts w:ascii="Calibri" w:hAnsi="Calibri"/>
          <w:lang w:val="en-US"/>
        </w:rPr>
      </w:pPr>
      <w:r>
        <w:rPr>
          <w:rFonts w:ascii="Calibri" w:hAnsi="Calibri"/>
          <w:lang w:val="en-US"/>
        </w:rPr>
        <w:t xml:space="preserve">However, a limitation to this </w:t>
      </w:r>
      <w:r w:rsidR="002E39A4">
        <w:rPr>
          <w:rFonts w:ascii="Calibri" w:hAnsi="Calibri"/>
          <w:lang w:val="en-US"/>
        </w:rPr>
        <w:t>chapter is that protein knock</w:t>
      </w:r>
      <w:r>
        <w:rPr>
          <w:rFonts w:ascii="Calibri" w:hAnsi="Calibri"/>
          <w:lang w:val="en-US"/>
        </w:rPr>
        <w:t xml:space="preserve">down of </w:t>
      </w:r>
      <w:r w:rsidRPr="00D46EED">
        <w:rPr>
          <w:rFonts w:ascii="Calibri" w:hAnsi="Calibri"/>
          <w:lang w:val="en-US"/>
        </w:rPr>
        <w:t>SRCAP</w:t>
      </w:r>
      <w:r>
        <w:rPr>
          <w:rFonts w:ascii="Calibri" w:hAnsi="Calibri"/>
          <w:lang w:val="en-US"/>
        </w:rPr>
        <w:t xml:space="preserve"> was not established; only mRNA, and therefore</w:t>
      </w:r>
      <w:r w:rsidR="00084555">
        <w:rPr>
          <w:rFonts w:ascii="Calibri" w:hAnsi="Calibri"/>
          <w:lang w:val="en-US"/>
        </w:rPr>
        <w:t xml:space="preserve"> it can not be conclusively stated</w:t>
      </w:r>
      <w:r>
        <w:rPr>
          <w:rFonts w:ascii="Calibri" w:hAnsi="Calibri"/>
          <w:lang w:val="en-US"/>
        </w:rPr>
        <w:t xml:space="preserve"> that SRCAP protein levels are knocked down to a similar percentage to the data for mRNA. However, because transfection of the siRNA produced phenotypic differences throughout the various assays it </w:t>
      </w:r>
      <w:r w:rsidR="00084555">
        <w:rPr>
          <w:rFonts w:ascii="Calibri" w:hAnsi="Calibri"/>
          <w:lang w:val="en-US"/>
        </w:rPr>
        <w:t>seems likely</w:t>
      </w:r>
      <w:r>
        <w:rPr>
          <w:rFonts w:ascii="Calibri" w:hAnsi="Calibri"/>
          <w:lang w:val="en-US"/>
        </w:rPr>
        <w:t xml:space="preserve"> that not only is mRNA </w:t>
      </w:r>
      <w:r w:rsidRPr="00D46EED">
        <w:rPr>
          <w:rFonts w:ascii="Calibri" w:hAnsi="Calibri"/>
          <w:i/>
          <w:lang w:val="en-US"/>
        </w:rPr>
        <w:t>SRCAP</w:t>
      </w:r>
      <w:r>
        <w:rPr>
          <w:rFonts w:ascii="Calibri" w:hAnsi="Calibri"/>
          <w:lang w:val="en-US"/>
        </w:rPr>
        <w:t xml:space="preserve"> reduced but also protein expression. Other than making our own antibody against SRCAP, if it were possible to </w:t>
      </w:r>
      <w:r w:rsidR="00084555">
        <w:rPr>
          <w:rFonts w:ascii="Calibri" w:hAnsi="Calibri"/>
          <w:lang w:val="en-US"/>
        </w:rPr>
        <w:t>generate</w:t>
      </w:r>
      <w:r>
        <w:rPr>
          <w:rFonts w:ascii="Calibri" w:hAnsi="Calibri"/>
          <w:lang w:val="en-US"/>
        </w:rPr>
        <w:t xml:space="preserve"> more conclusive western blot outputs that showed </w:t>
      </w:r>
      <w:r w:rsidRPr="00D46EED">
        <w:rPr>
          <w:rFonts w:ascii="Calibri" w:hAnsi="Calibri"/>
          <w:i/>
          <w:lang w:val="en-US"/>
        </w:rPr>
        <w:t>YFP SRCAP</w:t>
      </w:r>
      <w:r w:rsidR="00084555">
        <w:rPr>
          <w:rFonts w:ascii="Calibri" w:hAnsi="Calibri"/>
          <w:lang w:val="en-US"/>
        </w:rPr>
        <w:t xml:space="preserve"> over-</w:t>
      </w:r>
      <w:r>
        <w:rPr>
          <w:rFonts w:ascii="Calibri" w:hAnsi="Calibri"/>
          <w:lang w:val="en-US"/>
        </w:rPr>
        <w:t>expression, much like in Figure 3.13, these</w:t>
      </w:r>
      <w:r w:rsidR="00084555">
        <w:rPr>
          <w:rFonts w:ascii="Calibri" w:hAnsi="Calibri"/>
          <w:lang w:val="en-US"/>
        </w:rPr>
        <w:t xml:space="preserve"> over-</w:t>
      </w:r>
      <w:r>
        <w:rPr>
          <w:rFonts w:ascii="Calibri" w:hAnsi="Calibri"/>
          <w:lang w:val="en-US"/>
        </w:rPr>
        <w:t xml:space="preserve">expressing constructs could be knocked down via siRNA transfection and the protein depletion </w:t>
      </w:r>
      <w:r w:rsidR="00084555">
        <w:rPr>
          <w:rFonts w:ascii="Calibri" w:hAnsi="Calibri"/>
          <w:lang w:val="en-US"/>
        </w:rPr>
        <w:t>observed</w:t>
      </w:r>
      <w:r>
        <w:rPr>
          <w:rFonts w:ascii="Calibri" w:hAnsi="Calibri"/>
          <w:lang w:val="en-US"/>
        </w:rPr>
        <w:t xml:space="preserve"> via wes</w:t>
      </w:r>
      <w:r w:rsidR="00084555">
        <w:rPr>
          <w:rFonts w:ascii="Calibri" w:hAnsi="Calibri"/>
          <w:lang w:val="en-US"/>
        </w:rPr>
        <w:t>tern blot. However, as the over-</w:t>
      </w:r>
      <w:r>
        <w:rPr>
          <w:rFonts w:ascii="Calibri" w:hAnsi="Calibri"/>
          <w:lang w:val="en-US"/>
        </w:rPr>
        <w:t xml:space="preserve">expressing system </w:t>
      </w:r>
      <w:r w:rsidR="00084555">
        <w:rPr>
          <w:rFonts w:ascii="Calibri" w:hAnsi="Calibri"/>
          <w:lang w:val="en-US"/>
        </w:rPr>
        <w:t>is not completely</w:t>
      </w:r>
      <w:r>
        <w:rPr>
          <w:rFonts w:ascii="Calibri" w:hAnsi="Calibri"/>
          <w:lang w:val="en-US"/>
        </w:rPr>
        <w:t xml:space="preserve"> robust yet </w:t>
      </w:r>
      <w:r w:rsidR="00084555">
        <w:rPr>
          <w:rFonts w:ascii="Calibri" w:hAnsi="Calibri"/>
          <w:lang w:val="en-US"/>
        </w:rPr>
        <w:t>we have not been able to carry out this experiment.</w:t>
      </w:r>
    </w:p>
    <w:p w14:paraId="2A837FBD" w14:textId="77777777" w:rsidR="00E7213F" w:rsidRDefault="00E7213F" w:rsidP="00E7213F">
      <w:pPr>
        <w:spacing w:line="360" w:lineRule="auto"/>
        <w:jc w:val="both"/>
        <w:rPr>
          <w:rFonts w:ascii="Calibri" w:hAnsi="Calibri"/>
          <w:lang w:val="en-US"/>
        </w:rPr>
      </w:pPr>
    </w:p>
    <w:p w14:paraId="52859760" w14:textId="21577E35" w:rsidR="00E7213F" w:rsidRDefault="00E7213F" w:rsidP="00E7213F">
      <w:pPr>
        <w:spacing w:line="360" w:lineRule="auto"/>
        <w:jc w:val="both"/>
        <w:rPr>
          <w:rFonts w:asciiTheme="majorHAnsi" w:eastAsiaTheme="majorEastAsia" w:hAnsiTheme="majorHAnsi" w:cstheme="majorBidi"/>
          <w:spacing w:val="5"/>
          <w:kern w:val="28"/>
          <w:sz w:val="44"/>
          <w:szCs w:val="44"/>
        </w:rPr>
      </w:pPr>
      <w:r>
        <w:rPr>
          <w:rFonts w:ascii="Calibri" w:hAnsi="Calibri"/>
          <w:lang w:val="en-US"/>
        </w:rPr>
        <w:t xml:space="preserve">Another future experiment to explore would be using the TP53-/- HCT116 cells in some of the phenotype assays, in order to ascertain whether there are differences in cellular cycling and genome stability when </w:t>
      </w:r>
      <w:r w:rsidRPr="00D46EED">
        <w:rPr>
          <w:rFonts w:ascii="Calibri" w:hAnsi="Calibri"/>
          <w:i/>
          <w:lang w:val="en-US"/>
        </w:rPr>
        <w:t>SRCAP</w:t>
      </w:r>
      <w:r>
        <w:rPr>
          <w:rFonts w:ascii="Calibri" w:hAnsi="Calibri"/>
          <w:lang w:val="en-US"/>
        </w:rPr>
        <w:t xml:space="preserve"> is knocked down, compared to the wild type HCT116 cells. This could then begin to answer some of the questions as to why differing sensitization occurs in the different cell lines to 5-FU and cisplatin. </w:t>
      </w:r>
      <w:r w:rsidRPr="00D46EED">
        <w:rPr>
          <w:rFonts w:ascii="Calibri" w:hAnsi="Calibri"/>
          <w:i/>
          <w:lang w:val="en-US"/>
        </w:rPr>
        <w:t>SRCAP</w:t>
      </w:r>
      <w:r w:rsidR="002E39A4">
        <w:rPr>
          <w:rFonts w:ascii="Calibri" w:hAnsi="Calibri"/>
          <w:lang w:val="en-US"/>
        </w:rPr>
        <w:t xml:space="preserve"> knock</w:t>
      </w:r>
      <w:r>
        <w:rPr>
          <w:rFonts w:ascii="Calibri" w:hAnsi="Calibri"/>
          <w:lang w:val="en-US"/>
        </w:rPr>
        <w:t xml:space="preserve">down could also be explored in a variety of cancer cell lines and with different chemotherapies, such as ones used in prostate cancer, due to </w:t>
      </w:r>
      <w:r w:rsidR="00323D15">
        <w:rPr>
          <w:rFonts w:ascii="Calibri" w:hAnsi="Calibri"/>
          <w:lang w:val="en-US"/>
        </w:rPr>
        <w:t>other groups showing SRCAP over-</w:t>
      </w:r>
      <w:r>
        <w:rPr>
          <w:rFonts w:ascii="Calibri" w:hAnsi="Calibri"/>
          <w:lang w:val="en-US"/>
        </w:rPr>
        <w:t xml:space="preserve">expression and it’s potential to be a driver is not just CRC specific. </w:t>
      </w:r>
      <w:r>
        <w:rPr>
          <w:sz w:val="44"/>
          <w:szCs w:val="44"/>
        </w:rPr>
        <w:br w:type="page"/>
      </w:r>
    </w:p>
    <w:p w14:paraId="6D244B2D" w14:textId="77777777" w:rsidR="00F70FA9" w:rsidRDefault="00F70FA9" w:rsidP="003D7110">
      <w:pPr>
        <w:pStyle w:val="Title"/>
        <w:rPr>
          <w:color w:val="auto"/>
          <w:sz w:val="44"/>
          <w:szCs w:val="44"/>
        </w:rPr>
        <w:sectPr w:rsidR="00F70FA9" w:rsidSect="0081135F">
          <w:headerReference w:type="default" r:id="rId134"/>
          <w:type w:val="continuous"/>
          <w:pgSz w:w="11900" w:h="16840"/>
          <w:pgMar w:top="1440" w:right="1134" w:bottom="1440" w:left="2268" w:header="709" w:footer="709" w:gutter="0"/>
          <w:cols w:space="708"/>
          <w:docGrid w:linePitch="360"/>
        </w:sectPr>
      </w:pPr>
    </w:p>
    <w:p w14:paraId="06FA4FE1" w14:textId="5AF4671B" w:rsidR="00815803" w:rsidRPr="007F02D3" w:rsidRDefault="001006BA" w:rsidP="003D7110">
      <w:pPr>
        <w:pStyle w:val="Title"/>
        <w:rPr>
          <w:color w:val="auto"/>
          <w:sz w:val="44"/>
          <w:szCs w:val="44"/>
        </w:rPr>
      </w:pPr>
      <w:r w:rsidRPr="007F02D3">
        <w:rPr>
          <w:color w:val="auto"/>
          <w:sz w:val="44"/>
          <w:szCs w:val="44"/>
        </w:rPr>
        <w:t>Chapter 5</w:t>
      </w:r>
      <w:r w:rsidR="009D3EC2" w:rsidRPr="007F02D3">
        <w:rPr>
          <w:color w:val="auto"/>
          <w:sz w:val="44"/>
          <w:szCs w:val="44"/>
        </w:rPr>
        <w:t>: Biological consequences of SRCAP levels in RAS oncogene activated cells</w:t>
      </w:r>
      <w:r w:rsidR="00D840E7" w:rsidRPr="007F02D3">
        <w:rPr>
          <w:color w:val="auto"/>
          <w:sz w:val="44"/>
          <w:szCs w:val="44"/>
        </w:rPr>
        <w:t xml:space="preserve"> </w:t>
      </w:r>
    </w:p>
    <w:p w14:paraId="6FF9DD70" w14:textId="77777777" w:rsidR="00233D1B" w:rsidRPr="006E43F8" w:rsidRDefault="00233D1B" w:rsidP="003D7110">
      <w:pPr>
        <w:spacing w:line="360" w:lineRule="auto"/>
        <w:rPr>
          <w:rFonts w:asciiTheme="majorHAnsi" w:hAnsiTheme="majorHAnsi"/>
          <w:sz w:val="28"/>
          <w:szCs w:val="28"/>
          <w:u w:val="single"/>
        </w:rPr>
      </w:pPr>
    </w:p>
    <w:p w14:paraId="26DA5363" w14:textId="4D44550D" w:rsidR="00807FC1" w:rsidRPr="00853806" w:rsidRDefault="00807FC1" w:rsidP="006E43F8">
      <w:pPr>
        <w:spacing w:line="360" w:lineRule="auto"/>
        <w:rPr>
          <w:rFonts w:asciiTheme="majorHAnsi" w:hAnsiTheme="majorHAnsi"/>
        </w:rPr>
      </w:pPr>
      <w:r w:rsidRPr="00853806">
        <w:rPr>
          <w:rFonts w:asciiTheme="majorHAnsi" w:hAnsiTheme="majorHAnsi"/>
        </w:rPr>
        <w:t>5.1</w:t>
      </w:r>
      <w:r w:rsidR="00EB74DE" w:rsidRPr="00853806">
        <w:rPr>
          <w:rFonts w:asciiTheme="majorHAnsi" w:hAnsiTheme="majorHAnsi"/>
        </w:rPr>
        <w:t>-</w:t>
      </w:r>
      <w:r w:rsidRPr="00853806">
        <w:rPr>
          <w:rFonts w:asciiTheme="majorHAnsi" w:hAnsiTheme="majorHAnsi"/>
        </w:rPr>
        <w:t xml:space="preserve"> Introduction</w:t>
      </w:r>
    </w:p>
    <w:p w14:paraId="2893EBCF" w14:textId="4C1C9E0F" w:rsidR="00807FC1" w:rsidRPr="00853806" w:rsidRDefault="00EB74DE" w:rsidP="006E43F8">
      <w:pPr>
        <w:spacing w:line="360" w:lineRule="auto"/>
        <w:rPr>
          <w:rFonts w:asciiTheme="majorHAnsi" w:hAnsiTheme="majorHAnsi"/>
        </w:rPr>
      </w:pPr>
      <w:r w:rsidRPr="00853806">
        <w:rPr>
          <w:rFonts w:asciiTheme="majorHAnsi" w:hAnsiTheme="majorHAnsi"/>
        </w:rPr>
        <w:t xml:space="preserve">5.2- </w:t>
      </w:r>
      <w:r w:rsidR="008B5A6E" w:rsidRPr="00853806">
        <w:rPr>
          <w:rFonts w:asciiTheme="majorHAnsi" w:hAnsiTheme="majorHAnsi"/>
        </w:rPr>
        <w:t>Induction of RAS over</w:t>
      </w:r>
      <w:r w:rsidR="00323D15">
        <w:rPr>
          <w:rFonts w:asciiTheme="majorHAnsi" w:hAnsiTheme="majorHAnsi"/>
        </w:rPr>
        <w:t>-</w:t>
      </w:r>
      <w:r w:rsidR="008B5A6E" w:rsidRPr="00853806">
        <w:rPr>
          <w:rFonts w:asciiTheme="majorHAnsi" w:hAnsiTheme="majorHAnsi"/>
        </w:rPr>
        <w:t xml:space="preserve">expression and the effect on </w:t>
      </w:r>
      <w:r w:rsidR="008B5A6E" w:rsidRPr="00853806">
        <w:rPr>
          <w:rFonts w:asciiTheme="majorHAnsi" w:hAnsiTheme="majorHAnsi"/>
          <w:i/>
        </w:rPr>
        <w:t>SRCAP</w:t>
      </w:r>
      <w:r w:rsidR="008B5A6E" w:rsidRPr="00853806">
        <w:rPr>
          <w:rFonts w:asciiTheme="majorHAnsi" w:hAnsiTheme="majorHAnsi"/>
        </w:rPr>
        <w:t xml:space="preserve"> levels</w:t>
      </w:r>
    </w:p>
    <w:p w14:paraId="4DCA3A71" w14:textId="73062470" w:rsidR="00807FC1" w:rsidRPr="00853806" w:rsidRDefault="008B5A6E" w:rsidP="006E43F8">
      <w:pPr>
        <w:spacing w:line="360" w:lineRule="auto"/>
        <w:rPr>
          <w:rFonts w:asciiTheme="majorHAnsi" w:hAnsiTheme="majorHAnsi"/>
        </w:rPr>
      </w:pPr>
      <w:r w:rsidRPr="00853806">
        <w:rPr>
          <w:rFonts w:asciiTheme="majorHAnsi" w:hAnsiTheme="majorHAnsi"/>
        </w:rPr>
        <w:t>5.3</w:t>
      </w:r>
      <w:r w:rsidR="00EB74DE" w:rsidRPr="00853806">
        <w:rPr>
          <w:rFonts w:asciiTheme="majorHAnsi" w:hAnsiTheme="majorHAnsi"/>
        </w:rPr>
        <w:t>-</w:t>
      </w:r>
      <w:r w:rsidRPr="00853806">
        <w:rPr>
          <w:rFonts w:asciiTheme="majorHAnsi" w:hAnsiTheme="majorHAnsi"/>
        </w:rPr>
        <w:t xml:space="preserve"> RAS</w:t>
      </w:r>
      <w:r w:rsidR="009D3EC2" w:rsidRPr="00853806">
        <w:rPr>
          <w:rFonts w:asciiTheme="majorHAnsi" w:hAnsiTheme="majorHAnsi"/>
        </w:rPr>
        <w:t xml:space="preserve"> over</w:t>
      </w:r>
      <w:r w:rsidR="00323D15">
        <w:rPr>
          <w:rFonts w:asciiTheme="majorHAnsi" w:hAnsiTheme="majorHAnsi"/>
        </w:rPr>
        <w:t>-</w:t>
      </w:r>
      <w:r w:rsidR="009D3EC2" w:rsidRPr="00853806">
        <w:rPr>
          <w:rFonts w:asciiTheme="majorHAnsi" w:hAnsiTheme="majorHAnsi"/>
        </w:rPr>
        <w:t>expression causes differential cellular</w:t>
      </w:r>
      <w:r w:rsidRPr="00853806">
        <w:rPr>
          <w:rFonts w:asciiTheme="majorHAnsi" w:hAnsiTheme="majorHAnsi"/>
        </w:rPr>
        <w:t xml:space="preserve"> responses </w:t>
      </w:r>
      <w:r w:rsidR="009D3EC2" w:rsidRPr="00853806">
        <w:rPr>
          <w:rFonts w:asciiTheme="majorHAnsi" w:hAnsiTheme="majorHAnsi"/>
        </w:rPr>
        <w:t>depending on the parental cell lineage</w:t>
      </w:r>
    </w:p>
    <w:p w14:paraId="07AEC9FA" w14:textId="56C1EE8F" w:rsidR="00807FC1" w:rsidRPr="00853806" w:rsidRDefault="008B5A6E" w:rsidP="006E43F8">
      <w:pPr>
        <w:spacing w:line="360" w:lineRule="auto"/>
        <w:rPr>
          <w:rFonts w:asciiTheme="majorHAnsi" w:hAnsiTheme="majorHAnsi"/>
        </w:rPr>
      </w:pPr>
      <w:r w:rsidRPr="00853806">
        <w:rPr>
          <w:rFonts w:asciiTheme="majorHAnsi" w:hAnsiTheme="majorHAnsi"/>
        </w:rPr>
        <w:t>5.4</w:t>
      </w:r>
      <w:r w:rsidR="00EB74DE" w:rsidRPr="00853806">
        <w:rPr>
          <w:rFonts w:asciiTheme="majorHAnsi" w:hAnsiTheme="majorHAnsi"/>
        </w:rPr>
        <w:t>-</w:t>
      </w:r>
      <w:r w:rsidRPr="00853806">
        <w:rPr>
          <w:rFonts w:asciiTheme="majorHAnsi" w:hAnsiTheme="majorHAnsi"/>
        </w:rPr>
        <w:t xml:space="preserve"> </w:t>
      </w:r>
      <w:r w:rsidR="00EB74DE" w:rsidRPr="00853806">
        <w:rPr>
          <w:rFonts w:asciiTheme="majorHAnsi" w:hAnsiTheme="majorHAnsi"/>
        </w:rPr>
        <w:t xml:space="preserve">Effect of </w:t>
      </w:r>
      <w:r w:rsidR="00EB74DE" w:rsidRPr="00853806">
        <w:rPr>
          <w:rFonts w:asciiTheme="majorHAnsi" w:hAnsiTheme="majorHAnsi"/>
          <w:i/>
        </w:rPr>
        <w:t>SRCAP</w:t>
      </w:r>
      <w:r w:rsidR="00EB74DE" w:rsidRPr="00853806">
        <w:rPr>
          <w:rFonts w:asciiTheme="majorHAnsi" w:hAnsiTheme="majorHAnsi"/>
        </w:rPr>
        <w:t xml:space="preserve"> knockdown in fibroblast cells</w:t>
      </w:r>
    </w:p>
    <w:p w14:paraId="1D20CB57" w14:textId="3BF84D82" w:rsidR="00ED24B6" w:rsidRPr="00853806" w:rsidRDefault="00CD3390" w:rsidP="006E43F8">
      <w:pPr>
        <w:spacing w:line="360" w:lineRule="auto"/>
        <w:rPr>
          <w:rFonts w:asciiTheme="majorHAnsi" w:hAnsiTheme="majorHAnsi"/>
        </w:rPr>
      </w:pPr>
      <w:r w:rsidRPr="00853806">
        <w:rPr>
          <w:rFonts w:asciiTheme="majorHAnsi" w:hAnsiTheme="majorHAnsi"/>
        </w:rPr>
        <w:t>5.5</w:t>
      </w:r>
      <w:r w:rsidR="00EB74DE" w:rsidRPr="00853806">
        <w:rPr>
          <w:rFonts w:asciiTheme="majorHAnsi" w:hAnsiTheme="majorHAnsi"/>
        </w:rPr>
        <w:t>-</w:t>
      </w:r>
      <w:r w:rsidRPr="00853806">
        <w:rPr>
          <w:rFonts w:asciiTheme="majorHAnsi" w:hAnsiTheme="majorHAnsi"/>
        </w:rPr>
        <w:t xml:space="preserve"> Discussion</w:t>
      </w:r>
    </w:p>
    <w:p w14:paraId="40BFC0EF" w14:textId="3F815567" w:rsidR="00853806" w:rsidRDefault="00853806" w:rsidP="00E6223C">
      <w:pPr>
        <w:pStyle w:val="ListParagraph"/>
        <w:numPr>
          <w:ilvl w:val="0"/>
          <w:numId w:val="1"/>
        </w:numPr>
        <w:spacing w:line="360" w:lineRule="auto"/>
        <w:jc w:val="both"/>
        <w:rPr>
          <w:rFonts w:asciiTheme="majorHAnsi" w:hAnsiTheme="majorHAnsi"/>
          <w:lang w:val="en-US"/>
        </w:rPr>
      </w:pPr>
      <w:r w:rsidRPr="00853806">
        <w:rPr>
          <w:rFonts w:asciiTheme="majorHAnsi" w:hAnsiTheme="majorHAnsi"/>
          <w:lang w:val="en-US"/>
        </w:rPr>
        <w:t xml:space="preserve">Phenotypic effects of </w:t>
      </w:r>
      <w:r>
        <w:rPr>
          <w:rFonts w:asciiTheme="majorHAnsi" w:hAnsiTheme="majorHAnsi"/>
          <w:lang w:val="en-US"/>
        </w:rPr>
        <w:t>SRCAP knockdown in RAS oncogene</w:t>
      </w:r>
      <w:r w:rsidRPr="00853806">
        <w:rPr>
          <w:rFonts w:asciiTheme="majorHAnsi" w:hAnsiTheme="majorHAnsi"/>
          <w:lang w:val="en-US"/>
        </w:rPr>
        <w:t xml:space="preserve"> activated cells</w:t>
      </w:r>
    </w:p>
    <w:p w14:paraId="4C2FC8FE" w14:textId="6BD1ECA7" w:rsidR="00853806" w:rsidRPr="00853806" w:rsidRDefault="002E39A4" w:rsidP="00E6223C">
      <w:pPr>
        <w:pStyle w:val="ListParagraph"/>
        <w:numPr>
          <w:ilvl w:val="0"/>
          <w:numId w:val="1"/>
        </w:numPr>
        <w:spacing w:line="360" w:lineRule="auto"/>
        <w:jc w:val="both"/>
        <w:rPr>
          <w:rFonts w:asciiTheme="majorHAnsi" w:hAnsiTheme="majorHAnsi"/>
          <w:lang w:val="en-US"/>
        </w:rPr>
      </w:pPr>
      <w:r>
        <w:rPr>
          <w:rFonts w:asciiTheme="majorHAnsi" w:hAnsiTheme="majorHAnsi"/>
          <w:lang w:val="en-US"/>
        </w:rPr>
        <w:t>SRCAP knock</w:t>
      </w:r>
      <w:r w:rsidR="00853806" w:rsidRPr="00853806">
        <w:rPr>
          <w:rFonts w:asciiTheme="majorHAnsi" w:hAnsiTheme="majorHAnsi"/>
          <w:lang w:val="en-US"/>
        </w:rPr>
        <w:t xml:space="preserve">down in a </w:t>
      </w:r>
      <w:r w:rsidR="00A16855">
        <w:rPr>
          <w:rFonts w:asciiTheme="majorHAnsi" w:hAnsiTheme="majorHAnsi"/>
          <w:lang w:val="en-US"/>
        </w:rPr>
        <w:t xml:space="preserve">fibroblast </w:t>
      </w:r>
      <w:r w:rsidR="00853806" w:rsidRPr="00853806">
        <w:rPr>
          <w:rFonts w:asciiTheme="majorHAnsi" w:hAnsiTheme="majorHAnsi"/>
          <w:lang w:val="en-US"/>
        </w:rPr>
        <w:t>cell line</w:t>
      </w:r>
    </w:p>
    <w:p w14:paraId="17595563" w14:textId="7F4FA589" w:rsidR="00853806" w:rsidRDefault="006D2E41" w:rsidP="00E6223C">
      <w:pPr>
        <w:pStyle w:val="ListParagraph"/>
        <w:numPr>
          <w:ilvl w:val="0"/>
          <w:numId w:val="1"/>
        </w:numPr>
        <w:spacing w:line="360" w:lineRule="auto"/>
        <w:jc w:val="both"/>
        <w:rPr>
          <w:rFonts w:asciiTheme="majorHAnsi" w:hAnsiTheme="majorHAnsi"/>
          <w:lang w:val="en-US"/>
        </w:rPr>
      </w:pPr>
      <w:r>
        <w:rPr>
          <w:rFonts w:asciiTheme="majorHAnsi" w:hAnsiTheme="majorHAnsi"/>
          <w:lang w:val="en-US"/>
        </w:rPr>
        <w:t>Study Limitation-RAS isoforms</w:t>
      </w:r>
    </w:p>
    <w:p w14:paraId="0B823921" w14:textId="1DD6597E" w:rsidR="005D1F19" w:rsidRPr="00853806" w:rsidRDefault="005D1F19" w:rsidP="00E6223C">
      <w:pPr>
        <w:pStyle w:val="ListParagraph"/>
        <w:numPr>
          <w:ilvl w:val="0"/>
          <w:numId w:val="1"/>
        </w:numPr>
        <w:spacing w:line="360" w:lineRule="auto"/>
        <w:jc w:val="both"/>
        <w:rPr>
          <w:rFonts w:asciiTheme="majorHAnsi" w:hAnsiTheme="majorHAnsi"/>
          <w:lang w:val="en-US"/>
        </w:rPr>
      </w:pPr>
      <w:r>
        <w:rPr>
          <w:rFonts w:asciiTheme="majorHAnsi" w:hAnsiTheme="majorHAnsi"/>
          <w:lang w:val="en-US"/>
        </w:rPr>
        <w:t>Future Work</w:t>
      </w:r>
    </w:p>
    <w:p w14:paraId="4A53AF5F" w14:textId="77777777" w:rsidR="00853806" w:rsidRPr="00853806" w:rsidRDefault="00853806" w:rsidP="00853806">
      <w:pPr>
        <w:pStyle w:val="ListParagraph"/>
        <w:spacing w:line="360" w:lineRule="auto"/>
        <w:rPr>
          <w:rFonts w:asciiTheme="majorHAnsi" w:hAnsiTheme="majorHAnsi"/>
          <w:sz w:val="28"/>
          <w:szCs w:val="28"/>
        </w:rPr>
      </w:pPr>
    </w:p>
    <w:p w14:paraId="4EEE487E" w14:textId="77777777" w:rsidR="00ED24B6" w:rsidRPr="006E43F8" w:rsidRDefault="00ED24B6" w:rsidP="006E43F8">
      <w:pPr>
        <w:spacing w:line="360" w:lineRule="auto"/>
        <w:rPr>
          <w:rFonts w:asciiTheme="majorHAnsi" w:hAnsiTheme="majorHAnsi"/>
        </w:rPr>
      </w:pPr>
    </w:p>
    <w:p w14:paraId="27DCE201" w14:textId="5FD706F2" w:rsidR="00853806" w:rsidRPr="00853806" w:rsidRDefault="00ED24B6" w:rsidP="006E43F8">
      <w:pPr>
        <w:spacing w:line="360" w:lineRule="auto"/>
        <w:rPr>
          <w:rFonts w:asciiTheme="majorHAnsi" w:hAnsiTheme="majorHAnsi"/>
          <w:u w:val="single"/>
        </w:rPr>
      </w:pPr>
      <w:r w:rsidRPr="00853806">
        <w:rPr>
          <w:rFonts w:asciiTheme="majorHAnsi" w:hAnsiTheme="majorHAnsi"/>
          <w:u w:val="single"/>
        </w:rPr>
        <w:t>List of Figures</w:t>
      </w:r>
    </w:p>
    <w:p w14:paraId="4ED15BE0" w14:textId="158CCEBD" w:rsidR="00ED24B6" w:rsidRPr="006E43F8" w:rsidRDefault="00ED24B6" w:rsidP="006E43F8">
      <w:pPr>
        <w:spacing w:line="360" w:lineRule="auto"/>
        <w:rPr>
          <w:rFonts w:asciiTheme="majorHAnsi" w:hAnsiTheme="majorHAnsi"/>
          <w:i/>
        </w:rPr>
      </w:pPr>
      <w:r w:rsidRPr="006E43F8">
        <w:rPr>
          <w:rFonts w:asciiTheme="majorHAnsi" w:hAnsiTheme="majorHAnsi"/>
          <w:i/>
        </w:rPr>
        <w:t>5.1</w:t>
      </w:r>
      <w:r w:rsidR="00EB74DE" w:rsidRPr="006E43F8">
        <w:rPr>
          <w:rFonts w:asciiTheme="majorHAnsi" w:hAnsiTheme="majorHAnsi"/>
          <w:i/>
        </w:rPr>
        <w:t>- Western b</w:t>
      </w:r>
      <w:r w:rsidR="00323D15">
        <w:rPr>
          <w:rFonts w:asciiTheme="majorHAnsi" w:hAnsiTheme="majorHAnsi"/>
          <w:i/>
        </w:rPr>
        <w:t>lotting analysis shows RAS over-</w:t>
      </w:r>
      <w:r w:rsidR="00EB74DE" w:rsidRPr="006E43F8">
        <w:rPr>
          <w:rFonts w:asciiTheme="majorHAnsi" w:hAnsiTheme="majorHAnsi"/>
          <w:i/>
        </w:rPr>
        <w:t>expression</w:t>
      </w:r>
      <w:r w:rsidR="009D3EC2" w:rsidRPr="006E43F8">
        <w:rPr>
          <w:rFonts w:asciiTheme="majorHAnsi" w:hAnsiTheme="majorHAnsi"/>
          <w:i/>
        </w:rPr>
        <w:t xml:space="preserve"> in stable clones</w:t>
      </w:r>
    </w:p>
    <w:p w14:paraId="35666D09" w14:textId="24B43788" w:rsidR="00ED24B6" w:rsidRPr="006E43F8" w:rsidRDefault="00ED24B6" w:rsidP="006E43F8">
      <w:pPr>
        <w:tabs>
          <w:tab w:val="left" w:pos="851"/>
          <w:tab w:val="left" w:pos="1418"/>
        </w:tabs>
        <w:spacing w:line="360" w:lineRule="auto"/>
        <w:rPr>
          <w:rFonts w:asciiTheme="majorHAnsi" w:hAnsiTheme="majorHAnsi"/>
          <w:i/>
        </w:rPr>
      </w:pPr>
      <w:r w:rsidRPr="006E43F8">
        <w:rPr>
          <w:rFonts w:asciiTheme="majorHAnsi" w:hAnsiTheme="majorHAnsi"/>
          <w:i/>
        </w:rPr>
        <w:t>5.2</w:t>
      </w:r>
      <w:r w:rsidR="00EB74DE" w:rsidRPr="006E43F8">
        <w:rPr>
          <w:rFonts w:asciiTheme="majorHAnsi" w:hAnsiTheme="majorHAnsi"/>
          <w:i/>
        </w:rPr>
        <w:t>-</w:t>
      </w:r>
      <w:r w:rsidR="00EB74DE" w:rsidRPr="006E43F8">
        <w:rPr>
          <w:b/>
          <w:i/>
        </w:rPr>
        <w:t xml:space="preserve"> </w:t>
      </w:r>
      <w:r w:rsidR="00EB74DE" w:rsidRPr="006E43F8">
        <w:rPr>
          <w:rFonts w:asciiTheme="majorHAnsi" w:hAnsiTheme="majorHAnsi"/>
          <w:i/>
        </w:rPr>
        <w:t>Assessment of SRCAP mRNA levels when combined with RAS over</w:t>
      </w:r>
      <w:r w:rsidR="00323D15">
        <w:rPr>
          <w:rFonts w:asciiTheme="majorHAnsi" w:hAnsiTheme="majorHAnsi"/>
          <w:i/>
        </w:rPr>
        <w:t>-</w:t>
      </w:r>
      <w:r w:rsidR="00EB74DE" w:rsidRPr="006E43F8">
        <w:rPr>
          <w:rFonts w:asciiTheme="majorHAnsi" w:hAnsiTheme="majorHAnsi"/>
          <w:i/>
        </w:rPr>
        <w:t>expression</w:t>
      </w:r>
    </w:p>
    <w:p w14:paraId="667A04D4" w14:textId="397EEAC5" w:rsidR="00ED24B6" w:rsidRPr="006E43F8" w:rsidRDefault="00ED24B6" w:rsidP="006E43F8">
      <w:pPr>
        <w:spacing w:line="360" w:lineRule="auto"/>
        <w:rPr>
          <w:rFonts w:asciiTheme="majorHAnsi" w:hAnsiTheme="majorHAnsi"/>
          <w:i/>
        </w:rPr>
      </w:pPr>
      <w:r w:rsidRPr="006E43F8">
        <w:rPr>
          <w:rFonts w:asciiTheme="majorHAnsi" w:hAnsiTheme="majorHAnsi"/>
          <w:i/>
        </w:rPr>
        <w:t>5.3</w:t>
      </w:r>
      <w:r w:rsidR="00EB74DE" w:rsidRPr="006E43F8">
        <w:rPr>
          <w:rFonts w:asciiTheme="majorHAnsi" w:hAnsiTheme="majorHAnsi"/>
          <w:i/>
        </w:rPr>
        <w:t>-</w:t>
      </w:r>
      <w:r w:rsidR="00EB74DE" w:rsidRPr="006E43F8">
        <w:rPr>
          <w:b/>
          <w:i/>
        </w:rPr>
        <w:t xml:space="preserve"> </w:t>
      </w:r>
      <w:r w:rsidR="00EB74DE" w:rsidRPr="006E43F8">
        <w:rPr>
          <w:rFonts w:asciiTheme="majorHAnsi" w:hAnsiTheme="majorHAnsi"/>
          <w:i/>
        </w:rPr>
        <w:t>RAS over</w:t>
      </w:r>
      <w:r w:rsidR="00FE6E14">
        <w:rPr>
          <w:rFonts w:asciiTheme="majorHAnsi" w:hAnsiTheme="majorHAnsi"/>
          <w:i/>
        </w:rPr>
        <w:t xml:space="preserve"> </w:t>
      </w:r>
      <w:r w:rsidR="00EB74DE" w:rsidRPr="006E43F8">
        <w:rPr>
          <w:rFonts w:asciiTheme="majorHAnsi" w:hAnsiTheme="majorHAnsi"/>
          <w:i/>
        </w:rPr>
        <w:t>expression plus SRCAP knockdown affects DNA damage to differing extents in different cell lines</w:t>
      </w:r>
    </w:p>
    <w:p w14:paraId="24AE7E28" w14:textId="486A2A12" w:rsidR="00ED24B6" w:rsidRPr="006E43F8" w:rsidRDefault="00ED24B6" w:rsidP="006E43F8">
      <w:pPr>
        <w:spacing w:line="360" w:lineRule="auto"/>
        <w:rPr>
          <w:rFonts w:asciiTheme="majorHAnsi" w:hAnsiTheme="majorHAnsi"/>
          <w:b/>
          <w:i/>
        </w:rPr>
      </w:pPr>
      <w:r w:rsidRPr="006E43F8">
        <w:rPr>
          <w:rFonts w:asciiTheme="majorHAnsi" w:hAnsiTheme="majorHAnsi"/>
          <w:i/>
        </w:rPr>
        <w:t>5.4</w:t>
      </w:r>
      <w:r w:rsidR="00EB74DE" w:rsidRPr="006E43F8">
        <w:rPr>
          <w:rFonts w:asciiTheme="majorHAnsi" w:hAnsiTheme="majorHAnsi"/>
          <w:i/>
        </w:rPr>
        <w:t>-</w:t>
      </w:r>
      <w:r w:rsidR="00EB74DE" w:rsidRPr="006E43F8">
        <w:rPr>
          <w:b/>
          <w:i/>
        </w:rPr>
        <w:t xml:space="preserve"> </w:t>
      </w:r>
      <w:r w:rsidR="00EB74DE" w:rsidRPr="006E43F8">
        <w:rPr>
          <w:rFonts w:asciiTheme="majorHAnsi" w:hAnsiTheme="majorHAnsi"/>
          <w:i/>
        </w:rPr>
        <w:t>RAS over</w:t>
      </w:r>
      <w:r w:rsidR="00323D15">
        <w:rPr>
          <w:rFonts w:asciiTheme="majorHAnsi" w:hAnsiTheme="majorHAnsi"/>
          <w:i/>
        </w:rPr>
        <w:t>-</w:t>
      </w:r>
      <w:r w:rsidR="00EB74DE" w:rsidRPr="006E43F8">
        <w:rPr>
          <w:rFonts w:asciiTheme="majorHAnsi" w:hAnsiTheme="majorHAnsi"/>
          <w:i/>
        </w:rPr>
        <w:t>expression plus SRCAP knockdown increases nuclear abnormalities</w:t>
      </w:r>
    </w:p>
    <w:p w14:paraId="6B61810B" w14:textId="539AF1BE" w:rsidR="00CD3390" w:rsidRPr="006E43F8" w:rsidRDefault="00CD3390" w:rsidP="006E43F8">
      <w:pPr>
        <w:spacing w:line="360" w:lineRule="auto"/>
        <w:rPr>
          <w:rFonts w:asciiTheme="majorHAnsi" w:hAnsiTheme="majorHAnsi"/>
          <w:i/>
        </w:rPr>
      </w:pPr>
      <w:r w:rsidRPr="006E43F8">
        <w:rPr>
          <w:rFonts w:asciiTheme="majorHAnsi" w:hAnsiTheme="majorHAnsi"/>
          <w:i/>
        </w:rPr>
        <w:t>5.5</w:t>
      </w:r>
      <w:r w:rsidR="00EB74DE" w:rsidRPr="006E43F8">
        <w:rPr>
          <w:rFonts w:asciiTheme="majorHAnsi" w:hAnsiTheme="majorHAnsi"/>
          <w:i/>
        </w:rPr>
        <w:t xml:space="preserve">- </w:t>
      </w:r>
      <w:r w:rsidR="00653844" w:rsidRPr="006E43F8">
        <w:rPr>
          <w:rFonts w:asciiTheme="majorHAnsi" w:hAnsiTheme="majorHAnsi"/>
          <w:i/>
        </w:rPr>
        <w:t>Cell cycle profiles of RAS over</w:t>
      </w:r>
      <w:r w:rsidR="00323D15">
        <w:rPr>
          <w:rFonts w:asciiTheme="majorHAnsi" w:hAnsiTheme="majorHAnsi"/>
          <w:i/>
        </w:rPr>
        <w:t>-</w:t>
      </w:r>
      <w:r w:rsidR="00653844" w:rsidRPr="006E43F8">
        <w:rPr>
          <w:rFonts w:asciiTheme="majorHAnsi" w:hAnsiTheme="majorHAnsi"/>
          <w:i/>
        </w:rPr>
        <w:t>expressing cells with SRCAP depletion differ depending on cell lineage</w:t>
      </w:r>
    </w:p>
    <w:p w14:paraId="16A0709F" w14:textId="319AFD9A" w:rsidR="00CD3390" w:rsidRPr="006E43F8" w:rsidRDefault="00CD3390" w:rsidP="006E43F8">
      <w:pPr>
        <w:spacing w:line="360" w:lineRule="auto"/>
        <w:rPr>
          <w:rFonts w:asciiTheme="majorHAnsi" w:hAnsiTheme="majorHAnsi"/>
          <w:i/>
        </w:rPr>
      </w:pPr>
      <w:r w:rsidRPr="006E43F8">
        <w:rPr>
          <w:rFonts w:asciiTheme="majorHAnsi" w:hAnsiTheme="majorHAnsi"/>
          <w:i/>
        </w:rPr>
        <w:t>5.6</w:t>
      </w:r>
      <w:r w:rsidR="00EB74DE" w:rsidRPr="006E43F8">
        <w:rPr>
          <w:rFonts w:asciiTheme="majorHAnsi" w:hAnsiTheme="majorHAnsi"/>
          <w:i/>
        </w:rPr>
        <w:t>- SRCAP knockdown alone increases DNA damage in MRC5 cells</w:t>
      </w:r>
    </w:p>
    <w:p w14:paraId="2C011A55" w14:textId="21FFBBBD" w:rsidR="00CD3390" w:rsidRPr="006E43F8" w:rsidRDefault="00CD3390" w:rsidP="006E43F8">
      <w:pPr>
        <w:spacing w:line="360" w:lineRule="auto"/>
        <w:rPr>
          <w:rFonts w:asciiTheme="majorHAnsi" w:hAnsiTheme="majorHAnsi"/>
          <w:i/>
        </w:rPr>
      </w:pPr>
      <w:r w:rsidRPr="006E43F8">
        <w:rPr>
          <w:rFonts w:asciiTheme="majorHAnsi" w:hAnsiTheme="majorHAnsi"/>
          <w:i/>
        </w:rPr>
        <w:t>5.7</w:t>
      </w:r>
      <w:r w:rsidR="00EB74DE" w:rsidRPr="006E43F8">
        <w:rPr>
          <w:rFonts w:asciiTheme="majorHAnsi" w:hAnsiTheme="majorHAnsi"/>
          <w:i/>
        </w:rPr>
        <w:t>-</w:t>
      </w:r>
      <w:r w:rsidR="00EB74DE" w:rsidRPr="006E43F8">
        <w:rPr>
          <w:b/>
          <w:i/>
        </w:rPr>
        <w:t xml:space="preserve"> </w:t>
      </w:r>
      <w:r w:rsidR="00EB74DE" w:rsidRPr="006E43F8">
        <w:rPr>
          <w:rFonts w:asciiTheme="majorHAnsi" w:hAnsiTheme="majorHAnsi"/>
          <w:i/>
        </w:rPr>
        <w:t>SRCAP knockdown alone causes an increase in nuclear abnormalities in MRC5 cells.</w:t>
      </w:r>
    </w:p>
    <w:p w14:paraId="7EBC7B12" w14:textId="77777777" w:rsidR="00CD3390" w:rsidRPr="00CD3390" w:rsidRDefault="00CD3390">
      <w:pPr>
        <w:rPr>
          <w:rFonts w:asciiTheme="majorHAnsi" w:hAnsiTheme="majorHAnsi"/>
          <w:sz w:val="32"/>
          <w:szCs w:val="28"/>
        </w:rPr>
      </w:pPr>
    </w:p>
    <w:p w14:paraId="5E697B6D" w14:textId="77777777" w:rsidR="00ED24B6" w:rsidRPr="00CD3390" w:rsidRDefault="00ED24B6">
      <w:pPr>
        <w:rPr>
          <w:rFonts w:asciiTheme="majorHAnsi" w:hAnsiTheme="majorHAnsi"/>
          <w:sz w:val="32"/>
          <w:szCs w:val="28"/>
        </w:rPr>
      </w:pPr>
    </w:p>
    <w:p w14:paraId="38FC5196" w14:textId="20BDB34A" w:rsidR="00807FC1" w:rsidRDefault="00807FC1">
      <w:pPr>
        <w:rPr>
          <w:rFonts w:asciiTheme="majorHAnsi" w:hAnsiTheme="majorHAnsi"/>
          <w:sz w:val="28"/>
          <w:szCs w:val="28"/>
          <w:u w:val="single"/>
        </w:rPr>
      </w:pPr>
      <w:r>
        <w:rPr>
          <w:rFonts w:asciiTheme="majorHAnsi" w:hAnsiTheme="majorHAnsi"/>
          <w:sz w:val="28"/>
          <w:szCs w:val="28"/>
          <w:u w:val="single"/>
        </w:rPr>
        <w:br w:type="page"/>
      </w:r>
    </w:p>
    <w:p w14:paraId="617FD5AE" w14:textId="36D23307" w:rsidR="003D7110" w:rsidRPr="001006BA" w:rsidRDefault="001006BA" w:rsidP="003D7110">
      <w:pPr>
        <w:spacing w:line="360" w:lineRule="auto"/>
        <w:rPr>
          <w:rFonts w:asciiTheme="majorHAnsi" w:hAnsiTheme="majorHAnsi"/>
          <w:sz w:val="28"/>
          <w:szCs w:val="28"/>
          <w:u w:val="single"/>
        </w:rPr>
      </w:pPr>
      <w:r w:rsidRPr="001006BA">
        <w:rPr>
          <w:rFonts w:asciiTheme="majorHAnsi" w:hAnsiTheme="majorHAnsi"/>
          <w:sz w:val="28"/>
          <w:szCs w:val="28"/>
          <w:u w:val="single"/>
        </w:rPr>
        <w:t>5.</w:t>
      </w:r>
      <w:r w:rsidR="003D7110" w:rsidRPr="001006BA">
        <w:rPr>
          <w:rFonts w:asciiTheme="majorHAnsi" w:hAnsiTheme="majorHAnsi"/>
          <w:sz w:val="28"/>
          <w:szCs w:val="28"/>
          <w:u w:val="single"/>
        </w:rPr>
        <w:t>1 Introduction</w:t>
      </w:r>
    </w:p>
    <w:p w14:paraId="51920011" w14:textId="77777777" w:rsidR="003D7110" w:rsidRPr="003D7110" w:rsidRDefault="003D7110" w:rsidP="003D7110">
      <w:pPr>
        <w:spacing w:line="360" w:lineRule="auto"/>
        <w:rPr>
          <w:rFonts w:asciiTheme="majorHAnsi" w:hAnsiTheme="majorHAnsi"/>
          <w:sz w:val="28"/>
          <w:szCs w:val="28"/>
        </w:rPr>
      </w:pPr>
    </w:p>
    <w:p w14:paraId="19442EE7" w14:textId="739A190A" w:rsidR="00F04651" w:rsidRDefault="002A1305" w:rsidP="003D7110">
      <w:pPr>
        <w:spacing w:line="360" w:lineRule="auto"/>
        <w:jc w:val="both"/>
        <w:rPr>
          <w:rFonts w:asciiTheme="majorHAnsi" w:hAnsiTheme="majorHAnsi"/>
        </w:rPr>
      </w:pPr>
      <w:r>
        <w:rPr>
          <w:rFonts w:asciiTheme="majorHAnsi" w:hAnsiTheme="majorHAnsi"/>
        </w:rPr>
        <w:t>RAS</w:t>
      </w:r>
      <w:r w:rsidR="00F04651">
        <w:rPr>
          <w:rFonts w:asciiTheme="majorHAnsi" w:hAnsiTheme="majorHAnsi"/>
        </w:rPr>
        <w:t xml:space="preserve"> is a membrane bound protein, which is activated by GTP binding</w:t>
      </w:r>
      <w:r w:rsidR="001746E8">
        <w:rPr>
          <w:rFonts w:asciiTheme="majorHAnsi" w:hAnsiTheme="majorHAnsi"/>
        </w:rPr>
        <w:t>,</w:t>
      </w:r>
      <w:r w:rsidR="00F04651">
        <w:rPr>
          <w:rFonts w:asciiTheme="majorHAnsi" w:hAnsiTheme="majorHAnsi"/>
        </w:rPr>
        <w:t xml:space="preserve"> after growth factor receptor signalling. </w:t>
      </w:r>
      <w:r w:rsidR="000E3497">
        <w:rPr>
          <w:rFonts w:asciiTheme="majorHAnsi" w:hAnsiTheme="majorHAnsi"/>
        </w:rPr>
        <w:t xml:space="preserve">A ligand binds to EGFR extracellularly and causes phosphorylation of the tyrosine kinase domain in the intracellular </w:t>
      </w:r>
      <w:r w:rsidR="00FE1FFB">
        <w:rPr>
          <w:rFonts w:asciiTheme="majorHAnsi" w:hAnsiTheme="majorHAnsi"/>
        </w:rPr>
        <w:t>domain of EGFR</w:t>
      </w:r>
      <w:r w:rsidR="000E3497">
        <w:rPr>
          <w:rFonts w:asciiTheme="majorHAnsi" w:hAnsiTheme="majorHAnsi"/>
        </w:rPr>
        <w:t>, which then</w:t>
      </w:r>
      <w:r w:rsidR="001746E8">
        <w:rPr>
          <w:rFonts w:asciiTheme="majorHAnsi" w:hAnsiTheme="majorHAnsi"/>
        </w:rPr>
        <w:t xml:space="preserve"> activates adaptor proteins to catalyse </w:t>
      </w:r>
      <w:r w:rsidR="00FE1FFB">
        <w:rPr>
          <w:rFonts w:asciiTheme="majorHAnsi" w:hAnsiTheme="majorHAnsi"/>
        </w:rPr>
        <w:t xml:space="preserve">conversion of </w:t>
      </w:r>
      <w:r w:rsidR="001746E8">
        <w:rPr>
          <w:rFonts w:asciiTheme="majorHAnsi" w:hAnsiTheme="majorHAnsi"/>
        </w:rPr>
        <w:t>GDP to GTP</w:t>
      </w:r>
      <w:r w:rsidR="000E3497">
        <w:rPr>
          <w:rFonts w:asciiTheme="majorHAnsi" w:hAnsiTheme="majorHAnsi"/>
        </w:rPr>
        <w:t xml:space="preserve">. </w:t>
      </w:r>
      <w:r w:rsidR="00F04651">
        <w:rPr>
          <w:rFonts w:asciiTheme="majorHAnsi" w:hAnsiTheme="majorHAnsi"/>
        </w:rPr>
        <w:t xml:space="preserve">When GTP is bound RAS is switched on and </w:t>
      </w:r>
      <w:r w:rsidR="00970748">
        <w:rPr>
          <w:rFonts w:asciiTheme="majorHAnsi" w:hAnsiTheme="majorHAnsi"/>
        </w:rPr>
        <w:t xml:space="preserve">in a </w:t>
      </w:r>
      <w:r w:rsidR="00F04651">
        <w:rPr>
          <w:rFonts w:asciiTheme="majorHAnsi" w:hAnsiTheme="majorHAnsi"/>
        </w:rPr>
        <w:t>active state</w:t>
      </w:r>
      <w:r>
        <w:rPr>
          <w:rFonts w:asciiTheme="majorHAnsi" w:hAnsiTheme="majorHAnsi"/>
        </w:rPr>
        <w:t xml:space="preserve">, whereas when </w:t>
      </w:r>
      <w:r w:rsidRPr="00653DB3">
        <w:rPr>
          <w:rFonts w:asciiTheme="majorHAnsi" w:hAnsiTheme="majorHAnsi"/>
        </w:rPr>
        <w:t>RAS-GTPase activating (GAP) proteins</w:t>
      </w:r>
      <w:r>
        <w:rPr>
          <w:rFonts w:asciiTheme="majorHAnsi" w:hAnsiTheme="majorHAnsi"/>
        </w:rPr>
        <w:t xml:space="preserve"> stimulate GTP hydrolysis to GDP</w:t>
      </w:r>
      <w:r w:rsidR="000E3497">
        <w:rPr>
          <w:rFonts w:asciiTheme="majorHAnsi" w:hAnsiTheme="majorHAnsi"/>
        </w:rPr>
        <w:t>,</w:t>
      </w:r>
      <w:r>
        <w:rPr>
          <w:rFonts w:asciiTheme="majorHAnsi" w:hAnsiTheme="majorHAnsi"/>
        </w:rPr>
        <w:t xml:space="preserve"> RAS is inactive </w:t>
      </w:r>
      <w:r>
        <w:rPr>
          <w:rFonts w:asciiTheme="majorHAnsi" w:hAnsiTheme="majorHAnsi"/>
        </w:rPr>
        <w:fldChar w:fldCharType="begin"/>
      </w:r>
      <w:r>
        <w:rPr>
          <w:rFonts w:asciiTheme="majorHAnsi" w:hAnsiTheme="majorHAnsi"/>
        </w:rPr>
        <w:instrText xml:space="preserve"> ADDIN EN.CITE &lt;EndNote&gt;&lt;Cite&gt;&lt;Author&gt;Luo&lt;/Author&gt;&lt;Year&gt;2009&lt;/Year&gt;&lt;IDText&gt;A genome-wide RNAi screen identifies multiple synthetic lethal interactions with the Ras oncogene&lt;/IDText&gt;&lt;DisplayText&gt;(Luo et al., 2009)&lt;/DisplayText&gt;&lt;record&gt;&lt;dates&gt;&lt;pub-dates&gt;&lt;date&gt;May&lt;/date&gt;&lt;/pub-dates&gt;&lt;year&gt;2009&lt;/year&gt;&lt;/dates&gt;&lt;keywords&gt;&lt;keyword&gt;Animals&lt;/keyword&gt;&lt;keyword&gt;Cell Cycle Proteins&lt;/keyword&gt;&lt;keyword&gt;Cell Line, Tumor&lt;/keyword&gt;&lt;keyword&gt;Colonic Neoplasms&lt;/keyword&gt;&lt;keyword&gt;Female&lt;/keyword&gt;&lt;keyword&gt;Genome, Human&lt;/keyword&gt;&lt;keyword&gt;Humans&lt;/keyword&gt;&lt;keyword&gt;Mice&lt;/keyword&gt;&lt;keyword&gt;Mice, Nude&lt;/keyword&gt;&lt;keyword&gt;Mitosis&lt;/keyword&gt;&lt;keyword&gt;Mutation&lt;/keyword&gt;&lt;keyword&gt;Neoplasm Transplantation&lt;/keyword&gt;&lt;keyword&gt;Proteasome Inhibitors&lt;/keyword&gt;&lt;keyword&gt;Protein-Serine-Threonine Kinases&lt;/keyword&gt;&lt;keyword&gt;Proto-Oncogene Proteins&lt;/keyword&gt;&lt;keyword&gt;Proto-Oncogene Proteins p21(ras)&lt;/keyword&gt;&lt;keyword&gt;RNA Interference&lt;/keyword&gt;&lt;keyword&gt;Signal Transduction&lt;/keyword&gt;&lt;keyword&gt;Transplantation, Heterologous&lt;/keyword&gt;&lt;keyword&gt;ras Proteins&lt;/keyword&gt;&lt;/keywords&gt;&lt;urls&gt;&lt;related-urls&gt;&lt;url&gt;https://www.ncbi.nlm.nih.gov/pubmed/19490893&lt;/url&gt;&lt;/related-urls&gt;&lt;/urls&gt;&lt;isbn&gt;1097-4172&lt;/isbn&gt;&lt;custom2&gt;PMC2768667&lt;/custom2&gt;&lt;titles&gt;&lt;title&gt;A genome-wide RNAi screen identifies multiple synthetic lethal interactions with the Ras oncogene&lt;/title&gt;&lt;secondary-title&gt;Cell&lt;/secondary-title&gt;&lt;/titles&gt;&lt;pages&gt;835-48&lt;/pages&gt;&lt;number&gt;5&lt;/number&gt;&lt;contributors&gt;&lt;authors&gt;&lt;author&gt;Luo, J.&lt;/author&gt;&lt;author&gt;Emanuele, M. J.&lt;/author&gt;&lt;author&gt;Li, D.&lt;/author&gt;&lt;author&gt;Creighton, C. J.&lt;/author&gt;&lt;author&gt;Schlabach, M. R.&lt;/author&gt;&lt;author&gt;Westbrook, T. F.&lt;/author&gt;&lt;author&gt;Wong, K. K.&lt;/author&gt;&lt;author&gt;Elledge, S. J.&lt;/author&gt;&lt;/authors&gt;&lt;/contributors&gt;&lt;language&gt;eng&lt;/language&gt;&lt;added-date format="utc"&gt;1502185487&lt;/added-date&gt;&lt;ref-type name="Journal Article"&gt;17&lt;/ref-type&gt;&lt;rec-number&gt;236&lt;/rec-number&gt;&lt;last-updated-date format="utc"&gt;1502185487&lt;/last-updated-date&gt;&lt;accession-num&gt;19490893&lt;/accession-num&gt;&lt;electronic-resource-num&gt;10.1016/j.cell.2009.05.006&lt;/electronic-resource-num&gt;&lt;volume&gt;137&lt;/volume&gt;&lt;/record&gt;&lt;/Cite&gt;&lt;/EndNote&gt;</w:instrText>
      </w:r>
      <w:r>
        <w:rPr>
          <w:rFonts w:asciiTheme="majorHAnsi" w:hAnsiTheme="majorHAnsi"/>
        </w:rPr>
        <w:fldChar w:fldCharType="separate"/>
      </w:r>
      <w:r>
        <w:rPr>
          <w:rFonts w:asciiTheme="majorHAnsi" w:hAnsiTheme="majorHAnsi"/>
          <w:noProof/>
        </w:rPr>
        <w:t>(Luo et al., 2009)</w:t>
      </w:r>
      <w:r>
        <w:rPr>
          <w:rFonts w:asciiTheme="majorHAnsi" w:hAnsiTheme="majorHAnsi"/>
        </w:rPr>
        <w:fldChar w:fldCharType="end"/>
      </w:r>
      <w:r>
        <w:rPr>
          <w:rFonts w:asciiTheme="majorHAnsi" w:hAnsiTheme="majorHAnsi"/>
        </w:rPr>
        <w:t>. The</w:t>
      </w:r>
      <w:r w:rsidR="00F04651">
        <w:rPr>
          <w:rFonts w:asciiTheme="majorHAnsi" w:hAnsiTheme="majorHAnsi"/>
        </w:rPr>
        <w:t xml:space="preserve"> active state in turn promotes downstream activation of two </w:t>
      </w:r>
      <w:r w:rsidR="00F04651" w:rsidRPr="00653DB3">
        <w:rPr>
          <w:rFonts w:asciiTheme="majorHAnsi" w:hAnsiTheme="majorHAnsi"/>
        </w:rPr>
        <w:t>main pathways: mitogen-activated pro</w:t>
      </w:r>
      <w:r w:rsidR="008C59AE">
        <w:rPr>
          <w:rFonts w:asciiTheme="majorHAnsi" w:hAnsiTheme="majorHAnsi"/>
        </w:rPr>
        <w:t xml:space="preserve">tein kinase (MAPK) </w:t>
      </w:r>
      <w:r w:rsidR="008C59AE" w:rsidRPr="00E83A72">
        <w:rPr>
          <w:rFonts w:asciiTheme="majorHAnsi" w:hAnsiTheme="majorHAnsi"/>
        </w:rPr>
        <w:t>and phosphoi</w:t>
      </w:r>
      <w:r w:rsidR="00F04651" w:rsidRPr="00E83A72">
        <w:rPr>
          <w:rFonts w:asciiTheme="majorHAnsi" w:hAnsiTheme="majorHAnsi"/>
        </w:rPr>
        <w:t>nositide-3 kinase</w:t>
      </w:r>
      <w:r w:rsidR="00F04651" w:rsidRPr="00653DB3">
        <w:rPr>
          <w:rFonts w:asciiTheme="majorHAnsi" w:hAnsiTheme="majorHAnsi"/>
        </w:rPr>
        <w:t xml:space="preserve"> (PI3K).</w:t>
      </w:r>
      <w:r w:rsidR="00F04651">
        <w:rPr>
          <w:rFonts w:asciiTheme="majorHAnsi" w:hAnsiTheme="majorHAnsi"/>
        </w:rPr>
        <w:t xml:space="preserve"> </w:t>
      </w:r>
      <w:r>
        <w:rPr>
          <w:rFonts w:asciiTheme="majorHAnsi" w:hAnsiTheme="majorHAnsi"/>
        </w:rPr>
        <w:t xml:space="preserve">Both of which promote cell proliferation and survival </w:t>
      </w:r>
      <w:r w:rsidR="00742A19">
        <w:rPr>
          <w:rFonts w:asciiTheme="majorHAnsi" w:hAnsiTheme="majorHAnsi"/>
        </w:rPr>
        <w:t xml:space="preserve">through a signalling cascade of serine-threonine kinases </w:t>
      </w:r>
      <w:r w:rsidRPr="00653DB3">
        <w:rPr>
          <w:rFonts w:asciiTheme="majorHAnsi" w:hAnsiTheme="majorHAnsi"/>
        </w:rPr>
        <w:fldChar w:fldCharType="begin"/>
      </w:r>
      <w:r w:rsidRPr="00653DB3">
        <w:rPr>
          <w:rFonts w:asciiTheme="majorHAnsi" w:hAnsiTheme="majorHAnsi"/>
        </w:rPr>
        <w:instrText xml:space="preserve"> ADDIN EN.CITE &lt;EndNote&gt;&lt;Cite&gt;&lt;Author&gt;Zenonos&lt;/Author&gt;&lt;Year&gt;2013&lt;/Year&gt;&lt;IDText&gt;RAS signaling pathways, mutations and their role in colorectal cancer&lt;/IDText&gt;&lt;DisplayText&gt;(Zenonos and Kyprianou, 2013)&lt;/DisplayText&gt;&lt;record&gt;&lt;dates&gt;&lt;pub-dates&gt;&lt;date&gt;May&lt;/date&gt;&lt;/pub-dates&gt;&lt;year&gt;2013&lt;/year&gt;&lt;/dates&gt;&lt;urls&gt;&lt;related-urls&gt;&lt;url&gt;https://www.ncbi.nlm.nih.gov/pubmed/23799159&lt;/url&gt;&lt;/related-urls&gt;&lt;/urls&gt;&lt;isbn&gt;1948-5204&lt;/isbn&gt;&lt;custom2&gt;PMC3682174&lt;/custom2&gt;&lt;titles&gt;&lt;title&gt;RAS signaling pathways, mutations and their role in colorectal cancer&lt;/title&gt;&lt;secondary-title&gt;World J Gastrointest Oncol&lt;/secondary-title&gt;&lt;/titles&gt;&lt;pages&gt;97-101&lt;/pages&gt;&lt;number&gt;5&lt;/number&gt;&lt;contributors&gt;&lt;authors&gt;&lt;author&gt;Zenonos, K.&lt;/author&gt;&lt;author&gt;Kyprianou, K.&lt;/author&gt;&lt;/authors&gt;&lt;/contributors&gt;&lt;language&gt;eng&lt;/language&gt;&lt;added-date format="utc"&gt;1502118247&lt;/added-date&gt;&lt;ref-type name="Journal Article"&gt;17&lt;/ref-type&gt;&lt;rec-number&gt;231&lt;/rec-number&gt;&lt;last-updated-date format="utc"&gt;1502118247&lt;/last-updated-date&gt;&lt;accession-num&gt;23799159&lt;/accession-num&gt;&lt;electronic-resource-num&gt;10.4251/wjgo.v5.i5.97&lt;/electronic-resource-num&gt;&lt;volume&gt;5&lt;/volume&gt;&lt;/record&gt;&lt;/Cite&gt;&lt;/EndNote&gt;</w:instrText>
      </w:r>
      <w:r w:rsidRPr="00653DB3">
        <w:rPr>
          <w:rFonts w:asciiTheme="majorHAnsi" w:hAnsiTheme="majorHAnsi"/>
        </w:rPr>
        <w:fldChar w:fldCharType="separate"/>
      </w:r>
      <w:r w:rsidRPr="00653DB3">
        <w:rPr>
          <w:rFonts w:asciiTheme="majorHAnsi" w:hAnsiTheme="majorHAnsi"/>
          <w:noProof/>
        </w:rPr>
        <w:t>(Zenonos and Kyprianou, 2013)</w:t>
      </w:r>
      <w:r w:rsidRPr="00653DB3">
        <w:rPr>
          <w:rFonts w:asciiTheme="majorHAnsi" w:hAnsiTheme="majorHAnsi"/>
        </w:rPr>
        <w:fldChar w:fldCharType="end"/>
      </w:r>
      <w:r w:rsidR="006E43F8">
        <w:rPr>
          <w:rFonts w:asciiTheme="majorHAnsi" w:hAnsiTheme="majorHAnsi"/>
        </w:rPr>
        <w:t xml:space="preserve"> (</w:t>
      </w:r>
      <w:r w:rsidR="00896936">
        <w:rPr>
          <w:rFonts w:asciiTheme="majorHAnsi" w:hAnsiTheme="majorHAnsi"/>
        </w:rPr>
        <w:t xml:space="preserve">as shown in </w:t>
      </w:r>
      <w:r w:rsidR="006E43F8">
        <w:rPr>
          <w:rFonts w:asciiTheme="majorHAnsi" w:hAnsiTheme="majorHAnsi"/>
        </w:rPr>
        <w:t>Introduction Figure 1.5)</w:t>
      </w:r>
      <w:r>
        <w:rPr>
          <w:rFonts w:asciiTheme="majorHAnsi" w:hAnsiTheme="majorHAnsi"/>
        </w:rPr>
        <w:t xml:space="preserve">. </w:t>
      </w:r>
      <w:r w:rsidR="005A4789">
        <w:rPr>
          <w:rFonts w:asciiTheme="majorHAnsi" w:hAnsiTheme="majorHAnsi"/>
        </w:rPr>
        <w:t>There are four human</w:t>
      </w:r>
      <w:r w:rsidR="000E3497">
        <w:rPr>
          <w:rFonts w:asciiTheme="majorHAnsi" w:hAnsiTheme="majorHAnsi"/>
        </w:rPr>
        <w:t xml:space="preserve"> </w:t>
      </w:r>
      <w:r w:rsidR="001746E8">
        <w:rPr>
          <w:rFonts w:asciiTheme="majorHAnsi" w:hAnsiTheme="majorHAnsi"/>
        </w:rPr>
        <w:t xml:space="preserve">21kDa </w:t>
      </w:r>
      <w:r w:rsidR="005A4789">
        <w:rPr>
          <w:rFonts w:asciiTheme="majorHAnsi" w:hAnsiTheme="majorHAnsi"/>
        </w:rPr>
        <w:t>RAS proteins-KRAS</w:t>
      </w:r>
      <w:r w:rsidR="00A02CA0">
        <w:rPr>
          <w:rFonts w:asciiTheme="majorHAnsi" w:hAnsiTheme="majorHAnsi"/>
        </w:rPr>
        <w:t>a, KRAS</w:t>
      </w:r>
      <w:r w:rsidR="001746E8">
        <w:rPr>
          <w:rFonts w:asciiTheme="majorHAnsi" w:hAnsiTheme="majorHAnsi"/>
        </w:rPr>
        <w:t xml:space="preserve">b, NRAS and HRAS, all of which have been implicated to some degree in a variety of cancers </w:t>
      </w:r>
      <w:r w:rsidR="001746E8">
        <w:rPr>
          <w:rFonts w:asciiTheme="majorHAnsi" w:hAnsiTheme="majorHAnsi"/>
        </w:rPr>
        <w:fldChar w:fldCharType="begin"/>
      </w:r>
      <w:r w:rsidR="001746E8">
        <w:rPr>
          <w:rFonts w:asciiTheme="majorHAnsi" w:hAnsiTheme="majorHAnsi"/>
        </w:rPr>
        <w:instrText xml:space="preserve"> ADDIN EN.CITE &lt;EndNote&gt;&lt;Cite&gt;&lt;Author&gt;Troiani&lt;/Author&gt;&lt;Year&gt;2015&lt;/Year&gt;&lt;IDText&gt;RAS in Colorectal Cancer:ESMO Biomarker Factsheet&lt;/IDText&gt;&lt;DisplayText&gt;(Troiani, 2015)&lt;/DisplayText&gt;&lt;record&gt;&lt;titles&gt;&lt;title&gt;RAS in Colorectal Cancer:ESMO Biomarker Factsheet&lt;/title&gt;&lt;/titles&gt;&lt;contributors&gt;&lt;authors&gt;&lt;author&gt;Troiani, T.&lt;/author&gt;&lt;/authors&gt;&lt;/contributors&gt;&lt;added-date format="utc"&gt;1502194890&lt;/added-date&gt;&lt;pub-location&gt;ESMO&amp;#xA; &lt;/pub-location&gt;&lt;ref-type name="Generic"&gt;13&lt;/ref-type&gt;&lt;dates&gt;&lt;year&gt;2015&lt;/year&gt;&lt;/dates&gt;&lt;rec-number&gt;244&lt;/rec-number&gt;&lt;last-updated-date format="utc"&gt;1502194959&lt;/last-updated-date&gt;&lt;/record&gt;&lt;/Cite&gt;&lt;/EndNote&gt;</w:instrText>
      </w:r>
      <w:r w:rsidR="001746E8">
        <w:rPr>
          <w:rFonts w:asciiTheme="majorHAnsi" w:hAnsiTheme="majorHAnsi"/>
        </w:rPr>
        <w:fldChar w:fldCharType="separate"/>
      </w:r>
      <w:r w:rsidR="001746E8">
        <w:rPr>
          <w:rFonts w:asciiTheme="majorHAnsi" w:hAnsiTheme="majorHAnsi"/>
          <w:noProof/>
        </w:rPr>
        <w:t>(Troiani, 2015)</w:t>
      </w:r>
      <w:r w:rsidR="001746E8">
        <w:rPr>
          <w:rFonts w:asciiTheme="majorHAnsi" w:hAnsiTheme="majorHAnsi"/>
        </w:rPr>
        <w:fldChar w:fldCharType="end"/>
      </w:r>
      <w:r w:rsidR="001746E8">
        <w:rPr>
          <w:rFonts w:asciiTheme="majorHAnsi" w:hAnsiTheme="majorHAnsi"/>
        </w:rPr>
        <w:t xml:space="preserve">. </w:t>
      </w:r>
    </w:p>
    <w:p w14:paraId="67C82031" w14:textId="77777777" w:rsidR="002A1305" w:rsidRDefault="002A1305" w:rsidP="003D7110">
      <w:pPr>
        <w:spacing w:line="360" w:lineRule="auto"/>
        <w:jc w:val="both"/>
        <w:rPr>
          <w:rFonts w:asciiTheme="majorHAnsi" w:hAnsiTheme="majorHAnsi"/>
        </w:rPr>
      </w:pPr>
    </w:p>
    <w:p w14:paraId="0387F48F" w14:textId="146D25CC" w:rsidR="002A1305" w:rsidRPr="00653DB3" w:rsidRDefault="002A1305" w:rsidP="003D7110">
      <w:pPr>
        <w:spacing w:line="360" w:lineRule="auto"/>
        <w:jc w:val="both"/>
        <w:rPr>
          <w:rFonts w:asciiTheme="majorHAnsi" w:hAnsiTheme="majorHAnsi"/>
        </w:rPr>
      </w:pPr>
      <w:r w:rsidRPr="00653DB3">
        <w:rPr>
          <w:rFonts w:asciiTheme="majorHAnsi" w:hAnsiTheme="majorHAnsi"/>
        </w:rPr>
        <w:t>For many years it has be</w:t>
      </w:r>
      <w:r>
        <w:rPr>
          <w:rFonts w:asciiTheme="majorHAnsi" w:hAnsiTheme="majorHAnsi"/>
        </w:rPr>
        <w:t>en</w:t>
      </w:r>
      <w:r w:rsidRPr="00653DB3">
        <w:rPr>
          <w:rFonts w:asciiTheme="majorHAnsi" w:hAnsiTheme="majorHAnsi"/>
        </w:rPr>
        <w:t xml:space="preserve"> known that colorectal tumours contain a high frequency of </w:t>
      </w:r>
      <w:r w:rsidRPr="006E43F8">
        <w:rPr>
          <w:rFonts w:asciiTheme="majorHAnsi" w:hAnsiTheme="majorHAnsi"/>
        </w:rPr>
        <w:t>RAS</w:t>
      </w:r>
      <w:r w:rsidRPr="00653DB3">
        <w:rPr>
          <w:rFonts w:asciiTheme="majorHAnsi" w:hAnsiTheme="majorHAnsi"/>
        </w:rPr>
        <w:t xml:space="preserve"> activating mutations</w:t>
      </w:r>
      <w:r>
        <w:rPr>
          <w:rFonts w:asciiTheme="majorHAnsi" w:hAnsiTheme="majorHAnsi"/>
        </w:rPr>
        <w:t xml:space="preserve">, with papers citing around 40-60% of patients having mutations </w:t>
      </w:r>
      <w:r>
        <w:rPr>
          <w:rFonts w:asciiTheme="majorHAnsi" w:hAnsiTheme="majorHAnsi"/>
        </w:rPr>
        <w:fldChar w:fldCharType="begin">
          <w:fldData xml:space="preserve">PEVuZE5vdGU+PENpdGU+PEF1dGhvcj5NY0xlbGxhbjwvQXV0aG9yPjxZZWFyPjE5OTM8L1llYXI+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</w:fldData>
        </w:fldChar>
      </w:r>
      <w:r w:rsidR="001746E8">
        <w:rPr>
          <w:rFonts w:asciiTheme="majorHAnsi" w:hAnsiTheme="majorHAnsi"/>
        </w:rPr>
        <w:instrText xml:space="preserve"> ADDIN EN.CITE </w:instrText>
      </w:r>
      <w:r w:rsidR="001746E8">
        <w:rPr>
          <w:rFonts w:asciiTheme="majorHAnsi" w:hAnsiTheme="majorHAnsi"/>
        </w:rPr>
        <w:fldChar w:fldCharType="begin">
          <w:fldData xml:space="preserve">PEVuZE5vdGU+PENpdGU+PEF1dGhvcj5NY0xlbGxhbjwvQXV0aG9yPjxZZWFyPjE5OTM8L1llYXI+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</w:fldData>
        </w:fldChar>
      </w:r>
      <w:r w:rsidR="001746E8">
        <w:rPr>
          <w:rFonts w:asciiTheme="majorHAnsi" w:hAnsiTheme="majorHAnsi"/>
        </w:rPr>
        <w:instrText xml:space="preserve"> ADDIN EN.CITE.DATA </w:instrText>
      </w:r>
      <w:r w:rsidR="001746E8">
        <w:rPr>
          <w:rFonts w:asciiTheme="majorHAnsi" w:hAnsiTheme="majorHAnsi"/>
        </w:rPr>
      </w:r>
      <w:r w:rsidR="001746E8">
        <w:rPr>
          <w:rFonts w:asciiTheme="majorHAnsi" w:hAnsiTheme="majorHAnsi"/>
        </w:rPr>
        <w:fldChar w:fldCharType="end"/>
      </w:r>
      <w:r>
        <w:rPr>
          <w:rFonts w:asciiTheme="majorHAnsi" w:hAnsiTheme="majorHAnsi"/>
        </w:rPr>
      </w:r>
      <w:r>
        <w:rPr>
          <w:rFonts w:asciiTheme="majorHAnsi" w:hAnsiTheme="majorHAnsi"/>
        </w:rPr>
        <w:fldChar w:fldCharType="separate"/>
      </w:r>
      <w:r w:rsidR="001746E8">
        <w:rPr>
          <w:rFonts w:asciiTheme="majorHAnsi" w:hAnsiTheme="majorHAnsi"/>
          <w:noProof/>
        </w:rPr>
        <w:t>(McLellan et al., 1993, Schirripa and Lenz, 2016)</w:t>
      </w:r>
      <w:r>
        <w:rPr>
          <w:rFonts w:asciiTheme="majorHAnsi" w:hAnsiTheme="majorHAnsi"/>
        </w:rPr>
        <w:fldChar w:fldCharType="end"/>
      </w:r>
      <w:r>
        <w:rPr>
          <w:rFonts w:asciiTheme="majorHAnsi" w:hAnsiTheme="majorHAnsi"/>
        </w:rPr>
        <w:t>. The</w:t>
      </w:r>
      <w:r w:rsidR="005261C8">
        <w:rPr>
          <w:rFonts w:asciiTheme="majorHAnsi" w:hAnsiTheme="majorHAnsi"/>
        </w:rPr>
        <w:t>se are</w:t>
      </w:r>
      <w:r>
        <w:rPr>
          <w:rFonts w:asciiTheme="majorHAnsi" w:hAnsiTheme="majorHAnsi"/>
        </w:rPr>
        <w:t xml:space="preserve"> point mutations, most frequently in </w:t>
      </w:r>
      <w:r w:rsidRPr="006E43F8">
        <w:rPr>
          <w:rFonts w:asciiTheme="majorHAnsi" w:hAnsiTheme="majorHAnsi"/>
          <w:i/>
        </w:rPr>
        <w:t>KRAS</w:t>
      </w:r>
      <w:r>
        <w:rPr>
          <w:rFonts w:asciiTheme="majorHAnsi" w:hAnsiTheme="majorHAnsi"/>
        </w:rPr>
        <w:t xml:space="preserve"> </w:t>
      </w:r>
      <w:r w:rsidR="001746E8">
        <w:rPr>
          <w:rFonts w:asciiTheme="majorHAnsi" w:hAnsiTheme="majorHAnsi"/>
        </w:rPr>
        <w:t xml:space="preserve">exon 2, </w:t>
      </w:r>
      <w:r>
        <w:rPr>
          <w:rFonts w:asciiTheme="majorHAnsi" w:hAnsiTheme="majorHAnsi"/>
        </w:rPr>
        <w:t xml:space="preserve">codon 12 or </w:t>
      </w:r>
      <w:r w:rsidR="009145FE">
        <w:rPr>
          <w:rFonts w:asciiTheme="majorHAnsi" w:hAnsiTheme="majorHAnsi"/>
        </w:rPr>
        <w:t>1</w:t>
      </w:r>
      <w:r>
        <w:rPr>
          <w:rFonts w:asciiTheme="majorHAnsi" w:hAnsiTheme="majorHAnsi"/>
        </w:rPr>
        <w:t xml:space="preserve">3. </w:t>
      </w:r>
      <w:r w:rsidRPr="00653DB3">
        <w:rPr>
          <w:rFonts w:asciiTheme="majorHAnsi" w:hAnsiTheme="majorHAnsi"/>
        </w:rPr>
        <w:t xml:space="preserve">Mutations to </w:t>
      </w:r>
      <w:r w:rsidRPr="00711DF8">
        <w:rPr>
          <w:rFonts w:asciiTheme="majorHAnsi" w:hAnsiTheme="majorHAnsi"/>
          <w:i/>
        </w:rPr>
        <w:t>RAS</w:t>
      </w:r>
      <w:r w:rsidRPr="00653DB3">
        <w:rPr>
          <w:rFonts w:asciiTheme="majorHAnsi" w:hAnsiTheme="majorHAnsi"/>
        </w:rPr>
        <w:t xml:space="preserve"> </w:t>
      </w:r>
      <w:r w:rsidR="009D3EC2">
        <w:rPr>
          <w:rFonts w:asciiTheme="majorHAnsi" w:hAnsiTheme="majorHAnsi"/>
        </w:rPr>
        <w:t>prevent</w:t>
      </w:r>
      <w:r w:rsidRPr="00653DB3">
        <w:rPr>
          <w:rFonts w:asciiTheme="majorHAnsi" w:hAnsiTheme="majorHAnsi"/>
        </w:rPr>
        <w:t xml:space="preserve"> RAS-</w:t>
      </w:r>
      <w:r>
        <w:rPr>
          <w:rFonts w:asciiTheme="majorHAnsi" w:hAnsiTheme="majorHAnsi"/>
        </w:rPr>
        <w:t>GAP</w:t>
      </w:r>
      <w:r w:rsidRPr="00653DB3">
        <w:rPr>
          <w:rFonts w:asciiTheme="majorHAnsi" w:hAnsiTheme="majorHAnsi"/>
        </w:rPr>
        <w:t xml:space="preserve"> proteins </w:t>
      </w:r>
      <w:r w:rsidR="009D3EC2">
        <w:rPr>
          <w:rFonts w:asciiTheme="majorHAnsi" w:hAnsiTheme="majorHAnsi"/>
        </w:rPr>
        <w:t xml:space="preserve">from activating </w:t>
      </w:r>
      <w:r w:rsidRPr="00653DB3">
        <w:rPr>
          <w:rFonts w:asciiTheme="majorHAnsi" w:hAnsiTheme="majorHAnsi"/>
        </w:rPr>
        <w:t>GTPase enzymes</w:t>
      </w:r>
      <w:r w:rsidR="00FE1FFB">
        <w:rPr>
          <w:rFonts w:asciiTheme="majorHAnsi" w:hAnsiTheme="majorHAnsi"/>
        </w:rPr>
        <w:t xml:space="preserve">; thus </w:t>
      </w:r>
      <w:r w:rsidRPr="00653DB3">
        <w:rPr>
          <w:rFonts w:asciiTheme="majorHAnsi" w:hAnsiTheme="majorHAnsi"/>
        </w:rPr>
        <w:t xml:space="preserve">hydrolysis of GTP </w:t>
      </w:r>
      <w:r w:rsidR="00FE1FFB">
        <w:rPr>
          <w:rFonts w:asciiTheme="majorHAnsi" w:hAnsiTheme="majorHAnsi"/>
        </w:rPr>
        <w:t>does not</w:t>
      </w:r>
      <w:r w:rsidRPr="00653DB3">
        <w:rPr>
          <w:rFonts w:asciiTheme="majorHAnsi" w:hAnsiTheme="majorHAnsi"/>
        </w:rPr>
        <w:t xml:space="preserve"> occur</w:t>
      </w:r>
      <w:r w:rsidR="00FE1FFB">
        <w:rPr>
          <w:rFonts w:asciiTheme="majorHAnsi" w:hAnsiTheme="majorHAnsi"/>
        </w:rPr>
        <w:t>,</w:t>
      </w:r>
      <w:r w:rsidRPr="00653DB3">
        <w:rPr>
          <w:rFonts w:asciiTheme="majorHAnsi" w:hAnsiTheme="majorHAnsi"/>
        </w:rPr>
        <w:t xml:space="preserve"> and RAS remains active</w:t>
      </w:r>
      <w:r>
        <w:rPr>
          <w:rFonts w:asciiTheme="majorHAnsi" w:hAnsiTheme="majorHAnsi"/>
        </w:rPr>
        <w:t xml:space="preserve"> as though it is constantly simulated by the ligand</w:t>
      </w:r>
      <w:r w:rsidRPr="00653DB3">
        <w:rPr>
          <w:rFonts w:asciiTheme="majorHAnsi" w:hAnsiTheme="majorHAnsi"/>
        </w:rPr>
        <w:t xml:space="preserve"> and </w:t>
      </w:r>
      <w:r>
        <w:rPr>
          <w:rFonts w:asciiTheme="majorHAnsi" w:hAnsiTheme="majorHAnsi"/>
        </w:rPr>
        <w:t xml:space="preserve">so is </w:t>
      </w:r>
      <w:r w:rsidRPr="00653DB3">
        <w:rPr>
          <w:rFonts w:asciiTheme="majorHAnsi" w:hAnsiTheme="majorHAnsi"/>
        </w:rPr>
        <w:t xml:space="preserve">able to </w:t>
      </w:r>
      <w:r w:rsidR="005261C8">
        <w:rPr>
          <w:rFonts w:asciiTheme="majorHAnsi" w:hAnsiTheme="majorHAnsi"/>
        </w:rPr>
        <w:t xml:space="preserve">continuously </w:t>
      </w:r>
      <w:r w:rsidRPr="00653DB3">
        <w:rPr>
          <w:rFonts w:asciiTheme="majorHAnsi" w:hAnsiTheme="majorHAnsi"/>
        </w:rPr>
        <w:t>drive</w:t>
      </w:r>
      <w:r>
        <w:rPr>
          <w:rFonts w:asciiTheme="majorHAnsi" w:hAnsiTheme="majorHAnsi"/>
        </w:rPr>
        <w:t xml:space="preserve"> the downstream signalling cascade</w:t>
      </w:r>
      <w:r w:rsidR="006E43F8">
        <w:rPr>
          <w:rFonts w:asciiTheme="majorHAnsi" w:hAnsiTheme="majorHAnsi"/>
        </w:rPr>
        <w:t>, therefore making it oncogenic</w:t>
      </w:r>
      <w:r w:rsidR="005A4789">
        <w:rPr>
          <w:rFonts w:asciiTheme="majorHAnsi" w:hAnsiTheme="majorHAnsi"/>
        </w:rPr>
        <w:t xml:space="preserve"> </w:t>
      </w:r>
      <w:r w:rsidR="005A4789">
        <w:rPr>
          <w:rFonts w:asciiTheme="majorHAnsi" w:hAnsiTheme="majorHAnsi"/>
        </w:rPr>
        <w:fldChar w:fldCharType="begin"/>
      </w:r>
      <w:r w:rsidR="005A4789">
        <w:rPr>
          <w:rFonts w:asciiTheme="majorHAnsi" w:hAnsiTheme="majorHAnsi"/>
        </w:rPr>
        <w:instrText xml:space="preserve"> ADDIN EN.CITE &lt;EndNote&gt;&lt;Cite&gt;&lt;Author&gt;Ahnen&lt;/Author&gt;&lt;Year&gt;1991&lt;/Year&gt;&lt;IDText&gt;Genetics of colon cancer&lt;/IDText&gt;&lt;DisplayText&gt;(Ahnen, 1991)&lt;/DisplayText&gt;&lt;record&gt;&lt;dates&gt;&lt;pub-dates&gt;&lt;date&gt;Jun&lt;/date&gt;&lt;/pub-dates&gt;&lt;year&gt;1991&lt;/year&gt;&lt;/dates&gt;&lt;keywords&gt;&lt;keyword&gt;Adenomatous Polyposis Coli&lt;/keyword&gt;&lt;keyword&gt;Aneuploidy&lt;/keyword&gt;&lt;keyword&gt;Chromosome Deletion&lt;/keyword&gt;&lt;keyword&gt;Chromosomes, Human, Pair 17&lt;/keyword&gt;&lt;keyword&gt;Chromosomes, Human, Pair 18&lt;/keyword&gt;&lt;keyword&gt;Chromosomes, Human, Pair 5&lt;/keyword&gt;&lt;keyword&gt;Colonic Neoplasms&lt;/keyword&gt;&lt;keyword&gt;Colorectal Neoplasms, Hereditary Nonpolyposis&lt;/keyword&gt;&lt;keyword&gt;Genes, Tumor Suppressor&lt;/keyword&gt;&lt;keyword&gt;Genetics, Population&lt;/keyword&gt;&lt;keyword&gt;Humans&lt;/keyword&gt;&lt;keyword&gt;Pedigree&lt;/keyword&gt;&lt;keyword&gt;Proto-Oncogenes&lt;/keyword&gt;&lt;/keywords&gt;&lt;urls&gt;&lt;related-urls&gt;&lt;url&gt;https://www.ncbi.nlm.nih.gov/pubmed/1652174&lt;/url&gt;&lt;/related-urls&gt;&lt;/urls&gt;&lt;isbn&gt;0093-0415&lt;/isbn&gt;&lt;custom2&gt;PMC1002870&lt;/custom2&gt;&lt;titles&gt;&lt;title&gt;Genetics of colon cancer&lt;/title&gt;&lt;secondary-title&gt;West J Med&lt;/secondary-title&gt;&lt;/titles&gt;&lt;pages&gt;700-5&lt;/pages&gt;&lt;number&gt;6&lt;/number&gt;&lt;contributors&gt;&lt;authors&gt;&lt;author&gt;Ahnen, D. J.&lt;/author&gt;&lt;/authors&gt;&lt;/contributors&gt;&lt;language&gt;eng&lt;/language&gt;&lt;added-date format="utc"&gt;1502189056&lt;/added-date&gt;&lt;ref-type name="Journal Article"&gt;17&lt;/ref-type&gt;&lt;rec-number&gt;237&lt;/rec-number&gt;&lt;last-updated-date format="utc"&gt;1502189056&lt;/last-updated-date&gt;&lt;accession-num&gt;1652174&lt;/accession-num&gt;&lt;volume&gt;154&lt;/volume&gt;&lt;/record&gt;&lt;/Cite&gt;&lt;/EndNote&gt;</w:instrText>
      </w:r>
      <w:r w:rsidR="005A4789">
        <w:rPr>
          <w:rFonts w:asciiTheme="majorHAnsi" w:hAnsiTheme="majorHAnsi"/>
        </w:rPr>
        <w:fldChar w:fldCharType="separate"/>
      </w:r>
      <w:r w:rsidR="005A4789">
        <w:rPr>
          <w:rFonts w:asciiTheme="majorHAnsi" w:hAnsiTheme="majorHAnsi"/>
          <w:noProof/>
        </w:rPr>
        <w:t>(Ahnen, 1991)</w:t>
      </w:r>
      <w:r w:rsidR="005A4789">
        <w:rPr>
          <w:rFonts w:asciiTheme="majorHAnsi" w:hAnsiTheme="majorHAnsi"/>
        </w:rPr>
        <w:fldChar w:fldCharType="end"/>
      </w:r>
      <w:r w:rsidRPr="00653DB3">
        <w:rPr>
          <w:rFonts w:asciiTheme="majorHAnsi" w:hAnsiTheme="majorHAnsi"/>
        </w:rPr>
        <w:t xml:space="preserve">. </w:t>
      </w:r>
    </w:p>
    <w:p w14:paraId="1ED77B8B" w14:textId="77777777" w:rsidR="00653DB3" w:rsidRDefault="00653DB3" w:rsidP="003D7110">
      <w:pPr>
        <w:spacing w:line="360" w:lineRule="auto"/>
        <w:jc w:val="both"/>
        <w:rPr>
          <w:rFonts w:asciiTheme="majorHAnsi" w:hAnsiTheme="majorHAnsi"/>
        </w:rPr>
      </w:pPr>
    </w:p>
    <w:p w14:paraId="4BAB444F" w14:textId="3E8F4468" w:rsidR="005A4789" w:rsidRDefault="002A1305" w:rsidP="003D7110">
      <w:pPr>
        <w:spacing w:line="360" w:lineRule="auto"/>
        <w:jc w:val="both"/>
        <w:rPr>
          <w:rFonts w:asciiTheme="majorHAnsi" w:hAnsiTheme="majorHAnsi"/>
        </w:rPr>
      </w:pPr>
      <w:r w:rsidRPr="00653DB3">
        <w:rPr>
          <w:rFonts w:asciiTheme="majorHAnsi" w:hAnsiTheme="majorHAnsi"/>
        </w:rPr>
        <w:t xml:space="preserve">Although </w:t>
      </w:r>
      <w:r w:rsidRPr="00711DF8">
        <w:rPr>
          <w:rFonts w:asciiTheme="majorHAnsi" w:hAnsiTheme="majorHAnsi"/>
          <w:i/>
        </w:rPr>
        <w:t>RAS</w:t>
      </w:r>
      <w:r w:rsidRPr="00653DB3">
        <w:rPr>
          <w:rFonts w:asciiTheme="majorHAnsi" w:hAnsiTheme="majorHAnsi"/>
        </w:rPr>
        <w:t xml:space="preserve"> mutations play a major role in tumourigenesis</w:t>
      </w:r>
      <w:r>
        <w:rPr>
          <w:rFonts w:asciiTheme="majorHAnsi" w:hAnsiTheme="majorHAnsi"/>
        </w:rPr>
        <w:t xml:space="preserve">, approximately half of </w:t>
      </w:r>
      <w:r w:rsidR="009D3EC2">
        <w:rPr>
          <w:rFonts w:asciiTheme="majorHAnsi" w:hAnsiTheme="majorHAnsi"/>
        </w:rPr>
        <w:t>colorectal</w:t>
      </w:r>
      <w:r>
        <w:rPr>
          <w:rFonts w:asciiTheme="majorHAnsi" w:hAnsiTheme="majorHAnsi"/>
        </w:rPr>
        <w:t xml:space="preserve"> tumours do not contain </w:t>
      </w:r>
      <w:r w:rsidRPr="00711DF8">
        <w:rPr>
          <w:rFonts w:asciiTheme="majorHAnsi" w:hAnsiTheme="majorHAnsi"/>
          <w:i/>
        </w:rPr>
        <w:t>RAS</w:t>
      </w:r>
      <w:r>
        <w:rPr>
          <w:rFonts w:asciiTheme="majorHAnsi" w:hAnsiTheme="majorHAnsi"/>
        </w:rPr>
        <w:t xml:space="preserve"> m</w:t>
      </w:r>
      <w:r w:rsidR="009D3EC2">
        <w:rPr>
          <w:rFonts w:asciiTheme="majorHAnsi" w:hAnsiTheme="majorHAnsi"/>
        </w:rPr>
        <w:t>utations, suggesting that o</w:t>
      </w:r>
      <w:r w:rsidRPr="00653DB3">
        <w:rPr>
          <w:rFonts w:asciiTheme="majorHAnsi" w:hAnsiTheme="majorHAnsi"/>
        </w:rPr>
        <w:t xml:space="preserve">ther </w:t>
      </w:r>
      <w:r w:rsidR="005A4789">
        <w:rPr>
          <w:rFonts w:asciiTheme="majorHAnsi" w:hAnsiTheme="majorHAnsi"/>
        </w:rPr>
        <w:t>genetic events</w:t>
      </w:r>
      <w:r w:rsidR="00382435">
        <w:rPr>
          <w:rFonts w:asciiTheme="majorHAnsi" w:hAnsiTheme="majorHAnsi"/>
        </w:rPr>
        <w:t xml:space="preserve"> occur</w:t>
      </w:r>
      <w:r w:rsidR="005A4789">
        <w:rPr>
          <w:rFonts w:asciiTheme="majorHAnsi" w:hAnsiTheme="majorHAnsi"/>
        </w:rPr>
        <w:t xml:space="preserve"> </w:t>
      </w:r>
      <w:r w:rsidR="009D3EC2">
        <w:rPr>
          <w:rFonts w:asciiTheme="majorHAnsi" w:hAnsiTheme="majorHAnsi"/>
        </w:rPr>
        <w:t>that promote</w:t>
      </w:r>
      <w:r w:rsidR="005A4789">
        <w:rPr>
          <w:rFonts w:asciiTheme="majorHAnsi" w:hAnsiTheme="majorHAnsi"/>
        </w:rPr>
        <w:t xml:space="preserve"> colonic carcinogenesis</w:t>
      </w:r>
      <w:r w:rsidRPr="00653DB3">
        <w:rPr>
          <w:rFonts w:asciiTheme="majorHAnsi" w:hAnsiTheme="majorHAnsi"/>
        </w:rPr>
        <w:t xml:space="preserve">. </w:t>
      </w:r>
      <w:r w:rsidR="005A4789">
        <w:rPr>
          <w:rFonts w:asciiTheme="majorHAnsi" w:hAnsiTheme="majorHAnsi"/>
        </w:rPr>
        <w:t xml:space="preserve">It has been found however that </w:t>
      </w:r>
      <w:r w:rsidR="005A4789" w:rsidRPr="006E43F8">
        <w:rPr>
          <w:rFonts w:asciiTheme="majorHAnsi" w:hAnsiTheme="majorHAnsi"/>
          <w:i/>
        </w:rPr>
        <w:t>RAS</w:t>
      </w:r>
      <w:r w:rsidR="005A4789">
        <w:rPr>
          <w:rFonts w:asciiTheme="majorHAnsi" w:hAnsiTheme="majorHAnsi"/>
        </w:rPr>
        <w:t xml:space="preserve"> mutations are prevalent in pre-malignant adenomas as well as colorectal tumours </w:t>
      </w:r>
      <w:r w:rsidR="009145FE">
        <w:rPr>
          <w:rFonts w:asciiTheme="majorHAnsi" w:hAnsiTheme="majorHAnsi"/>
        </w:rPr>
        <w:fldChar w:fldCharType="begin"/>
      </w:r>
      <w:r w:rsidR="009145FE">
        <w:rPr>
          <w:rFonts w:asciiTheme="majorHAnsi" w:hAnsiTheme="majorHAnsi"/>
        </w:rPr>
        <w:instrText xml:space="preserve"> ADDIN EN.CITE &lt;EndNote&gt;&lt;Cite&gt;&lt;Author&gt;Spandidos&lt;/Author&gt;&lt;Year&gt;1984&lt;/Year&gt;&lt;IDText&gt;Elevated expression of the human ras oncogene family in premalignant and malignant tumours of the colorectum&lt;/IDText&gt;&lt;DisplayText&gt;(Spandidos and Kerr, 1984)&lt;/DisplayText&gt;&lt;record&gt;&lt;dates&gt;&lt;pub-dates&gt;&lt;date&gt;Jun&lt;/date&gt;&lt;/pub-dates&gt;&lt;year&gt;1984&lt;/year&gt;&lt;/dates&gt;&lt;keywords&gt;&lt;keyword&gt;Cell Line&lt;/keyword&gt;&lt;keyword&gt;Colon&lt;/keyword&gt;&lt;keyword&gt;Colonic Neoplasms&lt;/keyword&gt;&lt;keyword&gt;Gene Expression Regulation&lt;/keyword&gt;&lt;keyword&gt;Humans&lt;/keyword&gt;&lt;keyword&gt;Intestinal Mucosa&lt;/keyword&gt;&lt;keyword&gt;Nucleic Acid Hybridization&lt;/keyword&gt;&lt;keyword&gt;Oncogenes&lt;/keyword&gt;&lt;keyword&gt;Precancerous Conditions&lt;/keyword&gt;&lt;keyword&gt;RNA, Neoplasm&lt;/keyword&gt;&lt;keyword&gt;Rectal Neoplasms&lt;/keyword&gt;&lt;keyword&gt;Rectum&lt;/keyword&gt;&lt;/keywords&gt;&lt;urls&gt;&lt;related-urls&gt;&lt;url&gt;https://www.ncbi.nlm.nih.gov/pubmed/6733017&lt;/url&gt;&lt;/related-urls&gt;&lt;/urls&gt;&lt;isbn&gt;0007-0920&lt;/isbn&gt;&lt;custom2&gt;PMC1976851&lt;/custom2&gt;&lt;titles&gt;&lt;title&gt;Elevated expression of the human ras oncogene family in premalignant and malignant tumours of the colorectum&lt;/title&gt;&lt;secondary-title&gt;Br J Cancer&lt;/secondary-title&gt;&lt;/titles&gt;&lt;pages&gt;681-8&lt;/pages&gt;&lt;number&gt;6&lt;/number&gt;&lt;contributors&gt;&lt;authors&gt;&lt;author&gt;Spandidos, D. A.&lt;/author&gt;&lt;author&gt;Kerr, I. B.&lt;/author&gt;&lt;/authors&gt;&lt;/contributors&gt;&lt;language&gt;eng&lt;/language&gt;&lt;added-date format="utc"&gt;1502189475&lt;/added-date&gt;&lt;ref-type name="Journal Article"&gt;17&lt;/ref-type&gt;&lt;rec-number&gt;238&lt;/rec-number&gt;&lt;last-updated-date format="utc"&gt;1502189475&lt;/last-updated-date&gt;&lt;accession-num&gt;6733017&lt;/accession-num&gt;&lt;volume&gt;49&lt;/volume&gt;&lt;/record&gt;&lt;/Cite&gt;&lt;/EndNote&gt;</w:instrText>
      </w:r>
      <w:r w:rsidR="009145FE">
        <w:rPr>
          <w:rFonts w:asciiTheme="majorHAnsi" w:hAnsiTheme="majorHAnsi"/>
        </w:rPr>
        <w:fldChar w:fldCharType="separate"/>
      </w:r>
      <w:r w:rsidR="009145FE">
        <w:rPr>
          <w:rFonts w:asciiTheme="majorHAnsi" w:hAnsiTheme="majorHAnsi"/>
          <w:noProof/>
        </w:rPr>
        <w:t>(Spandidos and Kerr, 1984)</w:t>
      </w:r>
      <w:r w:rsidR="009145FE">
        <w:rPr>
          <w:rFonts w:asciiTheme="majorHAnsi" w:hAnsiTheme="majorHAnsi"/>
        </w:rPr>
        <w:fldChar w:fldCharType="end"/>
      </w:r>
      <w:r w:rsidR="005A4789">
        <w:rPr>
          <w:rFonts w:asciiTheme="majorHAnsi" w:hAnsiTheme="majorHAnsi"/>
        </w:rPr>
        <w:t>, and although</w:t>
      </w:r>
      <w:r w:rsidR="005A4789" w:rsidRPr="005A4789">
        <w:rPr>
          <w:rFonts w:asciiTheme="majorHAnsi" w:hAnsiTheme="majorHAnsi"/>
        </w:rPr>
        <w:t xml:space="preserve"> </w:t>
      </w:r>
      <w:r w:rsidR="005A4789">
        <w:rPr>
          <w:rFonts w:asciiTheme="majorHAnsi" w:hAnsiTheme="majorHAnsi"/>
        </w:rPr>
        <w:t xml:space="preserve">one study showed that the size of the adenomas did not correlate to whether they had </w:t>
      </w:r>
      <w:r w:rsidR="005A4789" w:rsidRPr="006E43F8">
        <w:rPr>
          <w:rFonts w:asciiTheme="majorHAnsi" w:hAnsiTheme="majorHAnsi"/>
          <w:i/>
        </w:rPr>
        <w:t>RAS</w:t>
      </w:r>
      <w:r w:rsidR="005A4789">
        <w:rPr>
          <w:rFonts w:asciiTheme="majorHAnsi" w:hAnsiTheme="majorHAnsi"/>
        </w:rPr>
        <w:t xml:space="preserve"> mutations or not </w:t>
      </w:r>
      <w:r w:rsidR="005A4789">
        <w:rPr>
          <w:rFonts w:asciiTheme="majorHAnsi" w:hAnsiTheme="majorHAnsi"/>
        </w:rPr>
        <w:fldChar w:fldCharType="begin"/>
      </w:r>
      <w:r w:rsidR="005A4789">
        <w:rPr>
          <w:rFonts w:asciiTheme="majorHAnsi" w:hAnsiTheme="majorHAnsi"/>
        </w:rPr>
        <w:instrText xml:space="preserve"> ADDIN EN.CITE &lt;EndNote&gt;&lt;Cite&gt;&lt;Author&gt;McLellan&lt;/Author&gt;&lt;Year&gt;1993&lt;/Year&gt;&lt;IDText&gt;High frequency of K-ras mutations in sporadic colorectal adenomas&lt;/IDText&gt;&lt;DisplayText&gt;(McLellan et al., 1993)&lt;/DisplayText&gt;&lt;record&gt;&lt;dates&gt;&lt;pub-dates&gt;&lt;date&gt;Mar&lt;/date&gt;&lt;/pub-dates&gt;&lt;year&gt;1993&lt;/year&gt;&lt;/dates&gt;&lt;keywords&gt;&lt;keyword&gt;Adenoma&lt;/keyword&gt;&lt;keyword&gt;Adult&lt;/keyword&gt;&lt;keyword&gt;Aged&lt;/keyword&gt;&lt;keyword&gt;Aged, 80 and over&lt;/keyword&gt;&lt;keyword&gt;Base Sequence&lt;/keyword&gt;&lt;keyword&gt;Colorectal Neoplasms&lt;/keyword&gt;&lt;keyword&gt;DNA Mutational Analysis&lt;/keyword&gt;&lt;keyword&gt;Female&lt;/keyword&gt;&lt;keyword&gt;Gene Amplification&lt;/keyword&gt;&lt;keyword&gt;Genes, ras&lt;/keyword&gt;&lt;keyword&gt;Humans&lt;/keyword&gt;&lt;keyword&gt;Male&lt;/keyword&gt;&lt;keyword&gt;Middle Aged&lt;/keyword&gt;&lt;keyword&gt;Molecular Sequence Data&lt;/keyword&gt;&lt;keyword&gt;Mutation&lt;/keyword&gt;&lt;/keywords&gt;&lt;urls&gt;&lt;related-urls&gt;&lt;url&gt;https://www.ncbi.nlm.nih.gov/pubmed/8472989&lt;/url&gt;&lt;/related-urls&gt;&lt;/urls&gt;&lt;isbn&gt;0017-5749&lt;/isbn&gt;&lt;custom2&gt;PMC1374148&lt;/custom2&gt;&lt;titles&gt;&lt;title&gt;High frequency of K-ras mutations in sporadic colorectal adenomas&lt;/title&gt;&lt;secondary-title&gt;Gut&lt;/secondary-title&gt;&lt;/titles&gt;&lt;pages&gt;392-6&lt;/pages&gt;&lt;number&gt;3&lt;/number&gt;&lt;contributors&gt;&lt;authors&gt;&lt;author&gt;McLellan, E. A.&lt;/author&gt;&lt;author&gt;Owen, R. A.&lt;/author&gt;&lt;author&gt;Stepniewska, K. A.&lt;/author&gt;&lt;author&gt;Sheffield, J. P.&lt;/author&gt;&lt;author&gt;Lemoine, N. R.&lt;/author&gt;&lt;/authors&gt;&lt;/contributors&gt;&lt;language&gt;eng&lt;/language&gt;&lt;added-date format="utc"&gt;1502118815&lt;/added-date&gt;&lt;ref-type name="Journal Article"&gt;17&lt;/ref-type&gt;&lt;rec-number&gt;232&lt;/rec-number&gt;&lt;last-updated-date format="utc"&gt;1502118815&lt;/last-updated-date&gt;&lt;accession-num&gt;8472989&lt;/accession-num&gt;&lt;volume&gt;34&lt;/volume&gt;&lt;/record&gt;&lt;/Cite&gt;&lt;/EndNote&gt;</w:instrText>
      </w:r>
      <w:r w:rsidR="005A4789">
        <w:rPr>
          <w:rFonts w:asciiTheme="majorHAnsi" w:hAnsiTheme="majorHAnsi"/>
        </w:rPr>
        <w:fldChar w:fldCharType="separate"/>
      </w:r>
      <w:r w:rsidR="005A4789">
        <w:rPr>
          <w:rFonts w:asciiTheme="majorHAnsi" w:hAnsiTheme="majorHAnsi"/>
          <w:noProof/>
        </w:rPr>
        <w:t>(McLellan et al., 1993)</w:t>
      </w:r>
      <w:r w:rsidR="005A4789">
        <w:rPr>
          <w:rFonts w:asciiTheme="majorHAnsi" w:hAnsiTheme="majorHAnsi"/>
        </w:rPr>
        <w:fldChar w:fldCharType="end"/>
      </w:r>
      <w:r w:rsidR="005A4789">
        <w:rPr>
          <w:rFonts w:asciiTheme="majorHAnsi" w:hAnsiTheme="majorHAnsi"/>
        </w:rPr>
        <w:t xml:space="preserve">, it does suggest that </w:t>
      </w:r>
      <w:r w:rsidR="005A4789" w:rsidRPr="00711DF8">
        <w:rPr>
          <w:rFonts w:asciiTheme="majorHAnsi" w:hAnsiTheme="majorHAnsi"/>
          <w:i/>
        </w:rPr>
        <w:t>RAS</w:t>
      </w:r>
      <w:r w:rsidR="005A4789">
        <w:rPr>
          <w:rFonts w:asciiTheme="majorHAnsi" w:hAnsiTheme="majorHAnsi"/>
        </w:rPr>
        <w:t xml:space="preserve"> mutations are an early activating event in colon cancer progression. This is consistent with Vogelstein’s multi-step model in which one genomic instability event isn’t sufficient to push the cells towards malignancy, there has to be several gene mutations</w:t>
      </w:r>
      <w:r w:rsidR="009D3EC2">
        <w:rPr>
          <w:rFonts w:asciiTheme="majorHAnsi" w:hAnsiTheme="majorHAnsi"/>
        </w:rPr>
        <w:t xml:space="preserve"> </w:t>
      </w:r>
      <w:r w:rsidR="009D3EC2">
        <w:rPr>
          <w:rFonts w:asciiTheme="majorHAnsi" w:hAnsiTheme="majorHAnsi"/>
        </w:rPr>
        <w:fldChar w:fldCharType="begin"/>
      </w:r>
      <w:r w:rsidR="009D3EC2">
        <w:rPr>
          <w:rFonts w:asciiTheme="majorHAnsi" w:hAnsiTheme="majorHAnsi"/>
        </w:rPr>
        <w:instrText xml:space="preserve"> ADDIN EN.CITE &lt;EndNote&gt;&lt;Cite&gt;&lt;Author&gt;Fearon&lt;/Author&gt;&lt;Year&gt;1990&lt;/Year&gt;&lt;IDText&gt;A genetic model for colorectal tumorigenesis&lt;/IDText&gt;&lt;DisplayText&gt;(Fearon and Vogelstein, 1990)&lt;/DisplayText&gt;&lt;record&gt;&lt;dates&gt;&lt;pub-dates&gt;&lt;date&gt;Jun&lt;/date&gt;&lt;/pub-dates&gt;&lt;year&gt;1990&lt;/year&gt;&lt;/dates&gt;&lt;keywords&gt;&lt;keyword&gt;Alleles&lt;/keyword&gt;&lt;keyword&gt;Chromosome Deletion&lt;/keyword&gt;&lt;keyword&gt;Colorectal Neoplasms&lt;/keyword&gt;&lt;keyword&gt;Heterozygote&lt;/keyword&gt;&lt;keyword&gt;Humans&lt;/keyword&gt;&lt;keyword&gt;Models, Genetic&lt;/keyword&gt;&lt;keyword&gt;Mutation&lt;/keyword&gt;&lt;keyword&gt;Oncogenes&lt;/keyword&gt;&lt;keyword&gt;Suppression, Genetic&lt;/keyword&gt;&lt;/keywords&gt;&lt;urls&gt;&lt;related-urls&gt;&lt;url&gt;http://www.ncbi.nlm.nih.gov/pubmed/2188735&lt;/url&gt;&lt;/related-urls&gt;&lt;/urls&gt;&lt;isbn&gt;0092-8674&lt;/isbn&gt;&lt;titles&gt;&lt;title&gt;A genetic model for colorectal tumorigenesis&lt;/title&gt;&lt;secondary-title&gt;Cell&lt;/secondary-title&gt;&lt;/titles&gt;&lt;pages&gt;759-67&lt;/pages&gt;&lt;number&gt;5&lt;/number&gt;&lt;contributors&gt;&lt;authors&gt;&lt;author&gt;Fearon, E. R.&lt;/author&gt;&lt;author&gt;Vogelstein, B.&lt;/author&gt;&lt;/authors&gt;&lt;/contributors&gt;&lt;language&gt;eng&lt;/language&gt;&lt;added-date format="utc"&gt;1425981548&lt;/added-date&gt;&lt;ref-type name="Journal Article"&gt;17&lt;/ref-type&gt;&lt;rec-number&gt;33&lt;/rec-number&gt;&lt;last-updated-date format="utc"&gt;1447344549&lt;/last-updated-date&gt;&lt;accession-num&gt;2188735&lt;/accession-num&gt;&lt;volume&gt;61&lt;/volume&gt;&lt;/record&gt;&lt;/Cite&gt;&lt;/EndNote&gt;</w:instrText>
      </w:r>
      <w:r w:rsidR="009D3EC2">
        <w:rPr>
          <w:rFonts w:asciiTheme="majorHAnsi" w:hAnsiTheme="majorHAnsi"/>
        </w:rPr>
        <w:fldChar w:fldCharType="separate"/>
      </w:r>
      <w:r w:rsidR="009D3EC2">
        <w:rPr>
          <w:rFonts w:asciiTheme="majorHAnsi" w:hAnsiTheme="majorHAnsi"/>
          <w:noProof/>
        </w:rPr>
        <w:t>(Fearon and Vogelstein, 1990)</w:t>
      </w:r>
      <w:r w:rsidR="009D3EC2">
        <w:rPr>
          <w:rFonts w:asciiTheme="majorHAnsi" w:hAnsiTheme="majorHAnsi"/>
        </w:rPr>
        <w:fldChar w:fldCharType="end"/>
      </w:r>
      <w:r w:rsidR="005A4789">
        <w:rPr>
          <w:rFonts w:asciiTheme="majorHAnsi" w:hAnsiTheme="majorHAnsi"/>
        </w:rPr>
        <w:t xml:space="preserve">. </w:t>
      </w:r>
    </w:p>
    <w:p w14:paraId="59C29A8E" w14:textId="77777777" w:rsidR="00230323" w:rsidRPr="00653DB3" w:rsidRDefault="00230323" w:rsidP="003D7110">
      <w:pPr>
        <w:spacing w:line="360" w:lineRule="auto"/>
        <w:jc w:val="both"/>
        <w:rPr>
          <w:rFonts w:asciiTheme="majorHAnsi" w:hAnsiTheme="majorHAnsi"/>
        </w:rPr>
      </w:pPr>
    </w:p>
    <w:p w14:paraId="19B01EAB" w14:textId="01E9C123" w:rsidR="009145FE" w:rsidRDefault="00230323" w:rsidP="003D7110">
      <w:pPr>
        <w:spacing w:line="360" w:lineRule="auto"/>
        <w:jc w:val="both"/>
        <w:rPr>
          <w:rFonts w:asciiTheme="majorHAnsi" w:hAnsiTheme="majorHAnsi"/>
        </w:rPr>
      </w:pPr>
      <w:r w:rsidRPr="006E43F8">
        <w:rPr>
          <w:rFonts w:asciiTheme="majorHAnsi" w:hAnsiTheme="majorHAnsi"/>
          <w:i/>
        </w:rPr>
        <w:t>RAS</w:t>
      </w:r>
      <w:r w:rsidRPr="00653DB3">
        <w:rPr>
          <w:rFonts w:asciiTheme="majorHAnsi" w:hAnsiTheme="majorHAnsi"/>
        </w:rPr>
        <w:t xml:space="preserve"> mutational screening is the only approved </w:t>
      </w:r>
      <w:r w:rsidR="00FE1FFB">
        <w:rPr>
          <w:rFonts w:asciiTheme="majorHAnsi" w:hAnsiTheme="majorHAnsi"/>
        </w:rPr>
        <w:t>geneti</w:t>
      </w:r>
      <w:r w:rsidR="00970748">
        <w:rPr>
          <w:rFonts w:asciiTheme="majorHAnsi" w:hAnsiTheme="majorHAnsi"/>
        </w:rPr>
        <w:t xml:space="preserve">c test </w:t>
      </w:r>
      <w:r w:rsidRPr="00653DB3">
        <w:rPr>
          <w:rFonts w:asciiTheme="majorHAnsi" w:hAnsiTheme="majorHAnsi"/>
        </w:rPr>
        <w:t>when deciding whether patients should receive novel monoclonal antibody therapy in the for</w:t>
      </w:r>
      <w:r w:rsidR="006E43F8">
        <w:rPr>
          <w:rFonts w:asciiTheme="majorHAnsi" w:hAnsiTheme="majorHAnsi"/>
        </w:rPr>
        <w:t xml:space="preserve">m of </w:t>
      </w:r>
      <w:r w:rsidR="0073779E">
        <w:rPr>
          <w:rFonts w:asciiTheme="majorHAnsi" w:hAnsiTheme="majorHAnsi"/>
        </w:rPr>
        <w:t xml:space="preserve">EGFR </w:t>
      </w:r>
      <w:r w:rsidR="006E43F8">
        <w:rPr>
          <w:rFonts w:asciiTheme="majorHAnsi" w:hAnsiTheme="majorHAnsi"/>
        </w:rPr>
        <w:t xml:space="preserve">inhibitor </w:t>
      </w:r>
      <w:r w:rsidR="0073779E">
        <w:rPr>
          <w:rFonts w:asciiTheme="majorHAnsi" w:hAnsiTheme="majorHAnsi"/>
        </w:rPr>
        <w:t>drugs like cetuxi</w:t>
      </w:r>
      <w:r w:rsidRPr="00653DB3">
        <w:rPr>
          <w:rFonts w:asciiTheme="majorHAnsi" w:hAnsiTheme="majorHAnsi"/>
        </w:rPr>
        <w:t>mab</w:t>
      </w:r>
      <w:r w:rsidR="006E43F8">
        <w:rPr>
          <w:rFonts w:asciiTheme="majorHAnsi" w:hAnsiTheme="majorHAnsi"/>
        </w:rPr>
        <w:t xml:space="preserve">. </w:t>
      </w:r>
      <w:r w:rsidR="009145FE">
        <w:rPr>
          <w:rFonts w:asciiTheme="majorHAnsi" w:hAnsiTheme="majorHAnsi"/>
        </w:rPr>
        <w:t xml:space="preserve">There have been many clinical trials published in which cetuximab has been combined with the standard FOLFIRI or FOLFOX4 therapy and the progression free survival/overall survival of the differing </w:t>
      </w:r>
      <w:r w:rsidR="009145FE" w:rsidRPr="006E43F8">
        <w:rPr>
          <w:rFonts w:asciiTheme="majorHAnsi" w:hAnsiTheme="majorHAnsi"/>
          <w:i/>
        </w:rPr>
        <w:t>RAS</w:t>
      </w:r>
      <w:r w:rsidR="009145FE">
        <w:rPr>
          <w:rFonts w:asciiTheme="majorHAnsi" w:hAnsiTheme="majorHAnsi"/>
        </w:rPr>
        <w:t xml:space="preserve"> genetic backgrounds assessed </w:t>
      </w:r>
      <w:r w:rsidR="009145FE">
        <w:rPr>
          <w:rFonts w:asciiTheme="majorHAnsi" w:hAnsiTheme="majorHAnsi"/>
        </w:rPr>
        <w:fldChar w:fldCharType="begin">
          <w:fldData xml:space="preserve">PEVuZE5vdGU+PENpdGU+PEF1dGhvcj5WYW4gQ3V0c2VtPC9BdXRob3I+PFllYXI+MjAxNTwvWWVh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</w:fldData>
        </w:fldChar>
      </w:r>
      <w:r w:rsidR="000E3497">
        <w:rPr>
          <w:rFonts w:asciiTheme="majorHAnsi" w:hAnsiTheme="majorHAnsi"/>
        </w:rPr>
        <w:instrText xml:space="preserve"> ADDIN EN.CITE </w:instrText>
      </w:r>
      <w:r w:rsidR="000E3497">
        <w:rPr>
          <w:rFonts w:asciiTheme="majorHAnsi" w:hAnsiTheme="majorHAnsi"/>
        </w:rPr>
        <w:fldChar w:fldCharType="begin">
          <w:fldData xml:space="preserve">PEVuZE5vdGU+PENpdGU+PEF1dGhvcj5WYW4gQ3V0c2VtPC9BdXRob3I+PFllYXI+MjAxNTwvWWVh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</w:fldData>
        </w:fldChar>
      </w:r>
      <w:r w:rsidR="000E3497">
        <w:rPr>
          <w:rFonts w:asciiTheme="majorHAnsi" w:hAnsiTheme="majorHAnsi"/>
        </w:rPr>
        <w:instrText xml:space="preserve"> ADDIN EN.CITE.DATA </w:instrText>
      </w:r>
      <w:r w:rsidR="000E3497">
        <w:rPr>
          <w:rFonts w:asciiTheme="majorHAnsi" w:hAnsiTheme="majorHAnsi"/>
        </w:rPr>
      </w:r>
      <w:r w:rsidR="000E3497">
        <w:rPr>
          <w:rFonts w:asciiTheme="majorHAnsi" w:hAnsiTheme="majorHAnsi"/>
        </w:rPr>
        <w:fldChar w:fldCharType="end"/>
      </w:r>
      <w:r w:rsidR="009145FE">
        <w:rPr>
          <w:rFonts w:asciiTheme="majorHAnsi" w:hAnsiTheme="majorHAnsi"/>
        </w:rPr>
      </w:r>
      <w:r w:rsidR="009145FE">
        <w:rPr>
          <w:rFonts w:asciiTheme="majorHAnsi" w:hAnsiTheme="majorHAnsi"/>
        </w:rPr>
        <w:fldChar w:fldCharType="separate"/>
      </w:r>
      <w:r w:rsidR="000E3497">
        <w:rPr>
          <w:rFonts w:asciiTheme="majorHAnsi" w:hAnsiTheme="majorHAnsi"/>
          <w:noProof/>
        </w:rPr>
        <w:t>(Van Cutsem et al., 2015, Van Cutsem et al., 2011, Bokemeyer et al., 2011)</w:t>
      </w:r>
      <w:r w:rsidR="009145FE">
        <w:rPr>
          <w:rFonts w:asciiTheme="majorHAnsi" w:hAnsiTheme="majorHAnsi"/>
        </w:rPr>
        <w:fldChar w:fldCharType="end"/>
      </w:r>
      <w:r w:rsidR="009145FE">
        <w:rPr>
          <w:rFonts w:asciiTheme="majorHAnsi" w:hAnsiTheme="majorHAnsi"/>
        </w:rPr>
        <w:t xml:space="preserve">. </w:t>
      </w:r>
      <w:r w:rsidR="000E3497">
        <w:rPr>
          <w:rFonts w:asciiTheme="majorHAnsi" w:hAnsiTheme="majorHAnsi"/>
        </w:rPr>
        <w:t xml:space="preserve">Here they have shown that patients with wild type </w:t>
      </w:r>
      <w:r w:rsidR="000E3497" w:rsidRPr="006E43F8">
        <w:rPr>
          <w:rFonts w:asciiTheme="majorHAnsi" w:hAnsiTheme="majorHAnsi"/>
        </w:rPr>
        <w:t>RAS</w:t>
      </w:r>
      <w:r w:rsidR="000E3497">
        <w:rPr>
          <w:rFonts w:asciiTheme="majorHAnsi" w:hAnsiTheme="majorHAnsi"/>
        </w:rPr>
        <w:t xml:space="preserve"> respond better to combined treatments containing cetuximab, whereas when used in patients with </w:t>
      </w:r>
      <w:r w:rsidR="000E3497" w:rsidRPr="00711DF8">
        <w:rPr>
          <w:rFonts w:asciiTheme="majorHAnsi" w:hAnsiTheme="majorHAnsi"/>
          <w:i/>
        </w:rPr>
        <w:t>RAS</w:t>
      </w:r>
      <w:r w:rsidR="000E3497">
        <w:rPr>
          <w:rFonts w:asciiTheme="majorHAnsi" w:hAnsiTheme="majorHAnsi"/>
        </w:rPr>
        <w:t xml:space="preserve"> mutations there is no effect on survival. </w:t>
      </w:r>
      <w:r w:rsidR="009D3EC2">
        <w:rPr>
          <w:rFonts w:asciiTheme="majorHAnsi" w:hAnsiTheme="majorHAnsi"/>
        </w:rPr>
        <w:t>The justification for this is</w:t>
      </w:r>
      <w:r w:rsidRPr="00653DB3">
        <w:rPr>
          <w:rFonts w:asciiTheme="majorHAnsi" w:hAnsiTheme="majorHAnsi"/>
        </w:rPr>
        <w:t xml:space="preserve"> that the mutation to </w:t>
      </w:r>
      <w:r w:rsidRPr="00711DF8">
        <w:rPr>
          <w:rFonts w:asciiTheme="majorHAnsi" w:hAnsiTheme="majorHAnsi"/>
          <w:i/>
        </w:rPr>
        <w:t>RAS</w:t>
      </w:r>
      <w:r w:rsidRPr="00653DB3">
        <w:rPr>
          <w:rFonts w:asciiTheme="majorHAnsi" w:hAnsiTheme="majorHAnsi"/>
        </w:rPr>
        <w:t xml:space="preserve"> causes a constitutively active state and therefore blo</w:t>
      </w:r>
      <w:r w:rsidR="009D3EC2">
        <w:rPr>
          <w:rFonts w:asciiTheme="majorHAnsi" w:hAnsiTheme="majorHAnsi"/>
        </w:rPr>
        <w:t>cking</w:t>
      </w:r>
      <w:r w:rsidRPr="00653DB3">
        <w:rPr>
          <w:rFonts w:asciiTheme="majorHAnsi" w:hAnsiTheme="majorHAnsi"/>
        </w:rPr>
        <w:t xml:space="preserve"> the upstream </w:t>
      </w:r>
      <w:r w:rsidR="009D3EC2" w:rsidRPr="00653DB3">
        <w:rPr>
          <w:rFonts w:asciiTheme="majorHAnsi" w:hAnsiTheme="majorHAnsi"/>
        </w:rPr>
        <w:t xml:space="preserve">receptor </w:t>
      </w:r>
      <w:r w:rsidRPr="00653DB3">
        <w:rPr>
          <w:rFonts w:asciiTheme="majorHAnsi" w:hAnsiTheme="majorHAnsi"/>
        </w:rPr>
        <w:t xml:space="preserve">is ineffective as the signalling pathway is no longer dependent on it. </w:t>
      </w:r>
      <w:r w:rsidR="00F23A04">
        <w:rPr>
          <w:rFonts w:asciiTheme="majorHAnsi" w:hAnsiTheme="majorHAnsi"/>
        </w:rPr>
        <w:t>This effect was also seen with another EGFR inhibitor- panitumumab, where patients with non-</w:t>
      </w:r>
      <w:r w:rsidR="00F23A04" w:rsidRPr="00711DF8">
        <w:rPr>
          <w:rFonts w:asciiTheme="majorHAnsi" w:hAnsiTheme="majorHAnsi"/>
          <w:i/>
        </w:rPr>
        <w:t>RAS</w:t>
      </w:r>
      <w:r w:rsidR="00F23A04">
        <w:rPr>
          <w:rFonts w:asciiTheme="majorHAnsi" w:hAnsiTheme="majorHAnsi"/>
        </w:rPr>
        <w:t xml:space="preserve"> mutated tumours had an average increase in survival of 5.8 months, but there was a lack of response </w:t>
      </w:r>
      <w:r w:rsidR="009D3EC2">
        <w:rPr>
          <w:rFonts w:asciiTheme="majorHAnsi" w:hAnsiTheme="majorHAnsi"/>
        </w:rPr>
        <w:t>in</w:t>
      </w:r>
      <w:r w:rsidR="00F23A04">
        <w:rPr>
          <w:rFonts w:asciiTheme="majorHAnsi" w:hAnsiTheme="majorHAnsi"/>
        </w:rPr>
        <w:t xml:space="preserve"> mutated </w:t>
      </w:r>
      <w:r w:rsidR="00F23A04" w:rsidRPr="0053111C">
        <w:rPr>
          <w:rFonts w:asciiTheme="majorHAnsi" w:hAnsiTheme="majorHAnsi"/>
          <w:i/>
        </w:rPr>
        <w:t>RAS</w:t>
      </w:r>
      <w:r w:rsidR="00F23A04">
        <w:rPr>
          <w:rFonts w:asciiTheme="majorHAnsi" w:hAnsiTheme="majorHAnsi"/>
        </w:rPr>
        <w:t xml:space="preserve"> tumours </w:t>
      </w:r>
      <w:r w:rsidR="00F23A04">
        <w:rPr>
          <w:rFonts w:asciiTheme="majorHAnsi" w:hAnsiTheme="majorHAnsi"/>
        </w:rPr>
        <w:fldChar w:fldCharType="begin">
          <w:fldData xml:space="preserve">PEVuZE5vdGU+PENpdGU+PEF1dGhvcj5Eb3VpbGxhcmQ8L0F1dGhvcj48WWVhcj4yMDEzPC9ZZWFy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</w:fldData>
        </w:fldChar>
      </w:r>
      <w:r w:rsidR="00F23A04">
        <w:rPr>
          <w:rFonts w:asciiTheme="majorHAnsi" w:hAnsiTheme="majorHAnsi"/>
        </w:rPr>
        <w:instrText xml:space="preserve"> ADDIN EN.CITE </w:instrText>
      </w:r>
      <w:r w:rsidR="00F23A04">
        <w:rPr>
          <w:rFonts w:asciiTheme="majorHAnsi" w:hAnsiTheme="majorHAnsi"/>
        </w:rPr>
        <w:fldChar w:fldCharType="begin">
          <w:fldData xml:space="preserve">PEVuZE5vdGU+PENpdGU+PEF1dGhvcj5Eb3VpbGxhcmQ8L0F1dGhvcj48WWVhcj4yMDEzPC9ZZWFy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</w:fldData>
        </w:fldChar>
      </w:r>
      <w:r w:rsidR="00F23A04">
        <w:rPr>
          <w:rFonts w:asciiTheme="majorHAnsi" w:hAnsiTheme="majorHAnsi"/>
        </w:rPr>
        <w:instrText xml:space="preserve"> ADDIN EN.CITE.DATA </w:instrText>
      </w:r>
      <w:r w:rsidR="00F23A04">
        <w:rPr>
          <w:rFonts w:asciiTheme="majorHAnsi" w:hAnsiTheme="majorHAnsi"/>
        </w:rPr>
      </w:r>
      <w:r w:rsidR="00F23A04">
        <w:rPr>
          <w:rFonts w:asciiTheme="majorHAnsi" w:hAnsiTheme="majorHAnsi"/>
        </w:rPr>
        <w:fldChar w:fldCharType="end"/>
      </w:r>
      <w:r w:rsidR="00F23A04">
        <w:rPr>
          <w:rFonts w:asciiTheme="majorHAnsi" w:hAnsiTheme="majorHAnsi"/>
        </w:rPr>
      </w:r>
      <w:r w:rsidR="00F23A04">
        <w:rPr>
          <w:rFonts w:asciiTheme="majorHAnsi" w:hAnsiTheme="majorHAnsi"/>
        </w:rPr>
        <w:fldChar w:fldCharType="separate"/>
      </w:r>
      <w:r w:rsidR="00F23A04">
        <w:rPr>
          <w:rFonts w:asciiTheme="majorHAnsi" w:hAnsiTheme="majorHAnsi"/>
          <w:noProof/>
        </w:rPr>
        <w:t>(Douillard et al., 2013)</w:t>
      </w:r>
      <w:r w:rsidR="00F23A04">
        <w:rPr>
          <w:rFonts w:asciiTheme="majorHAnsi" w:hAnsiTheme="majorHAnsi"/>
        </w:rPr>
        <w:fldChar w:fldCharType="end"/>
      </w:r>
      <w:r w:rsidR="00F23A04">
        <w:rPr>
          <w:rFonts w:asciiTheme="majorHAnsi" w:hAnsiTheme="majorHAnsi"/>
        </w:rPr>
        <w:t xml:space="preserve">. </w:t>
      </w:r>
      <w:r w:rsidRPr="00653DB3">
        <w:rPr>
          <w:rFonts w:asciiTheme="majorHAnsi" w:hAnsiTheme="majorHAnsi"/>
        </w:rPr>
        <w:t>Therefore, the therapeutic drug</w:t>
      </w:r>
      <w:r w:rsidR="00F23A04">
        <w:rPr>
          <w:rFonts w:asciiTheme="majorHAnsi" w:hAnsiTheme="majorHAnsi"/>
        </w:rPr>
        <w:t>s have</w:t>
      </w:r>
      <w:r w:rsidRPr="00653DB3">
        <w:rPr>
          <w:rFonts w:asciiTheme="majorHAnsi" w:hAnsiTheme="majorHAnsi"/>
        </w:rPr>
        <w:t xml:space="preserve"> no effect</w:t>
      </w:r>
      <w:r w:rsidR="008C6AC7">
        <w:rPr>
          <w:rFonts w:asciiTheme="majorHAnsi" w:hAnsiTheme="majorHAnsi"/>
        </w:rPr>
        <w:t xml:space="preserve"> or sometimes a detrimental effect to the patient’s health</w:t>
      </w:r>
      <w:r w:rsidRPr="00653DB3">
        <w:rPr>
          <w:rFonts w:asciiTheme="majorHAnsi" w:hAnsiTheme="majorHAnsi"/>
        </w:rPr>
        <w:t xml:space="preserve"> and the cells continue to proliferate. </w:t>
      </w:r>
      <w:r w:rsidR="000E3497">
        <w:rPr>
          <w:rFonts w:asciiTheme="majorHAnsi" w:hAnsiTheme="majorHAnsi"/>
        </w:rPr>
        <w:t>This targeted therapy approach not only reduces cost but also unnecessary toxic effects within patients</w:t>
      </w:r>
      <w:r w:rsidR="00742A19">
        <w:rPr>
          <w:rFonts w:asciiTheme="majorHAnsi" w:hAnsiTheme="majorHAnsi"/>
        </w:rPr>
        <w:t xml:space="preserve"> </w:t>
      </w:r>
      <w:r w:rsidR="00742A19">
        <w:rPr>
          <w:rFonts w:asciiTheme="majorHAnsi" w:hAnsiTheme="majorHAnsi"/>
        </w:rPr>
        <w:fldChar w:fldCharType="begin"/>
      </w:r>
      <w:r w:rsidR="00742A19">
        <w:rPr>
          <w:rFonts w:asciiTheme="majorHAnsi" w:hAnsiTheme="majorHAnsi"/>
        </w:rPr>
        <w:instrText xml:space="preserve"> ADDIN EN.CITE &lt;EndNote&gt;&lt;Cite&gt;&lt;Author&gt;Lièvre&lt;/Author&gt;&lt;Year&gt;2006&lt;/Year&gt;&lt;IDText&gt;KRAS mutation status is predictive of response to cetuximab therapy in colorectal cancer&lt;/IDText&gt;&lt;DisplayText&gt;(Lièvre et al., 2006)&lt;/DisplayText&gt;&lt;record&gt;&lt;dates&gt;&lt;pub-dates&gt;&lt;date&gt;Apr&lt;/date&gt;&lt;/pub-dates&gt;&lt;year&gt;2006&lt;/year&gt;&lt;/dates&gt;&lt;keywords&gt;&lt;keyword&gt;Adult&lt;/keyword&gt;&lt;keyword&gt;Aged&lt;/keyword&gt;&lt;keyword&gt;Antibodies, Monoclonal&lt;/keyword&gt;&lt;keyword&gt;Antibodies, Monoclonal, Humanized&lt;/keyword&gt;&lt;keyword&gt;Antineoplastic Agents&lt;/keyword&gt;&lt;keyword&gt;Cetuximab&lt;/keyword&gt;&lt;keyword&gt;Colorectal Neoplasms&lt;/keyword&gt;&lt;keyword&gt;Female&lt;/keyword&gt;&lt;keyword&gt;Gene Amplification&lt;/keyword&gt;&lt;keyword&gt;Gene Dosage&lt;/keyword&gt;&lt;keyword&gt;Genes, erbB-1&lt;/keyword&gt;&lt;keyword&gt;Genes, ras&lt;/keyword&gt;&lt;keyword&gt;Humans&lt;/keyword&gt;&lt;keyword&gt;Male&lt;/keyword&gt;&lt;keyword&gt;Middle Aged&lt;/keyword&gt;&lt;keyword&gt;Mutation&lt;/keyword&gt;&lt;keyword&gt;Predictive Value of Tests&lt;/keyword&gt;&lt;keyword&gt;Receptor, Epidermal Growth Factor&lt;/keyword&gt;&lt;/keywords&gt;&lt;urls&gt;&lt;related-urls&gt;&lt;url&gt;https://www.ncbi.nlm.nih.gov/pubmed/16618717&lt;/url&gt;&lt;/related-urls&gt;&lt;/urls&gt;&lt;isbn&gt;0008-5472&lt;/isbn&gt;&lt;titles&gt;&lt;title&gt;KRAS mutation status is predictive of response to cetuximab therapy in colorectal cancer&lt;/title&gt;&lt;secondary-title&gt;Cancer Res&lt;/secondary-title&gt;&lt;/titles&gt;&lt;pages&gt;3992-5&lt;/pages&gt;&lt;number&gt;8&lt;/number&gt;&lt;contributors&gt;&lt;authors&gt;&lt;author&gt;Lièvre, A.&lt;/author&gt;&lt;author&gt;Bachet, J. B.&lt;/author&gt;&lt;author&gt;Le Corre, D.&lt;/author&gt;&lt;author&gt;Boige, V.&lt;/author&gt;&lt;author&gt;Landi, B.&lt;/author&gt;&lt;author&gt;Emile, J. F.&lt;/author&gt;&lt;author&gt;Côté, J. F.&lt;/author&gt;&lt;author&gt;Tomasic, G.&lt;/author&gt;&lt;author&gt;Penna, C.&lt;/author&gt;&lt;author&gt;Ducreux, M.&lt;/author&gt;&lt;author&gt;Rougier, P.&lt;/author&gt;&lt;author&gt;Penault-Llorca, F.&lt;/author&gt;&lt;author&gt;Laurent-Puig, P.&lt;/author&gt;&lt;/authors&gt;&lt;/contributors&gt;&lt;language&gt;eng&lt;/language&gt;&lt;added-date format="utc"&gt;1502190831&lt;/added-date&gt;&lt;ref-type name="Journal Article"&gt;17&lt;/ref-type&gt;&lt;rec-number&gt;242&lt;/rec-number&gt;&lt;last-updated-date format="utc"&gt;1502190831&lt;/last-updated-date&gt;&lt;accession-num&gt;16618717&lt;/accession-num&gt;&lt;electronic-resource-num&gt;10.1158/0008-5472.CAN-06-0191&lt;/electronic-resource-num&gt;&lt;volume&gt;66&lt;/volume&gt;&lt;/record&gt;&lt;/Cite&gt;&lt;/EndNote&gt;</w:instrText>
      </w:r>
      <w:r w:rsidR="00742A19">
        <w:rPr>
          <w:rFonts w:asciiTheme="majorHAnsi" w:hAnsiTheme="majorHAnsi"/>
        </w:rPr>
        <w:fldChar w:fldCharType="separate"/>
      </w:r>
      <w:r w:rsidR="00742A19">
        <w:rPr>
          <w:rFonts w:asciiTheme="majorHAnsi" w:hAnsiTheme="majorHAnsi"/>
          <w:noProof/>
        </w:rPr>
        <w:t>(Lièvre et al., 2006)</w:t>
      </w:r>
      <w:r w:rsidR="00742A19">
        <w:rPr>
          <w:rFonts w:asciiTheme="majorHAnsi" w:hAnsiTheme="majorHAnsi"/>
        </w:rPr>
        <w:fldChar w:fldCharType="end"/>
      </w:r>
      <w:r w:rsidR="000E3497">
        <w:rPr>
          <w:rFonts w:asciiTheme="majorHAnsi" w:hAnsiTheme="majorHAnsi"/>
        </w:rPr>
        <w:t xml:space="preserve">. </w:t>
      </w:r>
    </w:p>
    <w:p w14:paraId="14953AE0" w14:textId="77777777" w:rsidR="009145FE" w:rsidRDefault="009145FE" w:rsidP="003D7110">
      <w:pPr>
        <w:spacing w:line="360" w:lineRule="auto"/>
        <w:jc w:val="both"/>
        <w:rPr>
          <w:rFonts w:asciiTheme="majorHAnsi" w:hAnsiTheme="majorHAnsi"/>
        </w:rPr>
      </w:pPr>
    </w:p>
    <w:p w14:paraId="3C00520E" w14:textId="286666A3" w:rsidR="00230323" w:rsidRPr="00653DB3" w:rsidRDefault="008C6AC7" w:rsidP="003D7110">
      <w:pPr>
        <w:spacing w:line="360" w:lineRule="auto"/>
        <w:jc w:val="both"/>
        <w:rPr>
          <w:rFonts w:asciiTheme="majorHAnsi" w:hAnsiTheme="majorHAnsi"/>
        </w:rPr>
      </w:pPr>
      <w:r>
        <w:rPr>
          <w:rFonts w:asciiTheme="majorHAnsi" w:hAnsiTheme="majorHAnsi"/>
        </w:rPr>
        <w:t xml:space="preserve">Although this screening provides insight into treatment response, the prognostic significance of having a </w:t>
      </w:r>
      <w:r w:rsidRPr="0053111C">
        <w:rPr>
          <w:rFonts w:asciiTheme="majorHAnsi" w:hAnsiTheme="majorHAnsi"/>
          <w:i/>
        </w:rPr>
        <w:t>RAS</w:t>
      </w:r>
      <w:r>
        <w:rPr>
          <w:rFonts w:asciiTheme="majorHAnsi" w:hAnsiTheme="majorHAnsi"/>
        </w:rPr>
        <w:t xml:space="preserve"> mutation is still being investigated</w:t>
      </w:r>
      <w:r w:rsidR="00BB701C">
        <w:rPr>
          <w:rFonts w:asciiTheme="majorHAnsi" w:hAnsiTheme="majorHAnsi"/>
        </w:rPr>
        <w:t xml:space="preserve">, and current work is looking at how </w:t>
      </w:r>
      <w:r w:rsidR="00BB701C" w:rsidRPr="0053111C">
        <w:rPr>
          <w:rFonts w:asciiTheme="majorHAnsi" w:hAnsiTheme="majorHAnsi"/>
          <w:i/>
        </w:rPr>
        <w:t>RAS</w:t>
      </w:r>
      <w:r w:rsidR="00BB701C">
        <w:rPr>
          <w:rFonts w:asciiTheme="majorHAnsi" w:hAnsiTheme="majorHAnsi"/>
        </w:rPr>
        <w:t xml:space="preserve"> mutations can be utilised as a prognostic </w:t>
      </w:r>
      <w:r w:rsidR="00FE1FFB">
        <w:rPr>
          <w:rFonts w:asciiTheme="majorHAnsi" w:hAnsiTheme="majorHAnsi"/>
        </w:rPr>
        <w:t>marker</w:t>
      </w:r>
      <w:r w:rsidR="00BB701C">
        <w:rPr>
          <w:rFonts w:asciiTheme="majorHAnsi" w:hAnsiTheme="majorHAnsi"/>
        </w:rPr>
        <w:t xml:space="preserve"> in liquid serum biopsies </w:t>
      </w:r>
      <w:r w:rsidR="00181823">
        <w:rPr>
          <w:rFonts w:asciiTheme="majorHAnsi" w:hAnsiTheme="majorHAnsi"/>
        </w:rPr>
        <w:t xml:space="preserve">through use of digital droplet PCR </w:t>
      </w:r>
      <w:r w:rsidR="00BB701C">
        <w:rPr>
          <w:rFonts w:asciiTheme="majorHAnsi" w:hAnsiTheme="majorHAnsi"/>
        </w:rPr>
        <w:fldChar w:fldCharType="begin"/>
      </w:r>
      <w:r w:rsidR="00BB701C">
        <w:rPr>
          <w:rFonts w:asciiTheme="majorHAnsi" w:hAnsiTheme="majorHAnsi"/>
        </w:rPr>
        <w:instrText xml:space="preserve"> ADDIN EN.CITE &lt;EndNote&gt;&lt;Cite&gt;&lt;Author&gt;Thomsen&lt;/Author&gt;&lt;Year&gt;2017&lt;/Year&gt;&lt;IDText&gt;The prognostic value of simultaneous tumor and serum RAS/RAF mutations in localized colon cancer&lt;/IDText&gt;&lt;DisplayText&gt;(Thomsen et al., 2017)&lt;/DisplayText&gt;&lt;record&gt;&lt;dates&gt;&lt;pub-dates&gt;&lt;date&gt;May&lt;/date&gt;&lt;/pub-dates&gt;&lt;year&gt;2017&lt;/year&gt;&lt;/dates&gt;&lt;urls&gt;&lt;related-urls&gt;&lt;url&gt;https://www.ncbi.nlm.nih.gov/pubmed/28378527&lt;/url&gt;&lt;/related-urls&gt;&lt;/urls&gt;&lt;isbn&gt;2045-7634&lt;/isbn&gt;&lt;custom2&gt;PMC5430097&lt;/custom2&gt;&lt;titles&gt;&lt;title&gt;The prognostic value of simultaneous tumor and serum RAS/RAF mutations in localized colon cancer&lt;/title&gt;&lt;secondary-title&gt;Cancer Med&lt;/secondary-title&gt;&lt;/titles&gt;&lt;pages&gt;928-936&lt;/pages&gt;&lt;number&gt;5&lt;/number&gt;&lt;contributors&gt;&lt;authors&gt;&lt;author&gt;Thomsen, C. E. B.&lt;/author&gt;&lt;author&gt;Appelt, A. L.&lt;/author&gt;&lt;author&gt;Andersen, R. F.&lt;/author&gt;&lt;author&gt;Lindebjerg, J.&lt;/author&gt;&lt;author&gt;Jensen, L. H.&lt;/author&gt;&lt;author&gt;Jakobsen, A.&lt;/author&gt;&lt;/authors&gt;&lt;/contributors&gt;&lt;edition&gt;2017/04/04&lt;/edition&gt;&lt;language&gt;eng&lt;/language&gt;&lt;added-date format="utc"&gt;1502119324&lt;/added-date&gt;&lt;ref-type name="Journal Article"&gt;17&lt;/ref-type&gt;&lt;rec-number&gt;233&lt;/rec-number&gt;&lt;last-updated-date format="utc"&gt;1502119324&lt;/last-updated-date&gt;&lt;accession-num&gt;28378527&lt;/accession-num&gt;&lt;electronic-resource-num&gt;10.1002/cam4.1051&lt;/electronic-resource-num&gt;&lt;volume&gt;6&lt;/volume&gt;&lt;/record&gt;&lt;/Cite&gt;&lt;/EndNote&gt;</w:instrText>
      </w:r>
      <w:r w:rsidR="00BB701C">
        <w:rPr>
          <w:rFonts w:asciiTheme="majorHAnsi" w:hAnsiTheme="majorHAnsi"/>
        </w:rPr>
        <w:fldChar w:fldCharType="separate"/>
      </w:r>
      <w:r w:rsidR="00BB701C">
        <w:rPr>
          <w:rFonts w:asciiTheme="majorHAnsi" w:hAnsiTheme="majorHAnsi"/>
          <w:noProof/>
        </w:rPr>
        <w:t>(Thomsen et al., 2017)</w:t>
      </w:r>
      <w:r w:rsidR="00BB701C">
        <w:rPr>
          <w:rFonts w:asciiTheme="majorHAnsi" w:hAnsiTheme="majorHAnsi"/>
        </w:rPr>
        <w:fldChar w:fldCharType="end"/>
      </w:r>
      <w:r>
        <w:rPr>
          <w:rFonts w:asciiTheme="majorHAnsi" w:hAnsiTheme="majorHAnsi"/>
        </w:rPr>
        <w:t xml:space="preserve">. </w:t>
      </w:r>
      <w:r w:rsidR="00BB701C">
        <w:rPr>
          <w:rFonts w:asciiTheme="majorHAnsi" w:hAnsiTheme="majorHAnsi"/>
        </w:rPr>
        <w:t xml:space="preserve">One study looking at </w:t>
      </w:r>
      <w:r w:rsidR="00BB701C" w:rsidRPr="0053111C">
        <w:rPr>
          <w:rFonts w:asciiTheme="majorHAnsi" w:hAnsiTheme="majorHAnsi"/>
          <w:i/>
        </w:rPr>
        <w:t>KRAS</w:t>
      </w:r>
      <w:r w:rsidR="00BB701C">
        <w:rPr>
          <w:rFonts w:asciiTheme="majorHAnsi" w:hAnsiTheme="majorHAnsi"/>
        </w:rPr>
        <w:t xml:space="preserve"> mutational status and patient outcome found that the glycine to valine mutation in codon 12 did confer a poorer overall survival in stage III patients</w:t>
      </w:r>
      <w:r w:rsidR="0073779E">
        <w:rPr>
          <w:rFonts w:asciiTheme="majorHAnsi" w:hAnsiTheme="majorHAnsi"/>
        </w:rPr>
        <w:t xml:space="preserve"> </w:t>
      </w:r>
      <w:r w:rsidR="0073779E">
        <w:rPr>
          <w:rFonts w:asciiTheme="majorHAnsi" w:hAnsiTheme="majorHAnsi"/>
        </w:rPr>
        <w:fldChar w:fldCharType="begin">
          <w:fldData xml:space="preserve">PEVuZE5vdGU+PENpdGU+PEF1dGhvcj5BbmRyZXlldjwvQXV0aG9yPjxZZWFyPjIwMDE8L1llYXI+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</w:fldData>
        </w:fldChar>
      </w:r>
      <w:r w:rsidR="0073779E">
        <w:rPr>
          <w:rFonts w:asciiTheme="majorHAnsi" w:hAnsiTheme="majorHAnsi"/>
        </w:rPr>
        <w:instrText xml:space="preserve"> ADDIN EN.CITE </w:instrText>
      </w:r>
      <w:r w:rsidR="0073779E">
        <w:rPr>
          <w:rFonts w:asciiTheme="majorHAnsi" w:hAnsiTheme="majorHAnsi"/>
        </w:rPr>
        <w:fldChar w:fldCharType="begin">
          <w:fldData xml:space="preserve">PEVuZE5vdGU+PENpdGU+PEF1dGhvcj5BbmRyZXlldjwvQXV0aG9yPjxZZWFyPjIwMDE8L1llYXI+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</w:fldData>
        </w:fldChar>
      </w:r>
      <w:r w:rsidR="0073779E">
        <w:rPr>
          <w:rFonts w:asciiTheme="majorHAnsi" w:hAnsiTheme="majorHAnsi"/>
        </w:rPr>
        <w:instrText xml:space="preserve"> ADDIN EN.CITE.DATA </w:instrText>
      </w:r>
      <w:r w:rsidR="0073779E">
        <w:rPr>
          <w:rFonts w:asciiTheme="majorHAnsi" w:hAnsiTheme="majorHAnsi"/>
        </w:rPr>
      </w:r>
      <w:r w:rsidR="0073779E">
        <w:rPr>
          <w:rFonts w:asciiTheme="majorHAnsi" w:hAnsiTheme="majorHAnsi"/>
        </w:rPr>
        <w:fldChar w:fldCharType="end"/>
      </w:r>
      <w:r w:rsidR="0073779E">
        <w:rPr>
          <w:rFonts w:asciiTheme="majorHAnsi" w:hAnsiTheme="majorHAnsi"/>
        </w:rPr>
      </w:r>
      <w:r w:rsidR="0073779E">
        <w:rPr>
          <w:rFonts w:asciiTheme="majorHAnsi" w:hAnsiTheme="majorHAnsi"/>
        </w:rPr>
        <w:fldChar w:fldCharType="separate"/>
      </w:r>
      <w:r w:rsidR="0073779E">
        <w:rPr>
          <w:rFonts w:asciiTheme="majorHAnsi" w:hAnsiTheme="majorHAnsi"/>
          <w:noProof/>
        </w:rPr>
        <w:t>(Andreyev et al., 2001)</w:t>
      </w:r>
      <w:r w:rsidR="0073779E">
        <w:rPr>
          <w:rFonts w:asciiTheme="majorHAnsi" w:hAnsiTheme="majorHAnsi"/>
        </w:rPr>
        <w:fldChar w:fldCharType="end"/>
      </w:r>
      <w:r w:rsidR="00BB701C">
        <w:rPr>
          <w:rFonts w:asciiTheme="majorHAnsi" w:hAnsiTheme="majorHAnsi"/>
        </w:rPr>
        <w:t xml:space="preserve">, however a pooled analysis of three different studies showed that none of the </w:t>
      </w:r>
      <w:r w:rsidR="00BB701C" w:rsidRPr="0053111C">
        <w:rPr>
          <w:rFonts w:asciiTheme="majorHAnsi" w:hAnsiTheme="majorHAnsi"/>
          <w:i/>
        </w:rPr>
        <w:t>KRAS</w:t>
      </w:r>
      <w:r w:rsidR="00BB701C">
        <w:rPr>
          <w:rFonts w:asciiTheme="majorHAnsi" w:hAnsiTheme="majorHAnsi"/>
        </w:rPr>
        <w:t xml:space="preserve"> mutations could be a marker for disease survival in metastatic CRC</w:t>
      </w:r>
      <w:r w:rsidR="0073779E">
        <w:rPr>
          <w:rFonts w:asciiTheme="majorHAnsi" w:hAnsiTheme="majorHAnsi"/>
        </w:rPr>
        <w:t xml:space="preserve"> </w:t>
      </w:r>
      <w:r w:rsidR="0073779E">
        <w:rPr>
          <w:rFonts w:asciiTheme="majorHAnsi" w:hAnsiTheme="majorHAnsi"/>
        </w:rPr>
        <w:fldChar w:fldCharType="begin">
          <w:fldData xml:space="preserve">PEVuZE5vdGU+PENpdGU+PEF1dGhvcj5QZWV0ZXJzPC9BdXRob3I+PFllYXI+MjAxMzwvWWVhcj48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</w:fldData>
        </w:fldChar>
      </w:r>
      <w:r w:rsidR="0073779E">
        <w:rPr>
          <w:rFonts w:asciiTheme="majorHAnsi" w:hAnsiTheme="majorHAnsi"/>
        </w:rPr>
        <w:instrText xml:space="preserve"> ADDIN EN.CITE </w:instrText>
      </w:r>
      <w:r w:rsidR="0073779E">
        <w:rPr>
          <w:rFonts w:asciiTheme="majorHAnsi" w:hAnsiTheme="majorHAnsi"/>
        </w:rPr>
        <w:fldChar w:fldCharType="begin">
          <w:fldData xml:space="preserve">PEVuZE5vdGU+PENpdGU+PEF1dGhvcj5QZWV0ZXJzPC9BdXRob3I+PFllYXI+MjAxMzwvWWVhcj48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</w:fldData>
        </w:fldChar>
      </w:r>
      <w:r w:rsidR="0073779E">
        <w:rPr>
          <w:rFonts w:asciiTheme="majorHAnsi" w:hAnsiTheme="majorHAnsi"/>
        </w:rPr>
        <w:instrText xml:space="preserve"> ADDIN EN.CITE.DATA </w:instrText>
      </w:r>
      <w:r w:rsidR="0073779E">
        <w:rPr>
          <w:rFonts w:asciiTheme="majorHAnsi" w:hAnsiTheme="majorHAnsi"/>
        </w:rPr>
      </w:r>
      <w:r w:rsidR="0073779E">
        <w:rPr>
          <w:rFonts w:asciiTheme="majorHAnsi" w:hAnsiTheme="majorHAnsi"/>
        </w:rPr>
        <w:fldChar w:fldCharType="end"/>
      </w:r>
      <w:r w:rsidR="0073779E">
        <w:rPr>
          <w:rFonts w:asciiTheme="majorHAnsi" w:hAnsiTheme="majorHAnsi"/>
        </w:rPr>
      </w:r>
      <w:r w:rsidR="0073779E">
        <w:rPr>
          <w:rFonts w:asciiTheme="majorHAnsi" w:hAnsiTheme="majorHAnsi"/>
        </w:rPr>
        <w:fldChar w:fldCharType="separate"/>
      </w:r>
      <w:r w:rsidR="0073779E">
        <w:rPr>
          <w:rFonts w:asciiTheme="majorHAnsi" w:hAnsiTheme="majorHAnsi"/>
          <w:noProof/>
        </w:rPr>
        <w:t>(Peeters et al., 2013)</w:t>
      </w:r>
      <w:r w:rsidR="0073779E">
        <w:rPr>
          <w:rFonts w:asciiTheme="majorHAnsi" w:hAnsiTheme="majorHAnsi"/>
        </w:rPr>
        <w:fldChar w:fldCharType="end"/>
      </w:r>
      <w:r w:rsidR="00BB701C">
        <w:rPr>
          <w:rFonts w:asciiTheme="majorHAnsi" w:hAnsiTheme="majorHAnsi"/>
        </w:rPr>
        <w:t xml:space="preserve">. </w:t>
      </w:r>
      <w:r w:rsidR="00FE1FFB">
        <w:rPr>
          <w:rFonts w:asciiTheme="majorHAnsi" w:hAnsiTheme="majorHAnsi"/>
        </w:rPr>
        <w:t xml:space="preserve">This suggests </w:t>
      </w:r>
      <w:r w:rsidR="00BB701C">
        <w:rPr>
          <w:rFonts w:asciiTheme="majorHAnsi" w:hAnsiTheme="majorHAnsi"/>
        </w:rPr>
        <w:t xml:space="preserve">that more analysis needs to be conducted, especially concentrating on stage of disease, </w:t>
      </w:r>
      <w:r w:rsidR="00896936">
        <w:rPr>
          <w:rFonts w:asciiTheme="majorHAnsi" w:hAnsiTheme="majorHAnsi"/>
        </w:rPr>
        <w:t xml:space="preserve">treatment the patients receive </w:t>
      </w:r>
      <w:r w:rsidR="00BB701C">
        <w:rPr>
          <w:rFonts w:asciiTheme="majorHAnsi" w:hAnsiTheme="majorHAnsi"/>
        </w:rPr>
        <w:t xml:space="preserve">and type of </w:t>
      </w:r>
      <w:r w:rsidR="00BB701C" w:rsidRPr="0053111C">
        <w:rPr>
          <w:rFonts w:asciiTheme="majorHAnsi" w:hAnsiTheme="majorHAnsi"/>
          <w:i/>
        </w:rPr>
        <w:t>RAS</w:t>
      </w:r>
      <w:r w:rsidR="00BB701C">
        <w:rPr>
          <w:rFonts w:asciiTheme="majorHAnsi" w:hAnsiTheme="majorHAnsi"/>
        </w:rPr>
        <w:t xml:space="preserve"> mutation</w:t>
      </w:r>
      <w:r w:rsidR="00F23A04">
        <w:rPr>
          <w:rFonts w:asciiTheme="majorHAnsi" w:hAnsiTheme="majorHAnsi"/>
        </w:rPr>
        <w:t xml:space="preserve"> before it can become a predictive biomarker for survival</w:t>
      </w:r>
      <w:r w:rsidR="00BB701C">
        <w:rPr>
          <w:rFonts w:asciiTheme="majorHAnsi" w:hAnsiTheme="majorHAnsi"/>
        </w:rPr>
        <w:t xml:space="preserve">. </w:t>
      </w:r>
    </w:p>
    <w:p w14:paraId="7358C324" w14:textId="77777777" w:rsidR="00D840E7" w:rsidRPr="00653DB3" w:rsidRDefault="00D840E7" w:rsidP="003D7110">
      <w:pPr>
        <w:spacing w:line="360" w:lineRule="auto"/>
        <w:jc w:val="both"/>
        <w:rPr>
          <w:rFonts w:asciiTheme="majorHAnsi" w:hAnsiTheme="majorHAnsi"/>
        </w:rPr>
      </w:pPr>
    </w:p>
    <w:p w14:paraId="2E8DA0DB" w14:textId="02C4C2A3" w:rsidR="005261C8" w:rsidRDefault="00D840E7" w:rsidP="003D7110">
      <w:pPr>
        <w:spacing w:line="360" w:lineRule="auto"/>
        <w:jc w:val="both"/>
        <w:rPr>
          <w:rFonts w:asciiTheme="majorHAnsi" w:hAnsiTheme="majorHAnsi"/>
        </w:rPr>
      </w:pPr>
      <w:r w:rsidRPr="00653DB3">
        <w:rPr>
          <w:rFonts w:asciiTheme="majorHAnsi" w:hAnsiTheme="majorHAnsi"/>
        </w:rPr>
        <w:t xml:space="preserve">As </w:t>
      </w:r>
      <w:r w:rsidR="00BB701C">
        <w:rPr>
          <w:rFonts w:asciiTheme="majorHAnsi" w:hAnsiTheme="majorHAnsi"/>
        </w:rPr>
        <w:t xml:space="preserve">around </w:t>
      </w:r>
      <w:r w:rsidRPr="00653DB3">
        <w:rPr>
          <w:rFonts w:asciiTheme="majorHAnsi" w:hAnsiTheme="majorHAnsi"/>
        </w:rPr>
        <w:t xml:space="preserve">50% of colorectal tumours contain a </w:t>
      </w:r>
      <w:r w:rsidRPr="0053111C">
        <w:rPr>
          <w:rFonts w:asciiTheme="majorHAnsi" w:hAnsiTheme="majorHAnsi"/>
          <w:i/>
        </w:rPr>
        <w:t>RAS</w:t>
      </w:r>
      <w:r w:rsidRPr="00653DB3">
        <w:rPr>
          <w:rFonts w:asciiTheme="majorHAnsi" w:hAnsiTheme="majorHAnsi"/>
        </w:rPr>
        <w:t xml:space="preserve"> mutation it is an appealing gene for therapeutic targeting. However, efforts to inhibit the RAS protein has proved futile and therefore it may be more likely that targeting the downstream pathways is a better choice. </w:t>
      </w:r>
      <w:r w:rsidR="005261C8" w:rsidRPr="00653DB3">
        <w:rPr>
          <w:rFonts w:asciiTheme="majorHAnsi" w:hAnsiTheme="majorHAnsi"/>
        </w:rPr>
        <w:t xml:space="preserve">Some groups have found synthetic lethal relationships using </w:t>
      </w:r>
      <w:r w:rsidR="005261C8" w:rsidRPr="0053111C">
        <w:rPr>
          <w:rFonts w:asciiTheme="majorHAnsi" w:hAnsiTheme="majorHAnsi"/>
          <w:i/>
        </w:rPr>
        <w:t>KRAS</w:t>
      </w:r>
      <w:r w:rsidR="005261C8" w:rsidRPr="00653DB3">
        <w:rPr>
          <w:rFonts w:asciiTheme="majorHAnsi" w:hAnsiTheme="majorHAnsi"/>
        </w:rPr>
        <w:t xml:space="preserve"> mutant cells in siRNA screens.</w:t>
      </w:r>
      <w:r w:rsidR="006E43F8">
        <w:rPr>
          <w:rFonts w:asciiTheme="majorHAnsi" w:hAnsiTheme="majorHAnsi"/>
        </w:rPr>
        <w:t xml:space="preserve"> </w:t>
      </w:r>
      <w:r w:rsidR="00896936">
        <w:rPr>
          <w:rFonts w:asciiTheme="majorHAnsi" w:hAnsiTheme="majorHAnsi"/>
        </w:rPr>
        <w:t>B</w:t>
      </w:r>
      <w:r w:rsidR="00896936" w:rsidRPr="00653DB3">
        <w:rPr>
          <w:rFonts w:asciiTheme="majorHAnsi" w:hAnsiTheme="majorHAnsi"/>
        </w:rPr>
        <w:t>y measuring apoptosis levels</w:t>
      </w:r>
      <w:r w:rsidR="00896936">
        <w:rPr>
          <w:rFonts w:asciiTheme="majorHAnsi" w:hAnsiTheme="majorHAnsi"/>
        </w:rPr>
        <w:t xml:space="preserve"> </w:t>
      </w:r>
      <w:proofErr w:type="spellStart"/>
      <w:r w:rsidR="006E43F8">
        <w:rPr>
          <w:rFonts w:asciiTheme="majorHAnsi" w:hAnsiTheme="majorHAnsi"/>
        </w:rPr>
        <w:t>Steckel</w:t>
      </w:r>
      <w:proofErr w:type="spellEnd"/>
      <w:r w:rsidR="006E43F8">
        <w:rPr>
          <w:rFonts w:asciiTheme="majorHAnsi" w:hAnsiTheme="majorHAnsi"/>
        </w:rPr>
        <w:t xml:space="preserve"> et al., </w:t>
      </w:r>
      <w:r w:rsidR="006E43F8">
        <w:rPr>
          <w:rFonts w:asciiTheme="majorHAnsi" w:hAnsiTheme="majorHAnsi"/>
        </w:rPr>
        <w:fldChar w:fldCharType="begin">
          <w:fldData xml:space="preserve">PEVuZE5vdGU+PENpdGUgRXhjbHVkZUF1dGg9IjEiPjxBdXRob3I+U3RlY2tlbDwvQXV0aG9yPjxZ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</w:fldData>
        </w:fldChar>
      </w:r>
      <w:r w:rsidR="006E43F8">
        <w:rPr>
          <w:rFonts w:asciiTheme="majorHAnsi" w:hAnsiTheme="majorHAnsi"/>
        </w:rPr>
        <w:instrText xml:space="preserve"> ADDIN EN.CITE </w:instrText>
      </w:r>
      <w:r w:rsidR="006E43F8">
        <w:rPr>
          <w:rFonts w:asciiTheme="majorHAnsi" w:hAnsiTheme="majorHAnsi"/>
        </w:rPr>
        <w:fldChar w:fldCharType="begin">
          <w:fldData xml:space="preserve">PEVuZE5vdGU+PENpdGUgRXhjbHVkZUF1dGg9IjEiPjxBdXRob3I+U3RlY2tlbDwvQXV0aG9yPjxZ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</w:fldData>
        </w:fldChar>
      </w:r>
      <w:r w:rsidR="006E43F8">
        <w:rPr>
          <w:rFonts w:asciiTheme="majorHAnsi" w:hAnsiTheme="majorHAnsi"/>
        </w:rPr>
        <w:instrText xml:space="preserve"> ADDIN EN.CITE.DATA </w:instrText>
      </w:r>
      <w:r w:rsidR="006E43F8">
        <w:rPr>
          <w:rFonts w:asciiTheme="majorHAnsi" w:hAnsiTheme="majorHAnsi"/>
        </w:rPr>
      </w:r>
      <w:r w:rsidR="006E43F8">
        <w:rPr>
          <w:rFonts w:asciiTheme="majorHAnsi" w:hAnsiTheme="majorHAnsi"/>
        </w:rPr>
        <w:fldChar w:fldCharType="end"/>
      </w:r>
      <w:r w:rsidR="006E43F8">
        <w:rPr>
          <w:rFonts w:asciiTheme="majorHAnsi" w:hAnsiTheme="majorHAnsi"/>
        </w:rPr>
      </w:r>
      <w:r w:rsidR="006E43F8">
        <w:rPr>
          <w:rFonts w:asciiTheme="majorHAnsi" w:hAnsiTheme="majorHAnsi"/>
        </w:rPr>
        <w:fldChar w:fldCharType="separate"/>
      </w:r>
      <w:r w:rsidR="006E43F8">
        <w:rPr>
          <w:rFonts w:asciiTheme="majorHAnsi" w:hAnsiTheme="majorHAnsi"/>
          <w:noProof/>
        </w:rPr>
        <w:t>(2012)</w:t>
      </w:r>
      <w:r w:rsidR="006E43F8">
        <w:rPr>
          <w:rFonts w:asciiTheme="majorHAnsi" w:hAnsiTheme="majorHAnsi"/>
        </w:rPr>
        <w:fldChar w:fldCharType="end"/>
      </w:r>
      <w:r w:rsidR="00896936">
        <w:rPr>
          <w:rFonts w:asciiTheme="majorHAnsi" w:hAnsiTheme="majorHAnsi"/>
        </w:rPr>
        <w:t xml:space="preserve"> found two novel hits, </w:t>
      </w:r>
      <w:r w:rsidR="005261C8" w:rsidRPr="00653DB3">
        <w:rPr>
          <w:rFonts w:asciiTheme="majorHAnsi" w:hAnsiTheme="majorHAnsi"/>
        </w:rPr>
        <w:t xml:space="preserve">which selectively killed colorectal cancer cells with a </w:t>
      </w:r>
      <w:r w:rsidR="005261C8" w:rsidRPr="0053111C">
        <w:rPr>
          <w:rFonts w:asciiTheme="majorHAnsi" w:hAnsiTheme="majorHAnsi"/>
          <w:i/>
        </w:rPr>
        <w:t>KRAS</w:t>
      </w:r>
      <w:r w:rsidR="005261C8" w:rsidRPr="00653DB3">
        <w:rPr>
          <w:rFonts w:asciiTheme="majorHAnsi" w:hAnsiTheme="majorHAnsi"/>
        </w:rPr>
        <w:t xml:space="preserve"> mutation. These were GATA2, a transcription factor especially active in haematopoiesis</w:t>
      </w:r>
      <w:r w:rsidR="00896936">
        <w:rPr>
          <w:rFonts w:asciiTheme="majorHAnsi" w:hAnsiTheme="majorHAnsi"/>
        </w:rPr>
        <w:t>,</w:t>
      </w:r>
      <w:r w:rsidR="005261C8" w:rsidRPr="00653DB3">
        <w:rPr>
          <w:rFonts w:asciiTheme="majorHAnsi" w:hAnsiTheme="majorHAnsi"/>
        </w:rPr>
        <w:t xml:space="preserve"> and CDC6, which </w:t>
      </w:r>
      <w:proofErr w:type="gramStart"/>
      <w:r w:rsidR="005261C8" w:rsidRPr="00653DB3">
        <w:rPr>
          <w:rFonts w:asciiTheme="majorHAnsi" w:hAnsiTheme="majorHAnsi"/>
        </w:rPr>
        <w:t>regulates</w:t>
      </w:r>
      <w:proofErr w:type="gramEnd"/>
      <w:r w:rsidR="005261C8" w:rsidRPr="00653DB3">
        <w:rPr>
          <w:rFonts w:asciiTheme="majorHAnsi" w:hAnsiTheme="majorHAnsi"/>
        </w:rPr>
        <w:t xml:space="preserve"> DNA replication during G1. </w:t>
      </w:r>
      <w:r w:rsidR="005261C8">
        <w:rPr>
          <w:rFonts w:asciiTheme="majorHAnsi" w:hAnsiTheme="majorHAnsi"/>
        </w:rPr>
        <w:t xml:space="preserve">Another RNA interference screen showed that knockdown of several mitotic proteins could reduce cell viability in </w:t>
      </w:r>
      <w:r w:rsidR="005261C8" w:rsidRPr="0053111C">
        <w:rPr>
          <w:rFonts w:asciiTheme="majorHAnsi" w:hAnsiTheme="majorHAnsi"/>
          <w:i/>
        </w:rPr>
        <w:t>RAS</w:t>
      </w:r>
      <w:r w:rsidR="005261C8">
        <w:rPr>
          <w:rFonts w:asciiTheme="majorHAnsi" w:hAnsiTheme="majorHAnsi"/>
        </w:rPr>
        <w:t xml:space="preserve"> mutant cells. </w:t>
      </w:r>
      <w:r w:rsidR="00896936">
        <w:rPr>
          <w:rFonts w:asciiTheme="majorHAnsi" w:hAnsiTheme="majorHAnsi"/>
        </w:rPr>
        <w:t>B</w:t>
      </w:r>
      <w:r w:rsidR="005261C8">
        <w:rPr>
          <w:rFonts w:asciiTheme="majorHAnsi" w:hAnsiTheme="majorHAnsi"/>
        </w:rPr>
        <w:t xml:space="preserve">y utilising inhibitors to these hits the group found that they could increase mitotic stress and selectively kill </w:t>
      </w:r>
      <w:r w:rsidR="005261C8" w:rsidRPr="0053111C">
        <w:rPr>
          <w:rFonts w:asciiTheme="majorHAnsi" w:hAnsiTheme="majorHAnsi"/>
          <w:i/>
        </w:rPr>
        <w:t>RAS</w:t>
      </w:r>
      <w:r w:rsidR="005261C8">
        <w:rPr>
          <w:rFonts w:asciiTheme="majorHAnsi" w:hAnsiTheme="majorHAnsi"/>
        </w:rPr>
        <w:t xml:space="preserve"> mutant cancer cells over the wild type RAS </w:t>
      </w:r>
      <w:r w:rsidR="005261C8">
        <w:rPr>
          <w:rFonts w:asciiTheme="majorHAnsi" w:hAnsiTheme="majorHAnsi"/>
        </w:rPr>
        <w:fldChar w:fldCharType="begin"/>
      </w:r>
      <w:r w:rsidR="005261C8">
        <w:rPr>
          <w:rFonts w:asciiTheme="majorHAnsi" w:hAnsiTheme="majorHAnsi"/>
        </w:rPr>
        <w:instrText xml:space="preserve"> ADDIN EN.CITE &lt;EndNote&gt;&lt;Cite&gt;&lt;Author&gt;Luo&lt;/Author&gt;&lt;Year&gt;2009&lt;/Year&gt;&lt;IDText&gt;A genome-wide RNAi screen identifies multiple synthetic lethal interactions with the Ras oncogene&lt;/IDText&gt;&lt;DisplayText&gt;(Luo et al., 2009)&lt;/DisplayText&gt;&lt;record&gt;&lt;dates&gt;&lt;pub-dates&gt;&lt;date&gt;May&lt;/date&gt;&lt;/pub-dates&gt;&lt;year&gt;2009&lt;/year&gt;&lt;/dates&gt;&lt;keywords&gt;&lt;keyword&gt;Animals&lt;/keyword&gt;&lt;keyword&gt;Cell Cycle Proteins&lt;/keyword&gt;&lt;keyword&gt;Cell Line, Tumor&lt;/keyword&gt;&lt;keyword&gt;Colonic Neoplasms&lt;/keyword&gt;&lt;keyword&gt;Female&lt;/keyword&gt;&lt;keyword&gt;Genome, Human&lt;/keyword&gt;&lt;keyword&gt;Humans&lt;/keyword&gt;&lt;keyword&gt;Mice&lt;/keyword&gt;&lt;keyword&gt;Mice, Nude&lt;/keyword&gt;&lt;keyword&gt;Mitosis&lt;/keyword&gt;&lt;keyword&gt;Mutation&lt;/keyword&gt;&lt;keyword&gt;Neoplasm Transplantation&lt;/keyword&gt;&lt;keyword&gt;Proteasome Inhibitors&lt;/keyword&gt;&lt;keyword&gt;Protein-Serine-Threonine Kinases&lt;/keyword&gt;&lt;keyword&gt;Proto-Oncogene Proteins&lt;/keyword&gt;&lt;keyword&gt;Proto-Oncogene Proteins p21(ras)&lt;/keyword&gt;&lt;keyword&gt;RNA Interference&lt;/keyword&gt;&lt;keyword&gt;Signal Transduction&lt;/keyword&gt;&lt;keyword&gt;Transplantation, Heterologous&lt;/keyword&gt;&lt;keyword&gt;ras Proteins&lt;/keyword&gt;&lt;/keywords&gt;&lt;urls&gt;&lt;related-urls&gt;&lt;url&gt;https://www.ncbi.nlm.nih.gov/pubmed/19490893&lt;/url&gt;&lt;/related-urls&gt;&lt;/urls&gt;&lt;isbn&gt;1097-4172&lt;/isbn&gt;&lt;custom2&gt;PMC2768667&lt;/custom2&gt;&lt;titles&gt;&lt;title&gt;A genome-wide RNAi screen identifies multiple synthetic lethal interactions with the Ras oncogene&lt;/title&gt;&lt;secondary-title&gt;Cell&lt;/secondary-title&gt;&lt;/titles&gt;&lt;pages&gt;835-48&lt;/pages&gt;&lt;number&gt;5&lt;/number&gt;&lt;contributors&gt;&lt;authors&gt;&lt;author&gt;Luo, J.&lt;/author&gt;&lt;author&gt;Emanuele, M. J.&lt;/author&gt;&lt;author&gt;Li, D.&lt;/author&gt;&lt;author&gt;Creighton, C. J.&lt;/author&gt;&lt;author&gt;Schlabach, M. R.&lt;/author&gt;&lt;author&gt;Westbrook, T. F.&lt;/author&gt;&lt;author&gt;Wong, K. K.&lt;/author&gt;&lt;author&gt;Elledge, S. J.&lt;/author&gt;&lt;/authors&gt;&lt;/contributors&gt;&lt;language&gt;eng&lt;/language&gt;&lt;added-date format="utc"&gt;1502185487&lt;/added-date&gt;&lt;ref-type name="Journal Article"&gt;17&lt;/ref-type&gt;&lt;rec-number&gt;236&lt;/rec-number&gt;&lt;last-updated-date format="utc"&gt;1502185487&lt;/last-updated-date&gt;&lt;accession-num&gt;19490893&lt;/accession-num&gt;&lt;electronic-resource-num&gt;10.1016/j.cell.2009.05.006&lt;/electronic-resource-num&gt;&lt;volume&gt;137&lt;/volume&gt;&lt;/record&gt;&lt;/Cite&gt;&lt;/EndNote&gt;</w:instrText>
      </w:r>
      <w:r w:rsidR="005261C8">
        <w:rPr>
          <w:rFonts w:asciiTheme="majorHAnsi" w:hAnsiTheme="majorHAnsi"/>
        </w:rPr>
        <w:fldChar w:fldCharType="separate"/>
      </w:r>
      <w:r w:rsidR="005261C8">
        <w:rPr>
          <w:rFonts w:asciiTheme="majorHAnsi" w:hAnsiTheme="majorHAnsi"/>
          <w:noProof/>
        </w:rPr>
        <w:t>(Luo et al., 2009)</w:t>
      </w:r>
      <w:r w:rsidR="005261C8">
        <w:rPr>
          <w:rFonts w:asciiTheme="majorHAnsi" w:hAnsiTheme="majorHAnsi"/>
        </w:rPr>
        <w:fldChar w:fldCharType="end"/>
      </w:r>
      <w:r w:rsidR="00970748">
        <w:rPr>
          <w:rFonts w:asciiTheme="majorHAnsi" w:hAnsiTheme="majorHAnsi"/>
        </w:rPr>
        <w:t>. Thus it</w:t>
      </w:r>
      <w:r w:rsidR="005261C8">
        <w:rPr>
          <w:rFonts w:asciiTheme="majorHAnsi" w:hAnsiTheme="majorHAnsi"/>
        </w:rPr>
        <w:t xml:space="preserve"> may be possible to develop </w:t>
      </w:r>
      <w:r w:rsidR="00F54A17">
        <w:rPr>
          <w:rFonts w:asciiTheme="majorHAnsi" w:hAnsiTheme="majorHAnsi"/>
        </w:rPr>
        <w:t>therapies that</w:t>
      </w:r>
      <w:r w:rsidR="005261C8">
        <w:rPr>
          <w:rFonts w:asciiTheme="majorHAnsi" w:hAnsiTheme="majorHAnsi"/>
        </w:rPr>
        <w:t xml:space="preserve"> cause the oncogenic stress within the cells to become too high, producing unmanageable DNA damage and inevitably cell death. </w:t>
      </w:r>
    </w:p>
    <w:p w14:paraId="3CF50A69" w14:textId="77777777" w:rsidR="005261C8" w:rsidRDefault="005261C8" w:rsidP="003D7110">
      <w:pPr>
        <w:spacing w:line="360" w:lineRule="auto"/>
        <w:jc w:val="both"/>
        <w:rPr>
          <w:rFonts w:asciiTheme="majorHAnsi" w:hAnsiTheme="majorHAnsi"/>
        </w:rPr>
      </w:pPr>
    </w:p>
    <w:p w14:paraId="605624B4" w14:textId="59225F72" w:rsidR="00BF2097" w:rsidRPr="00653DB3" w:rsidRDefault="009D3EC2" w:rsidP="003D7110">
      <w:pPr>
        <w:spacing w:line="360" w:lineRule="auto"/>
        <w:jc w:val="both"/>
        <w:rPr>
          <w:rFonts w:asciiTheme="majorHAnsi" w:hAnsiTheme="majorHAnsi"/>
        </w:rPr>
      </w:pPr>
      <w:r>
        <w:rPr>
          <w:rFonts w:asciiTheme="majorHAnsi" w:hAnsiTheme="majorHAnsi"/>
        </w:rPr>
        <w:t xml:space="preserve">Given the high prevalence of </w:t>
      </w:r>
      <w:r w:rsidRPr="00711DF8">
        <w:rPr>
          <w:rFonts w:asciiTheme="majorHAnsi" w:hAnsiTheme="majorHAnsi"/>
          <w:i/>
        </w:rPr>
        <w:t>RAS</w:t>
      </w:r>
      <w:r>
        <w:rPr>
          <w:rFonts w:asciiTheme="majorHAnsi" w:hAnsiTheme="majorHAnsi"/>
        </w:rPr>
        <w:t xml:space="preserve"> mutations and the activation of the </w:t>
      </w:r>
      <w:r w:rsidRPr="006E43F8">
        <w:rPr>
          <w:rFonts w:asciiTheme="majorHAnsi" w:hAnsiTheme="majorHAnsi"/>
          <w:i/>
        </w:rPr>
        <w:t>RAS</w:t>
      </w:r>
      <w:r>
        <w:rPr>
          <w:rFonts w:asciiTheme="majorHAnsi" w:hAnsiTheme="majorHAnsi"/>
        </w:rPr>
        <w:t xml:space="preserve"> oncogene in colorectal cancer, t</w:t>
      </w:r>
      <w:r w:rsidR="005261C8">
        <w:rPr>
          <w:rFonts w:asciiTheme="majorHAnsi" w:hAnsiTheme="majorHAnsi"/>
        </w:rPr>
        <w:t xml:space="preserve">his next chapter explores the relationship of RAS with SRCAP and what happens to the cells when </w:t>
      </w:r>
      <w:r w:rsidR="00896936">
        <w:rPr>
          <w:rFonts w:asciiTheme="majorHAnsi" w:hAnsiTheme="majorHAnsi"/>
        </w:rPr>
        <w:t xml:space="preserve">SRCAP is knocked down in cells experiencing high </w:t>
      </w:r>
      <w:r w:rsidR="00D7549E">
        <w:rPr>
          <w:rFonts w:asciiTheme="majorHAnsi" w:hAnsiTheme="majorHAnsi"/>
        </w:rPr>
        <w:t>levels of oncogenic stress</w:t>
      </w:r>
      <w:r w:rsidR="00896936">
        <w:rPr>
          <w:rFonts w:asciiTheme="majorHAnsi" w:hAnsiTheme="majorHAnsi"/>
        </w:rPr>
        <w:t xml:space="preserve"> due to RAS over-expression</w:t>
      </w:r>
      <w:r w:rsidR="00BE0F37">
        <w:rPr>
          <w:rFonts w:asciiTheme="majorHAnsi" w:hAnsiTheme="majorHAnsi"/>
        </w:rPr>
        <w:t xml:space="preserve">. </w:t>
      </w:r>
      <w:r w:rsidR="009C6C95">
        <w:rPr>
          <w:rFonts w:asciiTheme="majorHAnsi" w:hAnsiTheme="majorHAnsi"/>
        </w:rPr>
        <w:t xml:space="preserve"> </w:t>
      </w:r>
    </w:p>
    <w:p w14:paraId="63CAE9DA" w14:textId="77777777" w:rsidR="00BF2097" w:rsidRPr="00653DB3" w:rsidRDefault="00BF2097" w:rsidP="003D7110">
      <w:pPr>
        <w:spacing w:line="360" w:lineRule="auto"/>
        <w:jc w:val="both"/>
        <w:rPr>
          <w:rFonts w:asciiTheme="majorHAnsi" w:hAnsiTheme="majorHAnsi"/>
        </w:rPr>
      </w:pPr>
    </w:p>
    <w:p w14:paraId="70148412" w14:textId="77777777" w:rsidR="006E43F8" w:rsidRDefault="006E43F8">
      <w:pPr>
        <w:rPr>
          <w:rFonts w:asciiTheme="majorHAnsi" w:hAnsiTheme="majorHAnsi"/>
          <w:sz w:val="28"/>
          <w:szCs w:val="28"/>
          <w:u w:val="single"/>
        </w:rPr>
      </w:pPr>
      <w:r>
        <w:rPr>
          <w:rFonts w:asciiTheme="majorHAnsi" w:hAnsiTheme="majorHAnsi"/>
          <w:sz w:val="28"/>
          <w:szCs w:val="28"/>
          <w:u w:val="single"/>
        </w:rPr>
        <w:br w:type="page"/>
      </w:r>
    </w:p>
    <w:p w14:paraId="30E144C8" w14:textId="2F8C1D34" w:rsidR="00D840E7" w:rsidRPr="001006BA" w:rsidRDefault="001006BA" w:rsidP="003D7110">
      <w:pPr>
        <w:spacing w:line="360" w:lineRule="auto"/>
        <w:rPr>
          <w:rFonts w:asciiTheme="majorHAnsi" w:hAnsiTheme="majorHAnsi"/>
          <w:sz w:val="28"/>
          <w:szCs w:val="28"/>
          <w:u w:val="single"/>
        </w:rPr>
      </w:pPr>
      <w:r w:rsidRPr="001006BA">
        <w:rPr>
          <w:rFonts w:asciiTheme="majorHAnsi" w:hAnsiTheme="majorHAnsi"/>
          <w:sz w:val="28"/>
          <w:szCs w:val="28"/>
          <w:u w:val="single"/>
        </w:rPr>
        <w:t>5</w:t>
      </w:r>
      <w:r w:rsidR="003D7110" w:rsidRPr="001006BA">
        <w:rPr>
          <w:rFonts w:asciiTheme="majorHAnsi" w:hAnsiTheme="majorHAnsi"/>
          <w:sz w:val="28"/>
          <w:szCs w:val="28"/>
          <w:u w:val="single"/>
        </w:rPr>
        <w:t xml:space="preserve">.2 </w:t>
      </w:r>
      <w:r w:rsidR="00DE0F03" w:rsidRPr="00DE0F03">
        <w:rPr>
          <w:rFonts w:asciiTheme="majorHAnsi" w:hAnsiTheme="majorHAnsi"/>
          <w:sz w:val="28"/>
          <w:szCs w:val="28"/>
          <w:u w:val="single"/>
        </w:rPr>
        <w:t>Induction of RAS over</w:t>
      </w:r>
      <w:r w:rsidR="00377382">
        <w:rPr>
          <w:rFonts w:asciiTheme="majorHAnsi" w:hAnsiTheme="majorHAnsi"/>
          <w:sz w:val="28"/>
          <w:szCs w:val="28"/>
          <w:u w:val="single"/>
        </w:rPr>
        <w:t>-</w:t>
      </w:r>
      <w:r w:rsidR="00DE0F03" w:rsidRPr="00DE0F03">
        <w:rPr>
          <w:rFonts w:asciiTheme="majorHAnsi" w:hAnsiTheme="majorHAnsi"/>
          <w:sz w:val="28"/>
          <w:szCs w:val="28"/>
          <w:u w:val="single"/>
        </w:rPr>
        <w:t xml:space="preserve">expression and the effect on </w:t>
      </w:r>
      <w:r w:rsidR="00DE0F03" w:rsidRPr="00B74B51">
        <w:rPr>
          <w:rFonts w:asciiTheme="majorHAnsi" w:hAnsiTheme="majorHAnsi"/>
          <w:i/>
          <w:sz w:val="28"/>
          <w:szCs w:val="28"/>
          <w:u w:val="single"/>
        </w:rPr>
        <w:t>SRCAP</w:t>
      </w:r>
      <w:r w:rsidR="00DE0F03" w:rsidRPr="00DE0F03">
        <w:rPr>
          <w:rFonts w:asciiTheme="majorHAnsi" w:hAnsiTheme="majorHAnsi"/>
          <w:sz w:val="28"/>
          <w:szCs w:val="28"/>
          <w:u w:val="single"/>
        </w:rPr>
        <w:t xml:space="preserve"> levels</w:t>
      </w:r>
    </w:p>
    <w:p w14:paraId="0BFA3DAA" w14:textId="77777777" w:rsidR="00DE0F03" w:rsidRDefault="00DE0F03" w:rsidP="003D7110">
      <w:pPr>
        <w:spacing w:line="360" w:lineRule="auto"/>
        <w:jc w:val="both"/>
        <w:rPr>
          <w:rFonts w:asciiTheme="majorHAnsi" w:hAnsiTheme="majorHAnsi"/>
          <w:sz w:val="28"/>
          <w:szCs w:val="28"/>
        </w:rPr>
      </w:pPr>
    </w:p>
    <w:p w14:paraId="4D18805A" w14:textId="7688023B" w:rsidR="00BE0F37" w:rsidRDefault="003D7110" w:rsidP="003D7110">
      <w:pPr>
        <w:spacing w:line="360" w:lineRule="auto"/>
        <w:jc w:val="both"/>
        <w:rPr>
          <w:rFonts w:asciiTheme="majorHAnsi" w:hAnsiTheme="majorHAnsi"/>
        </w:rPr>
      </w:pPr>
      <w:r>
        <w:rPr>
          <w:rFonts w:asciiTheme="majorHAnsi" w:hAnsiTheme="majorHAnsi"/>
        </w:rPr>
        <w:t xml:space="preserve">A </w:t>
      </w:r>
      <w:r w:rsidRPr="00BE0F37">
        <w:rPr>
          <w:rFonts w:asciiTheme="majorHAnsi" w:hAnsiTheme="majorHAnsi"/>
          <w:i/>
        </w:rPr>
        <w:t>RAS</w:t>
      </w:r>
      <w:r w:rsidR="00377382">
        <w:rPr>
          <w:rFonts w:asciiTheme="majorHAnsi" w:hAnsiTheme="majorHAnsi"/>
        </w:rPr>
        <w:t xml:space="preserve"> over-</w:t>
      </w:r>
      <w:r>
        <w:rPr>
          <w:rFonts w:asciiTheme="majorHAnsi" w:hAnsiTheme="majorHAnsi"/>
        </w:rPr>
        <w:t>expressing construct</w:t>
      </w:r>
      <w:r w:rsidR="00A346A5">
        <w:rPr>
          <w:rFonts w:asciiTheme="majorHAnsi" w:hAnsiTheme="majorHAnsi"/>
        </w:rPr>
        <w:t xml:space="preserve"> driven </w:t>
      </w:r>
      <w:r w:rsidR="0053111C">
        <w:rPr>
          <w:rFonts w:asciiTheme="majorHAnsi" w:hAnsiTheme="majorHAnsi"/>
        </w:rPr>
        <w:t>by a CAG promoter (see Appendix 6</w:t>
      </w:r>
      <w:r w:rsidR="00A346A5">
        <w:rPr>
          <w:rFonts w:asciiTheme="majorHAnsi" w:hAnsiTheme="majorHAnsi"/>
        </w:rPr>
        <w:t>)</w:t>
      </w:r>
      <w:r>
        <w:rPr>
          <w:rFonts w:asciiTheme="majorHAnsi" w:hAnsiTheme="majorHAnsi"/>
        </w:rPr>
        <w:t>, which was a kind gift from the Meuth lab</w:t>
      </w:r>
      <w:r w:rsidR="00970748">
        <w:rPr>
          <w:rFonts w:asciiTheme="majorHAnsi" w:hAnsiTheme="majorHAnsi"/>
        </w:rPr>
        <w:t>oratory (Sheffield Medical School)</w:t>
      </w:r>
      <w:r w:rsidR="00181823">
        <w:rPr>
          <w:rFonts w:asciiTheme="majorHAnsi" w:hAnsiTheme="majorHAnsi"/>
        </w:rPr>
        <w:t xml:space="preserve"> </w:t>
      </w:r>
      <w:r w:rsidR="00181823">
        <w:rPr>
          <w:rFonts w:asciiTheme="majorHAnsi" w:hAnsiTheme="majorHAnsi"/>
        </w:rPr>
        <w:fldChar w:fldCharType="begin"/>
      </w:r>
      <w:r w:rsidR="00181823">
        <w:rPr>
          <w:rFonts w:asciiTheme="majorHAnsi" w:hAnsiTheme="majorHAnsi"/>
        </w:rPr>
        <w:instrText xml:space="preserve"> ADDIN EN.CITE &lt;EndNote&gt;&lt;Cite&gt;&lt;Author&gt;Gagou&lt;/Author&gt;&lt;Year&gt;2014&lt;/Year&gt;&lt;IDText&gt;Human PIF1 helicase supports DNA replication and cell growth under oncogenic-stress&lt;/IDText&gt;&lt;DisplayText&gt;(Gagou et al., 2014)&lt;/DisplayText&gt;&lt;record&gt;&lt;dates&gt;&lt;pub-dates&gt;&lt;date&gt;Nov&lt;/date&gt;&lt;/pub-dates&gt;&lt;year&gt;2014&lt;/year&gt;&lt;/dates&gt;&lt;keywords&gt;&lt;keyword&gt;Cell Growth Processes&lt;/keyword&gt;&lt;keyword&gt;Cell Line, Transformed&lt;/keyword&gt;&lt;keyword&gt;DNA Helicases&lt;/keyword&gt;&lt;keyword&gt;DNA Replication&lt;/keyword&gt;&lt;keyword&gt;Fibroblasts&lt;/keyword&gt;&lt;keyword&gt;Genomic Instability&lt;/keyword&gt;&lt;keyword&gt;HCT116 Cells&lt;/keyword&gt;&lt;keyword&gt;Humans&lt;/keyword&gt;&lt;keyword&gt;Oncogenes&lt;/keyword&gt;&lt;keyword&gt;RNA, Small Interfering&lt;/keyword&gt;&lt;keyword&gt;Transfection&lt;/keyword&gt;&lt;keyword&gt;ras Proteins&lt;/keyword&gt;&lt;/keywords&gt;&lt;urls&gt;&lt;related-urls&gt;&lt;url&gt;https://www.ncbi.nlm.nih.gov/pubmed/25359767&lt;/url&gt;&lt;/related-urls&gt;&lt;/urls&gt;&lt;isbn&gt;1949-2553&lt;/isbn&gt;&lt;custom2&gt;PMC4294361&lt;/custom2&gt;&lt;titles&gt;&lt;title&gt;Human PIF1 helicase supports DNA replication and cell growth under oncogenic-stress&lt;/title&gt;&lt;secondary-title&gt;Oncotarget&lt;/secondary-title&gt;&lt;/titles&gt;&lt;pages&gt;11381-98&lt;/pages&gt;&lt;number&gt;22&lt;/number&gt;&lt;contributors&gt;&lt;authors&gt;&lt;author&gt;Gagou, M. E.&lt;/author&gt;&lt;author&gt;Ganesh, A.&lt;/author&gt;&lt;author&gt;Phear, G.&lt;/author&gt;&lt;author&gt;Robinson, D.&lt;/author&gt;&lt;author&gt;Petermann, E.&lt;/author&gt;&lt;author&gt;Cox, A.&lt;/author&gt;&lt;author&gt;Meuth, M.&lt;/author&gt;&lt;/authors&gt;&lt;/contributors&gt;&lt;language&gt;eng&lt;/language&gt;&lt;added-date format="utc"&gt;1500296565&lt;/added-date&gt;&lt;ref-type name="Journal Article"&gt;17&lt;/ref-type&gt;&lt;rec-number&gt;200&lt;/rec-number&gt;&lt;last-updated-date format="utc"&gt;1500296565&lt;/last-updated-date&gt;&lt;accession-num&gt;25359767&lt;/accession-num&gt;&lt;electronic-resource-num&gt;10.18632/oncotarget.2501&lt;/electronic-resource-num&gt;&lt;volume&gt;5&lt;/volume&gt;&lt;/record&gt;&lt;/Cite&gt;&lt;/EndNote&gt;</w:instrText>
      </w:r>
      <w:r w:rsidR="00181823">
        <w:rPr>
          <w:rFonts w:asciiTheme="majorHAnsi" w:hAnsiTheme="majorHAnsi"/>
        </w:rPr>
        <w:fldChar w:fldCharType="separate"/>
      </w:r>
      <w:r w:rsidR="00181823">
        <w:rPr>
          <w:rFonts w:asciiTheme="majorHAnsi" w:hAnsiTheme="majorHAnsi"/>
          <w:noProof/>
        </w:rPr>
        <w:t>(Gagou et al., 2014)</w:t>
      </w:r>
      <w:r w:rsidR="00181823">
        <w:rPr>
          <w:rFonts w:asciiTheme="majorHAnsi" w:hAnsiTheme="majorHAnsi"/>
        </w:rPr>
        <w:fldChar w:fldCharType="end"/>
      </w:r>
      <w:r>
        <w:rPr>
          <w:rFonts w:asciiTheme="majorHAnsi" w:hAnsiTheme="majorHAnsi"/>
        </w:rPr>
        <w:t>, was stably transfected into</w:t>
      </w:r>
      <w:r w:rsidR="009D3EC2">
        <w:rPr>
          <w:rFonts w:asciiTheme="majorHAnsi" w:hAnsiTheme="majorHAnsi"/>
        </w:rPr>
        <w:t xml:space="preserve"> HCT116,</w:t>
      </w:r>
      <w:r>
        <w:rPr>
          <w:rFonts w:asciiTheme="majorHAnsi" w:hAnsiTheme="majorHAnsi"/>
        </w:rPr>
        <w:t xml:space="preserve"> SW480 </w:t>
      </w:r>
      <w:r w:rsidR="009D3EC2">
        <w:rPr>
          <w:rFonts w:asciiTheme="majorHAnsi" w:hAnsiTheme="majorHAnsi"/>
        </w:rPr>
        <w:t xml:space="preserve">and MRC5 </w:t>
      </w:r>
      <w:r>
        <w:rPr>
          <w:rFonts w:asciiTheme="majorHAnsi" w:hAnsiTheme="majorHAnsi"/>
        </w:rPr>
        <w:t xml:space="preserve">cell lines and the cells selected depending on antibiotic resistance. </w:t>
      </w:r>
      <w:r w:rsidR="00A3412A">
        <w:rPr>
          <w:rFonts w:asciiTheme="majorHAnsi" w:hAnsiTheme="majorHAnsi"/>
        </w:rPr>
        <w:t xml:space="preserve">These cell lines were chosen </w:t>
      </w:r>
      <w:r w:rsidR="00FE1FFB">
        <w:rPr>
          <w:rFonts w:asciiTheme="majorHAnsi" w:hAnsiTheme="majorHAnsi"/>
        </w:rPr>
        <w:t xml:space="preserve">to complement </w:t>
      </w:r>
      <w:r w:rsidR="00A3412A">
        <w:rPr>
          <w:rFonts w:asciiTheme="majorHAnsi" w:hAnsiTheme="majorHAnsi"/>
        </w:rPr>
        <w:t xml:space="preserve">the previous work being conducted </w:t>
      </w:r>
      <w:r w:rsidR="00FE1FFB">
        <w:rPr>
          <w:rFonts w:asciiTheme="majorHAnsi" w:hAnsiTheme="majorHAnsi"/>
        </w:rPr>
        <w:t>on</w:t>
      </w:r>
      <w:r w:rsidR="00A3412A">
        <w:rPr>
          <w:rFonts w:asciiTheme="majorHAnsi" w:hAnsiTheme="majorHAnsi"/>
        </w:rPr>
        <w:t xml:space="preserve"> the two CRC cell lines, and </w:t>
      </w:r>
      <w:r w:rsidR="009D3EC2">
        <w:rPr>
          <w:rFonts w:asciiTheme="majorHAnsi" w:hAnsiTheme="majorHAnsi"/>
        </w:rPr>
        <w:t xml:space="preserve">to carry out these studies </w:t>
      </w:r>
      <w:r w:rsidR="00A16855">
        <w:rPr>
          <w:rFonts w:asciiTheme="majorHAnsi" w:hAnsiTheme="majorHAnsi"/>
        </w:rPr>
        <w:t xml:space="preserve">in a non-cancerous </w:t>
      </w:r>
      <w:r w:rsidR="009D3EC2">
        <w:rPr>
          <w:rFonts w:asciiTheme="majorHAnsi" w:hAnsiTheme="majorHAnsi"/>
        </w:rPr>
        <w:t>cell background for comparison</w:t>
      </w:r>
      <w:r w:rsidR="00A3412A">
        <w:rPr>
          <w:rFonts w:asciiTheme="majorHAnsi" w:hAnsiTheme="majorHAnsi"/>
        </w:rPr>
        <w:t xml:space="preserve">. However, no colon cell line could be sourced, therefore </w:t>
      </w:r>
      <w:r w:rsidR="00FE1FFB">
        <w:rPr>
          <w:rFonts w:asciiTheme="majorHAnsi" w:hAnsiTheme="majorHAnsi"/>
        </w:rPr>
        <w:t xml:space="preserve">MRC5 </w:t>
      </w:r>
      <w:r w:rsidR="00A3412A">
        <w:rPr>
          <w:rFonts w:asciiTheme="majorHAnsi" w:hAnsiTheme="majorHAnsi"/>
        </w:rPr>
        <w:t>immortalised lung fibroblast cells</w:t>
      </w:r>
      <w:r w:rsidR="00FE1FFB">
        <w:rPr>
          <w:rFonts w:asciiTheme="majorHAnsi" w:hAnsiTheme="majorHAnsi"/>
        </w:rPr>
        <w:t xml:space="preserve"> were used</w:t>
      </w:r>
      <w:r w:rsidR="00A3412A">
        <w:rPr>
          <w:rFonts w:asciiTheme="majorHAnsi" w:hAnsiTheme="majorHAnsi"/>
        </w:rPr>
        <w:t xml:space="preserve">. </w:t>
      </w:r>
      <w:proofErr w:type="gramStart"/>
      <w:r>
        <w:rPr>
          <w:rFonts w:asciiTheme="majorHAnsi" w:hAnsiTheme="majorHAnsi"/>
        </w:rPr>
        <w:t>Clones</w:t>
      </w:r>
      <w:r w:rsidR="009D3EC2">
        <w:rPr>
          <w:rFonts w:asciiTheme="majorHAnsi" w:hAnsiTheme="majorHAnsi"/>
        </w:rPr>
        <w:t xml:space="preserve"> derived from transfected cells that had incorporated the </w:t>
      </w:r>
      <w:r w:rsidR="009D3EC2" w:rsidRPr="00BE0F37">
        <w:rPr>
          <w:rFonts w:asciiTheme="majorHAnsi" w:hAnsiTheme="majorHAnsi"/>
          <w:i/>
        </w:rPr>
        <w:t>RAS</w:t>
      </w:r>
      <w:r w:rsidR="009D3EC2">
        <w:rPr>
          <w:rFonts w:asciiTheme="majorHAnsi" w:hAnsiTheme="majorHAnsi"/>
        </w:rPr>
        <w:t xml:space="preserve"> construct, were selected by resistance to puromycin</w:t>
      </w:r>
      <w:proofErr w:type="gramEnd"/>
      <w:r>
        <w:rPr>
          <w:rFonts w:asciiTheme="majorHAnsi" w:hAnsiTheme="majorHAnsi"/>
        </w:rPr>
        <w:t>. A number of colonies per cell line were picked, further grown and assessed for RAS expressio</w:t>
      </w:r>
      <w:r w:rsidR="009D3EC2">
        <w:rPr>
          <w:rFonts w:asciiTheme="majorHAnsi" w:hAnsiTheme="majorHAnsi"/>
        </w:rPr>
        <w:t>n using protein extraction and w</w:t>
      </w:r>
      <w:r>
        <w:rPr>
          <w:rFonts w:asciiTheme="majorHAnsi" w:hAnsiTheme="majorHAnsi"/>
        </w:rPr>
        <w:t xml:space="preserve">estern blotting techniques. </w:t>
      </w:r>
      <w:r w:rsidR="00A3412A">
        <w:rPr>
          <w:rFonts w:asciiTheme="majorHAnsi" w:hAnsiTheme="majorHAnsi"/>
        </w:rPr>
        <w:t>As shown below all the clones were over</w:t>
      </w:r>
      <w:r w:rsidR="00896936">
        <w:rPr>
          <w:rFonts w:asciiTheme="majorHAnsi" w:hAnsiTheme="majorHAnsi"/>
        </w:rPr>
        <w:t>-</w:t>
      </w:r>
      <w:r w:rsidR="00A3412A">
        <w:rPr>
          <w:rFonts w:asciiTheme="majorHAnsi" w:hAnsiTheme="majorHAnsi"/>
        </w:rPr>
        <w:t>expressing RAS in comparison</w:t>
      </w:r>
      <w:r w:rsidR="000C6DC4">
        <w:rPr>
          <w:rFonts w:asciiTheme="majorHAnsi" w:hAnsiTheme="majorHAnsi"/>
        </w:rPr>
        <w:t xml:space="preserve"> to</w:t>
      </w:r>
      <w:r w:rsidR="00A3412A">
        <w:rPr>
          <w:rFonts w:asciiTheme="majorHAnsi" w:hAnsiTheme="majorHAnsi"/>
        </w:rPr>
        <w:t xml:space="preserve"> the untransfected parental cell lines</w:t>
      </w:r>
      <w:r w:rsidR="00873A65">
        <w:rPr>
          <w:rFonts w:asciiTheme="majorHAnsi" w:hAnsiTheme="majorHAnsi"/>
        </w:rPr>
        <w:t xml:space="preserve"> (Figure </w:t>
      </w:r>
      <w:r w:rsidR="0014183F">
        <w:rPr>
          <w:rFonts w:asciiTheme="majorHAnsi" w:hAnsiTheme="majorHAnsi"/>
        </w:rPr>
        <w:t>5.1)</w:t>
      </w:r>
      <w:r w:rsidR="00A3412A">
        <w:rPr>
          <w:rFonts w:asciiTheme="majorHAnsi" w:hAnsiTheme="majorHAnsi"/>
        </w:rPr>
        <w:t xml:space="preserve">. Therefore, they were all suitable for further </w:t>
      </w:r>
      <w:r w:rsidR="00FE1FFB">
        <w:rPr>
          <w:rFonts w:asciiTheme="majorHAnsi" w:hAnsiTheme="majorHAnsi"/>
        </w:rPr>
        <w:t xml:space="preserve">analysis, and </w:t>
      </w:r>
      <w:r w:rsidR="00A3412A">
        <w:rPr>
          <w:rFonts w:asciiTheme="majorHAnsi" w:hAnsiTheme="majorHAnsi"/>
        </w:rPr>
        <w:t xml:space="preserve">two clones per cell line were picked to progress with.  These were clones 12 &amp; 13 for SW480 cells, clones 5 &amp; 6 for HCT116 cells and clones 1 &amp; 2 for MRC5. </w:t>
      </w:r>
    </w:p>
    <w:p w14:paraId="0752E02D" w14:textId="2D1DFC74" w:rsidR="00E15055" w:rsidRDefault="009233B7" w:rsidP="00970748">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184576" behindDoc="0" locked="0" layoutInCell="1" allowOverlap="1" wp14:anchorId="5A46F7C9" wp14:editId="21DEED21">
                <wp:simplePos x="0" y="0"/>
                <wp:positionH relativeFrom="column">
                  <wp:posOffset>-285750</wp:posOffset>
                </wp:positionH>
                <wp:positionV relativeFrom="paragraph">
                  <wp:posOffset>2878455</wp:posOffset>
                </wp:positionV>
                <wp:extent cx="685800" cy="342900"/>
                <wp:effectExtent l="0" t="0" r="0" b="0"/>
                <wp:wrapSquare wrapText="bothSides"/>
                <wp:docPr id="186" name="Text Box 186"/>
                <wp:cNvGraphicFramePr/>
                <a:graphic xmlns:a="http://schemas.openxmlformats.org/drawingml/2006/main">
                  <a:graphicData uri="http://schemas.microsoft.com/office/word/2010/wordprocessingShape">
                    <wps:wsp>
                      <wps:cNvSpPr txBox="1"/>
                      <wps:spPr>
                        <a:xfrm rot="16200000">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41E9F3" w14:textId="03D1F877" w:rsidR="00E82D3B" w:rsidRPr="002039EF" w:rsidRDefault="00E82D3B" w:rsidP="002039EF">
                            <w:pPr>
                              <w:rPr>
                                <w:rFonts w:asciiTheme="majorHAnsi" w:hAnsiTheme="majorHAnsi"/>
                              </w:rPr>
                            </w:pPr>
                            <w:r>
                              <w:rPr>
                                <w:rFonts w:asciiTheme="majorHAnsi" w:hAnsiTheme="majorHAnsi"/>
                              </w:rPr>
                              <w:t>MRC5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6" o:spid="_x0000_s1144" type="#_x0000_t202" style="position:absolute;margin-left:-22.45pt;margin-top:226.65pt;width:54pt;height:27pt;rotation:-90;z-index:252184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" filled="f" stroked="f">
                <v:textbox>
                  <w:txbxContent>
                    <w:p w14:paraId="0341E9F3" w14:textId="03D1F877" w:rsidR="000A1E0D" w:rsidRPr="002039EF" w:rsidRDefault="000A1E0D" w:rsidP="002039EF">
                      <w:pPr>
                        <w:rPr>
                          <w:rFonts w:asciiTheme="majorHAnsi" w:hAnsiTheme="majorHAnsi"/>
                        </w:rPr>
                      </w:pPr>
                      <w:r>
                        <w:rPr>
                          <w:rFonts w:asciiTheme="majorHAnsi" w:hAnsiTheme="majorHAnsi"/>
                        </w:rPr>
                        <w:t>MRC5</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2180480" behindDoc="0" locked="0" layoutInCell="1" allowOverlap="1" wp14:anchorId="0DEB15C5" wp14:editId="1A3FE183">
                <wp:simplePos x="0" y="0"/>
                <wp:positionH relativeFrom="column">
                  <wp:posOffset>-285750</wp:posOffset>
                </wp:positionH>
                <wp:positionV relativeFrom="paragraph">
                  <wp:posOffset>592455</wp:posOffset>
                </wp:positionV>
                <wp:extent cx="685800" cy="342900"/>
                <wp:effectExtent l="0" t="0" r="0" b="0"/>
                <wp:wrapSquare wrapText="bothSides"/>
                <wp:docPr id="184" name="Text Box 184"/>
                <wp:cNvGraphicFramePr/>
                <a:graphic xmlns:a="http://schemas.openxmlformats.org/drawingml/2006/main">
                  <a:graphicData uri="http://schemas.microsoft.com/office/word/2010/wordprocessingShape">
                    <wps:wsp>
                      <wps:cNvSpPr txBox="1"/>
                      <wps:spPr>
                        <a:xfrm rot="16200000">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5D3DDE" w14:textId="0E4B295C" w:rsidR="00E82D3B" w:rsidRPr="002039EF" w:rsidRDefault="00E82D3B">
                            <w:pPr>
                              <w:rPr>
                                <w:rFonts w:asciiTheme="majorHAnsi" w:hAnsiTheme="majorHAnsi"/>
                              </w:rPr>
                            </w:pPr>
                            <w:r w:rsidRPr="002039EF">
                              <w:rPr>
                                <w:rFonts w:asciiTheme="majorHAnsi" w:hAnsiTheme="majorHAnsi"/>
                              </w:rPr>
                              <w:t>SW480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4" o:spid="_x0000_s1145" type="#_x0000_t202" style="position:absolute;margin-left:-22.45pt;margin-top:46.65pt;width:54pt;height:27pt;rotation:-90;z-index:25218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" filled="f" stroked="f">
                <v:textbox>
                  <w:txbxContent>
                    <w:p w14:paraId="355D3DDE" w14:textId="0E4B295C" w:rsidR="000A1E0D" w:rsidRPr="002039EF" w:rsidRDefault="000A1E0D">
                      <w:pPr>
                        <w:rPr>
                          <w:rFonts w:asciiTheme="majorHAnsi" w:hAnsiTheme="majorHAnsi"/>
                        </w:rPr>
                      </w:pPr>
                      <w:r w:rsidRPr="002039EF">
                        <w:rPr>
                          <w:rFonts w:asciiTheme="majorHAnsi" w:hAnsiTheme="majorHAnsi"/>
                        </w:rPr>
                        <w:t>SW480</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2182528" behindDoc="0" locked="0" layoutInCell="1" allowOverlap="1" wp14:anchorId="19266442" wp14:editId="070C1F24">
                <wp:simplePos x="0" y="0"/>
                <wp:positionH relativeFrom="column">
                  <wp:posOffset>-285750</wp:posOffset>
                </wp:positionH>
                <wp:positionV relativeFrom="paragraph">
                  <wp:posOffset>1849755</wp:posOffset>
                </wp:positionV>
                <wp:extent cx="685800" cy="342900"/>
                <wp:effectExtent l="0" t="0" r="0" b="0"/>
                <wp:wrapSquare wrapText="bothSides"/>
                <wp:docPr id="185" name="Text Box 185"/>
                <wp:cNvGraphicFramePr/>
                <a:graphic xmlns:a="http://schemas.openxmlformats.org/drawingml/2006/main">
                  <a:graphicData uri="http://schemas.microsoft.com/office/word/2010/wordprocessingShape">
                    <wps:wsp>
                      <wps:cNvSpPr txBox="1"/>
                      <wps:spPr>
                        <a:xfrm rot="16200000">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EF0693" w14:textId="44BB8CA4" w:rsidR="00E82D3B" w:rsidRPr="002039EF" w:rsidRDefault="00E82D3B" w:rsidP="002039EF">
                            <w:pPr>
                              <w:rPr>
                                <w:rFonts w:asciiTheme="majorHAnsi" w:hAnsiTheme="majorHAnsi"/>
                              </w:rPr>
                            </w:pPr>
                            <w:r>
                              <w:rPr>
                                <w:rFonts w:asciiTheme="majorHAnsi" w:hAnsiTheme="majorHAnsi"/>
                              </w:rPr>
                              <w:t>HCT116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5" o:spid="_x0000_s1146" type="#_x0000_t202" style="position:absolute;margin-left:-22.45pt;margin-top:145.65pt;width:54pt;height:27pt;rotation:-90;z-index:25218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" filled="f" stroked="f">
                <v:textbox>
                  <w:txbxContent>
                    <w:p w14:paraId="29EF0693" w14:textId="44BB8CA4" w:rsidR="000A1E0D" w:rsidRPr="002039EF" w:rsidRDefault="000A1E0D" w:rsidP="002039EF">
                      <w:pPr>
                        <w:rPr>
                          <w:rFonts w:asciiTheme="majorHAnsi" w:hAnsiTheme="majorHAnsi"/>
                        </w:rPr>
                      </w:pPr>
                      <w:r>
                        <w:rPr>
                          <w:rFonts w:asciiTheme="majorHAnsi" w:hAnsiTheme="majorHAnsi"/>
                        </w:rPr>
                        <w:t>HCT116</w:t>
                      </w:r>
                    </w:p>
                  </w:txbxContent>
                </v:textbox>
                <w10:wrap type="square"/>
              </v:shape>
            </w:pict>
          </mc:Fallback>
        </mc:AlternateContent>
      </w:r>
      <w:r w:rsidRPr="009D2DB3">
        <w:rPr>
          <w:rFonts w:asciiTheme="majorHAnsi" w:hAnsiTheme="majorHAnsi"/>
          <w:noProof/>
          <w:lang w:val="en-US"/>
        </w:rPr>
        <w:drawing>
          <wp:anchor distT="0" distB="0" distL="114300" distR="114300" simplePos="0" relativeHeight="252179456" behindDoc="0" locked="0" layoutInCell="1" allowOverlap="1" wp14:anchorId="480ABD89" wp14:editId="1220037B">
            <wp:simplePos x="0" y="0"/>
            <wp:positionH relativeFrom="column">
              <wp:posOffset>177800</wp:posOffset>
            </wp:positionH>
            <wp:positionV relativeFrom="paragraph">
              <wp:posOffset>2592705</wp:posOffset>
            </wp:positionV>
            <wp:extent cx="2108200" cy="1028700"/>
            <wp:effectExtent l="0" t="0" r="0" b="12700"/>
            <wp:wrapSquare wrapText="bothSides"/>
            <wp:docPr id="183" name="Picture 4" descr="Screen Shot 2017-06-20 at 14.1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Shot 2017-06-20 at 14.17.44.png"/>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108200" cy="1028700"/>
                    </a:xfrm>
                    <a:prstGeom prst="rect">
                      <a:avLst/>
                    </a:prstGeom>
                  </pic:spPr>
                </pic:pic>
              </a:graphicData>
            </a:graphic>
            <wp14:sizeRelH relativeFrom="page">
              <wp14:pctWidth>0</wp14:pctWidth>
            </wp14:sizeRelH>
            <wp14:sizeRelV relativeFrom="page">
              <wp14:pctHeight>0</wp14:pctHeight>
            </wp14:sizeRelV>
          </wp:anchor>
        </w:drawing>
      </w:r>
      <w:r w:rsidRPr="009D2DB3">
        <w:rPr>
          <w:rFonts w:asciiTheme="majorHAnsi" w:hAnsiTheme="majorHAnsi"/>
          <w:noProof/>
          <w:lang w:val="en-US"/>
        </w:rPr>
        <w:drawing>
          <wp:anchor distT="0" distB="0" distL="114300" distR="114300" simplePos="0" relativeHeight="252177408" behindDoc="0" locked="0" layoutInCell="1" allowOverlap="1" wp14:anchorId="35DE8700" wp14:editId="7385AEC5">
            <wp:simplePos x="0" y="0"/>
            <wp:positionH relativeFrom="column">
              <wp:posOffset>178435</wp:posOffset>
            </wp:positionH>
            <wp:positionV relativeFrom="paragraph">
              <wp:posOffset>192405</wp:posOffset>
            </wp:positionV>
            <wp:extent cx="2107565" cy="1038225"/>
            <wp:effectExtent l="0" t="0" r="635" b="3175"/>
            <wp:wrapSquare wrapText="bothSides"/>
            <wp:docPr id="156" name="Picture 5" descr="Screen Shot 2017-06-20 at 14.1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Shot 2017-06-20 at 14.17.18.png"/>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2107565" cy="1038225"/>
                    </a:xfrm>
                    <a:prstGeom prst="rect">
                      <a:avLst/>
                    </a:prstGeom>
                  </pic:spPr>
                </pic:pic>
              </a:graphicData>
            </a:graphic>
            <wp14:sizeRelH relativeFrom="page">
              <wp14:pctWidth>0</wp14:pctWidth>
            </wp14:sizeRelH>
            <wp14:sizeRelV relativeFrom="page">
              <wp14:pctHeight>0</wp14:pctHeight>
            </wp14:sizeRelV>
          </wp:anchor>
        </w:drawing>
      </w:r>
      <w:r w:rsidRPr="009D2DB3">
        <w:rPr>
          <w:rFonts w:asciiTheme="majorHAnsi" w:hAnsiTheme="majorHAnsi"/>
          <w:noProof/>
          <w:lang w:val="en-US"/>
        </w:rPr>
        <w:drawing>
          <wp:anchor distT="0" distB="0" distL="114300" distR="114300" simplePos="0" relativeHeight="252178432" behindDoc="0" locked="0" layoutInCell="1" allowOverlap="1" wp14:anchorId="1CE96340" wp14:editId="17B26FD9">
            <wp:simplePos x="0" y="0"/>
            <wp:positionH relativeFrom="column">
              <wp:posOffset>228600</wp:posOffset>
            </wp:positionH>
            <wp:positionV relativeFrom="paragraph">
              <wp:posOffset>1335405</wp:posOffset>
            </wp:positionV>
            <wp:extent cx="2057400" cy="1146175"/>
            <wp:effectExtent l="0" t="0" r="0" b="0"/>
            <wp:wrapSquare wrapText="bothSides"/>
            <wp:docPr id="157" name="Picture 3" descr="Screen Shot 2017-06-20 at 14.1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7-06-20 at 14.17.32.png"/>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2057400" cy="1146175"/>
                    </a:xfrm>
                    <a:prstGeom prst="rect">
                      <a:avLst/>
                    </a:prstGeom>
                  </pic:spPr>
                </pic:pic>
              </a:graphicData>
            </a:graphic>
            <wp14:sizeRelH relativeFrom="page">
              <wp14:pctWidth>0</wp14:pctWidth>
            </wp14:sizeRelH>
            <wp14:sizeRelV relativeFrom="page">
              <wp14:pctHeight>0</wp14:pctHeight>
            </wp14:sizeRelV>
          </wp:anchor>
        </w:drawing>
      </w:r>
      <w:r w:rsidR="00377382">
        <w:rPr>
          <w:rFonts w:asciiTheme="majorHAnsi" w:hAnsiTheme="majorHAnsi"/>
          <w:noProof/>
          <w:lang w:val="en-US"/>
        </w:rPr>
        <mc:AlternateContent>
          <mc:Choice Requires="wps">
            <w:drawing>
              <wp:anchor distT="0" distB="0" distL="114300" distR="114300" simplePos="0" relativeHeight="251666432" behindDoc="0" locked="0" layoutInCell="1" allowOverlap="1" wp14:anchorId="0300A692" wp14:editId="726AB0F9">
                <wp:simplePos x="0" y="0"/>
                <wp:positionH relativeFrom="column">
                  <wp:posOffset>2514600</wp:posOffset>
                </wp:positionH>
                <wp:positionV relativeFrom="paragraph">
                  <wp:posOffset>78105</wp:posOffset>
                </wp:positionV>
                <wp:extent cx="2971800" cy="36576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971800" cy="365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B2774B" w14:textId="04564B0B" w:rsidR="00E82D3B" w:rsidRDefault="00E82D3B">
                            <w:pPr>
                              <w:rPr>
                                <w:b/>
                                <w:i/>
                                <w:sz w:val="22"/>
                              </w:rPr>
                            </w:pPr>
                            <w:r w:rsidRPr="001D144F">
                              <w:rPr>
                                <w:b/>
                                <w:i/>
                                <w:sz w:val="22"/>
                              </w:rPr>
                              <w:t>Figure 5.1.</w:t>
                            </w:r>
                            <w:r>
                              <w:rPr>
                                <w:b/>
                                <w:i/>
                                <w:sz w:val="22"/>
                              </w:rPr>
                              <w:t xml:space="preserve"> Western blotting analysis shows RAS over-expression in stable clones</w:t>
                            </w:r>
                          </w:p>
                          <w:p w14:paraId="23A993AF" w14:textId="524C240D" w:rsidR="00E82D3B" w:rsidRPr="00E15055" w:rsidRDefault="00E82D3B" w:rsidP="003958D8">
                            <w:pPr>
                              <w:jc w:val="both"/>
                              <w:rPr>
                                <w:i/>
                                <w:sz w:val="22"/>
                              </w:rPr>
                            </w:pPr>
                            <w:r>
                              <w:rPr>
                                <w:i/>
                                <w:sz w:val="22"/>
                              </w:rPr>
                              <w:t>SW480, HCT116 and MRC5 cells were transfected with 1</w:t>
                            </w:r>
                            <w:r>
                              <w:rPr>
                                <w:rFonts w:ascii="Cambria" w:hAnsi="Cambria"/>
                                <w:i/>
                                <w:sz w:val="22"/>
                              </w:rPr>
                              <w:t>μ</w:t>
                            </w:r>
                            <w:r>
                              <w:rPr>
                                <w:i/>
                                <w:sz w:val="22"/>
                              </w:rPr>
                              <w:t>g of RAS construct or control transfected with ddH</w:t>
                            </w:r>
                            <w:r w:rsidRPr="003958D8">
                              <w:rPr>
                                <w:i/>
                                <w:sz w:val="22"/>
                                <w:vertAlign w:val="subscript"/>
                              </w:rPr>
                              <w:t>2</w:t>
                            </w:r>
                            <w:r>
                              <w:rPr>
                                <w:i/>
                                <w:sz w:val="22"/>
                              </w:rPr>
                              <w:t>O. The cells were transferred to media containing puromycin, until the control cells had all died and the transfected cells formed colonies. These colonies were picked and lysed to extract protein as per the technique stated in the methods. 50</w:t>
                            </w:r>
                            <w:r>
                              <w:rPr>
                                <w:rFonts w:ascii="Cambria" w:hAnsi="Cambria"/>
                                <w:i/>
                                <w:sz w:val="22"/>
                              </w:rPr>
                              <w:t>μ</w:t>
                            </w:r>
                            <w:r>
                              <w:rPr>
                                <w:i/>
                                <w:sz w:val="22"/>
                              </w:rPr>
                              <w:t>g of protein was loaded per sample onto precast gels and the primary used was anti-RAS Ab (Cell Signalling) left on over night in milk at 4</w:t>
                            </w:r>
                            <w:r w:rsidRPr="003958D8">
                              <w:rPr>
                                <w:i/>
                                <w:sz w:val="22"/>
                                <w:vertAlign w:val="superscript"/>
                              </w:rPr>
                              <w:t>o</w:t>
                            </w:r>
                            <w:r>
                              <w:rPr>
                                <w:i/>
                                <w:sz w:val="22"/>
                              </w:rPr>
                              <w:t>C. Images above show the clone number along the top or C for control parental cells and M</w:t>
                            </w:r>
                            <w:r w:rsidRPr="00FE1FFB">
                              <w:rPr>
                                <w:i/>
                                <w:sz w:val="22"/>
                                <w:vertAlign w:val="subscript"/>
                              </w:rPr>
                              <w:t>W</w:t>
                            </w:r>
                            <w:r>
                              <w:rPr>
                                <w:i/>
                                <w:sz w:val="22"/>
                              </w:rPr>
                              <w:t xml:space="preserve"> standards are shown on the left. All clones over-express the RAS protein compared to control cells and tubulin-loading controls are also included for each blot. Red boxes highlight clones selected for further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7" o:spid="_x0000_s1147" type="#_x0000_t202" style="position:absolute;margin-left:198pt;margin-top:6.15pt;width:234pt;height:4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" filled="f" stroked="f">
                <v:textbox>
                  <w:txbxContent>
                    <w:p w14:paraId="21B2774B" w14:textId="04564B0B" w:rsidR="001D144F" w:rsidRDefault="001D144F">
                      <w:pPr>
                        <w:rPr>
                          <w:b/>
                          <w:i/>
                          <w:sz w:val="22"/>
                        </w:rPr>
                      </w:pPr>
                      <w:r w:rsidRPr="001D144F">
                        <w:rPr>
                          <w:b/>
                          <w:i/>
                          <w:sz w:val="22"/>
                        </w:rPr>
                        <w:t>Figure 5.1.</w:t>
                      </w:r>
                      <w:r>
                        <w:rPr>
                          <w:b/>
                          <w:i/>
                          <w:sz w:val="22"/>
                        </w:rPr>
                        <w:t xml:space="preserve"> Western blotting analysis shows RAS over-expression in stable clones</w:t>
                      </w:r>
                    </w:p>
                    <w:p w14:paraId="23A993AF" w14:textId="524C240D" w:rsidR="001D144F" w:rsidRPr="00E15055" w:rsidRDefault="001D144F" w:rsidP="003958D8">
                      <w:pPr>
                        <w:jc w:val="both"/>
                        <w:rPr>
                          <w:i/>
                          <w:sz w:val="22"/>
                        </w:rPr>
                      </w:pPr>
                      <w:r>
                        <w:rPr>
                          <w:i/>
                          <w:sz w:val="22"/>
                        </w:rPr>
                        <w:t>SW480, HCT116 and MRC5 cells were transfected with 1</w:t>
                      </w:r>
                      <w:r>
                        <w:rPr>
                          <w:rFonts w:ascii="Cambria" w:hAnsi="Cambria"/>
                          <w:i/>
                          <w:sz w:val="22"/>
                        </w:rPr>
                        <w:t>μ</w:t>
                      </w:r>
                      <w:r>
                        <w:rPr>
                          <w:i/>
                          <w:sz w:val="22"/>
                        </w:rPr>
                        <w:t>g of RAS construct or control transfected with ddH</w:t>
                      </w:r>
                      <w:r w:rsidRPr="003958D8">
                        <w:rPr>
                          <w:i/>
                          <w:sz w:val="22"/>
                          <w:vertAlign w:val="subscript"/>
                        </w:rPr>
                        <w:t>2</w:t>
                      </w:r>
                      <w:r>
                        <w:rPr>
                          <w:i/>
                          <w:sz w:val="22"/>
                        </w:rPr>
                        <w:t>O. The cells were transferred to media containing puromycin, until the control cells had all died and the transfected cells formed colonies. These colonies were picked and lysed to extract protein as per the technique stated in the methods. 50</w:t>
                      </w:r>
                      <w:r>
                        <w:rPr>
                          <w:rFonts w:ascii="Cambria" w:hAnsi="Cambria"/>
                          <w:i/>
                          <w:sz w:val="22"/>
                        </w:rPr>
                        <w:t>μ</w:t>
                      </w:r>
                      <w:r>
                        <w:rPr>
                          <w:i/>
                          <w:sz w:val="22"/>
                        </w:rPr>
                        <w:t>g of protein was loaded per sample onto precast gels and the primary used was anti-RAS Ab (Cell Signalling) left on over night in milk at 4</w:t>
                      </w:r>
                      <w:r w:rsidRPr="003958D8">
                        <w:rPr>
                          <w:i/>
                          <w:sz w:val="22"/>
                          <w:vertAlign w:val="superscript"/>
                        </w:rPr>
                        <w:t>o</w:t>
                      </w:r>
                      <w:r>
                        <w:rPr>
                          <w:i/>
                          <w:sz w:val="22"/>
                        </w:rPr>
                        <w:t>C. Images above show the clone number along the top or C for control parental cells and M</w:t>
                      </w:r>
                      <w:r w:rsidRPr="00FE1FFB">
                        <w:rPr>
                          <w:i/>
                          <w:sz w:val="22"/>
                          <w:vertAlign w:val="subscript"/>
                        </w:rPr>
                        <w:t>W</w:t>
                      </w:r>
                      <w:r>
                        <w:rPr>
                          <w:i/>
                          <w:sz w:val="22"/>
                        </w:rPr>
                        <w:t xml:space="preserve"> standards are shown on the left. All clones over-express the RAS protein compared to control cells and tubulin-loading controls are also included for each blot. Red boxes highlight clones selected for further studies.</w:t>
                      </w:r>
                    </w:p>
                  </w:txbxContent>
                </v:textbox>
                <w10:wrap type="square"/>
              </v:shape>
            </w:pict>
          </mc:Fallback>
        </mc:AlternateContent>
      </w:r>
      <w:r w:rsidR="00BE0F37">
        <w:rPr>
          <w:rFonts w:asciiTheme="majorHAnsi" w:hAnsiTheme="majorHAnsi"/>
        </w:rPr>
        <w:br w:type="page"/>
      </w:r>
    </w:p>
    <w:p w14:paraId="64514539" w14:textId="17D374B1" w:rsidR="00804CA9" w:rsidRPr="001E0475" w:rsidRDefault="008149C1" w:rsidP="003D7110">
      <w:pPr>
        <w:spacing w:line="360" w:lineRule="auto"/>
        <w:jc w:val="both"/>
        <w:rPr>
          <w:rFonts w:asciiTheme="majorHAnsi" w:hAnsiTheme="majorHAnsi"/>
        </w:rPr>
      </w:pPr>
      <w:r>
        <w:rPr>
          <w:rFonts w:asciiTheme="majorHAnsi" w:hAnsiTheme="majorHAnsi"/>
        </w:rPr>
        <w:t>The six clones indicated above were maintained in periodic antibiotic containing DMEM media</w:t>
      </w:r>
      <w:r w:rsidR="00181823">
        <w:rPr>
          <w:rFonts w:asciiTheme="majorHAnsi" w:hAnsiTheme="majorHAnsi"/>
        </w:rPr>
        <w:t xml:space="preserve"> for the duration of these experiments</w:t>
      </w:r>
      <w:r>
        <w:rPr>
          <w:rFonts w:asciiTheme="majorHAnsi" w:hAnsiTheme="majorHAnsi"/>
        </w:rPr>
        <w:t xml:space="preserve">, along with parental cells in normal DMEM media. </w:t>
      </w:r>
      <w:r w:rsidR="009D3EC2">
        <w:rPr>
          <w:rFonts w:asciiTheme="majorHAnsi" w:hAnsiTheme="majorHAnsi"/>
        </w:rPr>
        <w:t xml:space="preserve">It was next assessed </w:t>
      </w:r>
      <w:r w:rsidR="00F21797">
        <w:rPr>
          <w:rFonts w:asciiTheme="majorHAnsi" w:hAnsiTheme="majorHAnsi"/>
        </w:rPr>
        <w:t xml:space="preserve">whether </w:t>
      </w:r>
      <w:r w:rsidRPr="00B74B51">
        <w:rPr>
          <w:rFonts w:asciiTheme="majorHAnsi" w:hAnsiTheme="majorHAnsi"/>
          <w:i/>
        </w:rPr>
        <w:t>SRCAP</w:t>
      </w:r>
      <w:r>
        <w:rPr>
          <w:rFonts w:asciiTheme="majorHAnsi" w:hAnsiTheme="majorHAnsi"/>
        </w:rPr>
        <w:t xml:space="preserve"> could still be knocked down</w:t>
      </w:r>
      <w:r w:rsidR="00873A65">
        <w:rPr>
          <w:rFonts w:asciiTheme="majorHAnsi" w:hAnsiTheme="majorHAnsi"/>
        </w:rPr>
        <w:t xml:space="preserve"> using siRNA</w:t>
      </w:r>
      <w:r>
        <w:rPr>
          <w:rFonts w:asciiTheme="majorHAnsi" w:hAnsiTheme="majorHAnsi"/>
        </w:rPr>
        <w:t xml:space="preserve"> in these RAS over</w:t>
      </w:r>
      <w:r w:rsidR="00377382">
        <w:rPr>
          <w:rFonts w:asciiTheme="majorHAnsi" w:hAnsiTheme="majorHAnsi"/>
        </w:rPr>
        <w:t>-</w:t>
      </w:r>
      <w:r>
        <w:rPr>
          <w:rFonts w:asciiTheme="majorHAnsi" w:hAnsiTheme="majorHAnsi"/>
        </w:rPr>
        <w:t xml:space="preserve">expressing cells and also whether </w:t>
      </w:r>
      <w:r w:rsidR="000C6DC4">
        <w:rPr>
          <w:rFonts w:asciiTheme="majorHAnsi" w:hAnsiTheme="majorHAnsi"/>
        </w:rPr>
        <w:t>the over</w:t>
      </w:r>
      <w:r w:rsidR="00377382">
        <w:rPr>
          <w:rFonts w:asciiTheme="majorHAnsi" w:hAnsiTheme="majorHAnsi"/>
        </w:rPr>
        <w:t>-</w:t>
      </w:r>
      <w:r>
        <w:rPr>
          <w:rFonts w:asciiTheme="majorHAnsi" w:hAnsiTheme="majorHAnsi"/>
        </w:rPr>
        <w:t xml:space="preserve">expression of RAS had any effect on endogenous levels of </w:t>
      </w:r>
      <w:r w:rsidRPr="00B74B51">
        <w:rPr>
          <w:rFonts w:asciiTheme="majorHAnsi" w:hAnsiTheme="majorHAnsi"/>
          <w:i/>
        </w:rPr>
        <w:t>SRCAP</w:t>
      </w:r>
      <w:r>
        <w:rPr>
          <w:rFonts w:asciiTheme="majorHAnsi" w:hAnsiTheme="majorHAnsi"/>
        </w:rPr>
        <w:t>. Samples for each of these conditions were lysed for RNA</w:t>
      </w:r>
      <w:r w:rsidR="00F21797">
        <w:rPr>
          <w:rFonts w:asciiTheme="majorHAnsi" w:hAnsiTheme="majorHAnsi"/>
        </w:rPr>
        <w:t xml:space="preserve"> extraction</w:t>
      </w:r>
      <w:r>
        <w:rPr>
          <w:rFonts w:asciiTheme="majorHAnsi" w:hAnsiTheme="majorHAnsi"/>
        </w:rPr>
        <w:t xml:space="preserve">, </w:t>
      </w:r>
      <w:r w:rsidR="00F21797">
        <w:rPr>
          <w:rFonts w:asciiTheme="majorHAnsi" w:hAnsiTheme="majorHAnsi"/>
        </w:rPr>
        <w:t xml:space="preserve">RNA was </w:t>
      </w:r>
      <w:r>
        <w:rPr>
          <w:rFonts w:asciiTheme="majorHAnsi" w:hAnsiTheme="majorHAnsi"/>
        </w:rPr>
        <w:t>reverse transcribed to cDNA and Taqman PCR assay</w:t>
      </w:r>
      <w:r w:rsidR="00F21797">
        <w:rPr>
          <w:rFonts w:asciiTheme="majorHAnsi" w:hAnsiTheme="majorHAnsi"/>
        </w:rPr>
        <w:t>s were carried out</w:t>
      </w:r>
      <w:r>
        <w:rPr>
          <w:rFonts w:asciiTheme="majorHAnsi" w:hAnsiTheme="majorHAnsi"/>
        </w:rPr>
        <w:t xml:space="preserve"> to asses</w:t>
      </w:r>
      <w:r w:rsidR="00873A65">
        <w:rPr>
          <w:rFonts w:asciiTheme="majorHAnsi" w:hAnsiTheme="majorHAnsi"/>
        </w:rPr>
        <w:t>s</w:t>
      </w:r>
      <w:r>
        <w:rPr>
          <w:rFonts w:asciiTheme="majorHAnsi" w:hAnsiTheme="majorHAnsi"/>
        </w:rPr>
        <w:t xml:space="preserve"> </w:t>
      </w:r>
      <w:r w:rsidRPr="00B74B51">
        <w:rPr>
          <w:rFonts w:asciiTheme="majorHAnsi" w:hAnsiTheme="majorHAnsi"/>
          <w:i/>
        </w:rPr>
        <w:t>SRCAP</w:t>
      </w:r>
      <w:r>
        <w:rPr>
          <w:rFonts w:asciiTheme="majorHAnsi" w:hAnsiTheme="majorHAnsi"/>
        </w:rPr>
        <w:t xml:space="preserve"> expression levels. </w:t>
      </w:r>
      <w:r w:rsidR="00873A65">
        <w:rPr>
          <w:rFonts w:asciiTheme="majorHAnsi" w:hAnsiTheme="majorHAnsi"/>
        </w:rPr>
        <w:t xml:space="preserve">It was found that </w:t>
      </w:r>
      <w:r w:rsidR="00873A65" w:rsidRPr="00B74B51">
        <w:rPr>
          <w:rFonts w:asciiTheme="majorHAnsi" w:hAnsiTheme="majorHAnsi"/>
          <w:i/>
        </w:rPr>
        <w:t>SRCAP</w:t>
      </w:r>
      <w:r w:rsidR="00873A65">
        <w:rPr>
          <w:rFonts w:asciiTheme="majorHAnsi" w:hAnsiTheme="majorHAnsi"/>
        </w:rPr>
        <w:t xml:space="preserve"> could be knocked down in the RAS over</w:t>
      </w:r>
      <w:r w:rsidR="00377382">
        <w:rPr>
          <w:rFonts w:asciiTheme="majorHAnsi" w:hAnsiTheme="majorHAnsi"/>
        </w:rPr>
        <w:t>-</w:t>
      </w:r>
      <w:r w:rsidR="00873A65">
        <w:rPr>
          <w:rFonts w:asciiTheme="majorHAnsi" w:hAnsiTheme="majorHAnsi"/>
        </w:rPr>
        <w:t>expressing clones to a similar l</w:t>
      </w:r>
      <w:r w:rsidR="00BE0F37">
        <w:rPr>
          <w:rFonts w:asciiTheme="majorHAnsi" w:hAnsiTheme="majorHAnsi"/>
        </w:rPr>
        <w:t>evel as was shown in Chapter 4</w:t>
      </w:r>
      <w:r w:rsidR="00873A65">
        <w:rPr>
          <w:rFonts w:asciiTheme="majorHAnsi" w:hAnsiTheme="majorHAnsi"/>
        </w:rPr>
        <w:t xml:space="preserve"> when </w:t>
      </w:r>
      <w:r w:rsidR="00873A65" w:rsidRPr="00B74B51">
        <w:rPr>
          <w:rFonts w:asciiTheme="majorHAnsi" w:hAnsiTheme="majorHAnsi"/>
          <w:i/>
        </w:rPr>
        <w:t>SRCAP</w:t>
      </w:r>
      <w:r w:rsidR="00873A65">
        <w:rPr>
          <w:rFonts w:asciiTheme="majorHAnsi" w:hAnsiTheme="majorHAnsi"/>
        </w:rPr>
        <w:t xml:space="preserve"> was depleted in the parental cell lines (HCT116 &amp;</w:t>
      </w:r>
      <w:r w:rsidR="00E616BE">
        <w:rPr>
          <w:rFonts w:asciiTheme="majorHAnsi" w:hAnsiTheme="majorHAnsi"/>
        </w:rPr>
        <w:t xml:space="preserve"> </w:t>
      </w:r>
      <w:r w:rsidR="00873A65">
        <w:rPr>
          <w:rFonts w:asciiTheme="majorHAnsi" w:hAnsiTheme="majorHAnsi"/>
        </w:rPr>
        <w:t>SW480). Here</w:t>
      </w:r>
      <w:r w:rsidR="00E616BE">
        <w:rPr>
          <w:rFonts w:asciiTheme="majorHAnsi" w:hAnsiTheme="majorHAnsi"/>
        </w:rPr>
        <w:t>,</w:t>
      </w:r>
      <w:r w:rsidR="00873A65">
        <w:rPr>
          <w:rFonts w:asciiTheme="majorHAnsi" w:hAnsiTheme="majorHAnsi"/>
        </w:rPr>
        <w:t xml:space="preserve"> it is also shown </w:t>
      </w:r>
      <w:r w:rsidR="009D3EC2">
        <w:rPr>
          <w:rFonts w:asciiTheme="majorHAnsi" w:hAnsiTheme="majorHAnsi"/>
        </w:rPr>
        <w:t xml:space="preserve">for the first time within this thesis </w:t>
      </w:r>
      <w:r w:rsidR="000E153C">
        <w:rPr>
          <w:rFonts w:asciiTheme="majorHAnsi" w:hAnsiTheme="majorHAnsi"/>
        </w:rPr>
        <w:t xml:space="preserve">that </w:t>
      </w:r>
      <w:r w:rsidR="000E153C" w:rsidRPr="00B74B51">
        <w:rPr>
          <w:rFonts w:asciiTheme="majorHAnsi" w:hAnsiTheme="majorHAnsi"/>
          <w:i/>
        </w:rPr>
        <w:t>SRCAP</w:t>
      </w:r>
      <w:r w:rsidR="000E153C">
        <w:rPr>
          <w:rFonts w:asciiTheme="majorHAnsi" w:hAnsiTheme="majorHAnsi"/>
        </w:rPr>
        <w:t xml:space="preserve"> can be significantly </w:t>
      </w:r>
      <w:r w:rsidR="00873A65">
        <w:rPr>
          <w:rFonts w:asciiTheme="majorHAnsi" w:hAnsiTheme="majorHAnsi"/>
        </w:rPr>
        <w:t xml:space="preserve">knocked down in a </w:t>
      </w:r>
      <w:r w:rsidR="00A16855">
        <w:rPr>
          <w:rFonts w:asciiTheme="majorHAnsi" w:hAnsiTheme="majorHAnsi"/>
        </w:rPr>
        <w:t>fibroblast</w:t>
      </w:r>
      <w:r w:rsidR="00873A65">
        <w:rPr>
          <w:rFonts w:asciiTheme="majorHAnsi" w:hAnsiTheme="majorHAnsi"/>
        </w:rPr>
        <w:t xml:space="preserve"> cell line (MRC5) and still maintain </w:t>
      </w:r>
      <w:r w:rsidR="00C60C7E">
        <w:rPr>
          <w:rFonts w:asciiTheme="majorHAnsi" w:hAnsiTheme="majorHAnsi"/>
        </w:rPr>
        <w:t>viability</w:t>
      </w:r>
      <w:r w:rsidR="00873A65">
        <w:rPr>
          <w:rFonts w:asciiTheme="majorHAnsi" w:hAnsiTheme="majorHAnsi"/>
        </w:rPr>
        <w:t xml:space="preserve"> of the cells. </w:t>
      </w:r>
      <w:r w:rsidR="000C6DC4">
        <w:rPr>
          <w:rFonts w:asciiTheme="majorHAnsi" w:hAnsiTheme="majorHAnsi"/>
        </w:rPr>
        <w:t>Also</w:t>
      </w:r>
      <w:r w:rsidR="00873A65">
        <w:rPr>
          <w:rFonts w:asciiTheme="majorHAnsi" w:hAnsiTheme="majorHAnsi"/>
        </w:rPr>
        <w:t xml:space="preserve">, endogenous </w:t>
      </w:r>
      <w:r w:rsidR="00873A65" w:rsidRPr="00B74B51">
        <w:rPr>
          <w:rFonts w:asciiTheme="majorHAnsi" w:hAnsiTheme="majorHAnsi"/>
          <w:i/>
        </w:rPr>
        <w:t>SRCAP</w:t>
      </w:r>
      <w:r w:rsidR="00873A65">
        <w:rPr>
          <w:rFonts w:asciiTheme="majorHAnsi" w:hAnsiTheme="majorHAnsi"/>
        </w:rPr>
        <w:t xml:space="preserve"> expression levels in the RAS over</w:t>
      </w:r>
      <w:r w:rsidR="00377382">
        <w:rPr>
          <w:rFonts w:asciiTheme="majorHAnsi" w:hAnsiTheme="majorHAnsi"/>
        </w:rPr>
        <w:t>-</w:t>
      </w:r>
      <w:r w:rsidR="00873A65">
        <w:rPr>
          <w:rFonts w:asciiTheme="majorHAnsi" w:hAnsiTheme="majorHAnsi"/>
        </w:rPr>
        <w:t>expressing clones did not differ from the parental cell lines</w:t>
      </w:r>
      <w:r w:rsidR="00F21797">
        <w:rPr>
          <w:rFonts w:asciiTheme="majorHAnsi" w:hAnsiTheme="majorHAnsi"/>
        </w:rPr>
        <w:t xml:space="preserve"> to any significant degree</w:t>
      </w:r>
      <w:r w:rsidR="00873A65">
        <w:rPr>
          <w:rFonts w:asciiTheme="majorHAnsi" w:hAnsiTheme="majorHAnsi"/>
        </w:rPr>
        <w:t xml:space="preserve">, showing that increasing RAS levels does not affect </w:t>
      </w:r>
      <w:r w:rsidR="000E153C">
        <w:rPr>
          <w:rFonts w:asciiTheme="majorHAnsi" w:hAnsiTheme="majorHAnsi"/>
        </w:rPr>
        <w:t xml:space="preserve">expression </w:t>
      </w:r>
      <w:r w:rsidR="00873A65">
        <w:rPr>
          <w:rFonts w:asciiTheme="majorHAnsi" w:hAnsiTheme="majorHAnsi"/>
        </w:rPr>
        <w:t xml:space="preserve">levels of the chromatin-remodelling gene </w:t>
      </w:r>
      <w:r w:rsidR="00873A65" w:rsidRPr="00B74B51">
        <w:rPr>
          <w:rFonts w:asciiTheme="majorHAnsi" w:hAnsiTheme="majorHAnsi"/>
          <w:i/>
        </w:rPr>
        <w:t>SRCAP</w:t>
      </w:r>
      <w:r w:rsidR="00191F2A">
        <w:rPr>
          <w:rFonts w:asciiTheme="majorHAnsi" w:hAnsiTheme="majorHAnsi"/>
        </w:rPr>
        <w:t xml:space="preserve"> (Figure </w:t>
      </w:r>
      <w:r w:rsidR="0014183F">
        <w:rPr>
          <w:rFonts w:asciiTheme="majorHAnsi" w:hAnsiTheme="majorHAnsi"/>
        </w:rPr>
        <w:t>5.2</w:t>
      </w:r>
      <w:r w:rsidR="00191F2A">
        <w:rPr>
          <w:rFonts w:asciiTheme="majorHAnsi" w:hAnsiTheme="majorHAnsi"/>
        </w:rPr>
        <w:t>)</w:t>
      </w:r>
      <w:r w:rsidR="00873A65">
        <w:rPr>
          <w:rFonts w:asciiTheme="majorHAnsi" w:hAnsiTheme="majorHAnsi"/>
        </w:rPr>
        <w:t xml:space="preserve">. </w:t>
      </w:r>
    </w:p>
    <w:p w14:paraId="39A010A6" w14:textId="1FC5CF08" w:rsidR="00B9633B" w:rsidRDefault="00B9633B" w:rsidP="003D7110">
      <w:pPr>
        <w:spacing w:line="360" w:lineRule="auto"/>
        <w:jc w:val="both"/>
        <w:rPr>
          <w:rFonts w:asciiTheme="majorHAnsi" w:hAnsiTheme="majorHAnsi"/>
          <w:sz w:val="28"/>
          <w:szCs w:val="28"/>
          <w:u w:val="single"/>
        </w:rPr>
      </w:pPr>
    </w:p>
    <w:p w14:paraId="572AD8F5" w14:textId="77777777" w:rsidR="00970748" w:rsidRDefault="00970748" w:rsidP="003D7110">
      <w:pPr>
        <w:spacing w:line="360" w:lineRule="auto"/>
        <w:jc w:val="both"/>
        <w:rPr>
          <w:rFonts w:asciiTheme="majorHAnsi" w:hAnsiTheme="majorHAnsi"/>
          <w:sz w:val="28"/>
          <w:szCs w:val="28"/>
          <w:u w:val="single"/>
        </w:rPr>
      </w:pPr>
    </w:p>
    <w:p w14:paraId="21D21EF3" w14:textId="77777777" w:rsidR="00970748" w:rsidRDefault="00970748" w:rsidP="003D7110">
      <w:pPr>
        <w:spacing w:line="360" w:lineRule="auto"/>
        <w:jc w:val="both"/>
        <w:rPr>
          <w:rFonts w:asciiTheme="majorHAnsi" w:hAnsiTheme="majorHAnsi"/>
          <w:sz w:val="28"/>
          <w:szCs w:val="28"/>
          <w:u w:val="single"/>
        </w:rPr>
      </w:pPr>
    </w:p>
    <w:p w14:paraId="14FA11FE" w14:textId="77777777" w:rsidR="00970748" w:rsidRDefault="00970748" w:rsidP="003D7110">
      <w:pPr>
        <w:spacing w:line="360" w:lineRule="auto"/>
        <w:jc w:val="both"/>
        <w:rPr>
          <w:rFonts w:asciiTheme="majorHAnsi" w:hAnsiTheme="majorHAnsi"/>
          <w:sz w:val="28"/>
          <w:szCs w:val="28"/>
          <w:u w:val="single"/>
        </w:rPr>
      </w:pPr>
    </w:p>
    <w:p w14:paraId="5890FC36" w14:textId="77777777" w:rsidR="00970748" w:rsidRDefault="00970748" w:rsidP="003D7110">
      <w:pPr>
        <w:spacing w:line="360" w:lineRule="auto"/>
        <w:jc w:val="both"/>
        <w:rPr>
          <w:rFonts w:asciiTheme="majorHAnsi" w:hAnsiTheme="majorHAnsi"/>
          <w:sz w:val="28"/>
          <w:szCs w:val="28"/>
          <w:u w:val="single"/>
        </w:rPr>
      </w:pPr>
    </w:p>
    <w:p w14:paraId="233477CC" w14:textId="77777777" w:rsidR="00970748" w:rsidRDefault="00970748" w:rsidP="003D7110">
      <w:pPr>
        <w:spacing w:line="360" w:lineRule="auto"/>
        <w:jc w:val="both"/>
        <w:rPr>
          <w:rFonts w:asciiTheme="majorHAnsi" w:hAnsiTheme="majorHAnsi"/>
          <w:sz w:val="28"/>
          <w:szCs w:val="28"/>
          <w:u w:val="single"/>
        </w:rPr>
      </w:pPr>
    </w:p>
    <w:p w14:paraId="5C90BADB" w14:textId="77777777" w:rsidR="00970748" w:rsidRDefault="00970748">
      <w:pPr>
        <w:rPr>
          <w:rFonts w:asciiTheme="majorHAnsi" w:hAnsiTheme="majorHAnsi"/>
          <w:sz w:val="28"/>
          <w:szCs w:val="28"/>
          <w:u w:val="single"/>
        </w:rPr>
      </w:pPr>
      <w:r>
        <w:rPr>
          <w:rFonts w:asciiTheme="majorHAnsi" w:hAnsiTheme="majorHAnsi"/>
          <w:sz w:val="28"/>
          <w:szCs w:val="28"/>
          <w:u w:val="single"/>
        </w:rPr>
        <w:br w:type="page"/>
      </w:r>
    </w:p>
    <w:p w14:paraId="13956F5A" w14:textId="7C8F631E" w:rsidR="00970748" w:rsidRDefault="004F5D1D" w:rsidP="003D7110">
      <w:pPr>
        <w:spacing w:line="360" w:lineRule="auto"/>
        <w:jc w:val="both"/>
        <w:rPr>
          <w:rFonts w:asciiTheme="majorHAnsi" w:hAnsiTheme="majorHAnsi"/>
          <w:sz w:val="28"/>
          <w:szCs w:val="28"/>
          <w:u w:val="single"/>
        </w:rPr>
      </w:pPr>
      <w:r>
        <w:rPr>
          <w:noProof/>
          <w:lang w:val="en-US"/>
        </w:rPr>
        <w:drawing>
          <wp:anchor distT="0" distB="0" distL="114300" distR="114300" simplePos="0" relativeHeight="252257280" behindDoc="0" locked="0" layoutInCell="1" allowOverlap="1" wp14:anchorId="69A600AD" wp14:editId="4C8C55CE">
            <wp:simplePos x="0" y="0"/>
            <wp:positionH relativeFrom="column">
              <wp:posOffset>-5080</wp:posOffset>
            </wp:positionH>
            <wp:positionV relativeFrom="paragraph">
              <wp:posOffset>0</wp:posOffset>
            </wp:positionV>
            <wp:extent cx="5547995" cy="5143500"/>
            <wp:effectExtent l="0" t="0" r="0" b="12700"/>
            <wp:wrapSquare wrapText="bothSides"/>
            <wp:docPr id="1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47995" cy="514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0C7E">
        <w:rPr>
          <w:rFonts w:asciiTheme="majorHAnsi" w:hAnsiTheme="majorHAnsi"/>
          <w:noProof/>
          <w:lang w:val="en-US"/>
        </w:rPr>
        <mc:AlternateContent>
          <mc:Choice Requires="wps">
            <w:drawing>
              <wp:anchor distT="0" distB="0" distL="114300" distR="114300" simplePos="0" relativeHeight="251668480" behindDoc="0" locked="0" layoutInCell="1" allowOverlap="1" wp14:anchorId="2FCDB998" wp14:editId="460C6BC3">
                <wp:simplePos x="0" y="0"/>
                <wp:positionH relativeFrom="column">
                  <wp:posOffset>-114300</wp:posOffset>
                </wp:positionH>
                <wp:positionV relativeFrom="paragraph">
                  <wp:posOffset>5257800</wp:posOffset>
                </wp:positionV>
                <wp:extent cx="5600700" cy="25146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560070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431DF1" w14:textId="0F97B900" w:rsidR="00E82D3B" w:rsidRDefault="00E82D3B" w:rsidP="00804CA9">
                            <w:pPr>
                              <w:jc w:val="both"/>
                              <w:rPr>
                                <w:b/>
                                <w:i/>
                                <w:sz w:val="22"/>
                              </w:rPr>
                            </w:pPr>
                            <w:r w:rsidRPr="000E153C">
                              <w:rPr>
                                <w:b/>
                                <w:i/>
                                <w:sz w:val="22"/>
                              </w:rPr>
                              <w:t xml:space="preserve">Figure </w:t>
                            </w:r>
                            <w:r>
                              <w:rPr>
                                <w:b/>
                                <w:i/>
                                <w:sz w:val="22"/>
                              </w:rPr>
                              <w:t>5.</w:t>
                            </w:r>
                            <w:r w:rsidRPr="000E153C">
                              <w:rPr>
                                <w:b/>
                                <w:i/>
                                <w:sz w:val="22"/>
                              </w:rPr>
                              <w:t xml:space="preserve">2. </w:t>
                            </w:r>
                            <w:r>
                              <w:rPr>
                                <w:b/>
                                <w:i/>
                                <w:sz w:val="22"/>
                              </w:rPr>
                              <w:t>Assessment of SRCAP mRNA levels when combined with RAS over-expression.</w:t>
                            </w:r>
                          </w:p>
                          <w:p w14:paraId="71161565" w14:textId="26611D43" w:rsidR="00E82D3B" w:rsidRPr="000E153C" w:rsidRDefault="00E82D3B" w:rsidP="001006BA">
                            <w:pPr>
                              <w:jc w:val="both"/>
                              <w:rPr>
                                <w:i/>
                                <w:sz w:val="22"/>
                              </w:rPr>
                            </w:pPr>
                            <w:r>
                              <w:rPr>
                                <w:i/>
                                <w:sz w:val="22"/>
                              </w:rPr>
                              <w:t xml:space="preserve">Parental or RAS over-expressing clones were seeded into 6 well plates and transfected with control siRNA or SRCAP si6 or si7 24hrs later. 48hrs after transfection the samples were lysed for RNA underwent reverse transcription PCR and then SRCAP expression levels quantified using an SRCAP Taqman probe. Each graph shows the repeats as separate symbols with the median and range plotted. Using a Kruskal-Wallis non-parametric test each cell line showed a significant difference overall – SW480 p=0.0178, HCT116 p=0.0115, MRC5 p=0.0118. Comparing the individual groups to each other showed that in all </w:t>
                            </w:r>
                            <w:proofErr w:type="gramStart"/>
                            <w:r>
                              <w:rPr>
                                <w:i/>
                                <w:sz w:val="22"/>
                              </w:rPr>
                              <w:t>three cell</w:t>
                            </w:r>
                            <w:proofErr w:type="gramEnd"/>
                            <w:r>
                              <w:rPr>
                                <w:i/>
                                <w:sz w:val="22"/>
                              </w:rPr>
                              <w:t xml:space="preserve"> lines there was no significant difference in SRCAP expression between control and RAS over-expressing cells. SRCAP was significantly knocked down in RAS over-expressing clones compared to control cells and compared to RAS over-expressing clones without SRCAP knockdown in all three cells lines as shown by significance stars on the graphs </w:t>
                            </w:r>
                            <w:r w:rsidRPr="002B6976">
                              <w:rPr>
                                <w:i/>
                                <w:iCs/>
                                <w:sz w:val="22"/>
                                <w:szCs w:val="22"/>
                              </w:rPr>
                              <w:t>(* = p≤0.05, **=p≤ 0.01)</w:t>
                            </w:r>
                            <w:r>
                              <w:rPr>
                                <w:i/>
                                <w:iCs/>
                                <w:sz w:val="22"/>
                                <w:szCs w:val="22"/>
                              </w:rPr>
                              <w:t>, showing that it is still possible to deplete SRCAP levels when the cells are stably over-expressing RAS</w:t>
                            </w:r>
                            <w:r>
                              <w:rPr>
                                <w:i/>
                                <w:sz w:val="22"/>
                              </w:rPr>
                              <w:t xml:space="preserve">. </w:t>
                            </w:r>
                          </w:p>
                          <w:p w14:paraId="773FABB0" w14:textId="77777777" w:rsidR="00E82D3B" w:rsidRDefault="00E82D3B">
                            <w:pPr>
                              <w:rPr>
                                <w:b/>
                                <w:i/>
                                <w:sz w:val="22"/>
                              </w:rPr>
                            </w:pPr>
                          </w:p>
                          <w:p w14:paraId="2A40DB9D" w14:textId="77777777" w:rsidR="00E82D3B" w:rsidRPr="000E153C" w:rsidRDefault="00E82D3B">
                            <w:pPr>
                              <w:rPr>
                                <w:b/>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148" type="#_x0000_t202" style="position:absolute;left:0;text-align:left;margin-left:-8.95pt;margin-top:414pt;width:441pt;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" filled="f" stroked="f">
                <v:textbox>
                  <w:txbxContent>
                    <w:p w14:paraId="38431DF1" w14:textId="0F97B900" w:rsidR="000A1E0D" w:rsidRDefault="000A1E0D" w:rsidP="00804CA9">
                      <w:pPr>
                        <w:jc w:val="both"/>
                        <w:rPr>
                          <w:b/>
                          <w:i/>
                          <w:sz w:val="22"/>
                        </w:rPr>
                      </w:pPr>
                      <w:r w:rsidRPr="000E153C">
                        <w:rPr>
                          <w:b/>
                          <w:i/>
                          <w:sz w:val="22"/>
                        </w:rPr>
                        <w:t xml:space="preserve">Figure </w:t>
                      </w:r>
                      <w:r>
                        <w:rPr>
                          <w:b/>
                          <w:i/>
                          <w:sz w:val="22"/>
                        </w:rPr>
                        <w:t>5.</w:t>
                      </w:r>
                      <w:r w:rsidRPr="000E153C">
                        <w:rPr>
                          <w:b/>
                          <w:i/>
                          <w:sz w:val="22"/>
                        </w:rPr>
                        <w:t xml:space="preserve">2. </w:t>
                      </w:r>
                      <w:r>
                        <w:rPr>
                          <w:b/>
                          <w:i/>
                          <w:sz w:val="22"/>
                        </w:rPr>
                        <w:t>Assessment of SRCAP mRNA levels when combined with RAS over-expression.</w:t>
                      </w:r>
                    </w:p>
                    <w:p w14:paraId="71161565" w14:textId="26611D43" w:rsidR="000A1E0D" w:rsidRPr="000E153C" w:rsidRDefault="000A1E0D" w:rsidP="001006BA">
                      <w:pPr>
                        <w:jc w:val="both"/>
                        <w:rPr>
                          <w:i/>
                          <w:sz w:val="22"/>
                        </w:rPr>
                      </w:pPr>
                      <w:r>
                        <w:rPr>
                          <w:i/>
                          <w:sz w:val="22"/>
                        </w:rPr>
                        <w:t xml:space="preserve">Parental or RAS over-expressing clones were seeded into 6 well plates and transfected with control siRNA or SRCAP si6 or si7 24hrs later. 48hrs after transfection the samples were lysed for RNA underwent reverse transcription PCR and then SRCAP expression levels quantified using an SRCAP Taqman probe. Each graph shows the repeats as separate symbols with the median and range plotted. Using a Kruskal-Wallis non-parametric test each cell line showed a significant difference overall – SW480 p=0.0178, HCT116 p=0.0115, MRC5 p=0.0118. Comparing the individual groups to each other showed that in all </w:t>
                      </w:r>
                      <w:proofErr w:type="gramStart"/>
                      <w:r>
                        <w:rPr>
                          <w:i/>
                          <w:sz w:val="22"/>
                        </w:rPr>
                        <w:t>three cell</w:t>
                      </w:r>
                      <w:proofErr w:type="gramEnd"/>
                      <w:r>
                        <w:rPr>
                          <w:i/>
                          <w:sz w:val="22"/>
                        </w:rPr>
                        <w:t xml:space="preserve"> lines there was no significant difference in SRCAP expression between control and RAS over-expressing cells. SRCAP was significantly knocked down in RAS over-expressing clones compared to control cells and compared to RAS over-expressing clones without SRCAP knockdown in all three cells lines as shown by significance stars on the graphs </w:t>
                      </w:r>
                      <w:r w:rsidRPr="002B6976">
                        <w:rPr>
                          <w:i/>
                          <w:iCs/>
                          <w:sz w:val="22"/>
                          <w:szCs w:val="22"/>
                        </w:rPr>
                        <w:t>(* = p≤0.05, **=p≤ 0.01)</w:t>
                      </w:r>
                      <w:r>
                        <w:rPr>
                          <w:i/>
                          <w:iCs/>
                          <w:sz w:val="22"/>
                          <w:szCs w:val="22"/>
                        </w:rPr>
                        <w:t>, showing that it is still possible to deplete SRCAP levels when the cells are stably over-expressing RAS</w:t>
                      </w:r>
                      <w:r>
                        <w:rPr>
                          <w:i/>
                          <w:sz w:val="22"/>
                        </w:rPr>
                        <w:t xml:space="preserve">. </w:t>
                      </w:r>
                    </w:p>
                    <w:p w14:paraId="773FABB0" w14:textId="77777777" w:rsidR="000A1E0D" w:rsidRDefault="000A1E0D">
                      <w:pPr>
                        <w:rPr>
                          <w:b/>
                          <w:i/>
                          <w:sz w:val="22"/>
                        </w:rPr>
                      </w:pPr>
                    </w:p>
                    <w:p w14:paraId="2A40DB9D" w14:textId="77777777" w:rsidR="000A1E0D" w:rsidRPr="000E153C" w:rsidRDefault="000A1E0D">
                      <w:pPr>
                        <w:rPr>
                          <w:b/>
                          <w:i/>
                          <w:sz w:val="22"/>
                        </w:rPr>
                      </w:pPr>
                    </w:p>
                  </w:txbxContent>
                </v:textbox>
                <w10:wrap type="square"/>
              </v:shape>
            </w:pict>
          </mc:Fallback>
        </mc:AlternateContent>
      </w:r>
      <w:r w:rsidRPr="004F5D1D">
        <w:t xml:space="preserve"> </w:t>
      </w:r>
      <w:r w:rsidR="00502A13" w:rsidRPr="00502A13">
        <w:t xml:space="preserve"> </w:t>
      </w:r>
    </w:p>
    <w:p w14:paraId="5DADAF79" w14:textId="1DE5B223" w:rsidR="00DE0F03" w:rsidRDefault="001006BA" w:rsidP="003D7110">
      <w:pPr>
        <w:spacing w:line="360" w:lineRule="auto"/>
        <w:jc w:val="both"/>
        <w:rPr>
          <w:rFonts w:asciiTheme="majorHAnsi" w:hAnsiTheme="majorHAnsi"/>
          <w:sz w:val="28"/>
          <w:szCs w:val="28"/>
          <w:u w:val="single"/>
        </w:rPr>
      </w:pPr>
      <w:r w:rsidRPr="001006BA">
        <w:rPr>
          <w:rFonts w:asciiTheme="majorHAnsi" w:hAnsiTheme="majorHAnsi"/>
          <w:sz w:val="28"/>
          <w:szCs w:val="28"/>
          <w:u w:val="single"/>
        </w:rPr>
        <w:t>5</w:t>
      </w:r>
      <w:r w:rsidR="00191F2A" w:rsidRPr="001006BA">
        <w:rPr>
          <w:rFonts w:asciiTheme="majorHAnsi" w:hAnsiTheme="majorHAnsi"/>
          <w:sz w:val="28"/>
          <w:szCs w:val="28"/>
          <w:u w:val="single"/>
        </w:rPr>
        <w:t xml:space="preserve">.3 </w:t>
      </w:r>
      <w:r w:rsidR="00DE0F03" w:rsidRPr="00DE0F03">
        <w:rPr>
          <w:rFonts w:asciiTheme="majorHAnsi" w:hAnsiTheme="majorHAnsi"/>
          <w:sz w:val="28"/>
          <w:szCs w:val="28"/>
          <w:u w:val="single"/>
        </w:rPr>
        <w:t>RAS</w:t>
      </w:r>
      <w:r w:rsidR="009D3EC2">
        <w:rPr>
          <w:rFonts w:asciiTheme="majorHAnsi" w:hAnsiTheme="majorHAnsi"/>
          <w:sz w:val="28"/>
          <w:szCs w:val="28"/>
          <w:u w:val="single"/>
        </w:rPr>
        <w:t xml:space="preserve"> over</w:t>
      </w:r>
      <w:r w:rsidR="00491A75">
        <w:rPr>
          <w:rFonts w:asciiTheme="majorHAnsi" w:hAnsiTheme="majorHAnsi"/>
          <w:sz w:val="28"/>
          <w:szCs w:val="28"/>
          <w:u w:val="single"/>
        </w:rPr>
        <w:t xml:space="preserve"> </w:t>
      </w:r>
      <w:r w:rsidR="009D3EC2">
        <w:rPr>
          <w:rFonts w:asciiTheme="majorHAnsi" w:hAnsiTheme="majorHAnsi"/>
          <w:sz w:val="28"/>
          <w:szCs w:val="28"/>
          <w:u w:val="single"/>
        </w:rPr>
        <w:t>expression causes differential cellular</w:t>
      </w:r>
      <w:r w:rsidR="00DE0F03" w:rsidRPr="00DE0F03">
        <w:rPr>
          <w:rFonts w:asciiTheme="majorHAnsi" w:hAnsiTheme="majorHAnsi"/>
          <w:sz w:val="28"/>
          <w:szCs w:val="28"/>
          <w:u w:val="single"/>
        </w:rPr>
        <w:t xml:space="preserve"> responses </w:t>
      </w:r>
      <w:r w:rsidR="009D3EC2">
        <w:rPr>
          <w:rFonts w:asciiTheme="majorHAnsi" w:hAnsiTheme="majorHAnsi"/>
          <w:sz w:val="28"/>
          <w:szCs w:val="28"/>
          <w:u w:val="single"/>
        </w:rPr>
        <w:t>depending on the parental cell lineage</w:t>
      </w:r>
    </w:p>
    <w:p w14:paraId="28B49CE6" w14:textId="77777777" w:rsidR="00970748" w:rsidRPr="00DE0F03" w:rsidRDefault="00970748" w:rsidP="003D7110">
      <w:pPr>
        <w:spacing w:line="360" w:lineRule="auto"/>
        <w:jc w:val="both"/>
        <w:rPr>
          <w:rFonts w:asciiTheme="majorHAnsi" w:hAnsiTheme="majorHAnsi"/>
          <w:sz w:val="28"/>
          <w:szCs w:val="28"/>
          <w:u w:val="single"/>
        </w:rPr>
      </w:pPr>
    </w:p>
    <w:p w14:paraId="592F84AC" w14:textId="38C37E81" w:rsidR="00233D1B" w:rsidRDefault="003D7110" w:rsidP="003D7110">
      <w:pPr>
        <w:spacing w:line="360" w:lineRule="auto"/>
        <w:jc w:val="both"/>
        <w:rPr>
          <w:rFonts w:asciiTheme="majorHAnsi" w:hAnsiTheme="majorHAnsi"/>
        </w:rPr>
      </w:pPr>
      <w:r w:rsidRPr="00653DB3">
        <w:rPr>
          <w:rFonts w:asciiTheme="majorHAnsi" w:hAnsiTheme="majorHAnsi"/>
        </w:rPr>
        <w:t xml:space="preserve">It has been shown that cells displaying </w:t>
      </w:r>
      <w:r w:rsidRPr="00B74B51">
        <w:rPr>
          <w:rFonts w:asciiTheme="majorHAnsi" w:hAnsiTheme="majorHAnsi"/>
          <w:i/>
        </w:rPr>
        <w:t>RAS</w:t>
      </w:r>
      <w:r w:rsidRPr="00653DB3">
        <w:rPr>
          <w:rFonts w:asciiTheme="majorHAnsi" w:hAnsiTheme="majorHAnsi"/>
        </w:rPr>
        <w:t xml:space="preserve"> mutations accumulate more DNA damage, as well as </w:t>
      </w:r>
      <w:r w:rsidR="00970748">
        <w:rPr>
          <w:rFonts w:asciiTheme="majorHAnsi" w:hAnsiTheme="majorHAnsi"/>
        </w:rPr>
        <w:t>arresting in G2/M and inducing TP</w:t>
      </w:r>
      <w:r w:rsidRPr="00653DB3">
        <w:rPr>
          <w:rFonts w:asciiTheme="majorHAnsi" w:hAnsiTheme="majorHAnsi"/>
        </w:rPr>
        <w:t>53, when exposed to damaging agents comp</w:t>
      </w:r>
      <w:r w:rsidR="00F21797">
        <w:rPr>
          <w:rFonts w:asciiTheme="majorHAnsi" w:hAnsiTheme="majorHAnsi"/>
        </w:rPr>
        <w:t>ared to their wild type counter</w:t>
      </w:r>
      <w:r w:rsidRPr="00653DB3">
        <w:rPr>
          <w:rFonts w:asciiTheme="majorHAnsi" w:hAnsiTheme="majorHAnsi"/>
        </w:rPr>
        <w:t>parts</w:t>
      </w:r>
      <w:r w:rsidR="00284351">
        <w:rPr>
          <w:rFonts w:asciiTheme="majorHAnsi" w:hAnsiTheme="majorHAnsi"/>
        </w:rPr>
        <w:t xml:space="preserve"> </w:t>
      </w:r>
      <w:r w:rsidR="00284351" w:rsidRPr="00653DB3">
        <w:rPr>
          <w:rFonts w:asciiTheme="majorHAnsi" w:hAnsiTheme="majorHAnsi"/>
        </w:rPr>
        <w:fldChar w:fldCharType="begin">
          <w:fldData xml:space="preserve">PEVuZE5vdGU+PENpdGU+PEF1dGhvcj5TdGVja2VsPC9BdXRob3I+PFllYXI+MjAxMjwvWWVhcj48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</w:fldData>
        </w:fldChar>
      </w:r>
      <w:r w:rsidR="00284351" w:rsidRPr="00653DB3">
        <w:rPr>
          <w:rFonts w:asciiTheme="majorHAnsi" w:hAnsiTheme="majorHAnsi"/>
        </w:rPr>
        <w:instrText xml:space="preserve"> ADDIN EN.CITE </w:instrText>
      </w:r>
      <w:r w:rsidR="00284351" w:rsidRPr="00653DB3">
        <w:rPr>
          <w:rFonts w:asciiTheme="majorHAnsi" w:hAnsiTheme="majorHAnsi"/>
        </w:rPr>
        <w:fldChar w:fldCharType="begin">
          <w:fldData xml:space="preserve">PEVuZE5vdGU+PENpdGU+PEF1dGhvcj5TdGVja2VsPC9BdXRob3I+PFllYXI+MjAxMjwvWWVhcj48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</w:fldData>
        </w:fldChar>
      </w:r>
      <w:r w:rsidR="00284351" w:rsidRPr="00653DB3">
        <w:rPr>
          <w:rFonts w:asciiTheme="majorHAnsi" w:hAnsiTheme="majorHAnsi"/>
        </w:rPr>
        <w:instrText xml:space="preserve"> ADDIN EN.CITE.DATA </w:instrText>
      </w:r>
      <w:r w:rsidR="00284351" w:rsidRPr="00653DB3">
        <w:rPr>
          <w:rFonts w:asciiTheme="majorHAnsi" w:hAnsiTheme="majorHAnsi"/>
        </w:rPr>
      </w:r>
      <w:r w:rsidR="00284351" w:rsidRPr="00653DB3">
        <w:rPr>
          <w:rFonts w:asciiTheme="majorHAnsi" w:hAnsiTheme="majorHAnsi"/>
        </w:rPr>
        <w:fldChar w:fldCharType="end"/>
      </w:r>
      <w:r w:rsidR="00284351" w:rsidRPr="00653DB3">
        <w:rPr>
          <w:rFonts w:asciiTheme="majorHAnsi" w:hAnsiTheme="majorHAnsi"/>
        </w:rPr>
      </w:r>
      <w:r w:rsidR="00284351" w:rsidRPr="00653DB3">
        <w:rPr>
          <w:rFonts w:asciiTheme="majorHAnsi" w:hAnsiTheme="majorHAnsi"/>
        </w:rPr>
        <w:fldChar w:fldCharType="separate"/>
      </w:r>
      <w:r w:rsidR="00284351" w:rsidRPr="00653DB3">
        <w:rPr>
          <w:rFonts w:asciiTheme="majorHAnsi" w:hAnsiTheme="majorHAnsi"/>
          <w:noProof/>
        </w:rPr>
        <w:t>(Steckel et al., 2012)</w:t>
      </w:r>
      <w:r w:rsidR="00284351" w:rsidRPr="00653DB3">
        <w:rPr>
          <w:rFonts w:asciiTheme="majorHAnsi" w:hAnsiTheme="majorHAnsi"/>
        </w:rPr>
        <w:fldChar w:fldCharType="end"/>
      </w:r>
      <w:r w:rsidRPr="00653DB3">
        <w:rPr>
          <w:rFonts w:asciiTheme="majorHAnsi" w:hAnsiTheme="majorHAnsi"/>
        </w:rPr>
        <w:t xml:space="preserve">. This indicates that mutant </w:t>
      </w:r>
      <w:r w:rsidRPr="00B74B51">
        <w:rPr>
          <w:rFonts w:asciiTheme="majorHAnsi" w:hAnsiTheme="majorHAnsi"/>
          <w:i/>
        </w:rPr>
        <w:t>RAS</w:t>
      </w:r>
      <w:r w:rsidRPr="00653DB3">
        <w:rPr>
          <w:rFonts w:asciiTheme="majorHAnsi" w:hAnsiTheme="majorHAnsi"/>
        </w:rPr>
        <w:t xml:space="preserve"> cells are less able to detect and cope with damage and so are under more stress.</w:t>
      </w:r>
      <w:r w:rsidR="00284351">
        <w:rPr>
          <w:rFonts w:asciiTheme="majorHAnsi" w:hAnsiTheme="majorHAnsi"/>
        </w:rPr>
        <w:t xml:space="preserve"> Therefore, it was</w:t>
      </w:r>
      <w:r w:rsidR="001006BA">
        <w:rPr>
          <w:rFonts w:asciiTheme="majorHAnsi" w:hAnsiTheme="majorHAnsi"/>
        </w:rPr>
        <w:t xml:space="preserve"> hypothes</w:t>
      </w:r>
      <w:r w:rsidR="00377382">
        <w:rPr>
          <w:rFonts w:asciiTheme="majorHAnsi" w:hAnsiTheme="majorHAnsi"/>
        </w:rPr>
        <w:t>ised that the cell lines over-</w:t>
      </w:r>
      <w:r w:rsidR="001006BA">
        <w:rPr>
          <w:rFonts w:asciiTheme="majorHAnsi" w:hAnsiTheme="majorHAnsi"/>
        </w:rPr>
        <w:t xml:space="preserve">expressing RAS </w:t>
      </w:r>
      <w:r w:rsidR="00284351">
        <w:rPr>
          <w:rFonts w:asciiTheme="majorHAnsi" w:hAnsiTheme="majorHAnsi"/>
        </w:rPr>
        <w:t xml:space="preserve">generated here </w:t>
      </w:r>
      <w:r w:rsidR="001006BA">
        <w:rPr>
          <w:rFonts w:asciiTheme="majorHAnsi" w:hAnsiTheme="majorHAnsi"/>
        </w:rPr>
        <w:t xml:space="preserve">would </w:t>
      </w:r>
      <w:r w:rsidR="00284351">
        <w:rPr>
          <w:rFonts w:asciiTheme="majorHAnsi" w:hAnsiTheme="majorHAnsi"/>
        </w:rPr>
        <w:t xml:space="preserve">also </w:t>
      </w:r>
      <w:r w:rsidR="001006BA">
        <w:rPr>
          <w:rFonts w:asciiTheme="majorHAnsi" w:hAnsiTheme="majorHAnsi"/>
        </w:rPr>
        <w:t>have an increased DNA damage phenotype compared to parental cell lines</w:t>
      </w:r>
      <w:r w:rsidR="00284351">
        <w:rPr>
          <w:rFonts w:asciiTheme="majorHAnsi" w:hAnsiTheme="majorHAnsi"/>
        </w:rPr>
        <w:t>, particularly</w:t>
      </w:r>
      <w:r w:rsidR="00FA3BAC">
        <w:rPr>
          <w:rFonts w:asciiTheme="majorHAnsi" w:hAnsiTheme="majorHAnsi"/>
        </w:rPr>
        <w:t xml:space="preserve"> when </w:t>
      </w:r>
      <w:r w:rsidR="00FA3BAC" w:rsidRPr="00B74B51">
        <w:rPr>
          <w:rFonts w:asciiTheme="majorHAnsi" w:hAnsiTheme="majorHAnsi"/>
          <w:i/>
        </w:rPr>
        <w:t>SRCAP</w:t>
      </w:r>
      <w:r w:rsidR="00FA3BAC">
        <w:rPr>
          <w:rFonts w:asciiTheme="majorHAnsi" w:hAnsiTheme="majorHAnsi"/>
        </w:rPr>
        <w:t xml:space="preserve"> </w:t>
      </w:r>
      <w:r w:rsidR="00284351">
        <w:rPr>
          <w:rFonts w:asciiTheme="majorHAnsi" w:hAnsiTheme="majorHAnsi"/>
        </w:rPr>
        <w:t xml:space="preserve">is depleted </w:t>
      </w:r>
      <w:r w:rsidR="00FA3BAC">
        <w:rPr>
          <w:rFonts w:asciiTheme="majorHAnsi" w:hAnsiTheme="majorHAnsi"/>
        </w:rPr>
        <w:t>to induce genome instability</w:t>
      </w:r>
      <w:r w:rsidR="00284351">
        <w:rPr>
          <w:rFonts w:asciiTheme="majorHAnsi" w:hAnsiTheme="majorHAnsi"/>
        </w:rPr>
        <w:t xml:space="preserve"> (see chapter 4). </w:t>
      </w:r>
    </w:p>
    <w:p w14:paraId="4BBDB926" w14:textId="77777777" w:rsidR="00233D1B" w:rsidRDefault="00233D1B" w:rsidP="003D7110">
      <w:pPr>
        <w:spacing w:line="360" w:lineRule="auto"/>
        <w:jc w:val="both"/>
        <w:rPr>
          <w:rFonts w:asciiTheme="majorHAnsi" w:hAnsiTheme="majorHAnsi"/>
        </w:rPr>
      </w:pPr>
    </w:p>
    <w:p w14:paraId="0F48D96B" w14:textId="4D05707D" w:rsidR="00E26F94" w:rsidRDefault="00284351" w:rsidP="003D7110">
      <w:pPr>
        <w:spacing w:line="360" w:lineRule="auto"/>
        <w:jc w:val="both"/>
        <w:rPr>
          <w:rFonts w:asciiTheme="majorHAnsi" w:hAnsiTheme="majorHAnsi"/>
        </w:rPr>
      </w:pPr>
      <w:r>
        <w:rPr>
          <w:rFonts w:asciiTheme="majorHAnsi" w:hAnsiTheme="majorHAnsi"/>
        </w:rPr>
        <w:t>DNA damage was therefore assessed as p</w:t>
      </w:r>
      <w:r w:rsidR="004805B7">
        <w:rPr>
          <w:rFonts w:asciiTheme="majorHAnsi" w:hAnsiTheme="majorHAnsi"/>
        </w:rPr>
        <w:t>reviously described in Chapter 3</w:t>
      </w:r>
      <w:r>
        <w:rPr>
          <w:rFonts w:asciiTheme="majorHAnsi" w:hAnsiTheme="majorHAnsi"/>
        </w:rPr>
        <w:t xml:space="preserve"> using the markers </w:t>
      </w:r>
      <w:r>
        <w:rPr>
          <w:rFonts w:ascii="Calibri" w:hAnsi="Calibri"/>
        </w:rPr>
        <w:t>γ</w:t>
      </w:r>
      <w:r>
        <w:rPr>
          <w:rFonts w:asciiTheme="majorHAnsi" w:hAnsiTheme="majorHAnsi"/>
        </w:rPr>
        <w:t>H2AX and 53BP1</w:t>
      </w:r>
      <w:r w:rsidR="004805B7">
        <w:rPr>
          <w:rFonts w:asciiTheme="majorHAnsi" w:hAnsiTheme="majorHAnsi"/>
        </w:rPr>
        <w:t xml:space="preserve"> (Figure 5.3a)</w:t>
      </w:r>
      <w:r>
        <w:rPr>
          <w:rFonts w:asciiTheme="majorHAnsi" w:hAnsiTheme="majorHAnsi"/>
        </w:rPr>
        <w:t xml:space="preserve">. </w:t>
      </w:r>
      <w:r w:rsidR="00CD10A5">
        <w:rPr>
          <w:rFonts w:asciiTheme="majorHAnsi" w:hAnsiTheme="majorHAnsi"/>
        </w:rPr>
        <w:t>In SW480 cells there was a trend towards an</w:t>
      </w:r>
      <w:r w:rsidR="004918DE">
        <w:rPr>
          <w:rFonts w:asciiTheme="majorHAnsi" w:hAnsiTheme="majorHAnsi"/>
        </w:rPr>
        <w:t xml:space="preserve"> increase in DNA damage markers when RAS was over</w:t>
      </w:r>
      <w:r w:rsidR="00377382">
        <w:rPr>
          <w:rFonts w:asciiTheme="majorHAnsi" w:hAnsiTheme="majorHAnsi"/>
        </w:rPr>
        <w:t>-</w:t>
      </w:r>
      <w:r w:rsidR="004918DE">
        <w:rPr>
          <w:rFonts w:asciiTheme="majorHAnsi" w:hAnsiTheme="majorHAnsi"/>
        </w:rPr>
        <w:t xml:space="preserve">expressed, and this increased </w:t>
      </w:r>
      <w:r w:rsidR="00CD10A5">
        <w:rPr>
          <w:rFonts w:asciiTheme="majorHAnsi" w:hAnsiTheme="majorHAnsi"/>
        </w:rPr>
        <w:t>to significance</w:t>
      </w:r>
      <w:r w:rsidR="004918DE">
        <w:rPr>
          <w:rFonts w:asciiTheme="majorHAnsi" w:hAnsiTheme="majorHAnsi"/>
        </w:rPr>
        <w:t xml:space="preserve"> </w:t>
      </w:r>
      <w:r w:rsidR="00F21797">
        <w:rPr>
          <w:rFonts w:asciiTheme="majorHAnsi" w:hAnsiTheme="majorHAnsi"/>
        </w:rPr>
        <w:t>compared to</w:t>
      </w:r>
      <w:r w:rsidR="004918DE">
        <w:rPr>
          <w:rFonts w:asciiTheme="majorHAnsi" w:hAnsiTheme="majorHAnsi"/>
        </w:rPr>
        <w:t xml:space="preserve"> the control cells when </w:t>
      </w:r>
      <w:r w:rsidR="004918DE" w:rsidRPr="00B74B51">
        <w:rPr>
          <w:rFonts w:asciiTheme="majorHAnsi" w:hAnsiTheme="majorHAnsi"/>
          <w:i/>
        </w:rPr>
        <w:t>SRCAP</w:t>
      </w:r>
      <w:r w:rsidR="004918DE">
        <w:rPr>
          <w:rFonts w:asciiTheme="majorHAnsi" w:hAnsiTheme="majorHAnsi"/>
        </w:rPr>
        <w:t xml:space="preserve"> was knocked down</w:t>
      </w:r>
      <w:r w:rsidR="004805B7">
        <w:rPr>
          <w:rFonts w:asciiTheme="majorHAnsi" w:hAnsiTheme="majorHAnsi"/>
        </w:rPr>
        <w:t xml:space="preserve"> (Figure 5.3b</w:t>
      </w:r>
      <w:r>
        <w:rPr>
          <w:rFonts w:asciiTheme="majorHAnsi" w:hAnsiTheme="majorHAnsi"/>
        </w:rPr>
        <w:t>)</w:t>
      </w:r>
      <w:r w:rsidR="004918DE">
        <w:rPr>
          <w:rFonts w:asciiTheme="majorHAnsi" w:hAnsiTheme="majorHAnsi"/>
        </w:rPr>
        <w:t xml:space="preserve">. However, in HCT116 cells </w:t>
      </w:r>
      <w:r w:rsidR="00C23AC2">
        <w:rPr>
          <w:rFonts w:asciiTheme="majorHAnsi" w:hAnsiTheme="majorHAnsi"/>
        </w:rPr>
        <w:t xml:space="preserve">although </w:t>
      </w:r>
      <w:r w:rsidR="004918DE">
        <w:rPr>
          <w:rFonts w:asciiTheme="majorHAnsi" w:hAnsiTheme="majorHAnsi"/>
        </w:rPr>
        <w:t xml:space="preserve">there was a </w:t>
      </w:r>
      <w:r w:rsidR="00CD10A5">
        <w:rPr>
          <w:rFonts w:asciiTheme="majorHAnsi" w:hAnsiTheme="majorHAnsi"/>
        </w:rPr>
        <w:t>significant increase</w:t>
      </w:r>
      <w:r w:rsidR="004918DE">
        <w:rPr>
          <w:rFonts w:asciiTheme="majorHAnsi" w:hAnsiTheme="majorHAnsi"/>
        </w:rPr>
        <w:t xml:space="preserve"> </w:t>
      </w:r>
      <w:r w:rsidR="00CD10A5">
        <w:rPr>
          <w:rFonts w:asciiTheme="majorHAnsi" w:hAnsiTheme="majorHAnsi"/>
        </w:rPr>
        <w:t xml:space="preserve">in </w:t>
      </w:r>
      <w:r w:rsidR="004918DE">
        <w:rPr>
          <w:rFonts w:asciiTheme="majorHAnsi" w:hAnsiTheme="majorHAnsi"/>
        </w:rPr>
        <w:t>damage in the RAS cells</w:t>
      </w:r>
      <w:r w:rsidR="00896936">
        <w:rPr>
          <w:rFonts w:asciiTheme="majorHAnsi" w:hAnsiTheme="majorHAnsi"/>
        </w:rPr>
        <w:t>, this was no</w:t>
      </w:r>
      <w:r w:rsidR="00C23AC2">
        <w:rPr>
          <w:rFonts w:asciiTheme="majorHAnsi" w:hAnsiTheme="majorHAnsi"/>
        </w:rPr>
        <w:t xml:space="preserve">t </w:t>
      </w:r>
      <w:r>
        <w:rPr>
          <w:rFonts w:asciiTheme="majorHAnsi" w:hAnsiTheme="majorHAnsi"/>
        </w:rPr>
        <w:t>increased</w:t>
      </w:r>
      <w:r w:rsidR="00C23AC2">
        <w:rPr>
          <w:rFonts w:asciiTheme="majorHAnsi" w:hAnsiTheme="majorHAnsi"/>
        </w:rPr>
        <w:t xml:space="preserve"> </w:t>
      </w:r>
      <w:r w:rsidR="00D12AA2">
        <w:rPr>
          <w:rFonts w:asciiTheme="majorHAnsi" w:hAnsiTheme="majorHAnsi"/>
        </w:rPr>
        <w:t xml:space="preserve">further </w:t>
      </w:r>
      <w:r w:rsidR="00C23AC2">
        <w:rPr>
          <w:rFonts w:asciiTheme="majorHAnsi" w:hAnsiTheme="majorHAnsi"/>
        </w:rPr>
        <w:t xml:space="preserve">when </w:t>
      </w:r>
      <w:r w:rsidR="00C23AC2" w:rsidRPr="00B74B51">
        <w:rPr>
          <w:rFonts w:asciiTheme="majorHAnsi" w:hAnsiTheme="majorHAnsi"/>
          <w:i/>
        </w:rPr>
        <w:t>SRCAP</w:t>
      </w:r>
      <w:r w:rsidR="00C23AC2">
        <w:rPr>
          <w:rFonts w:asciiTheme="majorHAnsi" w:hAnsiTheme="majorHAnsi"/>
        </w:rPr>
        <w:t xml:space="preserve"> was knocked down</w:t>
      </w:r>
      <w:r w:rsidR="004805B7">
        <w:rPr>
          <w:rFonts w:asciiTheme="majorHAnsi" w:hAnsiTheme="majorHAnsi"/>
        </w:rPr>
        <w:t xml:space="preserve"> (Figure 5.3c</w:t>
      </w:r>
      <w:r>
        <w:rPr>
          <w:rFonts w:asciiTheme="majorHAnsi" w:hAnsiTheme="majorHAnsi"/>
        </w:rPr>
        <w:t>)</w:t>
      </w:r>
      <w:r w:rsidR="00C23AC2">
        <w:rPr>
          <w:rFonts w:asciiTheme="majorHAnsi" w:hAnsiTheme="majorHAnsi"/>
        </w:rPr>
        <w:t xml:space="preserve">. Interestingly, </w:t>
      </w:r>
      <w:r w:rsidR="00F21797">
        <w:rPr>
          <w:rFonts w:asciiTheme="majorHAnsi" w:hAnsiTheme="majorHAnsi"/>
        </w:rPr>
        <w:t xml:space="preserve">the data </w:t>
      </w:r>
      <w:r w:rsidR="00D12AA2">
        <w:rPr>
          <w:rFonts w:asciiTheme="majorHAnsi" w:hAnsiTheme="majorHAnsi"/>
        </w:rPr>
        <w:t>are</w:t>
      </w:r>
      <w:r w:rsidR="00F21797">
        <w:rPr>
          <w:rFonts w:asciiTheme="majorHAnsi" w:hAnsiTheme="majorHAnsi"/>
        </w:rPr>
        <w:t xml:space="preserve"> consistent with a slight recovery in the DNA damage pathway </w:t>
      </w:r>
      <w:r w:rsidR="004D0530">
        <w:rPr>
          <w:rFonts w:asciiTheme="majorHAnsi" w:hAnsiTheme="majorHAnsi"/>
        </w:rPr>
        <w:t>when RAS over</w:t>
      </w:r>
      <w:r w:rsidR="00377382">
        <w:rPr>
          <w:rFonts w:asciiTheme="majorHAnsi" w:hAnsiTheme="majorHAnsi"/>
        </w:rPr>
        <w:t>-</w:t>
      </w:r>
      <w:r w:rsidR="004D0530">
        <w:rPr>
          <w:rFonts w:asciiTheme="majorHAnsi" w:hAnsiTheme="majorHAnsi"/>
        </w:rPr>
        <w:t xml:space="preserve">expressing HCT116 cells have </w:t>
      </w:r>
      <w:r w:rsidR="004D0530" w:rsidRPr="00B74B51">
        <w:rPr>
          <w:rFonts w:asciiTheme="majorHAnsi" w:hAnsiTheme="majorHAnsi"/>
          <w:i/>
        </w:rPr>
        <w:t>SRCAP</w:t>
      </w:r>
      <w:r w:rsidR="004D0530">
        <w:rPr>
          <w:rFonts w:asciiTheme="majorHAnsi" w:hAnsiTheme="majorHAnsi"/>
        </w:rPr>
        <w:t xml:space="preserve"> depleted</w:t>
      </w:r>
      <w:r w:rsidR="00F21797">
        <w:rPr>
          <w:rFonts w:asciiTheme="majorHAnsi" w:hAnsiTheme="majorHAnsi"/>
        </w:rPr>
        <w:t>, although this was not statistically significant</w:t>
      </w:r>
      <w:r w:rsidR="004D0530">
        <w:rPr>
          <w:rFonts w:asciiTheme="majorHAnsi" w:hAnsiTheme="majorHAnsi"/>
        </w:rPr>
        <w:t xml:space="preserve">. </w:t>
      </w:r>
      <w:r w:rsidR="003456F1">
        <w:rPr>
          <w:rFonts w:asciiTheme="majorHAnsi" w:hAnsiTheme="majorHAnsi"/>
        </w:rPr>
        <w:t>In MRC5 cells there was an increase in DNA damage when RAS was over</w:t>
      </w:r>
      <w:r w:rsidR="00CD10A5">
        <w:rPr>
          <w:rFonts w:asciiTheme="majorHAnsi" w:hAnsiTheme="majorHAnsi"/>
        </w:rPr>
        <w:t>-</w:t>
      </w:r>
      <w:r w:rsidR="003456F1">
        <w:rPr>
          <w:rFonts w:asciiTheme="majorHAnsi" w:hAnsiTheme="majorHAnsi"/>
        </w:rPr>
        <w:t>expressed</w:t>
      </w:r>
      <w:r w:rsidR="00CD10A5">
        <w:rPr>
          <w:rFonts w:asciiTheme="majorHAnsi" w:hAnsiTheme="majorHAnsi"/>
        </w:rPr>
        <w:t xml:space="preserve"> in RAS2</w:t>
      </w:r>
      <w:r w:rsidR="00F21797">
        <w:rPr>
          <w:rFonts w:asciiTheme="majorHAnsi" w:hAnsiTheme="majorHAnsi"/>
        </w:rPr>
        <w:t xml:space="preserve">; </w:t>
      </w:r>
      <w:r w:rsidR="003456F1">
        <w:rPr>
          <w:rFonts w:asciiTheme="majorHAnsi" w:hAnsiTheme="majorHAnsi"/>
        </w:rPr>
        <w:t xml:space="preserve">clone 1 followed the same pattern as SW480 cells </w:t>
      </w:r>
      <w:r w:rsidR="00F21797">
        <w:rPr>
          <w:rFonts w:asciiTheme="majorHAnsi" w:hAnsiTheme="majorHAnsi"/>
        </w:rPr>
        <w:t xml:space="preserve">i.e. </w:t>
      </w:r>
      <w:r w:rsidR="003456F1" w:rsidRPr="00B74B51">
        <w:rPr>
          <w:rFonts w:asciiTheme="majorHAnsi" w:hAnsiTheme="majorHAnsi"/>
          <w:i/>
        </w:rPr>
        <w:t>SRCAP</w:t>
      </w:r>
      <w:r w:rsidR="003456F1">
        <w:rPr>
          <w:rFonts w:asciiTheme="majorHAnsi" w:hAnsiTheme="majorHAnsi"/>
        </w:rPr>
        <w:t xml:space="preserve"> knockdown</w:t>
      </w:r>
      <w:r w:rsidR="00F21797">
        <w:rPr>
          <w:rFonts w:asciiTheme="majorHAnsi" w:hAnsiTheme="majorHAnsi"/>
        </w:rPr>
        <w:t xml:space="preserve"> in RAS cells</w:t>
      </w:r>
      <w:r w:rsidR="003456F1">
        <w:rPr>
          <w:rFonts w:asciiTheme="majorHAnsi" w:hAnsiTheme="majorHAnsi"/>
        </w:rPr>
        <w:t xml:space="preserve"> </w:t>
      </w:r>
      <w:r w:rsidR="00F21797">
        <w:rPr>
          <w:rFonts w:asciiTheme="majorHAnsi" w:hAnsiTheme="majorHAnsi"/>
        </w:rPr>
        <w:t xml:space="preserve">produced </w:t>
      </w:r>
      <w:r w:rsidR="003456F1">
        <w:rPr>
          <w:rFonts w:asciiTheme="majorHAnsi" w:hAnsiTheme="majorHAnsi"/>
        </w:rPr>
        <w:t xml:space="preserve">a more significant increase in damage, </w:t>
      </w:r>
      <w:r w:rsidR="00F21797">
        <w:rPr>
          <w:rFonts w:asciiTheme="majorHAnsi" w:hAnsiTheme="majorHAnsi"/>
        </w:rPr>
        <w:t xml:space="preserve">but clone 2 </w:t>
      </w:r>
      <w:r w:rsidR="003456F1">
        <w:rPr>
          <w:rFonts w:asciiTheme="majorHAnsi" w:hAnsiTheme="majorHAnsi"/>
        </w:rPr>
        <w:t>had similar numbers of foci</w:t>
      </w:r>
      <w:r w:rsidR="004805B7">
        <w:rPr>
          <w:rFonts w:asciiTheme="majorHAnsi" w:hAnsiTheme="majorHAnsi"/>
        </w:rPr>
        <w:t xml:space="preserve"> (Figure 5.3d</w:t>
      </w:r>
      <w:r>
        <w:rPr>
          <w:rFonts w:asciiTheme="majorHAnsi" w:hAnsiTheme="majorHAnsi"/>
        </w:rPr>
        <w:t>)</w:t>
      </w:r>
      <w:r w:rsidR="003456F1">
        <w:rPr>
          <w:rFonts w:asciiTheme="majorHAnsi" w:hAnsiTheme="majorHAnsi"/>
        </w:rPr>
        <w:t xml:space="preserve">. </w:t>
      </w:r>
      <w:r w:rsidR="00233D1B">
        <w:rPr>
          <w:rFonts w:asciiTheme="majorHAnsi" w:hAnsiTheme="majorHAnsi"/>
        </w:rPr>
        <w:t>It could be that the difference between the two CRC c</w:t>
      </w:r>
      <w:r w:rsidR="00B74B51">
        <w:rPr>
          <w:rFonts w:asciiTheme="majorHAnsi" w:hAnsiTheme="majorHAnsi"/>
        </w:rPr>
        <w:t xml:space="preserve">ell lines was again because of </w:t>
      </w:r>
      <w:r w:rsidR="00B74B51" w:rsidRPr="00B74B51">
        <w:rPr>
          <w:rFonts w:asciiTheme="majorHAnsi" w:hAnsiTheme="majorHAnsi"/>
          <w:i/>
        </w:rPr>
        <w:t>TP</w:t>
      </w:r>
      <w:r w:rsidR="00233D1B" w:rsidRPr="00B74B51">
        <w:rPr>
          <w:rFonts w:asciiTheme="majorHAnsi" w:hAnsiTheme="majorHAnsi"/>
          <w:i/>
        </w:rPr>
        <w:t>53</w:t>
      </w:r>
      <w:r w:rsidR="00233D1B">
        <w:rPr>
          <w:rFonts w:asciiTheme="majorHAnsi" w:hAnsiTheme="majorHAnsi"/>
        </w:rPr>
        <w:t xml:space="preserve"> status. However, MRC5 ce</w:t>
      </w:r>
      <w:r w:rsidR="00B74B51">
        <w:rPr>
          <w:rFonts w:asciiTheme="majorHAnsi" w:hAnsiTheme="majorHAnsi"/>
        </w:rPr>
        <w:t xml:space="preserve">lls are </w:t>
      </w:r>
      <w:r w:rsidR="00B74B51" w:rsidRPr="00B74B51">
        <w:rPr>
          <w:rFonts w:asciiTheme="majorHAnsi" w:hAnsiTheme="majorHAnsi"/>
          <w:i/>
        </w:rPr>
        <w:t>TP</w:t>
      </w:r>
      <w:r w:rsidR="00233D1B" w:rsidRPr="00B74B51">
        <w:rPr>
          <w:rFonts w:asciiTheme="majorHAnsi" w:hAnsiTheme="majorHAnsi"/>
          <w:i/>
        </w:rPr>
        <w:t>53</w:t>
      </w:r>
      <w:r w:rsidR="00233D1B">
        <w:rPr>
          <w:rFonts w:asciiTheme="majorHAnsi" w:hAnsiTheme="majorHAnsi"/>
        </w:rPr>
        <w:t xml:space="preserve"> proficient like HCT116 cells</w:t>
      </w:r>
      <w:r w:rsidR="00D954A1">
        <w:rPr>
          <w:rFonts w:asciiTheme="majorHAnsi" w:hAnsiTheme="majorHAnsi"/>
        </w:rPr>
        <w:t xml:space="preserve"> </w:t>
      </w:r>
      <w:r w:rsidR="00D954A1">
        <w:rPr>
          <w:rFonts w:asciiTheme="majorHAnsi" w:hAnsiTheme="majorHAnsi"/>
        </w:rPr>
        <w:fldChar w:fldCharType="begin"/>
      </w:r>
      <w:r w:rsidR="00D954A1">
        <w:rPr>
          <w:rFonts w:asciiTheme="majorHAnsi" w:hAnsiTheme="majorHAnsi"/>
        </w:rPr>
        <w:instrText xml:space="preserve"> ADDIN EN.CITE &lt;EndNote&gt;&lt;Cite&gt;&lt;Author&gt;Ashcroft&lt;/Author&gt;&lt;Year&gt;2000&lt;/Year&gt;&lt;IDText&gt;Stress signals utilize multiple pathways to stabilize p53&lt;/IDText&gt;&lt;DisplayText&gt;(Ashcroft et al., 2000)&lt;/DisplayText&gt;&lt;record&gt;&lt;dates&gt;&lt;pub-dates&gt;&lt;date&gt;May&lt;/date&gt;&lt;/pub-dates&gt;&lt;year&gt;2000&lt;/year&gt;&lt;/dates&gt;&lt;keywords&gt;&lt;keyword&gt;Blotting, Northern&lt;/keyword&gt;&lt;keyword&gt;Camptothecin&lt;/keyword&gt;&lt;keyword&gt;Cells, Cultured&lt;/keyword&gt;&lt;keyword&gt;Chelating Agents&lt;/keyword&gt;&lt;keyword&gt;Cyclin-Dependent Kinase Inhibitor p21&lt;/keyword&gt;&lt;keyword&gt;Cyclins&lt;/keyword&gt;&lt;keyword&gt;Dactinomycin&lt;/keyword&gt;&lt;keyword&gt;Deferoxamine&lt;/keyword&gt;&lt;keyword&gt;Down-Regulation&lt;/keyword&gt;&lt;keyword&gt;Enzyme Inhibitors&lt;/keyword&gt;&lt;keyword&gt;Fibroblasts&lt;/keyword&gt;&lt;keyword&gt;Humans&lt;/keyword&gt;&lt;keyword&gt;Immunoblotting&lt;/keyword&gt;&lt;keyword&gt;Microscopy, Fluorescence&lt;/keyword&gt;&lt;keyword&gt;Nuclear Proteins&lt;/keyword&gt;&lt;keyword&gt;Nucleic Acid Synthesis Inhibitors&lt;/keyword&gt;&lt;keyword&gt;Phosphorylation&lt;/keyword&gt;&lt;keyword&gt;Proto-Oncogene Proteins&lt;/keyword&gt;&lt;keyword&gt;Proto-Oncogene Proteins c-mdm2&lt;/keyword&gt;&lt;keyword&gt;Serine&lt;/keyword&gt;&lt;keyword&gt;Stress, Physiological&lt;/keyword&gt;&lt;keyword&gt;Time Factors&lt;/keyword&gt;&lt;keyword&gt;Transcription, Genetic&lt;/keyword&gt;&lt;keyword&gt;Tumor Cells, Cultured&lt;/keyword&gt;&lt;keyword&gt;Tumor Suppressor Protein p53&lt;/keyword&gt;&lt;/keywords&gt;&lt;urls&gt;&lt;related-urls&gt;&lt;url&gt;https://www.ncbi.nlm.nih.gov/pubmed/10757806&lt;/url&gt;&lt;/related-urls&gt;&lt;/urls&gt;&lt;isbn&gt;0270-7306&lt;/isbn&gt;&lt;custom2&gt;PMC85616&lt;/custom2&gt;&lt;titles&gt;&lt;title&gt;Stress signals utilize multiple pathways to stabilize p53&lt;/title&gt;&lt;secondary-title&gt;Mol Cell Biol&lt;/secondary-title&gt;&lt;/titles&gt;&lt;pages&gt;3224-33&lt;/pages&gt;&lt;number&gt;9&lt;/number&gt;&lt;contributors&gt;&lt;authors&gt;&lt;author&gt;Ashcroft, M.&lt;/author&gt;&lt;author&gt;Taya, Y.&lt;/author&gt;&lt;author&gt;Vousden, K. H.&lt;/author&gt;&lt;/authors&gt;&lt;/contributors&gt;&lt;language&gt;eng&lt;/language&gt;&lt;added-date format="utc"&gt;1502368566&lt;/added-date&gt;&lt;ref-type name="Journal Article"&gt;17&lt;/ref-type&gt;&lt;rec-number&gt;246&lt;/rec-number&gt;&lt;last-updated-date format="utc"&gt;1502368566&lt;/last-updated-date&gt;&lt;accession-num&gt;10757806&lt;/accession-num&gt;&lt;volume&gt;20&lt;/volume&gt;&lt;/record&gt;&lt;/Cite&gt;&lt;/EndNote&gt;</w:instrText>
      </w:r>
      <w:r w:rsidR="00D954A1">
        <w:rPr>
          <w:rFonts w:asciiTheme="majorHAnsi" w:hAnsiTheme="majorHAnsi"/>
        </w:rPr>
        <w:fldChar w:fldCharType="separate"/>
      </w:r>
      <w:r w:rsidR="00D954A1">
        <w:rPr>
          <w:rFonts w:asciiTheme="majorHAnsi" w:hAnsiTheme="majorHAnsi"/>
          <w:noProof/>
        </w:rPr>
        <w:t>(Ashcroft et al., 2000)</w:t>
      </w:r>
      <w:r w:rsidR="00D954A1">
        <w:rPr>
          <w:rFonts w:asciiTheme="majorHAnsi" w:hAnsiTheme="majorHAnsi"/>
        </w:rPr>
        <w:fldChar w:fldCharType="end"/>
      </w:r>
      <w:r w:rsidR="00233D1B">
        <w:rPr>
          <w:rFonts w:asciiTheme="majorHAnsi" w:hAnsiTheme="majorHAnsi"/>
        </w:rPr>
        <w:t xml:space="preserve">, but </w:t>
      </w:r>
      <w:r w:rsidR="00F21797">
        <w:rPr>
          <w:rFonts w:asciiTheme="majorHAnsi" w:hAnsiTheme="majorHAnsi"/>
        </w:rPr>
        <w:t xml:space="preserve">in clone one </w:t>
      </w:r>
      <w:r w:rsidR="00233D1B">
        <w:rPr>
          <w:rFonts w:asciiTheme="majorHAnsi" w:hAnsiTheme="majorHAnsi"/>
        </w:rPr>
        <w:t xml:space="preserve">they seem to follow a more similar pattern to the SW480 cells. </w:t>
      </w:r>
    </w:p>
    <w:p w14:paraId="5B7AECD2" w14:textId="77777777" w:rsidR="00E26F94" w:rsidRDefault="00E26F94">
      <w:pPr>
        <w:rPr>
          <w:rFonts w:asciiTheme="majorHAnsi" w:hAnsiTheme="majorHAnsi"/>
        </w:rPr>
      </w:pPr>
      <w:r>
        <w:rPr>
          <w:rFonts w:asciiTheme="majorHAnsi" w:hAnsiTheme="majorHAnsi"/>
        </w:rPr>
        <w:br w:type="page"/>
      </w:r>
    </w:p>
    <w:p w14:paraId="47D3B5EB" w14:textId="09D609F2" w:rsidR="003D7110" w:rsidRPr="00653DB3" w:rsidRDefault="00970748" w:rsidP="003D7110">
      <w:pPr>
        <w:spacing w:line="360" w:lineRule="auto"/>
        <w:jc w:val="both"/>
        <w:rPr>
          <w:rFonts w:asciiTheme="majorHAnsi" w:hAnsiTheme="majorHAnsi"/>
        </w:rPr>
      </w:pPr>
      <w:r>
        <w:rPr>
          <w:noProof/>
          <w:lang w:val="en-US"/>
        </w:rPr>
        <mc:AlternateContent>
          <mc:Choice Requires="wps">
            <w:drawing>
              <wp:anchor distT="0" distB="0" distL="114300" distR="114300" simplePos="0" relativeHeight="251722752" behindDoc="0" locked="0" layoutInCell="1" allowOverlap="1" wp14:anchorId="7CF772A4" wp14:editId="61EE436B">
                <wp:simplePos x="0" y="0"/>
                <wp:positionH relativeFrom="column">
                  <wp:posOffset>3543300</wp:posOffset>
                </wp:positionH>
                <wp:positionV relativeFrom="paragraph">
                  <wp:posOffset>-114300</wp:posOffset>
                </wp:positionV>
                <wp:extent cx="1028700" cy="68580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1028700" cy="685800"/>
                        </a:xfrm>
                        <a:prstGeom prst="rect">
                          <a:avLst/>
                        </a:prstGeom>
                        <a:noFill/>
                        <a:ln>
                          <a:noFill/>
                        </a:ln>
                        <a:effectLst/>
                        <a:extLst>
                          <a:ext uri="{C572A759-6A51-4108-AA02-DFA0A04FC94B}">
                            <ma14:wrappingTextBoxFlag xmlns:ma14="http://schemas.microsoft.com/office/mac/drawingml/2011/main"/>
                          </a:ext>
                        </a:extLst>
                      </wps:spPr>
                      <wps:txbx>
                        <w:txbxContent>
                          <w:p w14:paraId="1CE0705C" w14:textId="3B72A78F" w:rsidR="00E82D3B" w:rsidRPr="00E92995" w:rsidRDefault="00E82D3B" w:rsidP="00E92995">
                            <w:pPr>
                              <w:pStyle w:val="EndNoteBibliography"/>
                              <w:ind w:left="720" w:hanging="720"/>
                              <w:rPr>
                                <w:rFonts w:asciiTheme="majorHAnsi" w:hAnsiTheme="majorHAnsi"/>
                                <w:b/>
                                <w:sz w:val="40"/>
                              </w:rPr>
                            </w:pPr>
                            <w:r w:rsidRPr="00E92995">
                              <w:rPr>
                                <w:rFonts w:asciiTheme="majorHAnsi" w:hAnsiTheme="majorHAnsi"/>
                                <w:b/>
                                <w:sz w:val="40"/>
                              </w:rPr>
                              <w:t>53BP1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149" type="#_x0000_t202" style="position:absolute;left:0;text-align:left;margin-left:279pt;margin-top:-8.95pt;width:81pt;height:5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" filled="f" stroked="f">
                <v:textbox>
                  <w:txbxContent>
                    <w:p w14:paraId="1CE0705C" w14:textId="3B72A78F" w:rsidR="000A1E0D" w:rsidRPr="00E92995" w:rsidRDefault="000A1E0D" w:rsidP="00E92995">
                      <w:pPr>
                        <w:pStyle w:val="EndNoteBibliography"/>
                        <w:ind w:left="720" w:hanging="720"/>
                        <w:rPr>
                          <w:rFonts w:asciiTheme="majorHAnsi" w:hAnsiTheme="majorHAnsi"/>
                          <w:b/>
                          <w:sz w:val="40"/>
                        </w:rPr>
                      </w:pPr>
                      <w:r w:rsidRPr="00E92995">
                        <w:rPr>
                          <w:rFonts w:asciiTheme="majorHAnsi" w:hAnsiTheme="majorHAnsi"/>
                          <w:b/>
                          <w:sz w:val="40"/>
                        </w:rPr>
                        <w:t>53BP1</w:t>
                      </w:r>
                    </w:p>
                  </w:txbxContent>
                </v:textbox>
                <w10:wrap type="square"/>
              </v:shape>
            </w:pict>
          </mc:Fallback>
        </mc:AlternateContent>
      </w:r>
      <w:r>
        <w:rPr>
          <w:noProof/>
          <w:lang w:val="en-US"/>
        </w:rPr>
        <mc:AlternateContent>
          <mc:Choice Requires="wps">
            <w:drawing>
              <wp:anchor distT="0" distB="0" distL="114300" distR="114300" simplePos="0" relativeHeight="251720704" behindDoc="0" locked="0" layoutInCell="1" allowOverlap="1" wp14:anchorId="28BD6B76" wp14:editId="421A73B1">
                <wp:simplePos x="0" y="0"/>
                <wp:positionH relativeFrom="column">
                  <wp:posOffset>2171700</wp:posOffset>
                </wp:positionH>
                <wp:positionV relativeFrom="paragraph">
                  <wp:posOffset>-114300</wp:posOffset>
                </wp:positionV>
                <wp:extent cx="1028700" cy="6858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0287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ACA0E4" w14:textId="08A67F18" w:rsidR="00E82D3B" w:rsidRPr="00E92995" w:rsidRDefault="00E82D3B">
                            <w:pPr>
                              <w:rPr>
                                <w:rFonts w:asciiTheme="majorHAnsi" w:hAnsiTheme="majorHAnsi"/>
                                <w:b/>
                                <w:sz w:val="40"/>
                              </w:rPr>
                            </w:pPr>
                            <w:r>
                              <w:rPr>
                                <w:rFonts w:asciiTheme="majorHAnsi" w:hAnsiTheme="majorHAnsi"/>
                                <w:b/>
                                <w:sz w:val="40"/>
                              </w:rPr>
                              <w:t xml:space="preserve">  </w:t>
                            </w:r>
                            <w:r w:rsidRPr="00E92995">
                              <w:rPr>
                                <w:rFonts w:asciiTheme="majorHAnsi" w:hAnsiTheme="majorHAnsi"/>
                                <w:b/>
                                <w:sz w:val="40"/>
                              </w:rPr>
                              <w:t>γH2AX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o:spid="_x0000_s1150" type="#_x0000_t202" style="position:absolute;left:0;text-align:left;margin-left:171pt;margin-top:-8.95pt;width:81pt;height:54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" filled="f" stroked="f">
                <v:textbox>
                  <w:txbxContent>
                    <w:p w14:paraId="71ACA0E4" w14:textId="08A67F18" w:rsidR="000A1E0D" w:rsidRPr="00E92995" w:rsidRDefault="000A1E0D">
                      <w:pPr>
                        <w:rPr>
                          <w:rFonts w:asciiTheme="majorHAnsi" w:hAnsiTheme="majorHAnsi"/>
                          <w:b/>
                          <w:sz w:val="40"/>
                        </w:rPr>
                      </w:pPr>
                      <w:r>
                        <w:rPr>
                          <w:rFonts w:asciiTheme="majorHAnsi" w:hAnsiTheme="majorHAnsi"/>
                          <w:b/>
                          <w:sz w:val="40"/>
                        </w:rPr>
                        <w:t xml:space="preserve">  </w:t>
                      </w:r>
                      <w:r w:rsidRPr="00E92995">
                        <w:rPr>
                          <w:rFonts w:asciiTheme="majorHAnsi" w:hAnsiTheme="majorHAnsi"/>
                          <w:b/>
                          <w:sz w:val="40"/>
                        </w:rPr>
                        <w:t>γH2AX</w:t>
                      </w:r>
                    </w:p>
                  </w:txbxContent>
                </v:textbox>
                <w10:wrap type="square"/>
              </v:shape>
            </w:pict>
          </mc:Fallback>
        </mc:AlternateContent>
      </w:r>
      <w:r>
        <w:rPr>
          <w:noProof/>
          <w:lang w:val="en-US"/>
        </w:rPr>
        <w:drawing>
          <wp:anchor distT="0" distB="0" distL="114300" distR="114300" simplePos="0" relativeHeight="251718656" behindDoc="0" locked="0" layoutInCell="1" allowOverlap="1" wp14:anchorId="7ED98573" wp14:editId="51D49ECF">
            <wp:simplePos x="0" y="0"/>
            <wp:positionH relativeFrom="column">
              <wp:posOffset>571500</wp:posOffset>
            </wp:positionH>
            <wp:positionV relativeFrom="paragraph">
              <wp:posOffset>114300</wp:posOffset>
            </wp:positionV>
            <wp:extent cx="4189095" cy="8001000"/>
            <wp:effectExtent l="0" t="0" r="1905" b="0"/>
            <wp:wrapSquare wrapText="bothSides"/>
            <wp:docPr id="26" name="Picture 26" descr="Macintosh HD:Users:ClairFellows:Desktop:Screen Shot 2017-11-10 at 15.0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lairFellows:Desktop:Screen Shot 2017-11-10 at 15.05.56.png"/>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89095" cy="800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92995">
        <w:rPr>
          <w:noProof/>
          <w:lang w:val="en-US"/>
        </w:rPr>
        <mc:AlternateContent>
          <mc:Choice Requires="wps">
            <w:drawing>
              <wp:anchor distT="0" distB="0" distL="114300" distR="114300" simplePos="0" relativeHeight="251723776" behindDoc="0" locked="0" layoutInCell="1" allowOverlap="1" wp14:anchorId="356282A3" wp14:editId="73483498">
                <wp:simplePos x="0" y="0"/>
                <wp:positionH relativeFrom="column">
                  <wp:posOffset>228600</wp:posOffset>
                </wp:positionH>
                <wp:positionV relativeFrom="paragraph">
                  <wp:posOffset>-114300</wp:posOffset>
                </wp:positionV>
                <wp:extent cx="457200" cy="4572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ED1D53" w14:textId="5DB8B5D4" w:rsidR="00E82D3B" w:rsidRPr="00E92995" w:rsidRDefault="00E82D3B">
                            <w:pPr>
                              <w:rPr>
                                <w:b/>
                                <w:sz w:val="28"/>
                              </w:rPr>
                            </w:pPr>
                            <w:proofErr w:type="gramStart"/>
                            <w:r w:rsidRPr="00E92995">
                              <w:rPr>
                                <w:b/>
                                <w:sz w:val="28"/>
                              </w:rPr>
                              <w:t>a</w:t>
                            </w:r>
                            <w:proofErr w:type="gramEnd"/>
                            <w:r w:rsidRPr="00E92995">
                              <w:rPr>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 o:spid="_x0000_s1151" type="#_x0000_t202" style="position:absolute;left:0;text-align:left;margin-left:18pt;margin-top:-8.95pt;width:36pt;height:36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" filled="f" stroked="f">
                <v:textbox>
                  <w:txbxContent>
                    <w:p w14:paraId="5CED1D53" w14:textId="5DB8B5D4" w:rsidR="000A1E0D" w:rsidRPr="00E92995" w:rsidRDefault="000A1E0D">
                      <w:pPr>
                        <w:rPr>
                          <w:b/>
                          <w:sz w:val="28"/>
                        </w:rPr>
                      </w:pPr>
                      <w:proofErr w:type="gramStart"/>
                      <w:r w:rsidRPr="00E92995">
                        <w:rPr>
                          <w:b/>
                          <w:sz w:val="28"/>
                        </w:rPr>
                        <w:t>a</w:t>
                      </w:r>
                      <w:proofErr w:type="gramEnd"/>
                      <w:r w:rsidRPr="00E92995">
                        <w:rPr>
                          <w:b/>
                          <w:sz w:val="28"/>
                        </w:rPr>
                        <w:t>.)</w:t>
                      </w:r>
                    </w:p>
                  </w:txbxContent>
                </v:textbox>
                <w10:wrap type="square"/>
              </v:shape>
            </w:pict>
          </mc:Fallback>
        </mc:AlternateContent>
      </w:r>
      <w:r w:rsidR="00E92995">
        <w:rPr>
          <w:noProof/>
          <w:lang w:val="en-US"/>
        </w:rPr>
        <mc:AlternateContent>
          <mc:Choice Requires="wps">
            <w:drawing>
              <wp:anchor distT="0" distB="0" distL="114300" distR="114300" simplePos="0" relativeHeight="251719680" behindDoc="0" locked="0" layoutInCell="1" allowOverlap="1" wp14:anchorId="09AD5A31" wp14:editId="0E130E7F">
                <wp:simplePos x="0" y="0"/>
                <wp:positionH relativeFrom="column">
                  <wp:posOffset>1143000</wp:posOffset>
                </wp:positionH>
                <wp:positionV relativeFrom="paragraph">
                  <wp:posOffset>-114300</wp:posOffset>
                </wp:positionV>
                <wp:extent cx="1028700" cy="45720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1028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4C593B" w14:textId="5D08C1BA" w:rsidR="00E82D3B" w:rsidRPr="00E92995" w:rsidRDefault="00E82D3B">
                            <w:pPr>
                              <w:rPr>
                                <w:rFonts w:asciiTheme="majorHAnsi" w:hAnsiTheme="majorHAnsi"/>
                                <w:b/>
                                <w:sz w:val="40"/>
                              </w:rPr>
                            </w:pPr>
                            <w:r w:rsidRPr="00E92995">
                              <w:rPr>
                                <w:rFonts w:asciiTheme="majorHAnsi" w:hAnsiTheme="majorHAnsi"/>
                                <w:b/>
                                <w:sz w:val="40"/>
                              </w:rPr>
                              <w:t>DAPI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 o:spid="_x0000_s1152" type="#_x0000_t202" style="position:absolute;left:0;text-align:left;margin-left:90pt;margin-top:-8.95pt;width:81pt;height:36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" filled="f" stroked="f">
                <v:textbox>
                  <w:txbxContent>
                    <w:p w14:paraId="7C4C593B" w14:textId="5D08C1BA" w:rsidR="000A1E0D" w:rsidRPr="00E92995" w:rsidRDefault="000A1E0D">
                      <w:pPr>
                        <w:rPr>
                          <w:rFonts w:asciiTheme="majorHAnsi" w:hAnsiTheme="majorHAnsi"/>
                          <w:b/>
                          <w:sz w:val="40"/>
                        </w:rPr>
                      </w:pPr>
                      <w:r w:rsidRPr="00E92995">
                        <w:rPr>
                          <w:rFonts w:asciiTheme="majorHAnsi" w:hAnsiTheme="majorHAnsi"/>
                          <w:b/>
                          <w:sz w:val="40"/>
                        </w:rPr>
                        <w:t>DAPI</w:t>
                      </w:r>
                    </w:p>
                  </w:txbxContent>
                </v:textbox>
                <w10:wrap type="square"/>
              </v:shape>
            </w:pict>
          </mc:Fallback>
        </mc:AlternateContent>
      </w:r>
    </w:p>
    <w:p w14:paraId="78C9A3C7" w14:textId="3D7E8D50" w:rsidR="004918DE" w:rsidRDefault="004918DE">
      <w:r>
        <w:br w:type="page"/>
      </w:r>
    </w:p>
    <w:p w14:paraId="5E5B896D" w14:textId="63C8EBC3" w:rsidR="00A35C7E" w:rsidRDefault="00CD10A5" w:rsidP="00CD10A5">
      <w:r>
        <w:rPr>
          <w:noProof/>
          <w:lang w:val="en-US"/>
        </w:rPr>
        <mc:AlternateContent>
          <mc:Choice Requires="wps">
            <w:drawing>
              <wp:anchor distT="0" distB="0" distL="114300" distR="114300" simplePos="0" relativeHeight="251677696" behindDoc="0" locked="0" layoutInCell="1" allowOverlap="1" wp14:anchorId="054ED6AE" wp14:editId="4DE4DACA">
                <wp:simplePos x="0" y="0"/>
                <wp:positionH relativeFrom="column">
                  <wp:posOffset>-457200</wp:posOffset>
                </wp:positionH>
                <wp:positionV relativeFrom="paragraph">
                  <wp:posOffset>5829300</wp:posOffset>
                </wp:positionV>
                <wp:extent cx="6057900" cy="34290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60579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9A0CD0" w14:textId="64B95821" w:rsidR="00E82D3B" w:rsidRDefault="00E82D3B" w:rsidP="00F54A17">
                            <w:pPr>
                              <w:jc w:val="both"/>
                              <w:rPr>
                                <w:b/>
                                <w:i/>
                                <w:sz w:val="22"/>
                              </w:rPr>
                            </w:pPr>
                            <w:r w:rsidRPr="00233D1B">
                              <w:rPr>
                                <w:b/>
                                <w:i/>
                                <w:sz w:val="22"/>
                              </w:rPr>
                              <w:t xml:space="preserve">Figure </w:t>
                            </w:r>
                            <w:r>
                              <w:rPr>
                                <w:b/>
                                <w:i/>
                                <w:sz w:val="22"/>
                              </w:rPr>
                              <w:t>5.</w:t>
                            </w:r>
                            <w:r w:rsidRPr="00233D1B">
                              <w:rPr>
                                <w:b/>
                                <w:i/>
                                <w:sz w:val="22"/>
                              </w:rPr>
                              <w:t xml:space="preserve">3. </w:t>
                            </w:r>
                            <w:r>
                              <w:rPr>
                                <w:b/>
                                <w:i/>
                                <w:sz w:val="22"/>
                              </w:rPr>
                              <w:t xml:space="preserve"> RAS over-expression plus SRCAP knockdown affects DNA damage to differing extents in different cell lines.</w:t>
                            </w:r>
                          </w:p>
                          <w:p w14:paraId="5FB0FB1C" w14:textId="5F360179" w:rsidR="00E82D3B" w:rsidRPr="00233D1B" w:rsidRDefault="00E82D3B" w:rsidP="00F54A17">
                            <w:pPr>
                              <w:jc w:val="both"/>
                              <w:rPr>
                                <w:i/>
                                <w:sz w:val="22"/>
                              </w:rPr>
                            </w:pPr>
                            <w:r>
                              <w:rPr>
                                <w:i/>
                                <w:sz w:val="22"/>
                              </w:rPr>
                              <w:t xml:space="preserve">a.) Cells were seeded for 24hrs on glass coverslips, transfected with SRCAP siRNA or control for 48hrs and stained as per protocol for the DNA damage markers </w:t>
                            </w:r>
                            <w:r w:rsidRPr="00233D1B">
                              <w:rPr>
                                <w:i/>
                                <w:sz w:val="22"/>
                              </w:rPr>
                              <w:t>γH2AX</w:t>
                            </w:r>
                            <w:r>
                              <w:rPr>
                                <w:i/>
                                <w:sz w:val="22"/>
                              </w:rPr>
                              <w:t xml:space="preserve"> and 53BP1. Shown are representative images of the staining in MRC5 cells, representative images of HCT116 and SW480 can be seen in Chapter 4 Figure 4.4.</w:t>
                            </w:r>
                          </w:p>
                          <w:p w14:paraId="5DDBC33E" w14:textId="6DA0A7FD" w:rsidR="00E82D3B" w:rsidRDefault="00E82D3B" w:rsidP="00F54A17">
                            <w:pPr>
                              <w:jc w:val="both"/>
                              <w:rPr>
                                <w:i/>
                                <w:iCs/>
                                <w:sz w:val="22"/>
                                <w:szCs w:val="22"/>
                              </w:rPr>
                            </w:pPr>
                            <w:r>
                              <w:rPr>
                                <w:i/>
                                <w:sz w:val="22"/>
                              </w:rPr>
                              <w:t>b</w:t>
                            </w:r>
                            <w:r w:rsidRPr="00233D1B">
                              <w:rPr>
                                <w:i/>
                                <w:sz w:val="22"/>
                              </w:rPr>
                              <w:t xml:space="preserve">.) </w:t>
                            </w:r>
                            <w:proofErr w:type="gramStart"/>
                            <w:r>
                              <w:rPr>
                                <w:i/>
                                <w:sz w:val="22"/>
                              </w:rPr>
                              <w:t>The</w:t>
                            </w:r>
                            <w:proofErr w:type="gramEnd"/>
                            <w:r>
                              <w:rPr>
                                <w:i/>
                                <w:sz w:val="22"/>
                              </w:rPr>
                              <w:t xml:space="preserve"> number of foci in each cell counted, then the average number of foci calculated. Each symbol represents one repeat and the median and range are plotted. In SW480 cells there was a significant p value using a Kruskal-Wallis test for both markers- </w:t>
                            </w:r>
                            <w:r w:rsidRPr="00233D1B">
                              <w:rPr>
                                <w:i/>
                                <w:sz w:val="22"/>
                              </w:rPr>
                              <w:t>γH2AX</w:t>
                            </w:r>
                            <w:r>
                              <w:rPr>
                                <w:i/>
                                <w:sz w:val="22"/>
                              </w:rPr>
                              <w:t xml:space="preserve"> p=0.0229, 53BP1- p=0.0257.</w:t>
                            </w:r>
                            <w:r w:rsidRPr="0013519E">
                              <w:rPr>
                                <w:i/>
                                <w:iCs/>
                                <w:sz w:val="22"/>
                                <w:szCs w:val="22"/>
                              </w:rPr>
                              <w:t xml:space="preserve"> </w:t>
                            </w:r>
                            <w:r>
                              <w:rPr>
                                <w:i/>
                                <w:iCs/>
                                <w:sz w:val="22"/>
                                <w:szCs w:val="22"/>
                              </w:rPr>
                              <w:t xml:space="preserve">Comparing the individual groups showed a significant increase </w:t>
                            </w:r>
                            <w:r>
                              <w:rPr>
                                <w:i/>
                                <w:sz w:val="22"/>
                              </w:rPr>
                              <w:t>when SRCAP was knocked down compared to control cells as shown by the significance stars above the symbols, and a significant difference between RAS13 and RAS13 si6.</w:t>
                            </w:r>
                          </w:p>
                          <w:p w14:paraId="29658BEF" w14:textId="04F73AD5" w:rsidR="00E82D3B" w:rsidRDefault="00E82D3B" w:rsidP="00F54A17">
                            <w:pPr>
                              <w:jc w:val="both"/>
                              <w:rPr>
                                <w:i/>
                                <w:iCs/>
                                <w:sz w:val="22"/>
                                <w:szCs w:val="22"/>
                              </w:rPr>
                            </w:pPr>
                            <w:r>
                              <w:rPr>
                                <w:i/>
                                <w:iCs/>
                                <w:sz w:val="22"/>
                                <w:szCs w:val="22"/>
                              </w:rPr>
                              <w:t xml:space="preserve">c.) Using the same statistical tests as above there was a significant difference using the non-parametric test for </w:t>
                            </w:r>
                            <w:r w:rsidRPr="00233D1B">
                              <w:rPr>
                                <w:i/>
                                <w:sz w:val="22"/>
                              </w:rPr>
                              <w:t>γH2AX</w:t>
                            </w:r>
                            <w:r>
                              <w:rPr>
                                <w:i/>
                                <w:sz w:val="22"/>
                              </w:rPr>
                              <w:t xml:space="preserve"> (p=0.0303), but not for 53BP1 (p=0.1657) in HCT116 cells, and with multiple comparison there was</w:t>
                            </w:r>
                            <w:r>
                              <w:rPr>
                                <w:i/>
                                <w:iCs/>
                                <w:sz w:val="22"/>
                                <w:szCs w:val="22"/>
                              </w:rPr>
                              <w:t xml:space="preserve"> only a significant increase in </w:t>
                            </w:r>
                            <w:r w:rsidRPr="00F67FCB">
                              <w:rPr>
                                <w:i/>
                                <w:iCs/>
                                <w:sz w:val="22"/>
                                <w:szCs w:val="22"/>
                              </w:rPr>
                              <w:t>γH2AX</w:t>
                            </w:r>
                            <w:r>
                              <w:rPr>
                                <w:i/>
                                <w:iCs/>
                                <w:sz w:val="22"/>
                                <w:szCs w:val="22"/>
                              </w:rPr>
                              <w:t xml:space="preserve"> in the RAS5 and 6 clones compared to control and RAS6 clone in 53BP1.</w:t>
                            </w:r>
                          </w:p>
                          <w:p w14:paraId="2A999F86" w14:textId="57679A06" w:rsidR="00E82D3B" w:rsidRDefault="00E82D3B" w:rsidP="00F54A17">
                            <w:pPr>
                              <w:jc w:val="both"/>
                              <w:rPr>
                                <w:i/>
                                <w:iCs/>
                                <w:sz w:val="22"/>
                                <w:szCs w:val="22"/>
                              </w:rPr>
                            </w:pPr>
                            <w:r>
                              <w:rPr>
                                <w:i/>
                                <w:iCs/>
                                <w:sz w:val="22"/>
                                <w:szCs w:val="22"/>
                              </w:rPr>
                              <w:t>d.) Again with the same statistical tests there was no significance in MRC5 cells (</w:t>
                            </w:r>
                            <w:r w:rsidRPr="00233D1B">
                              <w:rPr>
                                <w:i/>
                                <w:sz w:val="22"/>
                              </w:rPr>
                              <w:t>γH2AX</w:t>
                            </w:r>
                            <w:r>
                              <w:rPr>
                                <w:i/>
                                <w:sz w:val="22"/>
                              </w:rPr>
                              <w:t xml:space="preserve"> p=0.0533, 53BP1- p=0.1098),</w:t>
                            </w:r>
                            <w:r>
                              <w:rPr>
                                <w:i/>
                                <w:iCs/>
                                <w:sz w:val="22"/>
                                <w:szCs w:val="22"/>
                              </w:rPr>
                              <w:t xml:space="preserve"> but with multiple comparison there was a difference between control cells and the other data sets, showing an increase in DNA damage markers </w:t>
                            </w:r>
                            <w:r w:rsidRPr="002B6976">
                              <w:rPr>
                                <w:i/>
                                <w:iCs/>
                                <w:sz w:val="22"/>
                                <w:szCs w:val="22"/>
                              </w:rPr>
                              <w:t xml:space="preserve">(* = p≤0.05, **=p≤ 0.01, </w:t>
                            </w:r>
                            <w:r w:rsidRPr="002B6976">
                              <w:rPr>
                                <w:i/>
                                <w:iCs/>
                                <w:sz w:val="22"/>
                                <w:szCs w:val="22"/>
                                <w:lang w:val="en-US"/>
                              </w:rPr>
                              <w:t>***</w:t>
                            </w:r>
                            <w:r>
                              <w:rPr>
                                <w:i/>
                                <w:iCs/>
                                <w:sz w:val="22"/>
                                <w:szCs w:val="22"/>
                                <w:lang w:val="en-US"/>
                              </w:rPr>
                              <w:t>=</w:t>
                            </w:r>
                            <w:r w:rsidRPr="002B6976">
                              <w:rPr>
                                <w:i/>
                                <w:iCs/>
                                <w:sz w:val="22"/>
                                <w:szCs w:val="22"/>
                                <w:lang w:val="en-US"/>
                              </w:rPr>
                              <w:t>p≤0.001</w:t>
                            </w:r>
                            <w:r w:rsidRPr="002B6976">
                              <w:rPr>
                                <w:i/>
                                <w:iCs/>
                                <w:sz w:val="22"/>
                                <w:szCs w:val="22"/>
                              </w:rPr>
                              <w:t>)</w:t>
                            </w:r>
                            <w:r>
                              <w:rPr>
                                <w:i/>
                                <w:iCs/>
                                <w:sz w:val="22"/>
                                <w:szCs w:val="22"/>
                              </w:rPr>
                              <w:t>.</w:t>
                            </w:r>
                          </w:p>
                          <w:p w14:paraId="0B920E01" w14:textId="5AFDE1B0" w:rsidR="00E82D3B" w:rsidRPr="00233D1B" w:rsidRDefault="00E82D3B" w:rsidP="0013519E">
                            <w:pPr>
                              <w:jc w:val="both"/>
                              <w:rPr>
                                <w:i/>
                                <w:sz w:val="22"/>
                              </w:rPr>
                            </w:pPr>
                            <w:r>
                              <w:rPr>
                                <w:i/>
                                <w:iCs/>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153" type="#_x0000_t202" style="position:absolute;margin-left:-35.95pt;margin-top:459pt;width:477pt;height:27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" filled="f" stroked="f">
                <v:textbox>
                  <w:txbxContent>
                    <w:p w14:paraId="249A0CD0" w14:textId="64B95821" w:rsidR="000A1E0D" w:rsidRDefault="000A1E0D" w:rsidP="00F54A17">
                      <w:pPr>
                        <w:jc w:val="both"/>
                        <w:rPr>
                          <w:b/>
                          <w:i/>
                          <w:sz w:val="22"/>
                        </w:rPr>
                      </w:pPr>
                      <w:r w:rsidRPr="00233D1B">
                        <w:rPr>
                          <w:b/>
                          <w:i/>
                          <w:sz w:val="22"/>
                        </w:rPr>
                        <w:t xml:space="preserve">Figure </w:t>
                      </w:r>
                      <w:r>
                        <w:rPr>
                          <w:b/>
                          <w:i/>
                          <w:sz w:val="22"/>
                        </w:rPr>
                        <w:t>5.</w:t>
                      </w:r>
                      <w:r w:rsidRPr="00233D1B">
                        <w:rPr>
                          <w:b/>
                          <w:i/>
                          <w:sz w:val="22"/>
                        </w:rPr>
                        <w:t xml:space="preserve">3. </w:t>
                      </w:r>
                      <w:r>
                        <w:rPr>
                          <w:b/>
                          <w:i/>
                          <w:sz w:val="22"/>
                        </w:rPr>
                        <w:t xml:space="preserve"> RAS over-expression plus SRCAP knockdown affects DNA damage to differing extents in different cell lines.</w:t>
                      </w:r>
                    </w:p>
                    <w:p w14:paraId="5FB0FB1C" w14:textId="5F360179" w:rsidR="000A1E0D" w:rsidRPr="00233D1B" w:rsidRDefault="000A1E0D" w:rsidP="00F54A17">
                      <w:pPr>
                        <w:jc w:val="both"/>
                        <w:rPr>
                          <w:i/>
                          <w:sz w:val="22"/>
                        </w:rPr>
                      </w:pPr>
                      <w:r>
                        <w:rPr>
                          <w:i/>
                          <w:sz w:val="22"/>
                        </w:rPr>
                        <w:t xml:space="preserve">a.) Cells were seeded for 24hrs on glass coverslips, transfected with SRCAP siRNA or control for 48hrs and stained as per protocol for the DNA damage markers </w:t>
                      </w:r>
                      <w:r w:rsidRPr="00233D1B">
                        <w:rPr>
                          <w:i/>
                          <w:sz w:val="22"/>
                        </w:rPr>
                        <w:t>γH2AX</w:t>
                      </w:r>
                      <w:r>
                        <w:rPr>
                          <w:i/>
                          <w:sz w:val="22"/>
                        </w:rPr>
                        <w:t xml:space="preserve"> and 53BP1. Shown are representative images of the staining in MRC5 cells, representative images of HCT116 and SW480 can be seen in Chapter 4 Figure 4.4.</w:t>
                      </w:r>
                    </w:p>
                    <w:p w14:paraId="5DDBC33E" w14:textId="6DA0A7FD" w:rsidR="000A1E0D" w:rsidRDefault="000A1E0D" w:rsidP="00F54A17">
                      <w:pPr>
                        <w:jc w:val="both"/>
                        <w:rPr>
                          <w:i/>
                          <w:iCs/>
                          <w:sz w:val="22"/>
                          <w:szCs w:val="22"/>
                        </w:rPr>
                      </w:pPr>
                      <w:r>
                        <w:rPr>
                          <w:i/>
                          <w:sz w:val="22"/>
                        </w:rPr>
                        <w:t>b</w:t>
                      </w:r>
                      <w:r w:rsidRPr="00233D1B">
                        <w:rPr>
                          <w:i/>
                          <w:sz w:val="22"/>
                        </w:rPr>
                        <w:t xml:space="preserve">.) </w:t>
                      </w:r>
                      <w:proofErr w:type="gramStart"/>
                      <w:r>
                        <w:rPr>
                          <w:i/>
                          <w:sz w:val="22"/>
                        </w:rPr>
                        <w:t>The</w:t>
                      </w:r>
                      <w:proofErr w:type="gramEnd"/>
                      <w:r>
                        <w:rPr>
                          <w:i/>
                          <w:sz w:val="22"/>
                        </w:rPr>
                        <w:t xml:space="preserve"> number of foci in each cell counted, then the average number of foci calculated. Each symbol represents one repeat and the median and range are plotted. In SW480 cells there was a significant p value using a Kruskal-Wallis test for both markers- </w:t>
                      </w:r>
                      <w:r w:rsidRPr="00233D1B">
                        <w:rPr>
                          <w:i/>
                          <w:sz w:val="22"/>
                        </w:rPr>
                        <w:t>γH2AX</w:t>
                      </w:r>
                      <w:r>
                        <w:rPr>
                          <w:i/>
                          <w:sz w:val="22"/>
                        </w:rPr>
                        <w:t xml:space="preserve"> p=0.0229, 53BP1- p=0.0257.</w:t>
                      </w:r>
                      <w:r w:rsidRPr="0013519E">
                        <w:rPr>
                          <w:i/>
                          <w:iCs/>
                          <w:sz w:val="22"/>
                          <w:szCs w:val="22"/>
                        </w:rPr>
                        <w:t xml:space="preserve"> </w:t>
                      </w:r>
                      <w:r>
                        <w:rPr>
                          <w:i/>
                          <w:iCs/>
                          <w:sz w:val="22"/>
                          <w:szCs w:val="22"/>
                        </w:rPr>
                        <w:t xml:space="preserve">Comparing the individual groups showed a significant increase </w:t>
                      </w:r>
                      <w:r>
                        <w:rPr>
                          <w:i/>
                          <w:sz w:val="22"/>
                        </w:rPr>
                        <w:t>when SRCAP was knocked down compared to control cells as shown by the significance stars above the symbols, and a significant difference between RAS13 and RAS13 si6.</w:t>
                      </w:r>
                    </w:p>
                    <w:p w14:paraId="29658BEF" w14:textId="04F73AD5" w:rsidR="000A1E0D" w:rsidRDefault="000A1E0D" w:rsidP="00F54A17">
                      <w:pPr>
                        <w:jc w:val="both"/>
                        <w:rPr>
                          <w:i/>
                          <w:iCs/>
                          <w:sz w:val="22"/>
                          <w:szCs w:val="22"/>
                        </w:rPr>
                      </w:pPr>
                      <w:r>
                        <w:rPr>
                          <w:i/>
                          <w:iCs/>
                          <w:sz w:val="22"/>
                          <w:szCs w:val="22"/>
                        </w:rPr>
                        <w:t xml:space="preserve">c.) Using the same statistical tests as above there was a significant difference using the non-parametric test for </w:t>
                      </w:r>
                      <w:r w:rsidRPr="00233D1B">
                        <w:rPr>
                          <w:i/>
                          <w:sz w:val="22"/>
                        </w:rPr>
                        <w:t>γH2AX</w:t>
                      </w:r>
                      <w:r>
                        <w:rPr>
                          <w:i/>
                          <w:sz w:val="22"/>
                        </w:rPr>
                        <w:t xml:space="preserve"> (p=0.0303), but not for 53BP1 (p=0.1657) in HCT116 cells, and with multiple comparison there was</w:t>
                      </w:r>
                      <w:r>
                        <w:rPr>
                          <w:i/>
                          <w:iCs/>
                          <w:sz w:val="22"/>
                          <w:szCs w:val="22"/>
                        </w:rPr>
                        <w:t xml:space="preserve"> only a significant increase in </w:t>
                      </w:r>
                      <w:r w:rsidRPr="00F67FCB">
                        <w:rPr>
                          <w:i/>
                          <w:iCs/>
                          <w:sz w:val="22"/>
                          <w:szCs w:val="22"/>
                        </w:rPr>
                        <w:t>γH2AX</w:t>
                      </w:r>
                      <w:r>
                        <w:rPr>
                          <w:i/>
                          <w:iCs/>
                          <w:sz w:val="22"/>
                          <w:szCs w:val="22"/>
                        </w:rPr>
                        <w:t xml:space="preserve"> in the RAS5 and 6 clones compared to control and RAS6 clone in 53BP1.</w:t>
                      </w:r>
                    </w:p>
                    <w:p w14:paraId="2A999F86" w14:textId="57679A06" w:rsidR="000A1E0D" w:rsidRDefault="000A1E0D" w:rsidP="00F54A17">
                      <w:pPr>
                        <w:jc w:val="both"/>
                        <w:rPr>
                          <w:i/>
                          <w:iCs/>
                          <w:sz w:val="22"/>
                          <w:szCs w:val="22"/>
                        </w:rPr>
                      </w:pPr>
                      <w:r>
                        <w:rPr>
                          <w:i/>
                          <w:iCs/>
                          <w:sz w:val="22"/>
                          <w:szCs w:val="22"/>
                        </w:rPr>
                        <w:t>d.) Again with the same statistical tests there was no significance in MRC5 cells (</w:t>
                      </w:r>
                      <w:r w:rsidRPr="00233D1B">
                        <w:rPr>
                          <w:i/>
                          <w:sz w:val="22"/>
                        </w:rPr>
                        <w:t>γH2AX</w:t>
                      </w:r>
                      <w:r>
                        <w:rPr>
                          <w:i/>
                          <w:sz w:val="22"/>
                        </w:rPr>
                        <w:t xml:space="preserve"> p=0.0533, 53BP1- p=0.1098),</w:t>
                      </w:r>
                      <w:r>
                        <w:rPr>
                          <w:i/>
                          <w:iCs/>
                          <w:sz w:val="22"/>
                          <w:szCs w:val="22"/>
                        </w:rPr>
                        <w:t xml:space="preserve"> but with multiple comparison there was a difference between control cells and the other data sets, showing an increase in DNA damage markers </w:t>
                      </w:r>
                      <w:r w:rsidRPr="002B6976">
                        <w:rPr>
                          <w:i/>
                          <w:iCs/>
                          <w:sz w:val="22"/>
                          <w:szCs w:val="22"/>
                        </w:rPr>
                        <w:t xml:space="preserve">(* = p≤0.05, **=p≤ 0.01, </w:t>
                      </w:r>
                      <w:r w:rsidRPr="002B6976">
                        <w:rPr>
                          <w:i/>
                          <w:iCs/>
                          <w:sz w:val="22"/>
                          <w:szCs w:val="22"/>
                          <w:lang w:val="en-US"/>
                        </w:rPr>
                        <w:t>***</w:t>
                      </w:r>
                      <w:r>
                        <w:rPr>
                          <w:i/>
                          <w:iCs/>
                          <w:sz w:val="22"/>
                          <w:szCs w:val="22"/>
                          <w:lang w:val="en-US"/>
                        </w:rPr>
                        <w:t>=</w:t>
                      </w:r>
                      <w:r w:rsidRPr="002B6976">
                        <w:rPr>
                          <w:i/>
                          <w:iCs/>
                          <w:sz w:val="22"/>
                          <w:szCs w:val="22"/>
                          <w:lang w:val="en-US"/>
                        </w:rPr>
                        <w:t>p≤0.001</w:t>
                      </w:r>
                      <w:r w:rsidRPr="002B6976">
                        <w:rPr>
                          <w:i/>
                          <w:iCs/>
                          <w:sz w:val="22"/>
                          <w:szCs w:val="22"/>
                        </w:rPr>
                        <w:t>)</w:t>
                      </w:r>
                      <w:r>
                        <w:rPr>
                          <w:i/>
                          <w:iCs/>
                          <w:sz w:val="22"/>
                          <w:szCs w:val="22"/>
                        </w:rPr>
                        <w:t>.</w:t>
                      </w:r>
                    </w:p>
                    <w:p w14:paraId="0B920E01" w14:textId="5AFDE1B0" w:rsidR="000A1E0D" w:rsidRPr="00233D1B" w:rsidRDefault="000A1E0D" w:rsidP="0013519E">
                      <w:pPr>
                        <w:jc w:val="both"/>
                        <w:rPr>
                          <w:i/>
                          <w:sz w:val="22"/>
                        </w:rPr>
                      </w:pPr>
                      <w:r>
                        <w:rPr>
                          <w:i/>
                          <w:iCs/>
                          <w:sz w:val="22"/>
                          <w:szCs w:val="22"/>
                        </w:rPr>
                        <w:t xml:space="preserve"> </w:t>
                      </w:r>
                    </w:p>
                  </w:txbxContent>
                </v:textbox>
                <w10:wrap type="square"/>
              </v:shape>
            </w:pict>
          </mc:Fallback>
        </mc:AlternateContent>
      </w:r>
      <w:r>
        <w:rPr>
          <w:noProof/>
          <w:lang w:val="en-US"/>
        </w:rPr>
        <mc:AlternateContent>
          <mc:Choice Requires="wps">
            <w:drawing>
              <wp:anchor distT="0" distB="0" distL="114300" distR="114300" simplePos="0" relativeHeight="252228608" behindDoc="0" locked="0" layoutInCell="1" allowOverlap="1" wp14:anchorId="25FC3564" wp14:editId="5914C004">
                <wp:simplePos x="0" y="0"/>
                <wp:positionH relativeFrom="column">
                  <wp:posOffset>-228600</wp:posOffset>
                </wp:positionH>
                <wp:positionV relativeFrom="paragraph">
                  <wp:posOffset>3771900</wp:posOffset>
                </wp:positionV>
                <wp:extent cx="800100" cy="342900"/>
                <wp:effectExtent l="0" t="0" r="0" b="12700"/>
                <wp:wrapSquare wrapText="bothSides"/>
                <wp:docPr id="18" name="Text Box 18"/>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6E9E6D" w14:textId="727F3093" w:rsidR="00E82D3B" w:rsidRPr="004918DE" w:rsidRDefault="00E82D3B">
                            <w:pPr>
                              <w:rPr>
                                <w:rFonts w:asciiTheme="majorHAnsi" w:hAnsiTheme="majorHAnsi"/>
                                <w:b/>
                              </w:rPr>
                            </w:pPr>
                            <w:r>
                              <w:rPr>
                                <w:rFonts w:asciiTheme="majorHAnsi" w:hAnsiTheme="majorHAnsi"/>
                                <w:b/>
                              </w:rPr>
                              <w:t>d</w:t>
                            </w:r>
                            <w:r w:rsidRPr="004918DE">
                              <w:rPr>
                                <w:rFonts w:asciiTheme="majorHAnsi" w:hAnsiTheme="majorHAnsi"/>
                                <w:b/>
                              </w:rPr>
                              <w:t>.) MRC5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154" type="#_x0000_t202" style="position:absolute;margin-left:-17.95pt;margin-top:297pt;width:63pt;height:27pt;z-index:25222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" filled="f" stroked="f">
                <v:textbox>
                  <w:txbxContent>
                    <w:p w14:paraId="4B6E9E6D" w14:textId="727F3093" w:rsidR="000A1E0D" w:rsidRPr="004918DE" w:rsidRDefault="000A1E0D">
                      <w:pPr>
                        <w:rPr>
                          <w:rFonts w:asciiTheme="majorHAnsi" w:hAnsiTheme="majorHAnsi"/>
                          <w:b/>
                        </w:rPr>
                      </w:pPr>
                      <w:r>
                        <w:rPr>
                          <w:rFonts w:asciiTheme="majorHAnsi" w:hAnsiTheme="majorHAnsi"/>
                          <w:b/>
                        </w:rPr>
                        <w:t>d</w:t>
                      </w:r>
                      <w:r w:rsidRPr="004918DE">
                        <w:rPr>
                          <w:rFonts w:asciiTheme="majorHAnsi" w:hAnsiTheme="majorHAnsi"/>
                          <w:b/>
                        </w:rPr>
                        <w:t>.) MRC5</w:t>
                      </w:r>
                    </w:p>
                  </w:txbxContent>
                </v:textbox>
                <w10:wrap type="square"/>
              </v:shape>
            </w:pict>
          </mc:Fallback>
        </mc:AlternateContent>
      </w:r>
      <w:r>
        <w:rPr>
          <w:noProof/>
          <w:lang w:val="en-US"/>
        </w:rPr>
        <mc:AlternateContent>
          <mc:Choice Requires="wps">
            <w:drawing>
              <wp:anchor distT="0" distB="0" distL="114300" distR="114300" simplePos="0" relativeHeight="252230656" behindDoc="0" locked="0" layoutInCell="1" allowOverlap="1" wp14:anchorId="6DFD0FF2" wp14:editId="78C92EC9">
                <wp:simplePos x="0" y="0"/>
                <wp:positionH relativeFrom="column">
                  <wp:posOffset>-228600</wp:posOffset>
                </wp:positionH>
                <wp:positionV relativeFrom="paragraph">
                  <wp:posOffset>1714500</wp:posOffset>
                </wp:positionV>
                <wp:extent cx="1028700" cy="342900"/>
                <wp:effectExtent l="0" t="0" r="0" b="12700"/>
                <wp:wrapSquare wrapText="bothSides"/>
                <wp:docPr id="17" name="Text Box 17"/>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69AB80" w14:textId="4FA05D50" w:rsidR="00E82D3B" w:rsidRPr="004918DE" w:rsidRDefault="00E82D3B">
                            <w:pPr>
                              <w:rPr>
                                <w:rFonts w:asciiTheme="majorHAnsi" w:hAnsiTheme="majorHAnsi"/>
                                <w:b/>
                              </w:rPr>
                            </w:pPr>
                            <w:r>
                              <w:rPr>
                                <w:rFonts w:asciiTheme="majorHAnsi" w:hAnsiTheme="majorHAnsi"/>
                                <w:b/>
                              </w:rPr>
                              <w:t>c</w:t>
                            </w:r>
                            <w:r w:rsidRPr="004918DE">
                              <w:rPr>
                                <w:rFonts w:asciiTheme="majorHAnsi" w:hAnsiTheme="majorHAnsi"/>
                                <w:b/>
                              </w:rPr>
                              <w:t>.) HCT116</w:t>
                            </w:r>
                          </w:p>
                          <w:p w14:paraId="73CE292B" w14:textId="77777777" w:rsidR="00E82D3B" w:rsidRDefault="00E82D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155" type="#_x0000_t202" style="position:absolute;margin-left:-17.95pt;margin-top:135pt;width:81pt;height:27pt;z-index:25223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ZG+9ICAAAZBgAADgAAAGRycy9lMm9Eb2MueG1srFRLb9swDL4P2H8QdE9tZ27T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" filled="f" stroked="f">
                <v:textbox>
                  <w:txbxContent>
                    <w:p w14:paraId="5B69AB80" w14:textId="4FA05D50" w:rsidR="000A1E0D" w:rsidRPr="004918DE" w:rsidRDefault="000A1E0D">
                      <w:pPr>
                        <w:rPr>
                          <w:rFonts w:asciiTheme="majorHAnsi" w:hAnsiTheme="majorHAnsi"/>
                          <w:b/>
                        </w:rPr>
                      </w:pPr>
                      <w:r>
                        <w:rPr>
                          <w:rFonts w:asciiTheme="majorHAnsi" w:hAnsiTheme="majorHAnsi"/>
                          <w:b/>
                        </w:rPr>
                        <w:t>c</w:t>
                      </w:r>
                      <w:r w:rsidRPr="004918DE">
                        <w:rPr>
                          <w:rFonts w:asciiTheme="majorHAnsi" w:hAnsiTheme="majorHAnsi"/>
                          <w:b/>
                        </w:rPr>
                        <w:t>.) HCT116</w:t>
                      </w:r>
                    </w:p>
                    <w:p w14:paraId="73CE292B" w14:textId="77777777" w:rsidR="000A1E0D" w:rsidRDefault="000A1E0D"/>
                  </w:txbxContent>
                </v:textbox>
                <w10:wrap type="square"/>
              </v:shape>
            </w:pict>
          </mc:Fallback>
        </mc:AlternateContent>
      </w:r>
      <w:r>
        <w:rPr>
          <w:noProof/>
          <w:lang w:val="en-US"/>
        </w:rPr>
        <mc:AlternateContent>
          <mc:Choice Requires="wps">
            <w:drawing>
              <wp:anchor distT="0" distB="0" distL="114300" distR="114300" simplePos="0" relativeHeight="252231680" behindDoc="0" locked="0" layoutInCell="1" allowOverlap="1" wp14:anchorId="6D5F35F7" wp14:editId="2E0985D6">
                <wp:simplePos x="0" y="0"/>
                <wp:positionH relativeFrom="column">
                  <wp:posOffset>-228600</wp:posOffset>
                </wp:positionH>
                <wp:positionV relativeFrom="paragraph">
                  <wp:posOffset>-228600</wp:posOffset>
                </wp:positionV>
                <wp:extent cx="1143000" cy="342900"/>
                <wp:effectExtent l="0" t="0" r="0" b="12700"/>
                <wp:wrapSquare wrapText="bothSides"/>
                <wp:docPr id="15" name="Text Box 15"/>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28BF2F" w14:textId="0369C000" w:rsidR="00E82D3B" w:rsidRPr="004918DE" w:rsidRDefault="00E82D3B">
                            <w:pPr>
                              <w:rPr>
                                <w:rFonts w:asciiTheme="majorHAnsi" w:hAnsiTheme="majorHAnsi"/>
                                <w:b/>
                              </w:rPr>
                            </w:pPr>
                            <w:r>
                              <w:rPr>
                                <w:rFonts w:asciiTheme="majorHAnsi" w:hAnsiTheme="majorHAnsi"/>
                                <w:b/>
                              </w:rPr>
                              <w:t>b</w:t>
                            </w:r>
                            <w:r w:rsidRPr="004918DE">
                              <w:rPr>
                                <w:rFonts w:asciiTheme="majorHAnsi" w:hAnsiTheme="majorHAnsi"/>
                                <w:b/>
                              </w:rPr>
                              <w:t>.) SW480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 o:spid="_x0000_s1156" type="#_x0000_t202" style="position:absolute;margin-left:-17.95pt;margin-top:-17.95pt;width:90pt;height:27pt;z-index:25223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uAN9ACAAAZBgAADgAAAGRycy9lMm9Eb2MueG1srFRLb9swDL4P2H8QdE9tp07X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" filled="f" stroked="f">
                <v:textbox>
                  <w:txbxContent>
                    <w:p w14:paraId="1A28BF2F" w14:textId="0369C000" w:rsidR="000A1E0D" w:rsidRPr="004918DE" w:rsidRDefault="000A1E0D">
                      <w:pPr>
                        <w:rPr>
                          <w:rFonts w:asciiTheme="majorHAnsi" w:hAnsiTheme="majorHAnsi"/>
                          <w:b/>
                        </w:rPr>
                      </w:pPr>
                      <w:r>
                        <w:rPr>
                          <w:rFonts w:asciiTheme="majorHAnsi" w:hAnsiTheme="majorHAnsi"/>
                          <w:b/>
                        </w:rPr>
                        <w:t>b</w:t>
                      </w:r>
                      <w:r w:rsidRPr="004918DE">
                        <w:rPr>
                          <w:rFonts w:asciiTheme="majorHAnsi" w:hAnsiTheme="majorHAnsi"/>
                          <w:b/>
                        </w:rPr>
                        <w:t>.) SW480</w:t>
                      </w:r>
                    </w:p>
                  </w:txbxContent>
                </v:textbox>
                <w10:wrap type="square"/>
              </v:shape>
            </w:pict>
          </mc:Fallback>
        </mc:AlternateContent>
      </w:r>
      <w:r>
        <w:rPr>
          <w:noProof/>
          <w:lang w:val="en-US"/>
        </w:rPr>
        <w:drawing>
          <wp:anchor distT="0" distB="0" distL="114300" distR="114300" simplePos="0" relativeHeight="252224512" behindDoc="0" locked="0" layoutInCell="1" allowOverlap="1" wp14:anchorId="69A60B6A" wp14:editId="4E2FE248">
            <wp:simplePos x="0" y="0"/>
            <wp:positionH relativeFrom="column">
              <wp:posOffset>228600</wp:posOffset>
            </wp:positionH>
            <wp:positionV relativeFrom="paragraph">
              <wp:posOffset>3886200</wp:posOffset>
            </wp:positionV>
            <wp:extent cx="5029200" cy="2022475"/>
            <wp:effectExtent l="0" t="0" r="0" b="9525"/>
            <wp:wrapSquare wrapText="bothSides"/>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29200"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226560" behindDoc="0" locked="0" layoutInCell="1" allowOverlap="1" wp14:anchorId="27BA5C58" wp14:editId="663B2D56">
            <wp:simplePos x="0" y="0"/>
            <wp:positionH relativeFrom="column">
              <wp:posOffset>228600</wp:posOffset>
            </wp:positionH>
            <wp:positionV relativeFrom="paragraph">
              <wp:posOffset>1828800</wp:posOffset>
            </wp:positionV>
            <wp:extent cx="4912360" cy="2037080"/>
            <wp:effectExtent l="0" t="0" r="0" b="0"/>
            <wp:wrapSquare wrapText="bothSides"/>
            <wp:docPr id="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12360" cy="2037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229632" behindDoc="0" locked="0" layoutInCell="1" allowOverlap="1" wp14:anchorId="53BF6E48" wp14:editId="63F0F836">
            <wp:simplePos x="0" y="0"/>
            <wp:positionH relativeFrom="column">
              <wp:posOffset>228600</wp:posOffset>
            </wp:positionH>
            <wp:positionV relativeFrom="paragraph">
              <wp:posOffset>-114300</wp:posOffset>
            </wp:positionV>
            <wp:extent cx="4912360" cy="1966595"/>
            <wp:effectExtent l="0" t="0" r="0" b="0"/>
            <wp:wrapSquare wrapText="bothSides"/>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12360"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7320B" w14:textId="27AA370E" w:rsidR="00BE0FBC" w:rsidRPr="00CD10A5" w:rsidRDefault="00D954A1" w:rsidP="00CD10A5">
      <w:pPr>
        <w:spacing w:line="360" w:lineRule="auto"/>
        <w:jc w:val="both"/>
        <w:rPr>
          <w:rFonts w:ascii="Cambria" w:hAnsi="Cambria"/>
          <w:lang w:val="en-US"/>
        </w:rPr>
      </w:pPr>
      <w:r>
        <w:rPr>
          <w:rFonts w:asciiTheme="majorHAnsi" w:hAnsiTheme="majorHAnsi"/>
        </w:rPr>
        <w:t xml:space="preserve">In order to further assess how RAS status affects genomic instability mechanisms when </w:t>
      </w:r>
      <w:r w:rsidR="00284351" w:rsidRPr="00B74B51">
        <w:rPr>
          <w:rFonts w:asciiTheme="majorHAnsi" w:hAnsiTheme="majorHAnsi"/>
          <w:i/>
        </w:rPr>
        <w:t>SRCAP</w:t>
      </w:r>
      <w:r w:rsidR="00284351">
        <w:rPr>
          <w:rFonts w:asciiTheme="majorHAnsi" w:hAnsiTheme="majorHAnsi"/>
        </w:rPr>
        <w:t xml:space="preserve"> is depleted, </w:t>
      </w:r>
      <w:r w:rsidR="000A2558">
        <w:rPr>
          <w:rFonts w:asciiTheme="majorHAnsi" w:hAnsiTheme="majorHAnsi"/>
        </w:rPr>
        <w:t>cells were also assessed for nuclear abnormalities</w:t>
      </w:r>
      <w:r w:rsidR="004805B7">
        <w:rPr>
          <w:rFonts w:asciiTheme="majorHAnsi" w:hAnsiTheme="majorHAnsi"/>
        </w:rPr>
        <w:t xml:space="preserve"> us</w:t>
      </w:r>
      <w:r w:rsidR="00181823">
        <w:rPr>
          <w:rFonts w:asciiTheme="majorHAnsi" w:hAnsiTheme="majorHAnsi"/>
        </w:rPr>
        <w:t>ing the parameters outlined in</w:t>
      </w:r>
      <w:r w:rsidR="004805B7">
        <w:rPr>
          <w:rFonts w:asciiTheme="majorHAnsi" w:hAnsiTheme="majorHAnsi"/>
        </w:rPr>
        <w:t xml:space="preserve"> Chapter 3 F</w:t>
      </w:r>
      <w:r w:rsidR="00181823">
        <w:rPr>
          <w:rFonts w:asciiTheme="majorHAnsi" w:hAnsiTheme="majorHAnsi"/>
        </w:rPr>
        <w:t>igure 3.21</w:t>
      </w:r>
      <w:r w:rsidR="000A2558">
        <w:rPr>
          <w:rFonts w:asciiTheme="majorHAnsi" w:hAnsiTheme="majorHAnsi"/>
        </w:rPr>
        <w:t xml:space="preserve">. </w:t>
      </w:r>
      <w:r w:rsidR="00284351">
        <w:rPr>
          <w:rFonts w:asciiTheme="majorHAnsi" w:hAnsiTheme="majorHAnsi"/>
        </w:rPr>
        <w:t>T</w:t>
      </w:r>
      <w:r w:rsidR="0061066C">
        <w:rPr>
          <w:rFonts w:asciiTheme="majorHAnsi" w:hAnsiTheme="majorHAnsi"/>
        </w:rPr>
        <w:t xml:space="preserve">here was </w:t>
      </w:r>
      <w:r w:rsidR="00C808A1">
        <w:rPr>
          <w:rFonts w:asciiTheme="majorHAnsi" w:hAnsiTheme="majorHAnsi"/>
        </w:rPr>
        <w:t xml:space="preserve">no significant difference in </w:t>
      </w:r>
      <w:r w:rsidR="0061066C">
        <w:rPr>
          <w:rFonts w:asciiTheme="majorHAnsi" w:hAnsiTheme="majorHAnsi"/>
        </w:rPr>
        <w:t xml:space="preserve">nuclear abnormalities in </w:t>
      </w:r>
      <w:r w:rsidR="00C808A1">
        <w:rPr>
          <w:rFonts w:asciiTheme="majorHAnsi" w:hAnsiTheme="majorHAnsi"/>
        </w:rPr>
        <w:t>any of the cell lines</w:t>
      </w:r>
      <w:r w:rsidR="0061066C">
        <w:rPr>
          <w:rFonts w:asciiTheme="majorHAnsi" w:hAnsiTheme="majorHAnsi"/>
        </w:rPr>
        <w:t xml:space="preserve"> over</w:t>
      </w:r>
      <w:r w:rsidR="00C808A1">
        <w:rPr>
          <w:rFonts w:asciiTheme="majorHAnsi" w:hAnsiTheme="majorHAnsi"/>
        </w:rPr>
        <w:t>-</w:t>
      </w:r>
      <w:r w:rsidR="0061066C">
        <w:rPr>
          <w:rFonts w:asciiTheme="majorHAnsi" w:hAnsiTheme="majorHAnsi"/>
        </w:rPr>
        <w:t>expressing RAS</w:t>
      </w:r>
      <w:r w:rsidR="00C808A1">
        <w:rPr>
          <w:rFonts w:asciiTheme="majorHAnsi" w:hAnsiTheme="majorHAnsi"/>
        </w:rPr>
        <w:t xml:space="preserve"> compared to the control cells. However,</w:t>
      </w:r>
      <w:r w:rsidR="0061066C">
        <w:rPr>
          <w:rFonts w:asciiTheme="majorHAnsi" w:hAnsiTheme="majorHAnsi"/>
        </w:rPr>
        <w:t xml:space="preserve"> </w:t>
      </w:r>
      <w:r w:rsidR="00C808A1">
        <w:rPr>
          <w:rFonts w:asciiTheme="majorHAnsi" w:hAnsiTheme="majorHAnsi"/>
        </w:rPr>
        <w:t>when SRCAP was knocked down in the RAS over-expressing clones there was a significant increase in nuclear abnormalities compared to control cells and compared t</w:t>
      </w:r>
      <w:r w:rsidR="00AF562F">
        <w:rPr>
          <w:rFonts w:asciiTheme="majorHAnsi" w:hAnsiTheme="majorHAnsi"/>
        </w:rPr>
        <w:t>o</w:t>
      </w:r>
      <w:r w:rsidR="00181823">
        <w:rPr>
          <w:rFonts w:asciiTheme="majorHAnsi" w:hAnsiTheme="majorHAnsi"/>
        </w:rPr>
        <w:t xml:space="preserve"> SW480</w:t>
      </w:r>
      <w:r w:rsidR="00AF562F">
        <w:rPr>
          <w:rFonts w:asciiTheme="majorHAnsi" w:hAnsiTheme="majorHAnsi"/>
        </w:rPr>
        <w:t xml:space="preserve"> RAS12 in the respective knock</w:t>
      </w:r>
      <w:r w:rsidR="00C808A1">
        <w:rPr>
          <w:rFonts w:asciiTheme="majorHAnsi" w:hAnsiTheme="majorHAnsi"/>
        </w:rPr>
        <w:t>down clones (</w:t>
      </w:r>
      <w:r w:rsidR="00284351">
        <w:rPr>
          <w:rFonts w:asciiTheme="majorHAnsi" w:hAnsiTheme="majorHAnsi"/>
        </w:rPr>
        <w:t>Figure 5.4a)</w:t>
      </w:r>
      <w:r w:rsidR="0061066C">
        <w:rPr>
          <w:rFonts w:asciiTheme="majorHAnsi" w:hAnsiTheme="majorHAnsi"/>
        </w:rPr>
        <w:t xml:space="preserve">. Interestingly, although there were minimal increases in DNA damage markers for HCT116 RAS cells, there were more significant increases in nuclear abnormalities and these increased further when </w:t>
      </w:r>
      <w:r w:rsidR="0061066C" w:rsidRPr="00B74B51">
        <w:rPr>
          <w:rFonts w:asciiTheme="majorHAnsi" w:hAnsiTheme="majorHAnsi"/>
          <w:i/>
        </w:rPr>
        <w:t>SRCAP</w:t>
      </w:r>
      <w:r w:rsidR="0061066C">
        <w:rPr>
          <w:rFonts w:asciiTheme="majorHAnsi" w:hAnsiTheme="majorHAnsi"/>
        </w:rPr>
        <w:t xml:space="preserve"> </w:t>
      </w:r>
      <w:r w:rsidR="00284351">
        <w:rPr>
          <w:rFonts w:asciiTheme="majorHAnsi" w:hAnsiTheme="majorHAnsi"/>
        </w:rPr>
        <w:t xml:space="preserve">was </w:t>
      </w:r>
      <w:r w:rsidR="0061066C">
        <w:rPr>
          <w:rFonts w:asciiTheme="majorHAnsi" w:hAnsiTheme="majorHAnsi"/>
        </w:rPr>
        <w:t>knock</w:t>
      </w:r>
      <w:r w:rsidR="00284351">
        <w:rPr>
          <w:rFonts w:asciiTheme="majorHAnsi" w:hAnsiTheme="majorHAnsi"/>
        </w:rPr>
        <w:t>ed down (Figure 5.4b)</w:t>
      </w:r>
      <w:r w:rsidR="0061066C">
        <w:rPr>
          <w:rFonts w:asciiTheme="majorHAnsi" w:hAnsiTheme="majorHAnsi"/>
        </w:rPr>
        <w:t>. In the MRC5 cells RAS over</w:t>
      </w:r>
      <w:r w:rsidR="00377382">
        <w:rPr>
          <w:rFonts w:asciiTheme="majorHAnsi" w:hAnsiTheme="majorHAnsi"/>
        </w:rPr>
        <w:t>-</w:t>
      </w:r>
      <w:r w:rsidR="0061066C">
        <w:rPr>
          <w:rFonts w:asciiTheme="majorHAnsi" w:hAnsiTheme="majorHAnsi"/>
        </w:rPr>
        <w:t xml:space="preserve">expression plus </w:t>
      </w:r>
      <w:r w:rsidR="0061066C" w:rsidRPr="00B74B51">
        <w:rPr>
          <w:rFonts w:asciiTheme="majorHAnsi" w:hAnsiTheme="majorHAnsi"/>
          <w:i/>
        </w:rPr>
        <w:t>SRCAP</w:t>
      </w:r>
      <w:r w:rsidR="0061066C">
        <w:rPr>
          <w:rFonts w:asciiTheme="majorHAnsi" w:hAnsiTheme="majorHAnsi"/>
        </w:rPr>
        <w:t xml:space="preserve"> knockdown increased nuclear abnormalities to a level not seen in the other cell lines, with some repeats having around 50% abnormal nuclei when RAS and </w:t>
      </w:r>
      <w:r w:rsidR="0061066C" w:rsidRPr="00B74B51">
        <w:rPr>
          <w:rFonts w:asciiTheme="majorHAnsi" w:hAnsiTheme="majorHAnsi"/>
          <w:i/>
        </w:rPr>
        <w:t>SRCAP</w:t>
      </w:r>
      <w:r w:rsidR="0061066C">
        <w:rPr>
          <w:rFonts w:asciiTheme="majorHAnsi" w:hAnsiTheme="majorHAnsi"/>
        </w:rPr>
        <w:t xml:space="preserve"> aberrations were combined</w:t>
      </w:r>
      <w:r w:rsidR="00284351">
        <w:rPr>
          <w:rFonts w:asciiTheme="majorHAnsi" w:hAnsiTheme="majorHAnsi"/>
        </w:rPr>
        <w:t xml:space="preserve"> (Figure 5.4c)</w:t>
      </w:r>
      <w:r w:rsidR="0061066C">
        <w:rPr>
          <w:rFonts w:asciiTheme="majorHAnsi" w:hAnsiTheme="majorHAnsi"/>
        </w:rPr>
        <w:t xml:space="preserve">. </w:t>
      </w:r>
      <w:r w:rsidR="00C808A1">
        <w:rPr>
          <w:rFonts w:asciiTheme="majorHAnsi" w:hAnsiTheme="majorHAnsi"/>
        </w:rPr>
        <w:t>N</w:t>
      </w:r>
      <w:r w:rsidR="0014183F">
        <w:rPr>
          <w:rFonts w:asciiTheme="majorHAnsi" w:hAnsiTheme="majorHAnsi"/>
        </w:rPr>
        <w:t xml:space="preserve">ot only was there significance between the data sets and control cells but also between RAS only cells and </w:t>
      </w:r>
      <w:r w:rsidR="00284351">
        <w:rPr>
          <w:rFonts w:asciiTheme="majorHAnsi" w:hAnsiTheme="majorHAnsi"/>
        </w:rPr>
        <w:t xml:space="preserve">RAS plus </w:t>
      </w:r>
      <w:r w:rsidR="00284351" w:rsidRPr="00B74B51">
        <w:rPr>
          <w:rFonts w:asciiTheme="majorHAnsi" w:hAnsiTheme="majorHAnsi"/>
          <w:i/>
        </w:rPr>
        <w:t>SRCAP</w:t>
      </w:r>
      <w:r w:rsidR="00284351">
        <w:rPr>
          <w:rFonts w:asciiTheme="majorHAnsi" w:hAnsiTheme="majorHAnsi"/>
        </w:rPr>
        <w:t xml:space="preserve"> knockdown</w:t>
      </w:r>
      <w:r w:rsidR="0014183F">
        <w:rPr>
          <w:rFonts w:asciiTheme="majorHAnsi" w:hAnsiTheme="majorHAnsi"/>
        </w:rPr>
        <w:t xml:space="preserve">, showing a significant increase in nuclear abnormalities </w:t>
      </w:r>
      <w:r w:rsidR="00C808A1">
        <w:rPr>
          <w:rFonts w:asciiTheme="majorHAnsi" w:hAnsiTheme="majorHAnsi"/>
        </w:rPr>
        <w:t xml:space="preserve">with si6 </w:t>
      </w:r>
      <w:r w:rsidR="0014183F">
        <w:rPr>
          <w:rFonts w:asciiTheme="majorHAnsi" w:hAnsiTheme="majorHAnsi"/>
        </w:rPr>
        <w:t>when</w:t>
      </w:r>
      <w:r w:rsidR="00284351">
        <w:rPr>
          <w:rFonts w:asciiTheme="majorHAnsi" w:hAnsiTheme="majorHAnsi"/>
        </w:rPr>
        <w:t xml:space="preserve"> the two g</w:t>
      </w:r>
      <w:r w:rsidR="0099552F">
        <w:rPr>
          <w:rFonts w:asciiTheme="majorHAnsi" w:hAnsiTheme="majorHAnsi"/>
        </w:rPr>
        <w:t xml:space="preserve">enomic alterations were combined, this increase in nuclear abnormalities when </w:t>
      </w:r>
      <w:r w:rsidR="0099552F" w:rsidRPr="00B74B51">
        <w:rPr>
          <w:rFonts w:asciiTheme="majorHAnsi" w:hAnsiTheme="majorHAnsi"/>
          <w:i/>
        </w:rPr>
        <w:t>SRCAP</w:t>
      </w:r>
      <w:r w:rsidR="0099552F">
        <w:rPr>
          <w:rFonts w:asciiTheme="majorHAnsi" w:hAnsiTheme="majorHAnsi"/>
        </w:rPr>
        <w:t xml:space="preserve"> knock</w:t>
      </w:r>
      <w:r w:rsidR="00FE6E14">
        <w:rPr>
          <w:rFonts w:asciiTheme="majorHAnsi" w:hAnsiTheme="majorHAnsi"/>
        </w:rPr>
        <w:t xml:space="preserve"> </w:t>
      </w:r>
      <w:r w:rsidR="00C808A1">
        <w:rPr>
          <w:rFonts w:asciiTheme="majorHAnsi" w:hAnsiTheme="majorHAnsi"/>
        </w:rPr>
        <w:t>down and RAS over-</w:t>
      </w:r>
      <w:r w:rsidR="0099552F">
        <w:rPr>
          <w:rFonts w:asciiTheme="majorHAnsi" w:hAnsiTheme="majorHAnsi"/>
        </w:rPr>
        <w:t xml:space="preserve">expression are combined in a </w:t>
      </w:r>
      <w:r w:rsidR="00A16855">
        <w:rPr>
          <w:rFonts w:asciiTheme="majorHAnsi" w:hAnsiTheme="majorHAnsi"/>
        </w:rPr>
        <w:t>fibroblast</w:t>
      </w:r>
      <w:r w:rsidR="0099552F">
        <w:rPr>
          <w:rFonts w:asciiTheme="majorHAnsi" w:hAnsiTheme="majorHAnsi"/>
        </w:rPr>
        <w:t xml:space="preserve"> cell line</w:t>
      </w:r>
      <w:r w:rsidR="00896936">
        <w:rPr>
          <w:rFonts w:asciiTheme="majorHAnsi" w:hAnsiTheme="majorHAnsi"/>
        </w:rPr>
        <w:t xml:space="preserve"> is noteworthy</w:t>
      </w:r>
      <w:r w:rsidR="0099552F">
        <w:rPr>
          <w:rFonts w:asciiTheme="majorHAnsi" w:hAnsiTheme="majorHAnsi"/>
        </w:rPr>
        <w:t>.</w:t>
      </w:r>
      <w:r w:rsidR="00C808A1">
        <w:rPr>
          <w:rFonts w:asciiTheme="majorHAnsi" w:hAnsiTheme="majorHAnsi"/>
        </w:rPr>
        <w:t xml:space="preserve"> Interestingly though RAS over-expression in itself did not significantly increase the amount of nuclear abnormalities in any of the cell lines. </w:t>
      </w:r>
    </w:p>
    <w:p w14:paraId="7E0670E0" w14:textId="77777777" w:rsidR="00BE0FBC" w:rsidRDefault="00BE0FBC" w:rsidP="00CD10A5">
      <w:pPr>
        <w:spacing w:line="360" w:lineRule="auto"/>
        <w:jc w:val="both"/>
        <w:rPr>
          <w:rFonts w:asciiTheme="majorHAnsi" w:hAnsiTheme="majorHAnsi"/>
        </w:rPr>
      </w:pPr>
    </w:p>
    <w:p w14:paraId="58252BFF" w14:textId="37F2588B" w:rsidR="00BE0FBC" w:rsidRDefault="00BE0FBC" w:rsidP="00CD10A5">
      <w:pPr>
        <w:spacing w:line="360" w:lineRule="auto"/>
        <w:jc w:val="both"/>
        <w:rPr>
          <w:rFonts w:asciiTheme="majorHAnsi" w:hAnsiTheme="majorHAnsi"/>
        </w:rPr>
      </w:pPr>
    </w:p>
    <w:p w14:paraId="2515C1C3" w14:textId="77777777" w:rsidR="00BE0FBC" w:rsidRDefault="00BE0FBC" w:rsidP="00CD10A5">
      <w:pPr>
        <w:spacing w:line="360" w:lineRule="auto"/>
        <w:jc w:val="both"/>
        <w:rPr>
          <w:rFonts w:asciiTheme="majorHAnsi" w:hAnsiTheme="majorHAnsi"/>
        </w:rPr>
      </w:pPr>
    </w:p>
    <w:p w14:paraId="4355CB47" w14:textId="1EEC1775" w:rsidR="00D954A1" w:rsidRDefault="0061066C" w:rsidP="00CD10A5">
      <w:pPr>
        <w:spacing w:line="360" w:lineRule="auto"/>
        <w:jc w:val="both"/>
        <w:rPr>
          <w:rFonts w:ascii="Cambria" w:hAnsi="Cambria"/>
          <w:lang w:val="en-US"/>
        </w:rPr>
      </w:pPr>
      <w:r w:rsidRPr="0061066C">
        <w:rPr>
          <w:noProof/>
          <w:lang w:val="en-US"/>
        </w:rPr>
        <w:t xml:space="preserve"> </w:t>
      </w:r>
      <w:r w:rsidR="00BE0FBC" w:rsidRPr="00BE0FBC">
        <w:rPr>
          <w:rFonts w:asciiTheme="majorHAnsi" w:hAnsiTheme="majorHAnsi"/>
        </w:rPr>
        <w:t xml:space="preserve"> </w:t>
      </w:r>
      <w:r w:rsidR="00D954A1">
        <w:br w:type="page"/>
      </w:r>
    </w:p>
    <w:p w14:paraId="4444FD27" w14:textId="035D460A" w:rsidR="00C6437B" w:rsidRPr="0099552F" w:rsidRDefault="00D21EBE" w:rsidP="0099552F">
      <w:r>
        <w:rPr>
          <w:noProof/>
          <w:lang w:val="en-US"/>
        </w:rPr>
        <mc:AlternateContent>
          <mc:Choice Requires="wps">
            <w:drawing>
              <wp:anchor distT="0" distB="0" distL="114300" distR="114300" simplePos="0" relativeHeight="251708416" behindDoc="0" locked="0" layoutInCell="1" allowOverlap="1" wp14:anchorId="3F3F6397" wp14:editId="44EF29C4">
                <wp:simplePos x="0" y="0"/>
                <wp:positionH relativeFrom="column">
                  <wp:posOffset>2971800</wp:posOffset>
                </wp:positionH>
                <wp:positionV relativeFrom="paragraph">
                  <wp:posOffset>-342900</wp:posOffset>
                </wp:positionV>
                <wp:extent cx="457200" cy="342900"/>
                <wp:effectExtent l="0" t="0" r="0" b="12700"/>
                <wp:wrapSquare wrapText="bothSides"/>
                <wp:docPr id="30" name="Text Box 30"/>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A32786" w14:textId="570E6A6A" w:rsidR="00E82D3B" w:rsidRPr="00FB5A2D" w:rsidRDefault="00E82D3B" w:rsidP="00FB5A2D">
                            <w:pPr>
                              <w:rPr>
                                <w:rFonts w:asciiTheme="majorHAnsi" w:hAnsiTheme="majorHAnsi"/>
                                <w:b/>
                              </w:rPr>
                            </w:pPr>
                            <w:proofErr w:type="gramStart"/>
                            <w:r>
                              <w:rPr>
                                <w:rFonts w:asciiTheme="majorHAnsi" w:hAnsiTheme="majorHAnsi"/>
                                <w:b/>
                              </w:rPr>
                              <w:t>b</w:t>
                            </w:r>
                            <w:proofErr w:type="gramEnd"/>
                            <w:r w:rsidRPr="00FB5A2D">
                              <w:rPr>
                                <w:rFonts w:asciiTheme="majorHAnsi" w:hAnsiTheme="majorHAns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157" type="#_x0000_t202" style="position:absolute;margin-left:234pt;margin-top:-26.95pt;width:36pt;height:27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" filled="f" stroked="f">
                <v:textbox>
                  <w:txbxContent>
                    <w:p w14:paraId="70A32786" w14:textId="570E6A6A" w:rsidR="000A1E0D" w:rsidRPr="00FB5A2D" w:rsidRDefault="000A1E0D" w:rsidP="00FB5A2D">
                      <w:pPr>
                        <w:rPr>
                          <w:rFonts w:asciiTheme="majorHAnsi" w:hAnsiTheme="majorHAnsi"/>
                          <w:b/>
                        </w:rPr>
                      </w:pPr>
                      <w:proofErr w:type="gramStart"/>
                      <w:r>
                        <w:rPr>
                          <w:rFonts w:asciiTheme="majorHAnsi" w:hAnsiTheme="majorHAnsi"/>
                          <w:b/>
                        </w:rPr>
                        <w:t>b</w:t>
                      </w:r>
                      <w:proofErr w:type="gramEnd"/>
                      <w:r w:rsidRPr="00FB5A2D">
                        <w:rPr>
                          <w:rFonts w:asciiTheme="majorHAnsi" w:hAnsiTheme="majorHAnsi"/>
                          <w:b/>
                        </w:rPr>
                        <w:t>.)</w:t>
                      </w:r>
                    </w:p>
                  </w:txbxContent>
                </v:textbox>
                <w10:wrap type="square"/>
              </v:shape>
            </w:pict>
          </mc:Fallback>
        </mc:AlternateContent>
      </w:r>
      <w:r>
        <w:rPr>
          <w:noProof/>
          <w:lang w:val="en-US"/>
        </w:rPr>
        <mc:AlternateContent>
          <mc:Choice Requires="wps">
            <w:drawing>
              <wp:anchor distT="0" distB="0" distL="114300" distR="114300" simplePos="0" relativeHeight="251707392" behindDoc="0" locked="0" layoutInCell="1" allowOverlap="1" wp14:anchorId="13BCDD3E" wp14:editId="1134693F">
                <wp:simplePos x="0" y="0"/>
                <wp:positionH relativeFrom="column">
                  <wp:posOffset>114300</wp:posOffset>
                </wp:positionH>
                <wp:positionV relativeFrom="paragraph">
                  <wp:posOffset>-342900</wp:posOffset>
                </wp:positionV>
                <wp:extent cx="457200" cy="342900"/>
                <wp:effectExtent l="0" t="0" r="0" b="12700"/>
                <wp:wrapSquare wrapText="bothSides"/>
                <wp:docPr id="28" name="Text Box 28"/>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F6C040" w14:textId="3AF1BB39" w:rsidR="00E82D3B" w:rsidRPr="00FB5A2D" w:rsidRDefault="00E82D3B">
                            <w:pPr>
                              <w:rPr>
                                <w:rFonts w:asciiTheme="majorHAnsi" w:hAnsiTheme="majorHAnsi"/>
                                <w:b/>
                              </w:rPr>
                            </w:pPr>
                            <w:proofErr w:type="gramStart"/>
                            <w:r w:rsidRPr="00FB5A2D">
                              <w:rPr>
                                <w:rFonts w:asciiTheme="majorHAnsi" w:hAnsiTheme="majorHAnsi"/>
                                <w:b/>
                              </w:rPr>
                              <w:t>a</w:t>
                            </w:r>
                            <w:proofErr w:type="gramEnd"/>
                            <w:r w:rsidRPr="00FB5A2D">
                              <w:rPr>
                                <w:rFonts w:asciiTheme="majorHAnsi" w:hAnsiTheme="majorHAns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158" type="#_x0000_t202" style="position:absolute;margin-left:9pt;margin-top:-26.95pt;width:36pt;height:27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" filled="f" stroked="f">
                <v:textbox>
                  <w:txbxContent>
                    <w:p w14:paraId="33F6C040" w14:textId="3AF1BB39" w:rsidR="000A1E0D" w:rsidRPr="00FB5A2D" w:rsidRDefault="000A1E0D">
                      <w:pPr>
                        <w:rPr>
                          <w:rFonts w:asciiTheme="majorHAnsi" w:hAnsiTheme="majorHAnsi"/>
                          <w:b/>
                        </w:rPr>
                      </w:pPr>
                      <w:proofErr w:type="gramStart"/>
                      <w:r w:rsidRPr="00FB5A2D">
                        <w:rPr>
                          <w:rFonts w:asciiTheme="majorHAnsi" w:hAnsiTheme="majorHAnsi"/>
                          <w:b/>
                        </w:rPr>
                        <w:t>a</w:t>
                      </w:r>
                      <w:proofErr w:type="gramEnd"/>
                      <w:r w:rsidRPr="00FB5A2D">
                        <w:rPr>
                          <w:rFonts w:asciiTheme="majorHAnsi" w:hAnsiTheme="majorHAnsi"/>
                          <w:b/>
                        </w:rPr>
                        <w:t>.)</w:t>
                      </w:r>
                    </w:p>
                  </w:txbxContent>
                </v:textbox>
                <w10:wrap type="square"/>
              </v:shape>
            </w:pict>
          </mc:Fallback>
        </mc:AlternateContent>
      </w:r>
      <w:r w:rsidR="00C808A1">
        <w:rPr>
          <w:rFonts w:asciiTheme="majorHAnsi" w:hAnsiTheme="majorHAnsi"/>
          <w:noProof/>
          <w:lang w:val="en-US"/>
        </w:rPr>
        <mc:AlternateContent>
          <mc:Choice Requires="wps">
            <w:drawing>
              <wp:anchor distT="0" distB="0" distL="114300" distR="114300" simplePos="0" relativeHeight="251680768" behindDoc="0" locked="0" layoutInCell="1" allowOverlap="1" wp14:anchorId="039EBD55" wp14:editId="554CFFEB">
                <wp:simplePos x="0" y="0"/>
                <wp:positionH relativeFrom="column">
                  <wp:posOffset>0</wp:posOffset>
                </wp:positionH>
                <wp:positionV relativeFrom="paragraph">
                  <wp:posOffset>4800600</wp:posOffset>
                </wp:positionV>
                <wp:extent cx="5372100" cy="20574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53721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1AADC9" w14:textId="34C698F0" w:rsidR="00E82D3B" w:rsidRDefault="00E82D3B">
                            <w:pPr>
                              <w:rPr>
                                <w:b/>
                                <w:i/>
                                <w:sz w:val="22"/>
                              </w:rPr>
                            </w:pPr>
                            <w:r w:rsidRPr="00C265C6">
                              <w:rPr>
                                <w:b/>
                                <w:i/>
                                <w:sz w:val="22"/>
                              </w:rPr>
                              <w:t>Figure 5.4 RAS over</w:t>
                            </w:r>
                            <w:r>
                              <w:rPr>
                                <w:b/>
                                <w:i/>
                                <w:sz w:val="22"/>
                              </w:rPr>
                              <w:t>-</w:t>
                            </w:r>
                            <w:r w:rsidRPr="00C265C6">
                              <w:rPr>
                                <w:b/>
                                <w:i/>
                                <w:sz w:val="22"/>
                              </w:rPr>
                              <w:t>expression plus SRCAP knockdown increases nuclear abnormalities</w:t>
                            </w:r>
                          </w:p>
                          <w:p w14:paraId="183F56A8" w14:textId="307A7725" w:rsidR="00E82D3B" w:rsidRPr="00C265C6" w:rsidRDefault="00E82D3B" w:rsidP="00C265C6">
                            <w:pPr>
                              <w:jc w:val="both"/>
                              <w:rPr>
                                <w:i/>
                                <w:iCs/>
                                <w:sz w:val="22"/>
                                <w:szCs w:val="22"/>
                              </w:rPr>
                            </w:pPr>
                            <w:r>
                              <w:rPr>
                                <w:i/>
                                <w:iCs/>
                                <w:sz w:val="22"/>
                                <w:szCs w:val="22"/>
                              </w:rPr>
                              <w:t xml:space="preserve">DAPI stained cells were imaged (10 images per condition) after 48hrs of siRNA transfection and the percentage of cells with nuclear abnormalities (as stated in Chapter 3) counted. Each symbol represents a single repeat with the median and range plotted. Each cell line data underwent a Kruskal-Wallis statistical test and all had significant p values (SW480- p=0.0406, HCT116- p=0.0348, MRC5- p=0.008). Individual multiple comparisons were then assessed against control (stars above the symbols), and with the clone knockdown against their respective clones (stars below the symbols) and showed significantly increased nuclear abnormalities when SRCAP was knocked down </w:t>
                            </w:r>
                            <w:r w:rsidRPr="002B6976">
                              <w:rPr>
                                <w:i/>
                                <w:iCs/>
                                <w:sz w:val="22"/>
                                <w:szCs w:val="22"/>
                              </w:rPr>
                              <w:t xml:space="preserve">(* = p≤0.05, **=p≤ 0.01, </w:t>
                            </w:r>
                            <w:r w:rsidRPr="002B6976">
                              <w:rPr>
                                <w:i/>
                                <w:iCs/>
                                <w:sz w:val="22"/>
                                <w:szCs w:val="22"/>
                                <w:lang w:val="en-US"/>
                              </w:rPr>
                              <w:t>***</w:t>
                            </w:r>
                            <w:r>
                              <w:rPr>
                                <w:i/>
                                <w:iCs/>
                                <w:sz w:val="22"/>
                                <w:szCs w:val="22"/>
                                <w:lang w:val="en-US"/>
                              </w:rPr>
                              <w:t>=</w:t>
                            </w:r>
                            <w:r w:rsidRPr="002B6976">
                              <w:rPr>
                                <w:i/>
                                <w:iCs/>
                                <w:sz w:val="22"/>
                                <w:szCs w:val="22"/>
                                <w:lang w:val="en-US"/>
                              </w:rPr>
                              <w:t>p≤0.001</w:t>
                            </w:r>
                            <w:r>
                              <w:rPr>
                                <w:i/>
                                <w:iCs/>
                                <w:sz w:val="22"/>
                                <w:szCs w:val="22"/>
                              </w:rPr>
                              <w:t>).</w:t>
                            </w:r>
                          </w:p>
                          <w:p w14:paraId="73D3F20C" w14:textId="77777777" w:rsidR="00E82D3B" w:rsidRPr="00C265C6" w:rsidRDefault="00E82D3B">
                            <w:pPr>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159" type="#_x0000_t202" style="position:absolute;margin-left:0;margin-top:378pt;width:423pt;height:16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" filled="f" stroked="f">
                <v:textbox>
                  <w:txbxContent>
                    <w:p w14:paraId="311AADC9" w14:textId="34C698F0" w:rsidR="000A1E0D" w:rsidRDefault="000A1E0D">
                      <w:pPr>
                        <w:rPr>
                          <w:b/>
                          <w:i/>
                          <w:sz w:val="22"/>
                        </w:rPr>
                      </w:pPr>
                      <w:r w:rsidRPr="00C265C6">
                        <w:rPr>
                          <w:b/>
                          <w:i/>
                          <w:sz w:val="22"/>
                        </w:rPr>
                        <w:t>Figure 5.4 RAS over</w:t>
                      </w:r>
                      <w:r>
                        <w:rPr>
                          <w:b/>
                          <w:i/>
                          <w:sz w:val="22"/>
                        </w:rPr>
                        <w:t>-</w:t>
                      </w:r>
                      <w:r w:rsidRPr="00C265C6">
                        <w:rPr>
                          <w:b/>
                          <w:i/>
                          <w:sz w:val="22"/>
                        </w:rPr>
                        <w:t>expression plus SRCAP knockdown increases nuclear abnormalities</w:t>
                      </w:r>
                    </w:p>
                    <w:p w14:paraId="183F56A8" w14:textId="307A7725" w:rsidR="000A1E0D" w:rsidRPr="00C265C6" w:rsidRDefault="000A1E0D" w:rsidP="00C265C6">
                      <w:pPr>
                        <w:jc w:val="both"/>
                        <w:rPr>
                          <w:i/>
                          <w:iCs/>
                          <w:sz w:val="22"/>
                          <w:szCs w:val="22"/>
                        </w:rPr>
                      </w:pPr>
                      <w:r>
                        <w:rPr>
                          <w:i/>
                          <w:iCs/>
                          <w:sz w:val="22"/>
                          <w:szCs w:val="22"/>
                        </w:rPr>
                        <w:t xml:space="preserve">DAPI stained cells were imaged (10 images per condition) after 48hrs of siRNA transfection and the percentage of cells with nuclear abnormalities (as stated in Chapter 3) counted. Each symbol represents a single repeat with the median and range plotted. Each cell line data underwent a Kruskal-Wallis statistical test and all had significant p values (SW480- p=0.0406, HCT116- p=0.0348, MRC5- p=0.008). Individual multiple comparisons were then assessed against control (stars above the symbols), and with the clone knockdown against their respective clones (stars below the symbols) and showed significantly increased nuclear abnormalities when SRCAP was knocked down </w:t>
                      </w:r>
                      <w:r w:rsidRPr="002B6976">
                        <w:rPr>
                          <w:i/>
                          <w:iCs/>
                          <w:sz w:val="22"/>
                          <w:szCs w:val="22"/>
                        </w:rPr>
                        <w:t xml:space="preserve">(* = p≤0.05, **=p≤ 0.01, </w:t>
                      </w:r>
                      <w:r w:rsidRPr="002B6976">
                        <w:rPr>
                          <w:i/>
                          <w:iCs/>
                          <w:sz w:val="22"/>
                          <w:szCs w:val="22"/>
                          <w:lang w:val="en-US"/>
                        </w:rPr>
                        <w:t>***</w:t>
                      </w:r>
                      <w:r>
                        <w:rPr>
                          <w:i/>
                          <w:iCs/>
                          <w:sz w:val="22"/>
                          <w:szCs w:val="22"/>
                          <w:lang w:val="en-US"/>
                        </w:rPr>
                        <w:t>=</w:t>
                      </w:r>
                      <w:r w:rsidRPr="002B6976">
                        <w:rPr>
                          <w:i/>
                          <w:iCs/>
                          <w:sz w:val="22"/>
                          <w:szCs w:val="22"/>
                          <w:lang w:val="en-US"/>
                        </w:rPr>
                        <w:t>p≤0.001</w:t>
                      </w:r>
                      <w:r>
                        <w:rPr>
                          <w:i/>
                          <w:iCs/>
                          <w:sz w:val="22"/>
                          <w:szCs w:val="22"/>
                        </w:rPr>
                        <w:t>).</w:t>
                      </w:r>
                    </w:p>
                    <w:p w14:paraId="73D3F20C" w14:textId="77777777" w:rsidR="000A1E0D" w:rsidRPr="00C265C6" w:rsidRDefault="000A1E0D">
                      <w:pPr>
                        <w:rPr>
                          <w:i/>
                          <w:sz w:val="22"/>
                        </w:rPr>
                      </w:pPr>
                    </w:p>
                  </w:txbxContent>
                </v:textbox>
                <w10:wrap type="square"/>
              </v:shape>
            </w:pict>
          </mc:Fallback>
        </mc:AlternateContent>
      </w:r>
      <w:r w:rsidR="00705FC7">
        <w:rPr>
          <w:noProof/>
          <w:lang w:val="en-US"/>
        </w:rPr>
        <mc:AlternateContent>
          <mc:Choice Requires="wps">
            <w:drawing>
              <wp:anchor distT="0" distB="0" distL="114300" distR="114300" simplePos="0" relativeHeight="251709440" behindDoc="0" locked="0" layoutInCell="1" allowOverlap="1" wp14:anchorId="2220D03F" wp14:editId="09B8E629">
                <wp:simplePos x="0" y="0"/>
                <wp:positionH relativeFrom="column">
                  <wp:posOffset>1485900</wp:posOffset>
                </wp:positionH>
                <wp:positionV relativeFrom="paragraph">
                  <wp:posOffset>2057400</wp:posOffset>
                </wp:positionV>
                <wp:extent cx="457200" cy="342900"/>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777CBC" w14:textId="3E8C4555" w:rsidR="00E82D3B" w:rsidRPr="00FB5A2D" w:rsidRDefault="00E82D3B" w:rsidP="00FB5A2D">
                            <w:pPr>
                              <w:rPr>
                                <w:rFonts w:asciiTheme="majorHAnsi" w:hAnsiTheme="majorHAnsi"/>
                                <w:b/>
                              </w:rPr>
                            </w:pPr>
                            <w:proofErr w:type="gramStart"/>
                            <w:r>
                              <w:rPr>
                                <w:rFonts w:asciiTheme="majorHAnsi" w:hAnsiTheme="majorHAnsi"/>
                                <w:b/>
                              </w:rPr>
                              <w:t>c</w:t>
                            </w:r>
                            <w:proofErr w:type="gramEnd"/>
                            <w:r w:rsidRPr="00FB5A2D">
                              <w:rPr>
                                <w:rFonts w:asciiTheme="majorHAnsi" w:hAnsiTheme="majorHAns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160" type="#_x0000_t202" style="position:absolute;margin-left:117pt;margin-top:162pt;width:36pt;height:27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" filled="f" stroked="f">
                <v:textbox>
                  <w:txbxContent>
                    <w:p w14:paraId="7A777CBC" w14:textId="3E8C4555" w:rsidR="000A1E0D" w:rsidRPr="00FB5A2D" w:rsidRDefault="000A1E0D" w:rsidP="00FB5A2D">
                      <w:pPr>
                        <w:rPr>
                          <w:rFonts w:asciiTheme="majorHAnsi" w:hAnsiTheme="majorHAnsi"/>
                          <w:b/>
                        </w:rPr>
                      </w:pPr>
                      <w:proofErr w:type="gramStart"/>
                      <w:r>
                        <w:rPr>
                          <w:rFonts w:asciiTheme="majorHAnsi" w:hAnsiTheme="majorHAnsi"/>
                          <w:b/>
                        </w:rPr>
                        <w:t>c</w:t>
                      </w:r>
                      <w:proofErr w:type="gramEnd"/>
                      <w:r w:rsidRPr="00FB5A2D">
                        <w:rPr>
                          <w:rFonts w:asciiTheme="majorHAnsi" w:hAnsiTheme="majorHAnsi"/>
                          <w:b/>
                        </w:rPr>
                        <w:t>.)</w:t>
                      </w:r>
                    </w:p>
                  </w:txbxContent>
                </v:textbox>
                <w10:wrap type="square"/>
              </v:shape>
            </w:pict>
          </mc:Fallback>
        </mc:AlternateContent>
      </w:r>
      <w:r w:rsidR="00705FC7">
        <w:rPr>
          <w:noProof/>
          <w:lang w:val="en-US"/>
        </w:rPr>
        <w:drawing>
          <wp:anchor distT="0" distB="0" distL="114300" distR="114300" simplePos="0" relativeHeight="251664382" behindDoc="0" locked="0" layoutInCell="1" allowOverlap="1" wp14:anchorId="5ACB3BEC" wp14:editId="2C549BF1">
            <wp:simplePos x="0" y="0"/>
            <wp:positionH relativeFrom="column">
              <wp:posOffset>0</wp:posOffset>
            </wp:positionH>
            <wp:positionV relativeFrom="paragraph">
              <wp:posOffset>-114300</wp:posOffset>
            </wp:positionV>
            <wp:extent cx="5323205" cy="4686300"/>
            <wp:effectExtent l="0" t="0" r="10795" b="12700"/>
            <wp:wrapSquare wrapText="bothSides"/>
            <wp:docPr id="3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23205"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05FC7" w:rsidRPr="00705FC7">
        <w:t xml:space="preserve"> </w:t>
      </w:r>
    </w:p>
    <w:p w14:paraId="499D8A1A" w14:textId="4D6A7D24" w:rsidR="00B64CDF" w:rsidRPr="00A82503" w:rsidRDefault="00FB5A2D" w:rsidP="00B27FE9">
      <w:pPr>
        <w:spacing w:line="360" w:lineRule="auto"/>
        <w:jc w:val="both"/>
        <w:rPr>
          <w:rFonts w:ascii="Cambria" w:hAnsi="Cambria"/>
          <w:lang w:val="en-US"/>
        </w:rPr>
      </w:pPr>
      <w:r w:rsidRPr="00FB5A2D">
        <w:rPr>
          <w:rFonts w:asciiTheme="majorHAnsi" w:hAnsiTheme="majorHAnsi"/>
        </w:rPr>
        <w:t xml:space="preserve">It was also investigated </w:t>
      </w:r>
      <w:r w:rsidR="00896936">
        <w:rPr>
          <w:rFonts w:asciiTheme="majorHAnsi" w:hAnsiTheme="majorHAnsi"/>
        </w:rPr>
        <w:t>whether</w:t>
      </w:r>
      <w:r w:rsidR="00377382">
        <w:rPr>
          <w:rFonts w:asciiTheme="majorHAnsi" w:hAnsiTheme="majorHAnsi"/>
        </w:rPr>
        <w:t xml:space="preserve"> RAS over-</w:t>
      </w:r>
      <w:r w:rsidRPr="00FB5A2D">
        <w:rPr>
          <w:rFonts w:asciiTheme="majorHAnsi" w:hAnsiTheme="majorHAnsi"/>
        </w:rPr>
        <w:t xml:space="preserve">expression and </w:t>
      </w:r>
      <w:r w:rsidRPr="00B74B51">
        <w:rPr>
          <w:rFonts w:asciiTheme="majorHAnsi" w:hAnsiTheme="majorHAnsi"/>
          <w:i/>
        </w:rPr>
        <w:t>SRCAP</w:t>
      </w:r>
      <w:r w:rsidRPr="00FB5A2D">
        <w:rPr>
          <w:rFonts w:asciiTheme="majorHAnsi" w:hAnsiTheme="majorHAnsi"/>
        </w:rPr>
        <w:t xml:space="preserve"> depletion affects cell cycle distributions given that </w:t>
      </w:r>
      <w:r w:rsidRPr="00FB5A2D">
        <w:rPr>
          <w:rFonts w:asciiTheme="majorHAnsi" w:hAnsiTheme="majorHAnsi"/>
          <w:lang w:val="en-US"/>
        </w:rPr>
        <w:t xml:space="preserve">previous reports have shown that inducing high levels of RAS plus DNA damaging agents </w:t>
      </w:r>
      <w:r w:rsidR="00181823">
        <w:rPr>
          <w:rFonts w:asciiTheme="majorHAnsi" w:hAnsiTheme="majorHAnsi"/>
          <w:lang w:val="en-US"/>
        </w:rPr>
        <w:t xml:space="preserve">like doxorubicin </w:t>
      </w:r>
      <w:r w:rsidR="00896936">
        <w:rPr>
          <w:rFonts w:asciiTheme="majorHAnsi" w:hAnsiTheme="majorHAnsi"/>
          <w:lang w:val="en-US"/>
        </w:rPr>
        <w:t>is associated with</w:t>
      </w:r>
      <w:r w:rsidRPr="00FB5A2D">
        <w:rPr>
          <w:rFonts w:asciiTheme="majorHAnsi" w:hAnsiTheme="majorHAnsi"/>
          <w:lang w:val="en-US"/>
        </w:rPr>
        <w:t xml:space="preserve"> an arrest in G2/M </w:t>
      </w:r>
      <w:r w:rsidR="00C6437B">
        <w:rPr>
          <w:rFonts w:asciiTheme="majorHAnsi" w:hAnsiTheme="majorHAnsi"/>
          <w:lang w:val="en-US"/>
        </w:rPr>
        <w:fldChar w:fldCharType="begin">
          <w:fldData xml:space="preserve">PEVuZE5vdGU+PENpdGU+PEF1dGhvcj5TdGVja2VsPC9BdXRob3I+PFllYXI+MjAxMjwvWWVhcj48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</w:fldData>
        </w:fldChar>
      </w:r>
      <w:r w:rsidR="00C6437B">
        <w:rPr>
          <w:rFonts w:asciiTheme="majorHAnsi" w:hAnsiTheme="majorHAnsi"/>
          <w:lang w:val="en-US"/>
        </w:rPr>
        <w:instrText xml:space="preserve"> ADDIN EN.CITE </w:instrText>
      </w:r>
      <w:r w:rsidR="00C6437B">
        <w:rPr>
          <w:rFonts w:asciiTheme="majorHAnsi" w:hAnsiTheme="majorHAnsi"/>
          <w:lang w:val="en-US"/>
        </w:rPr>
        <w:fldChar w:fldCharType="begin">
          <w:fldData xml:space="preserve">PEVuZE5vdGU+PENpdGU+PEF1dGhvcj5TdGVja2VsPC9BdXRob3I+PFllYXI+MjAxMjwvWWVhcj48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</w:fldData>
        </w:fldChar>
      </w:r>
      <w:r w:rsidR="00C6437B">
        <w:rPr>
          <w:rFonts w:asciiTheme="majorHAnsi" w:hAnsiTheme="majorHAnsi"/>
          <w:lang w:val="en-US"/>
        </w:rPr>
        <w:instrText xml:space="preserve"> ADDIN EN.CITE.DATA </w:instrText>
      </w:r>
      <w:r w:rsidR="00C6437B">
        <w:rPr>
          <w:rFonts w:asciiTheme="majorHAnsi" w:hAnsiTheme="majorHAnsi"/>
          <w:lang w:val="en-US"/>
        </w:rPr>
      </w:r>
      <w:r w:rsidR="00C6437B">
        <w:rPr>
          <w:rFonts w:asciiTheme="majorHAnsi" w:hAnsiTheme="majorHAnsi"/>
          <w:lang w:val="en-US"/>
        </w:rPr>
        <w:fldChar w:fldCharType="end"/>
      </w:r>
      <w:r w:rsidR="00C6437B">
        <w:rPr>
          <w:rFonts w:asciiTheme="majorHAnsi" w:hAnsiTheme="majorHAnsi"/>
          <w:lang w:val="en-US"/>
        </w:rPr>
      </w:r>
      <w:r w:rsidR="00C6437B">
        <w:rPr>
          <w:rFonts w:asciiTheme="majorHAnsi" w:hAnsiTheme="majorHAnsi"/>
          <w:lang w:val="en-US"/>
        </w:rPr>
        <w:fldChar w:fldCharType="separate"/>
      </w:r>
      <w:r w:rsidR="00C6437B">
        <w:rPr>
          <w:rFonts w:asciiTheme="majorHAnsi" w:hAnsiTheme="majorHAnsi"/>
          <w:noProof/>
          <w:lang w:val="en-US"/>
        </w:rPr>
        <w:t>(Steckel et al., 2012)</w:t>
      </w:r>
      <w:r w:rsidR="00C6437B">
        <w:rPr>
          <w:rFonts w:asciiTheme="majorHAnsi" w:hAnsiTheme="majorHAnsi"/>
          <w:lang w:val="en-US"/>
        </w:rPr>
        <w:fldChar w:fldCharType="end"/>
      </w:r>
      <w:r w:rsidR="00C6437B">
        <w:rPr>
          <w:rFonts w:asciiTheme="majorHAnsi" w:hAnsiTheme="majorHAnsi"/>
          <w:lang w:val="en-US"/>
        </w:rPr>
        <w:t xml:space="preserve">. </w:t>
      </w:r>
      <w:r>
        <w:rPr>
          <w:rFonts w:asciiTheme="majorHAnsi" w:hAnsiTheme="majorHAnsi"/>
          <w:lang w:val="en-US"/>
        </w:rPr>
        <w:t>In the SW480 cell cycle profile</w:t>
      </w:r>
      <w:r w:rsidR="00896936">
        <w:rPr>
          <w:rFonts w:asciiTheme="majorHAnsi" w:hAnsiTheme="majorHAnsi"/>
          <w:lang w:val="en-US"/>
        </w:rPr>
        <w:t>s</w:t>
      </w:r>
      <w:r>
        <w:rPr>
          <w:rFonts w:asciiTheme="majorHAnsi" w:hAnsiTheme="majorHAnsi"/>
          <w:lang w:val="en-US"/>
        </w:rPr>
        <w:t xml:space="preserve"> there were significantly </w:t>
      </w:r>
      <w:r w:rsidR="00896936">
        <w:rPr>
          <w:rFonts w:asciiTheme="majorHAnsi" w:hAnsiTheme="majorHAnsi"/>
          <w:lang w:val="en-US"/>
        </w:rPr>
        <w:t>fewer</w:t>
      </w:r>
      <w:r>
        <w:rPr>
          <w:rFonts w:asciiTheme="majorHAnsi" w:hAnsiTheme="majorHAnsi"/>
          <w:lang w:val="en-US"/>
        </w:rPr>
        <w:t xml:space="preserve"> cells in G1 when RAS was over</w:t>
      </w:r>
      <w:r w:rsidR="00377382">
        <w:rPr>
          <w:rFonts w:asciiTheme="majorHAnsi" w:hAnsiTheme="majorHAnsi"/>
          <w:lang w:val="en-US"/>
        </w:rPr>
        <w:t>-</w:t>
      </w:r>
      <w:r>
        <w:rPr>
          <w:rFonts w:asciiTheme="majorHAnsi" w:hAnsiTheme="majorHAnsi"/>
          <w:lang w:val="en-US"/>
        </w:rPr>
        <w:t xml:space="preserve">expressed </w:t>
      </w:r>
      <w:r w:rsidR="00C242F9">
        <w:rPr>
          <w:rFonts w:asciiTheme="majorHAnsi" w:hAnsiTheme="majorHAnsi"/>
          <w:lang w:val="en-US"/>
        </w:rPr>
        <w:t xml:space="preserve">in clone 13 </w:t>
      </w:r>
      <w:r>
        <w:rPr>
          <w:rFonts w:asciiTheme="majorHAnsi" w:hAnsiTheme="majorHAnsi"/>
          <w:lang w:val="en-US"/>
        </w:rPr>
        <w:t>and significantly more cells in t</w:t>
      </w:r>
      <w:r w:rsidR="00C242F9">
        <w:rPr>
          <w:rFonts w:asciiTheme="majorHAnsi" w:hAnsiTheme="majorHAnsi"/>
          <w:lang w:val="en-US"/>
        </w:rPr>
        <w:t>he G2/M phase</w:t>
      </w:r>
      <w:r>
        <w:rPr>
          <w:rFonts w:asciiTheme="majorHAnsi" w:hAnsiTheme="majorHAnsi"/>
          <w:lang w:val="en-US"/>
        </w:rPr>
        <w:t xml:space="preserve">, which </w:t>
      </w:r>
      <w:r w:rsidR="00D12AA2">
        <w:rPr>
          <w:rFonts w:asciiTheme="majorHAnsi" w:hAnsiTheme="majorHAnsi"/>
          <w:lang w:val="en-US"/>
        </w:rPr>
        <w:t xml:space="preserve">is consistent with </w:t>
      </w:r>
      <w:r>
        <w:rPr>
          <w:rFonts w:asciiTheme="majorHAnsi" w:hAnsiTheme="majorHAnsi"/>
          <w:lang w:val="en-US"/>
        </w:rPr>
        <w:t xml:space="preserve">previous papers indicating a cell cycle arrest in G2/M and so the accumulation of more cells in comparison to the control (Figure 5.5a). Therefore this indicates that the cells may be accumulating damage during S phase and becoming stalled at the G2/M damage checkpoint, in order to prevent </w:t>
      </w:r>
      <w:r w:rsidR="00D12AA2">
        <w:rPr>
          <w:rFonts w:asciiTheme="majorHAnsi" w:hAnsiTheme="majorHAnsi"/>
          <w:lang w:val="en-US"/>
        </w:rPr>
        <w:t xml:space="preserve">aberrant mitosis. The data </w:t>
      </w:r>
      <w:r w:rsidR="00896936">
        <w:rPr>
          <w:rFonts w:asciiTheme="majorHAnsi" w:hAnsiTheme="majorHAnsi"/>
          <w:lang w:val="en-US"/>
        </w:rPr>
        <w:t>are</w:t>
      </w:r>
      <w:r w:rsidR="00D12AA2">
        <w:rPr>
          <w:rFonts w:asciiTheme="majorHAnsi" w:hAnsiTheme="majorHAnsi"/>
          <w:lang w:val="en-US"/>
        </w:rPr>
        <w:t xml:space="preserve"> also consistent with</w:t>
      </w:r>
      <w:r>
        <w:rPr>
          <w:rFonts w:asciiTheme="majorHAnsi" w:hAnsiTheme="majorHAnsi"/>
          <w:lang w:val="en-US"/>
        </w:rPr>
        <w:t xml:space="preserve"> papers indicating that RAS over</w:t>
      </w:r>
      <w:r w:rsidR="00377382">
        <w:rPr>
          <w:rFonts w:asciiTheme="majorHAnsi" w:hAnsiTheme="majorHAnsi"/>
          <w:lang w:val="en-US"/>
        </w:rPr>
        <w:t>-</w:t>
      </w:r>
      <w:r>
        <w:rPr>
          <w:rFonts w:asciiTheme="majorHAnsi" w:hAnsiTheme="majorHAnsi"/>
          <w:lang w:val="en-US"/>
        </w:rPr>
        <w:t xml:space="preserve">expression causes an increase in cyclin D1 through the activation of the MAPK pathway, which increases the amount of mitogenic signals during G1 to accelerate the cells through this phase, and this so this shortens the length of G1 </w:t>
      </w:r>
      <w:r>
        <w:rPr>
          <w:rFonts w:asciiTheme="majorHAnsi" w:hAnsiTheme="majorHAnsi"/>
          <w:lang w:val="en-US"/>
        </w:rPr>
        <w:fldChar w:fldCharType="begin">
          <w:fldData xml:space="preserve">PEVuZE5vdGU+PENpdGU+PEF1dGhvcj5Sb2RyaWd1ZXotUHVlYmxhPC9BdXRob3I+PFllYXI+MTk5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</w:fldData>
        </w:fldChar>
      </w:r>
      <w:r>
        <w:rPr>
          <w:rFonts w:asciiTheme="majorHAnsi" w:hAnsiTheme="majorHAnsi"/>
          <w:lang w:val="en-US"/>
        </w:rPr>
        <w:instrText xml:space="preserve"> ADDIN EN.CITE </w:instrText>
      </w:r>
      <w:r>
        <w:rPr>
          <w:rFonts w:asciiTheme="majorHAnsi" w:hAnsiTheme="majorHAnsi"/>
          <w:lang w:val="en-US"/>
        </w:rPr>
        <w:fldChar w:fldCharType="begin">
          <w:fldData xml:space="preserve">PEVuZE5vdGU+PENpdGU+PEF1dGhvcj5Sb2RyaWd1ZXotUHVlYmxhPC9BdXRob3I+PFllYXI+MTk5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</w:fldData>
        </w:fldChar>
      </w:r>
      <w:r>
        <w:rPr>
          <w:rFonts w:asciiTheme="majorHAnsi" w:hAnsiTheme="majorHAnsi"/>
          <w:lang w:val="en-US"/>
        </w:rPr>
        <w:instrText xml:space="preserve"> ADDIN EN.CITE.DATA </w:instrText>
      </w:r>
      <w:r>
        <w:rPr>
          <w:rFonts w:asciiTheme="majorHAnsi" w:hAnsiTheme="majorHAnsi"/>
          <w:lang w:val="en-US"/>
        </w:rPr>
      </w:r>
      <w:r>
        <w:rPr>
          <w:rFonts w:asciiTheme="majorHAnsi" w:hAnsiTheme="majorHAnsi"/>
          <w:lang w:val="en-US"/>
        </w:rPr>
        <w:fldChar w:fldCharType="end"/>
      </w:r>
      <w:r>
        <w:rPr>
          <w:rFonts w:asciiTheme="majorHAnsi" w:hAnsiTheme="majorHAnsi"/>
          <w:lang w:val="en-US"/>
        </w:rPr>
      </w:r>
      <w:r>
        <w:rPr>
          <w:rFonts w:asciiTheme="majorHAnsi" w:hAnsiTheme="majorHAnsi"/>
          <w:lang w:val="en-US"/>
        </w:rPr>
        <w:fldChar w:fldCharType="separate"/>
      </w:r>
      <w:r>
        <w:rPr>
          <w:rFonts w:asciiTheme="majorHAnsi" w:hAnsiTheme="majorHAnsi"/>
          <w:noProof/>
          <w:lang w:val="en-US"/>
        </w:rPr>
        <w:t>(Rodriguez-Puebla et al., 1999, Liu et al., 1995)</w:t>
      </w:r>
      <w:r>
        <w:rPr>
          <w:rFonts w:asciiTheme="majorHAnsi" w:hAnsiTheme="majorHAnsi"/>
          <w:lang w:val="en-US"/>
        </w:rPr>
        <w:fldChar w:fldCharType="end"/>
      </w:r>
      <w:r>
        <w:rPr>
          <w:rFonts w:asciiTheme="majorHAnsi" w:hAnsiTheme="majorHAnsi"/>
          <w:lang w:val="en-US"/>
        </w:rPr>
        <w:t>.</w:t>
      </w:r>
      <w:r w:rsidR="00C242F9">
        <w:rPr>
          <w:rFonts w:asciiTheme="majorHAnsi" w:hAnsiTheme="majorHAnsi"/>
          <w:lang w:val="en-US"/>
        </w:rPr>
        <w:t xml:space="preserve"> </w:t>
      </w:r>
      <w:r>
        <w:rPr>
          <w:rFonts w:asciiTheme="majorHAnsi" w:hAnsiTheme="majorHAnsi"/>
          <w:lang w:val="en-US"/>
        </w:rPr>
        <w:t>There was a</w:t>
      </w:r>
      <w:r w:rsidR="00C6437B">
        <w:rPr>
          <w:rFonts w:asciiTheme="majorHAnsi" w:hAnsiTheme="majorHAnsi"/>
          <w:lang w:val="en-US"/>
        </w:rPr>
        <w:t xml:space="preserve"> </w:t>
      </w:r>
      <w:r w:rsidR="00A82503">
        <w:rPr>
          <w:rFonts w:asciiTheme="majorHAnsi" w:hAnsiTheme="majorHAnsi"/>
          <w:lang w:val="en-US"/>
        </w:rPr>
        <w:t>significantly</w:t>
      </w:r>
      <w:r w:rsidR="00C6437B">
        <w:rPr>
          <w:rFonts w:asciiTheme="majorHAnsi" w:hAnsiTheme="majorHAnsi"/>
          <w:lang w:val="en-US"/>
        </w:rPr>
        <w:t xml:space="preserve"> increased Sub G1 population </w:t>
      </w:r>
      <w:r w:rsidR="00522BC6">
        <w:rPr>
          <w:rFonts w:asciiTheme="majorHAnsi" w:hAnsiTheme="majorHAnsi"/>
          <w:lang w:val="en-US"/>
        </w:rPr>
        <w:t xml:space="preserve">in HCT116 cells when si6 </w:t>
      </w:r>
      <w:r>
        <w:rPr>
          <w:rFonts w:asciiTheme="majorHAnsi" w:hAnsiTheme="majorHAnsi"/>
          <w:lang w:val="en-US"/>
        </w:rPr>
        <w:t>was</w:t>
      </w:r>
      <w:r w:rsidR="00522BC6">
        <w:rPr>
          <w:rFonts w:asciiTheme="majorHAnsi" w:hAnsiTheme="majorHAnsi"/>
          <w:lang w:val="en-US"/>
        </w:rPr>
        <w:t xml:space="preserve"> used to knockdown </w:t>
      </w:r>
      <w:r w:rsidR="00522BC6" w:rsidRPr="00B74B51">
        <w:rPr>
          <w:rFonts w:asciiTheme="majorHAnsi" w:hAnsiTheme="majorHAnsi"/>
          <w:i/>
          <w:lang w:val="en-US"/>
        </w:rPr>
        <w:t>SRCAP</w:t>
      </w:r>
      <w:r w:rsidR="00522BC6">
        <w:rPr>
          <w:rFonts w:asciiTheme="majorHAnsi" w:hAnsiTheme="majorHAnsi"/>
          <w:lang w:val="en-US"/>
        </w:rPr>
        <w:t xml:space="preserve"> in both RAS over</w:t>
      </w:r>
      <w:r w:rsidR="00377382">
        <w:rPr>
          <w:rFonts w:asciiTheme="majorHAnsi" w:hAnsiTheme="majorHAnsi"/>
          <w:lang w:val="en-US"/>
        </w:rPr>
        <w:t>-</w:t>
      </w:r>
      <w:r w:rsidR="00522BC6">
        <w:rPr>
          <w:rFonts w:asciiTheme="majorHAnsi" w:hAnsiTheme="majorHAnsi"/>
          <w:lang w:val="en-US"/>
        </w:rPr>
        <w:t>expressing cells</w:t>
      </w:r>
      <w:r>
        <w:rPr>
          <w:rFonts w:asciiTheme="majorHAnsi" w:hAnsiTheme="majorHAnsi"/>
          <w:lang w:val="en-US"/>
        </w:rPr>
        <w:t xml:space="preserve"> lines, which</w:t>
      </w:r>
      <w:r w:rsidR="00522BC6">
        <w:rPr>
          <w:rFonts w:asciiTheme="majorHAnsi" w:hAnsiTheme="majorHAnsi"/>
          <w:lang w:val="en-US"/>
        </w:rPr>
        <w:t xml:space="preserve"> correlated with </w:t>
      </w:r>
      <w:r w:rsidR="00A82503">
        <w:rPr>
          <w:rFonts w:asciiTheme="majorHAnsi" w:hAnsiTheme="majorHAnsi"/>
          <w:lang w:val="en-US"/>
        </w:rPr>
        <w:t xml:space="preserve">a </w:t>
      </w:r>
      <w:r w:rsidR="00522BC6">
        <w:rPr>
          <w:rFonts w:asciiTheme="majorHAnsi" w:hAnsiTheme="majorHAnsi"/>
          <w:lang w:val="en-US"/>
        </w:rPr>
        <w:t>decrease in S phase cells</w:t>
      </w:r>
      <w:r w:rsidR="00A82503">
        <w:rPr>
          <w:rFonts w:asciiTheme="majorHAnsi" w:hAnsiTheme="majorHAnsi"/>
          <w:lang w:val="en-US"/>
        </w:rPr>
        <w:t xml:space="preserve"> (Figure 5.5b)</w:t>
      </w:r>
      <w:r w:rsidR="00522BC6">
        <w:rPr>
          <w:rFonts w:asciiTheme="majorHAnsi" w:hAnsiTheme="majorHAnsi"/>
          <w:lang w:val="en-US"/>
        </w:rPr>
        <w:t xml:space="preserve">. </w:t>
      </w:r>
      <w:r>
        <w:rPr>
          <w:rFonts w:asciiTheme="majorHAnsi" w:hAnsiTheme="majorHAnsi"/>
          <w:lang w:val="en-US"/>
        </w:rPr>
        <w:t xml:space="preserve">This is </w:t>
      </w:r>
      <w:r w:rsidR="00522BC6">
        <w:rPr>
          <w:rFonts w:asciiTheme="majorHAnsi" w:hAnsiTheme="majorHAnsi"/>
          <w:lang w:val="en-US"/>
        </w:rPr>
        <w:t>indicative of cells accumulating damage, arresting in G1 and then</w:t>
      </w:r>
      <w:r w:rsidR="00106341">
        <w:rPr>
          <w:rFonts w:asciiTheme="majorHAnsi" w:hAnsiTheme="majorHAnsi"/>
          <w:lang w:val="en-US"/>
        </w:rPr>
        <w:t xml:space="preserve"> undergoing apoptosis to give a</w:t>
      </w:r>
      <w:r w:rsidR="00522BC6">
        <w:rPr>
          <w:rFonts w:asciiTheme="majorHAnsi" w:hAnsiTheme="majorHAnsi"/>
          <w:lang w:val="en-US"/>
        </w:rPr>
        <w:t xml:space="preserve"> Sub G1 subset and </w:t>
      </w:r>
      <w:r w:rsidR="00896936">
        <w:rPr>
          <w:rFonts w:asciiTheme="majorHAnsi" w:hAnsiTheme="majorHAnsi"/>
          <w:lang w:val="en-US"/>
        </w:rPr>
        <w:t>fewer</w:t>
      </w:r>
      <w:r w:rsidR="00522BC6">
        <w:rPr>
          <w:rFonts w:asciiTheme="majorHAnsi" w:hAnsiTheme="majorHAnsi"/>
          <w:lang w:val="en-US"/>
        </w:rPr>
        <w:t xml:space="preserve"> cells progressing to synthesis of new DNA. </w:t>
      </w:r>
      <w:r w:rsidR="00D12AA2">
        <w:rPr>
          <w:rFonts w:asciiTheme="majorHAnsi" w:hAnsiTheme="majorHAnsi"/>
          <w:lang w:val="en-US"/>
        </w:rPr>
        <w:t>H</w:t>
      </w:r>
      <w:r w:rsidR="00522BC6">
        <w:rPr>
          <w:rFonts w:asciiTheme="majorHAnsi" w:hAnsiTheme="majorHAnsi"/>
          <w:lang w:val="en-US"/>
        </w:rPr>
        <w:t>owever,</w:t>
      </w:r>
      <w:r w:rsidR="00D12AA2">
        <w:rPr>
          <w:rFonts w:asciiTheme="majorHAnsi" w:hAnsiTheme="majorHAnsi"/>
          <w:lang w:val="en-US"/>
        </w:rPr>
        <w:t xml:space="preserve"> this</w:t>
      </w:r>
      <w:r w:rsidR="00522BC6">
        <w:rPr>
          <w:rFonts w:asciiTheme="majorHAnsi" w:hAnsiTheme="majorHAnsi"/>
          <w:lang w:val="en-US"/>
        </w:rPr>
        <w:t xml:space="preserve"> is contradictory to what was seen in the DNA damage</w:t>
      </w:r>
      <w:r>
        <w:rPr>
          <w:rFonts w:asciiTheme="majorHAnsi" w:hAnsiTheme="majorHAnsi"/>
          <w:lang w:val="en-US"/>
        </w:rPr>
        <w:t xml:space="preserve"> assays</w:t>
      </w:r>
      <w:r w:rsidR="00522BC6">
        <w:rPr>
          <w:rFonts w:asciiTheme="majorHAnsi" w:hAnsiTheme="majorHAnsi"/>
          <w:lang w:val="en-US"/>
        </w:rPr>
        <w:t>, where very little DNA damage was seen compared to control cells</w:t>
      </w:r>
      <w:r w:rsidR="00106341">
        <w:rPr>
          <w:rFonts w:asciiTheme="majorHAnsi" w:hAnsiTheme="majorHAnsi"/>
          <w:lang w:val="en-US"/>
        </w:rPr>
        <w:t xml:space="preserve"> in HCT116 cells</w:t>
      </w:r>
      <w:r>
        <w:rPr>
          <w:rFonts w:asciiTheme="majorHAnsi" w:hAnsiTheme="majorHAnsi"/>
          <w:lang w:val="en-US"/>
        </w:rPr>
        <w:t xml:space="preserve"> (Figure 5.3b)</w:t>
      </w:r>
      <w:r w:rsidR="00522BC6">
        <w:rPr>
          <w:rFonts w:asciiTheme="majorHAnsi" w:hAnsiTheme="majorHAnsi"/>
          <w:lang w:val="en-US"/>
        </w:rPr>
        <w:t xml:space="preserve">. It may be possible that many of the cells had already undergone apoptosis and therefore the cells that had </w:t>
      </w:r>
      <w:r w:rsidR="00D12AA2">
        <w:rPr>
          <w:rFonts w:asciiTheme="majorHAnsi" w:hAnsiTheme="majorHAnsi"/>
          <w:lang w:val="en-US"/>
        </w:rPr>
        <w:t>adhered</w:t>
      </w:r>
      <w:r w:rsidR="00522BC6">
        <w:rPr>
          <w:rFonts w:asciiTheme="majorHAnsi" w:hAnsiTheme="majorHAnsi"/>
          <w:lang w:val="en-US"/>
        </w:rPr>
        <w:t xml:space="preserve"> to the coverslips and survived the staining process were much more viable so appeared to have lower levels of DNA damage. </w:t>
      </w:r>
      <w:r w:rsidR="00A82503">
        <w:rPr>
          <w:rFonts w:asciiTheme="majorHAnsi" w:hAnsiTheme="majorHAnsi"/>
          <w:lang w:val="en-US"/>
        </w:rPr>
        <w:t xml:space="preserve">Cell cycle changes in MRC5 cells were fewer and less significant; there was an increase in sub G1 cells in RAS clone 1 when SRCAP was knocked down and in RAS2, and a decrease in G1 in RAS2 si7 (Figure 5.5c). </w:t>
      </w:r>
    </w:p>
    <w:p w14:paraId="566B0A18" w14:textId="77777777" w:rsidR="00106341" w:rsidRDefault="00106341" w:rsidP="00B27FE9">
      <w:pPr>
        <w:spacing w:line="360" w:lineRule="auto"/>
        <w:jc w:val="both"/>
        <w:rPr>
          <w:rFonts w:asciiTheme="majorHAnsi" w:hAnsiTheme="majorHAnsi"/>
          <w:lang w:val="en-US"/>
        </w:rPr>
      </w:pPr>
    </w:p>
    <w:p w14:paraId="119F4CDD" w14:textId="5A20B441" w:rsidR="00B27FE9" w:rsidRDefault="00A82503">
      <w:pPr>
        <w:rPr>
          <w:rFonts w:ascii="Cambria" w:hAnsi="Cambria"/>
          <w:lang w:val="en-US"/>
        </w:rPr>
      </w:pPr>
      <w:r w:rsidRPr="00A82503">
        <w:t xml:space="preserve"> </w:t>
      </w:r>
      <w:r w:rsidR="009F05F1" w:rsidRPr="009F05F1">
        <w:rPr>
          <w:rFonts w:ascii="Cambria" w:hAnsi="Cambria"/>
        </w:rPr>
        <w:t xml:space="preserve"> </w:t>
      </w:r>
      <w:r w:rsidR="00B27FE9">
        <w:br w:type="page"/>
      </w:r>
    </w:p>
    <w:p w14:paraId="02E3F81E" w14:textId="44DE4F0A" w:rsidR="00BE6BCB" w:rsidRDefault="00E9080D">
      <w:pPr>
        <w:rPr>
          <w:rFonts w:asciiTheme="majorHAnsi" w:hAnsiTheme="majorHAnsi"/>
          <w:sz w:val="28"/>
          <w:u w:val="single"/>
        </w:rPr>
      </w:pPr>
      <w:r>
        <w:rPr>
          <w:rFonts w:ascii="Cambria" w:hAnsi="Cambria"/>
          <w:noProof/>
          <w:lang w:val="en-US"/>
        </w:rPr>
        <mc:AlternateContent>
          <mc:Choice Requires="wps">
            <w:drawing>
              <wp:anchor distT="0" distB="0" distL="114300" distR="114300" simplePos="0" relativeHeight="252243968" behindDoc="0" locked="0" layoutInCell="1" allowOverlap="1" wp14:anchorId="7C03D2C6" wp14:editId="5F495FE6">
                <wp:simplePos x="0" y="0"/>
                <wp:positionH relativeFrom="column">
                  <wp:posOffset>685800</wp:posOffset>
                </wp:positionH>
                <wp:positionV relativeFrom="paragraph">
                  <wp:posOffset>-114300</wp:posOffset>
                </wp:positionV>
                <wp:extent cx="457200" cy="342900"/>
                <wp:effectExtent l="0" t="0" r="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1DB98D" w14:textId="5E02D76A" w:rsidR="00E82D3B" w:rsidRPr="00FB5A2D" w:rsidRDefault="00E82D3B">
                            <w:pPr>
                              <w:rPr>
                                <w:rFonts w:asciiTheme="majorHAnsi" w:hAnsiTheme="majorHAnsi"/>
                                <w:b/>
                              </w:rPr>
                            </w:pPr>
                            <w:proofErr w:type="gramStart"/>
                            <w:r w:rsidRPr="00FB5A2D">
                              <w:rPr>
                                <w:rFonts w:asciiTheme="majorHAnsi" w:hAnsiTheme="majorHAnsi"/>
                                <w:b/>
                              </w:rPr>
                              <w:t>a</w:t>
                            </w:r>
                            <w:proofErr w:type="gramEnd"/>
                            <w:r w:rsidRPr="00FB5A2D">
                              <w:rPr>
                                <w:rFonts w:asciiTheme="majorHAnsi" w:hAnsiTheme="majorHAns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161" type="#_x0000_t202" style="position:absolute;margin-left:54pt;margin-top:-8.95pt;width:36pt;height:27pt;z-index:25224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" filled="f" stroked="f">
                <v:textbox>
                  <w:txbxContent>
                    <w:p w14:paraId="5B1DB98D" w14:textId="5E02D76A" w:rsidR="000A1E0D" w:rsidRPr="00FB5A2D" w:rsidRDefault="000A1E0D">
                      <w:pPr>
                        <w:rPr>
                          <w:rFonts w:asciiTheme="majorHAnsi" w:hAnsiTheme="majorHAnsi"/>
                          <w:b/>
                        </w:rPr>
                      </w:pPr>
                      <w:proofErr w:type="gramStart"/>
                      <w:r w:rsidRPr="00FB5A2D">
                        <w:rPr>
                          <w:rFonts w:asciiTheme="majorHAnsi" w:hAnsiTheme="majorHAnsi"/>
                          <w:b/>
                        </w:rPr>
                        <w:t>a</w:t>
                      </w:r>
                      <w:proofErr w:type="gramEnd"/>
                      <w:r w:rsidRPr="00FB5A2D">
                        <w:rPr>
                          <w:rFonts w:asciiTheme="majorHAnsi" w:hAnsiTheme="majorHAnsi"/>
                          <w:b/>
                        </w:rPr>
                        <w:t>.)</w:t>
                      </w:r>
                    </w:p>
                  </w:txbxContent>
                </v:textbox>
                <w10:wrap type="square"/>
              </v:shape>
            </w:pict>
          </mc:Fallback>
        </mc:AlternateContent>
      </w:r>
      <w:r>
        <w:rPr>
          <w:rFonts w:ascii="Cambria" w:hAnsi="Cambria"/>
          <w:noProof/>
          <w:lang w:val="en-US"/>
        </w:rPr>
        <mc:AlternateContent>
          <mc:Choice Requires="wps">
            <w:drawing>
              <wp:anchor distT="0" distB="0" distL="114300" distR="114300" simplePos="0" relativeHeight="252246016" behindDoc="0" locked="0" layoutInCell="1" allowOverlap="1" wp14:anchorId="2AA6C1F7" wp14:editId="08D0A5B7">
                <wp:simplePos x="0" y="0"/>
                <wp:positionH relativeFrom="column">
                  <wp:posOffset>685800</wp:posOffset>
                </wp:positionH>
                <wp:positionV relativeFrom="paragraph">
                  <wp:posOffset>3657600</wp:posOffset>
                </wp:positionV>
                <wp:extent cx="457200" cy="342900"/>
                <wp:effectExtent l="0" t="0" r="0" b="12700"/>
                <wp:wrapSquare wrapText="bothSides"/>
                <wp:docPr id="33" name="Text Box 33"/>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86B6E3" w14:textId="108F58F8" w:rsidR="00E82D3B" w:rsidRPr="00FB5A2D" w:rsidRDefault="00E82D3B" w:rsidP="00FB5A2D">
                            <w:pPr>
                              <w:rPr>
                                <w:rFonts w:asciiTheme="majorHAnsi" w:hAnsiTheme="majorHAnsi"/>
                                <w:b/>
                              </w:rPr>
                            </w:pPr>
                            <w:proofErr w:type="gramStart"/>
                            <w:r>
                              <w:rPr>
                                <w:rFonts w:asciiTheme="majorHAnsi" w:hAnsiTheme="majorHAnsi"/>
                                <w:b/>
                              </w:rPr>
                              <w:t>c</w:t>
                            </w:r>
                            <w:proofErr w:type="gramEnd"/>
                            <w:r w:rsidRPr="00FB5A2D">
                              <w:rPr>
                                <w:rFonts w:asciiTheme="majorHAnsi" w:hAnsiTheme="majorHAns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 o:spid="_x0000_s1162" type="#_x0000_t202" style="position:absolute;margin-left:54pt;margin-top:4in;width:36pt;height:27pt;z-index:25224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" filled="f" stroked="f">
                <v:textbox>
                  <w:txbxContent>
                    <w:p w14:paraId="6986B6E3" w14:textId="108F58F8" w:rsidR="000A1E0D" w:rsidRPr="00FB5A2D" w:rsidRDefault="000A1E0D" w:rsidP="00FB5A2D">
                      <w:pPr>
                        <w:rPr>
                          <w:rFonts w:asciiTheme="majorHAnsi" w:hAnsiTheme="majorHAnsi"/>
                          <w:b/>
                        </w:rPr>
                      </w:pPr>
                      <w:proofErr w:type="gramStart"/>
                      <w:r>
                        <w:rPr>
                          <w:rFonts w:asciiTheme="majorHAnsi" w:hAnsiTheme="majorHAnsi"/>
                          <w:b/>
                        </w:rPr>
                        <w:t>c</w:t>
                      </w:r>
                      <w:proofErr w:type="gramEnd"/>
                      <w:r w:rsidRPr="00FB5A2D">
                        <w:rPr>
                          <w:rFonts w:asciiTheme="majorHAnsi" w:hAnsiTheme="majorHAnsi"/>
                          <w:b/>
                        </w:rPr>
                        <w:t>.)</w:t>
                      </w:r>
                    </w:p>
                  </w:txbxContent>
                </v:textbox>
                <w10:wrap type="square"/>
              </v:shape>
            </w:pict>
          </mc:Fallback>
        </mc:AlternateContent>
      </w:r>
      <w:r w:rsidR="00BE6BCB">
        <w:rPr>
          <w:rFonts w:ascii="Cambria" w:hAnsi="Cambria"/>
          <w:noProof/>
          <w:lang w:val="en-US"/>
        </w:rPr>
        <mc:AlternateContent>
          <mc:Choice Requires="wps">
            <w:drawing>
              <wp:anchor distT="0" distB="0" distL="114300" distR="114300" simplePos="0" relativeHeight="252244992" behindDoc="0" locked="0" layoutInCell="1" allowOverlap="1" wp14:anchorId="0B768074" wp14:editId="1F8AFFE3">
                <wp:simplePos x="0" y="0"/>
                <wp:positionH relativeFrom="column">
                  <wp:posOffset>685800</wp:posOffset>
                </wp:positionH>
                <wp:positionV relativeFrom="paragraph">
                  <wp:posOffset>1714500</wp:posOffset>
                </wp:positionV>
                <wp:extent cx="457200" cy="342900"/>
                <wp:effectExtent l="0" t="0" r="0" b="12700"/>
                <wp:wrapSquare wrapText="bothSides"/>
                <wp:docPr id="32" name="Text Box 32"/>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668AD3" w14:textId="097A2CD9" w:rsidR="00E82D3B" w:rsidRPr="00FB5A2D" w:rsidRDefault="00E82D3B" w:rsidP="00FB5A2D">
                            <w:pPr>
                              <w:rPr>
                                <w:rFonts w:asciiTheme="majorHAnsi" w:hAnsiTheme="majorHAnsi"/>
                                <w:b/>
                              </w:rPr>
                            </w:pPr>
                            <w:proofErr w:type="gramStart"/>
                            <w:r>
                              <w:rPr>
                                <w:rFonts w:asciiTheme="majorHAnsi" w:hAnsiTheme="majorHAnsi"/>
                                <w:b/>
                              </w:rPr>
                              <w:t>b</w:t>
                            </w:r>
                            <w:proofErr w:type="gramEnd"/>
                            <w:r>
                              <w:rPr>
                                <w:rFonts w:asciiTheme="majorHAnsi" w:hAnsiTheme="majorHAns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2" o:spid="_x0000_s1163" type="#_x0000_t202" style="position:absolute;margin-left:54pt;margin-top:135pt;width:36pt;height:27pt;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" filled="f" stroked="f">
                <v:textbox>
                  <w:txbxContent>
                    <w:p w14:paraId="23668AD3" w14:textId="097A2CD9" w:rsidR="000A1E0D" w:rsidRPr="00FB5A2D" w:rsidRDefault="000A1E0D" w:rsidP="00FB5A2D">
                      <w:pPr>
                        <w:rPr>
                          <w:rFonts w:asciiTheme="majorHAnsi" w:hAnsiTheme="majorHAnsi"/>
                          <w:b/>
                        </w:rPr>
                      </w:pPr>
                      <w:proofErr w:type="gramStart"/>
                      <w:r>
                        <w:rPr>
                          <w:rFonts w:asciiTheme="majorHAnsi" w:hAnsiTheme="majorHAnsi"/>
                          <w:b/>
                        </w:rPr>
                        <w:t>b</w:t>
                      </w:r>
                      <w:proofErr w:type="gramEnd"/>
                      <w:r>
                        <w:rPr>
                          <w:rFonts w:asciiTheme="majorHAnsi" w:hAnsiTheme="majorHAnsi"/>
                          <w:b/>
                        </w:rPr>
                        <w:t>.)</w:t>
                      </w:r>
                    </w:p>
                  </w:txbxContent>
                </v:textbox>
                <w10:wrap type="square"/>
              </v:shape>
            </w:pict>
          </mc:Fallback>
        </mc:AlternateContent>
      </w:r>
      <w:r w:rsidR="00BE6BCB">
        <w:rPr>
          <w:rFonts w:ascii="Cambria" w:hAnsi="Cambria"/>
          <w:noProof/>
          <w:lang w:val="en-US"/>
        </w:rPr>
        <mc:AlternateContent>
          <mc:Choice Requires="wps">
            <w:drawing>
              <wp:anchor distT="0" distB="0" distL="114300" distR="114300" simplePos="0" relativeHeight="252242944" behindDoc="0" locked="0" layoutInCell="1" allowOverlap="1" wp14:anchorId="50850052" wp14:editId="157EBBA9">
                <wp:simplePos x="0" y="0"/>
                <wp:positionH relativeFrom="column">
                  <wp:posOffset>3886200</wp:posOffset>
                </wp:positionH>
                <wp:positionV relativeFrom="paragraph">
                  <wp:posOffset>5257800</wp:posOffset>
                </wp:positionV>
                <wp:extent cx="800100" cy="3429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4EC99D" w14:textId="715CD0C3" w:rsidR="00E82D3B" w:rsidRPr="00D21658" w:rsidRDefault="00E82D3B">
                            <w:pPr>
                              <w:rPr>
                                <w:rFonts w:asciiTheme="majorHAnsi" w:hAnsiTheme="majorHAnsi"/>
                                <w:b/>
                                <w:sz w:val="28"/>
                              </w:rPr>
                            </w:pPr>
                            <w:proofErr w:type="gramStart"/>
                            <w:r w:rsidRPr="00D21658">
                              <w:rPr>
                                <w:rFonts w:asciiTheme="majorHAnsi" w:hAnsiTheme="majorHAnsi"/>
                                <w:b/>
                                <w:sz w:val="28"/>
                              </w:rPr>
                              <w:t>n</w:t>
                            </w:r>
                            <w:proofErr w:type="gramEnd"/>
                            <w:r w:rsidRPr="00D21658">
                              <w:rPr>
                                <w:rFonts w:asciiTheme="majorHAnsi" w:hAnsiTheme="majorHAnsi"/>
                                <w:b/>
                                <w:sz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164" type="#_x0000_t202" style="position:absolute;margin-left:306pt;margin-top:414pt;width:63pt;height:27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" filled="f" stroked="f">
                <v:textbox>
                  <w:txbxContent>
                    <w:p w14:paraId="0D4EC99D" w14:textId="715CD0C3" w:rsidR="000A1E0D" w:rsidRPr="00D21658" w:rsidRDefault="000A1E0D">
                      <w:pPr>
                        <w:rPr>
                          <w:rFonts w:asciiTheme="majorHAnsi" w:hAnsiTheme="majorHAnsi"/>
                          <w:b/>
                          <w:sz w:val="28"/>
                        </w:rPr>
                      </w:pPr>
                      <w:proofErr w:type="gramStart"/>
                      <w:r w:rsidRPr="00D21658">
                        <w:rPr>
                          <w:rFonts w:asciiTheme="majorHAnsi" w:hAnsiTheme="majorHAnsi"/>
                          <w:b/>
                          <w:sz w:val="28"/>
                        </w:rPr>
                        <w:t>n</w:t>
                      </w:r>
                      <w:proofErr w:type="gramEnd"/>
                      <w:r w:rsidRPr="00D21658">
                        <w:rPr>
                          <w:rFonts w:asciiTheme="majorHAnsi" w:hAnsiTheme="majorHAnsi"/>
                          <w:b/>
                          <w:sz w:val="28"/>
                        </w:rPr>
                        <w:t>=3</w:t>
                      </w:r>
                    </w:p>
                  </w:txbxContent>
                </v:textbox>
                <w10:wrap type="square"/>
              </v:shape>
            </w:pict>
          </mc:Fallback>
        </mc:AlternateContent>
      </w:r>
      <w:r w:rsidR="00BE6BCB">
        <w:rPr>
          <w:noProof/>
          <w:lang w:val="en-US"/>
        </w:rPr>
        <w:drawing>
          <wp:anchor distT="0" distB="0" distL="114300" distR="114300" simplePos="0" relativeHeight="252241920" behindDoc="0" locked="0" layoutInCell="1" allowOverlap="1" wp14:anchorId="1A42A5F8" wp14:editId="113CA911">
            <wp:simplePos x="0" y="0"/>
            <wp:positionH relativeFrom="column">
              <wp:posOffset>685165</wp:posOffset>
            </wp:positionH>
            <wp:positionV relativeFrom="paragraph">
              <wp:posOffset>-228600</wp:posOffset>
            </wp:positionV>
            <wp:extent cx="3796030" cy="5901055"/>
            <wp:effectExtent l="0" t="0" r="0" b="0"/>
            <wp:wrapSquare wrapText="bothSides"/>
            <wp:docPr id="1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96030" cy="590105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BCB">
        <w:rPr>
          <w:rFonts w:ascii="Cambria" w:hAnsi="Cambria"/>
          <w:noProof/>
          <w:lang w:val="en-US"/>
        </w:rPr>
        <mc:AlternateContent>
          <mc:Choice Requires="wps">
            <w:drawing>
              <wp:anchor distT="0" distB="0" distL="114300" distR="114300" simplePos="0" relativeHeight="251682816" behindDoc="0" locked="0" layoutInCell="1" allowOverlap="1" wp14:anchorId="4E49E33F" wp14:editId="66ADE49D">
                <wp:simplePos x="0" y="0"/>
                <wp:positionH relativeFrom="column">
                  <wp:posOffset>-342900</wp:posOffset>
                </wp:positionH>
                <wp:positionV relativeFrom="paragraph">
                  <wp:posOffset>5715000</wp:posOffset>
                </wp:positionV>
                <wp:extent cx="5715000" cy="3314700"/>
                <wp:effectExtent l="0" t="0" r="0" b="12700"/>
                <wp:wrapSquare wrapText="bothSides"/>
                <wp:docPr id="25" name="Text Box 25"/>
                <wp:cNvGraphicFramePr/>
                <a:graphic xmlns:a="http://schemas.openxmlformats.org/drawingml/2006/main">
                  <a:graphicData uri="http://schemas.microsoft.com/office/word/2010/wordprocessingShape">
                    <wps:wsp>
                      <wps:cNvSpPr txBox="1"/>
                      <wps:spPr>
                        <a:xfrm>
                          <a:off x="0" y="0"/>
                          <a:ext cx="5715000" cy="3314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FD8B5B" w14:textId="07F75B93" w:rsidR="00E82D3B" w:rsidRDefault="00E82D3B" w:rsidP="00D21658">
                            <w:pPr>
                              <w:jc w:val="both"/>
                              <w:rPr>
                                <w:b/>
                                <w:i/>
                                <w:sz w:val="22"/>
                              </w:rPr>
                            </w:pPr>
                            <w:r w:rsidRPr="00C6437B">
                              <w:rPr>
                                <w:b/>
                                <w:i/>
                                <w:sz w:val="22"/>
                              </w:rPr>
                              <w:t xml:space="preserve">Figure 5.5 Cell cycle profiles </w:t>
                            </w:r>
                            <w:r>
                              <w:rPr>
                                <w:b/>
                                <w:i/>
                                <w:sz w:val="22"/>
                              </w:rPr>
                              <w:t>of</w:t>
                            </w:r>
                            <w:r w:rsidRPr="00C6437B">
                              <w:rPr>
                                <w:b/>
                                <w:i/>
                                <w:sz w:val="22"/>
                              </w:rPr>
                              <w:t xml:space="preserve"> RAS over</w:t>
                            </w:r>
                            <w:r>
                              <w:rPr>
                                <w:b/>
                                <w:i/>
                                <w:sz w:val="22"/>
                              </w:rPr>
                              <w:t>-</w:t>
                            </w:r>
                            <w:r w:rsidRPr="00C6437B">
                              <w:rPr>
                                <w:b/>
                                <w:i/>
                                <w:sz w:val="22"/>
                              </w:rPr>
                              <w:t xml:space="preserve">expressing cells </w:t>
                            </w:r>
                            <w:r>
                              <w:rPr>
                                <w:b/>
                                <w:i/>
                                <w:sz w:val="22"/>
                              </w:rPr>
                              <w:t xml:space="preserve">with SRCAP depletion </w:t>
                            </w:r>
                            <w:r w:rsidRPr="00C6437B">
                              <w:rPr>
                                <w:b/>
                                <w:i/>
                                <w:sz w:val="22"/>
                              </w:rPr>
                              <w:t>differ depending on cell line</w:t>
                            </w:r>
                            <w:r>
                              <w:rPr>
                                <w:b/>
                                <w:i/>
                                <w:sz w:val="22"/>
                              </w:rPr>
                              <w:t>age.</w:t>
                            </w:r>
                          </w:p>
                          <w:p w14:paraId="6EF7B693" w14:textId="1116E189" w:rsidR="00E82D3B" w:rsidRDefault="00E82D3B" w:rsidP="00D21658">
                            <w:pPr>
                              <w:jc w:val="both"/>
                              <w:rPr>
                                <w:i/>
                                <w:sz w:val="22"/>
                              </w:rPr>
                            </w:pPr>
                            <w:r>
                              <w:rPr>
                                <w:i/>
                                <w:sz w:val="22"/>
                              </w:rPr>
                              <w:t xml:space="preserve">Cells were seeded into 6 well plates for 24hrs, transfected with siRNA for 48hrs and then fixed and stained with PI. Samples were run on the FACS Calibur, where doublet cells were excluded and DNA content histograms generated. Peaks were gated for the percentage of cells present in each phase of the cell cycle. Bar charts above represent the median percentage of cells in each cell cycle phase from three separate experiments, with range bars. </w:t>
                            </w:r>
                          </w:p>
                          <w:p w14:paraId="4E8D562A" w14:textId="54CA6269" w:rsidR="00E82D3B" w:rsidRDefault="00E82D3B" w:rsidP="00D21658">
                            <w:pPr>
                              <w:jc w:val="both"/>
                              <w:rPr>
                                <w:i/>
                                <w:sz w:val="22"/>
                              </w:rPr>
                            </w:pPr>
                            <w:r>
                              <w:rPr>
                                <w:i/>
                                <w:sz w:val="22"/>
                              </w:rPr>
                              <w:t>a.) Using a Kruskal-Wallis test there was no significant difference between any of the data sets in SW480 cells at any of the cell cycle phases (sub G1-p=0.3638, G1-p=0.0752, S-p=0.1483, G2-M-p=0.0633), however individual assessment between control cells and the other data sets gave significant differences as displayed by significance stars.</w:t>
                            </w:r>
                          </w:p>
                          <w:p w14:paraId="76F113A6" w14:textId="5A70EF1D" w:rsidR="00E82D3B" w:rsidRDefault="00E82D3B" w:rsidP="00D21658">
                            <w:pPr>
                              <w:jc w:val="both"/>
                              <w:rPr>
                                <w:i/>
                                <w:sz w:val="22"/>
                              </w:rPr>
                            </w:pPr>
                            <w:r>
                              <w:rPr>
                                <w:i/>
                                <w:sz w:val="22"/>
                              </w:rPr>
                              <w:t>b.)</w:t>
                            </w:r>
                            <w:r w:rsidRPr="002B1B9D">
                              <w:rPr>
                                <w:i/>
                                <w:sz w:val="22"/>
                              </w:rPr>
                              <w:t xml:space="preserve"> </w:t>
                            </w:r>
                            <w:r>
                              <w:rPr>
                                <w:i/>
                                <w:sz w:val="22"/>
                              </w:rPr>
                              <w:t>Using a Kruskal-Wallis test there was a significant difference between data sets in sub G1 and S phase in HCT116 cells (sub G1-p=0.0492, G1-p=0.9229, S-p=0.0397, G2-M-p=0.5602), individual assessment between control cells and the other data sets gave significant differences as displayed by significance stars.</w:t>
                            </w:r>
                          </w:p>
                          <w:p w14:paraId="02E56618" w14:textId="5C9A9174" w:rsidR="00E82D3B" w:rsidRPr="00D21658" w:rsidRDefault="00E82D3B" w:rsidP="00D21658">
                            <w:pPr>
                              <w:jc w:val="both"/>
                              <w:rPr>
                                <w:i/>
                                <w:sz w:val="22"/>
                              </w:rPr>
                            </w:pPr>
                            <w:r>
                              <w:rPr>
                                <w:i/>
                                <w:sz w:val="22"/>
                              </w:rPr>
                              <w:t xml:space="preserve">c.) Using a Kruskal-Wallis test there was no significant difference between data sets in MRC5 cells across any cell cycle phase (sub G1-p=0.1879, G1-p=0.3455, S-p=0.3901, G2-M-p=0.6152), however, individual assessment between control cells and the other data sets gave significant differences as displayed by significance stars </w:t>
                            </w:r>
                            <w:r>
                              <w:rPr>
                                <w:i/>
                                <w:iCs/>
                                <w:sz w:val="22"/>
                                <w:szCs w:val="22"/>
                              </w:rPr>
                              <w:t>(* = p≤0.05, **=p≤ 0.01).</w:t>
                            </w:r>
                          </w:p>
                          <w:p w14:paraId="52C6C843" w14:textId="77777777" w:rsidR="00E82D3B" w:rsidRPr="00C6437B" w:rsidRDefault="00E82D3B">
                            <w:pPr>
                              <w:rPr>
                                <w:b/>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165" type="#_x0000_t202" style="position:absolute;margin-left:-26.95pt;margin-top:450pt;width:450pt;height:26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z+dU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" filled="f" stroked="f">
                <v:textbox>
                  <w:txbxContent>
                    <w:p w14:paraId="2EFD8B5B" w14:textId="07F75B93" w:rsidR="000A1E0D" w:rsidRDefault="000A1E0D" w:rsidP="00D21658">
                      <w:pPr>
                        <w:jc w:val="both"/>
                        <w:rPr>
                          <w:b/>
                          <w:i/>
                          <w:sz w:val="22"/>
                        </w:rPr>
                      </w:pPr>
                      <w:r w:rsidRPr="00C6437B">
                        <w:rPr>
                          <w:b/>
                          <w:i/>
                          <w:sz w:val="22"/>
                        </w:rPr>
                        <w:t xml:space="preserve">Figure 5.5 Cell cycle profiles </w:t>
                      </w:r>
                      <w:r>
                        <w:rPr>
                          <w:b/>
                          <w:i/>
                          <w:sz w:val="22"/>
                        </w:rPr>
                        <w:t>of</w:t>
                      </w:r>
                      <w:r w:rsidRPr="00C6437B">
                        <w:rPr>
                          <w:b/>
                          <w:i/>
                          <w:sz w:val="22"/>
                        </w:rPr>
                        <w:t xml:space="preserve"> RAS over</w:t>
                      </w:r>
                      <w:r>
                        <w:rPr>
                          <w:b/>
                          <w:i/>
                          <w:sz w:val="22"/>
                        </w:rPr>
                        <w:t>-</w:t>
                      </w:r>
                      <w:r w:rsidRPr="00C6437B">
                        <w:rPr>
                          <w:b/>
                          <w:i/>
                          <w:sz w:val="22"/>
                        </w:rPr>
                        <w:t xml:space="preserve">expressing cells </w:t>
                      </w:r>
                      <w:r>
                        <w:rPr>
                          <w:b/>
                          <w:i/>
                          <w:sz w:val="22"/>
                        </w:rPr>
                        <w:t xml:space="preserve">with SRCAP depletion </w:t>
                      </w:r>
                      <w:r w:rsidRPr="00C6437B">
                        <w:rPr>
                          <w:b/>
                          <w:i/>
                          <w:sz w:val="22"/>
                        </w:rPr>
                        <w:t>differ depending on cell line</w:t>
                      </w:r>
                      <w:r>
                        <w:rPr>
                          <w:b/>
                          <w:i/>
                          <w:sz w:val="22"/>
                        </w:rPr>
                        <w:t>age.</w:t>
                      </w:r>
                    </w:p>
                    <w:p w14:paraId="6EF7B693" w14:textId="1116E189" w:rsidR="000A1E0D" w:rsidRDefault="000A1E0D" w:rsidP="00D21658">
                      <w:pPr>
                        <w:jc w:val="both"/>
                        <w:rPr>
                          <w:i/>
                          <w:sz w:val="22"/>
                        </w:rPr>
                      </w:pPr>
                      <w:r>
                        <w:rPr>
                          <w:i/>
                          <w:sz w:val="22"/>
                        </w:rPr>
                        <w:t xml:space="preserve">Cells were seeded into 6 well plates for 24hrs, transfected with siRNA for 48hrs and then fixed and stained with PI. Samples were run on the FACS Calibur, where doublet cells were excluded and DNA content histograms generated. Peaks were gated for the percentage of cells present in each phase of the cell cycle. Bar charts above represent the median percentage of cells in each cell cycle phase from three separate experiments, with range bars. </w:t>
                      </w:r>
                    </w:p>
                    <w:p w14:paraId="4E8D562A" w14:textId="54CA6269" w:rsidR="000A1E0D" w:rsidRDefault="000A1E0D" w:rsidP="00D21658">
                      <w:pPr>
                        <w:jc w:val="both"/>
                        <w:rPr>
                          <w:i/>
                          <w:sz w:val="22"/>
                        </w:rPr>
                      </w:pPr>
                      <w:r>
                        <w:rPr>
                          <w:i/>
                          <w:sz w:val="22"/>
                        </w:rPr>
                        <w:t>a.) Using a Kruskal-Wallis test there was no significant difference between any of the data sets in SW480 cells at any of the cell cycle phases (sub G1-p=0.3638, G1-p=0.0752, S-p=0.1483, G2-M-p=0.0633), however individual assessment between control cells and the other data sets gave significant differences as displayed by significance stars.</w:t>
                      </w:r>
                    </w:p>
                    <w:p w14:paraId="76F113A6" w14:textId="5A70EF1D" w:rsidR="000A1E0D" w:rsidRDefault="000A1E0D" w:rsidP="00D21658">
                      <w:pPr>
                        <w:jc w:val="both"/>
                        <w:rPr>
                          <w:i/>
                          <w:sz w:val="22"/>
                        </w:rPr>
                      </w:pPr>
                      <w:r>
                        <w:rPr>
                          <w:i/>
                          <w:sz w:val="22"/>
                        </w:rPr>
                        <w:t>b.)</w:t>
                      </w:r>
                      <w:r w:rsidRPr="002B1B9D">
                        <w:rPr>
                          <w:i/>
                          <w:sz w:val="22"/>
                        </w:rPr>
                        <w:t xml:space="preserve"> </w:t>
                      </w:r>
                      <w:r>
                        <w:rPr>
                          <w:i/>
                          <w:sz w:val="22"/>
                        </w:rPr>
                        <w:t>Using a Kruskal-Wallis test there was a significant difference between data sets in sub G1 and S phase in HCT116 cells (sub G1-p=0.0492, G1-p=0.9229, S-p=0.0397, G2-M-p=0.5602), individual assessment between control cells and the other data sets gave significant differences as displayed by significance stars.</w:t>
                      </w:r>
                    </w:p>
                    <w:p w14:paraId="02E56618" w14:textId="5C9A9174" w:rsidR="000A1E0D" w:rsidRPr="00D21658" w:rsidRDefault="000A1E0D" w:rsidP="00D21658">
                      <w:pPr>
                        <w:jc w:val="both"/>
                        <w:rPr>
                          <w:i/>
                          <w:sz w:val="22"/>
                        </w:rPr>
                      </w:pPr>
                      <w:r>
                        <w:rPr>
                          <w:i/>
                          <w:sz w:val="22"/>
                        </w:rPr>
                        <w:t xml:space="preserve">c.) Using a Kruskal-Wallis test there was no significant difference between data sets in MRC5 cells across any cell cycle phase (sub G1-p=0.1879, G1-p=0.3455, S-p=0.3901, G2-M-p=0.6152), however, individual assessment between control cells and the other data sets gave significant differences as displayed by significance stars </w:t>
                      </w:r>
                      <w:r>
                        <w:rPr>
                          <w:i/>
                          <w:iCs/>
                          <w:sz w:val="22"/>
                          <w:szCs w:val="22"/>
                        </w:rPr>
                        <w:t>(* = p≤0.05, **=p≤ 0.01).</w:t>
                      </w:r>
                    </w:p>
                    <w:p w14:paraId="52C6C843" w14:textId="77777777" w:rsidR="000A1E0D" w:rsidRPr="00C6437B" w:rsidRDefault="000A1E0D">
                      <w:pPr>
                        <w:rPr>
                          <w:b/>
                          <w:i/>
                          <w:sz w:val="22"/>
                        </w:rPr>
                      </w:pPr>
                    </w:p>
                  </w:txbxContent>
                </v:textbox>
                <w10:wrap type="square"/>
              </v:shape>
            </w:pict>
          </mc:Fallback>
        </mc:AlternateContent>
      </w:r>
      <w:r w:rsidR="00BE6BCB">
        <w:rPr>
          <w:rFonts w:asciiTheme="majorHAnsi" w:hAnsiTheme="majorHAnsi"/>
          <w:sz w:val="28"/>
          <w:u w:val="single"/>
        </w:rPr>
        <w:br w:type="page"/>
      </w:r>
    </w:p>
    <w:p w14:paraId="5DFD4550" w14:textId="480ED5A6" w:rsidR="00EB74DE" w:rsidRDefault="00EB74DE" w:rsidP="00787436">
      <w:pPr>
        <w:spacing w:line="360" w:lineRule="auto"/>
        <w:jc w:val="both"/>
        <w:rPr>
          <w:rFonts w:asciiTheme="majorHAnsi" w:hAnsiTheme="majorHAnsi"/>
          <w:sz w:val="28"/>
          <w:u w:val="single"/>
        </w:rPr>
      </w:pPr>
      <w:r w:rsidRPr="00EB74DE">
        <w:rPr>
          <w:rFonts w:asciiTheme="majorHAnsi" w:hAnsiTheme="majorHAnsi"/>
          <w:sz w:val="28"/>
          <w:u w:val="single"/>
        </w:rPr>
        <w:t>5.4</w:t>
      </w:r>
      <w:r w:rsidRPr="00EB74DE">
        <w:rPr>
          <w:rFonts w:asciiTheme="majorHAnsi" w:hAnsiTheme="majorHAnsi"/>
          <w:sz w:val="36"/>
          <w:u w:val="single"/>
        </w:rPr>
        <w:t xml:space="preserve"> </w:t>
      </w:r>
      <w:r w:rsidRPr="00EB74DE">
        <w:rPr>
          <w:rFonts w:asciiTheme="majorHAnsi" w:hAnsiTheme="majorHAnsi"/>
          <w:sz w:val="28"/>
          <w:u w:val="single"/>
        </w:rPr>
        <w:t xml:space="preserve">Effect of </w:t>
      </w:r>
      <w:r w:rsidRPr="00B74B51">
        <w:rPr>
          <w:rFonts w:asciiTheme="majorHAnsi" w:hAnsiTheme="majorHAnsi"/>
          <w:i/>
          <w:sz w:val="28"/>
          <w:u w:val="single"/>
        </w:rPr>
        <w:t>SRCAP</w:t>
      </w:r>
      <w:r w:rsidRPr="00EB74DE">
        <w:rPr>
          <w:rFonts w:asciiTheme="majorHAnsi" w:hAnsiTheme="majorHAnsi"/>
          <w:sz w:val="28"/>
          <w:u w:val="single"/>
        </w:rPr>
        <w:t xml:space="preserve"> knockdown in fibroblast cells</w:t>
      </w:r>
    </w:p>
    <w:p w14:paraId="28D22537" w14:textId="77777777" w:rsidR="00EB74DE" w:rsidRPr="00EB74DE" w:rsidRDefault="00EB74DE" w:rsidP="00787436">
      <w:pPr>
        <w:spacing w:line="360" w:lineRule="auto"/>
        <w:jc w:val="both"/>
        <w:rPr>
          <w:rFonts w:asciiTheme="majorHAnsi" w:hAnsiTheme="majorHAnsi"/>
          <w:sz w:val="28"/>
          <w:u w:val="single"/>
        </w:rPr>
      </w:pPr>
    </w:p>
    <w:p w14:paraId="686FE288" w14:textId="2B7FE0B3" w:rsidR="00745621" w:rsidRDefault="00D12AA2" w:rsidP="00787436">
      <w:pPr>
        <w:spacing w:line="360" w:lineRule="auto"/>
        <w:jc w:val="both"/>
        <w:rPr>
          <w:rFonts w:asciiTheme="majorHAnsi" w:hAnsiTheme="majorHAnsi"/>
        </w:rPr>
      </w:pPr>
      <w:r>
        <w:rPr>
          <w:rFonts w:asciiTheme="majorHAnsi" w:hAnsiTheme="majorHAnsi"/>
        </w:rPr>
        <w:t>Based on</w:t>
      </w:r>
      <w:r w:rsidR="00787436">
        <w:rPr>
          <w:rFonts w:asciiTheme="majorHAnsi" w:hAnsiTheme="majorHAnsi"/>
        </w:rPr>
        <w:t xml:space="preserve"> the interesting results in nuclear abnormalities for MRC5 lung fibroblast cells containing RAS over</w:t>
      </w:r>
      <w:r w:rsidR="00377382">
        <w:rPr>
          <w:rFonts w:asciiTheme="majorHAnsi" w:hAnsiTheme="majorHAnsi"/>
        </w:rPr>
        <w:t>-</w:t>
      </w:r>
      <w:r w:rsidR="00787436">
        <w:rPr>
          <w:rFonts w:asciiTheme="majorHAnsi" w:hAnsiTheme="majorHAnsi"/>
        </w:rPr>
        <w:t xml:space="preserve">expression and </w:t>
      </w:r>
      <w:r w:rsidR="00787436" w:rsidRPr="00B74B51">
        <w:rPr>
          <w:rFonts w:asciiTheme="majorHAnsi" w:hAnsiTheme="majorHAnsi"/>
          <w:i/>
        </w:rPr>
        <w:t>SRCAP</w:t>
      </w:r>
      <w:r w:rsidR="00787436">
        <w:rPr>
          <w:rFonts w:asciiTheme="majorHAnsi" w:hAnsiTheme="majorHAnsi"/>
        </w:rPr>
        <w:t xml:space="preserve"> knockdown</w:t>
      </w:r>
      <w:r>
        <w:rPr>
          <w:rFonts w:asciiTheme="majorHAnsi" w:hAnsiTheme="majorHAnsi"/>
        </w:rPr>
        <w:t xml:space="preserve"> (Figure 5.4c)</w:t>
      </w:r>
      <w:r w:rsidR="00787436">
        <w:rPr>
          <w:rFonts w:asciiTheme="majorHAnsi" w:hAnsiTheme="majorHAnsi"/>
        </w:rPr>
        <w:t>, as well as the fact that there appeared to be an increase in DNA damage</w:t>
      </w:r>
      <w:r>
        <w:rPr>
          <w:rFonts w:asciiTheme="majorHAnsi" w:hAnsiTheme="majorHAnsi"/>
        </w:rPr>
        <w:t xml:space="preserve"> (Figure 5.3c), </w:t>
      </w:r>
      <w:r w:rsidR="00787436">
        <w:rPr>
          <w:rFonts w:asciiTheme="majorHAnsi" w:hAnsiTheme="majorHAnsi"/>
        </w:rPr>
        <w:t xml:space="preserve">DNA damage </w:t>
      </w:r>
      <w:r w:rsidR="004B7C1B">
        <w:rPr>
          <w:rFonts w:asciiTheme="majorHAnsi" w:hAnsiTheme="majorHAnsi"/>
        </w:rPr>
        <w:t xml:space="preserve">and nuclear abnormalities were assessed in </w:t>
      </w:r>
      <w:r w:rsidR="00787436">
        <w:rPr>
          <w:rFonts w:asciiTheme="majorHAnsi" w:hAnsiTheme="majorHAnsi"/>
        </w:rPr>
        <w:t xml:space="preserve">MRC5 </w:t>
      </w:r>
      <w:r w:rsidR="004B7C1B">
        <w:rPr>
          <w:rFonts w:asciiTheme="majorHAnsi" w:hAnsiTheme="majorHAnsi"/>
        </w:rPr>
        <w:t xml:space="preserve">parental </w:t>
      </w:r>
      <w:r w:rsidR="00787436">
        <w:rPr>
          <w:rFonts w:asciiTheme="majorHAnsi" w:hAnsiTheme="majorHAnsi"/>
        </w:rPr>
        <w:t xml:space="preserve">cells with </w:t>
      </w:r>
      <w:r w:rsidR="00787436" w:rsidRPr="00B74B51">
        <w:rPr>
          <w:rFonts w:asciiTheme="majorHAnsi" w:hAnsiTheme="majorHAnsi"/>
          <w:i/>
        </w:rPr>
        <w:t>SRCAP</w:t>
      </w:r>
      <w:r w:rsidR="00787436">
        <w:rPr>
          <w:rFonts w:asciiTheme="majorHAnsi" w:hAnsiTheme="majorHAnsi"/>
        </w:rPr>
        <w:t xml:space="preserve"> knockdown</w:t>
      </w:r>
      <w:r>
        <w:rPr>
          <w:rFonts w:asciiTheme="majorHAnsi" w:hAnsiTheme="majorHAnsi"/>
        </w:rPr>
        <w:t xml:space="preserve"> compared </w:t>
      </w:r>
      <w:r w:rsidR="004B7C1B">
        <w:rPr>
          <w:rFonts w:asciiTheme="majorHAnsi" w:hAnsiTheme="majorHAnsi"/>
        </w:rPr>
        <w:t>with non-targeting siRNA controls</w:t>
      </w:r>
      <w:r w:rsidR="00745621">
        <w:rPr>
          <w:rFonts w:asciiTheme="majorHAnsi" w:hAnsiTheme="majorHAnsi"/>
        </w:rPr>
        <w:t>. This data would indicate whether the large increase in nuclear abnormalities in MRC5 RAS over</w:t>
      </w:r>
      <w:r w:rsidR="00377382">
        <w:rPr>
          <w:rFonts w:asciiTheme="majorHAnsi" w:hAnsiTheme="majorHAnsi"/>
        </w:rPr>
        <w:t>-</w:t>
      </w:r>
      <w:r w:rsidR="00745621">
        <w:rPr>
          <w:rFonts w:asciiTheme="majorHAnsi" w:hAnsiTheme="majorHAnsi"/>
        </w:rPr>
        <w:t xml:space="preserve">expressing cells when </w:t>
      </w:r>
      <w:r w:rsidR="00745621" w:rsidRPr="00B74B51">
        <w:rPr>
          <w:rFonts w:asciiTheme="majorHAnsi" w:hAnsiTheme="majorHAnsi"/>
          <w:i/>
        </w:rPr>
        <w:t>SRCAP</w:t>
      </w:r>
      <w:r w:rsidR="00745621">
        <w:rPr>
          <w:rFonts w:asciiTheme="majorHAnsi" w:hAnsiTheme="majorHAnsi"/>
        </w:rPr>
        <w:t xml:space="preserve"> </w:t>
      </w:r>
      <w:r w:rsidR="00896936">
        <w:rPr>
          <w:rFonts w:asciiTheme="majorHAnsi" w:hAnsiTheme="majorHAnsi"/>
        </w:rPr>
        <w:t xml:space="preserve">is </w:t>
      </w:r>
      <w:r w:rsidR="00745621">
        <w:rPr>
          <w:rFonts w:asciiTheme="majorHAnsi" w:hAnsiTheme="majorHAnsi"/>
        </w:rPr>
        <w:t xml:space="preserve">depleted a cumulative effect of the two aberrations, or whether this is the normal </w:t>
      </w:r>
      <w:proofErr w:type="gramStart"/>
      <w:r w:rsidR="00745621">
        <w:rPr>
          <w:rFonts w:asciiTheme="majorHAnsi" w:hAnsiTheme="majorHAnsi"/>
        </w:rPr>
        <w:t>phenomena</w:t>
      </w:r>
      <w:proofErr w:type="gramEnd"/>
      <w:r w:rsidR="00745621">
        <w:rPr>
          <w:rFonts w:asciiTheme="majorHAnsi" w:hAnsiTheme="majorHAnsi"/>
        </w:rPr>
        <w:t xml:space="preserve"> when </w:t>
      </w:r>
      <w:r w:rsidR="00745621" w:rsidRPr="00B74B51">
        <w:rPr>
          <w:rFonts w:asciiTheme="majorHAnsi" w:hAnsiTheme="majorHAnsi"/>
          <w:i/>
        </w:rPr>
        <w:t>SRCAP</w:t>
      </w:r>
      <w:r w:rsidR="00745621">
        <w:rPr>
          <w:rFonts w:asciiTheme="majorHAnsi" w:hAnsiTheme="majorHAnsi"/>
        </w:rPr>
        <w:t xml:space="preserve"> is knocked down in </w:t>
      </w:r>
      <w:r w:rsidR="004B7C1B">
        <w:rPr>
          <w:rFonts w:asciiTheme="majorHAnsi" w:hAnsiTheme="majorHAnsi"/>
        </w:rPr>
        <w:t>this cell line</w:t>
      </w:r>
    </w:p>
    <w:p w14:paraId="1FD05EB4" w14:textId="64EC3477" w:rsidR="00745621" w:rsidRDefault="00745621" w:rsidP="00787436">
      <w:pPr>
        <w:spacing w:line="360" w:lineRule="auto"/>
        <w:jc w:val="both"/>
        <w:rPr>
          <w:rFonts w:asciiTheme="majorHAnsi" w:hAnsiTheme="majorHAnsi"/>
        </w:rPr>
      </w:pPr>
    </w:p>
    <w:p w14:paraId="30191B4F" w14:textId="5B998670" w:rsidR="00EA7C5D" w:rsidRDefault="005A6CE3" w:rsidP="00787436">
      <w:pPr>
        <w:spacing w:line="360" w:lineRule="auto"/>
        <w:jc w:val="both"/>
        <w:rPr>
          <w:rFonts w:asciiTheme="majorHAnsi" w:hAnsiTheme="majorHAnsi"/>
        </w:rPr>
      </w:pPr>
      <w:r>
        <w:rPr>
          <w:rFonts w:asciiTheme="majorHAnsi" w:hAnsiTheme="majorHAnsi"/>
        </w:rPr>
        <w:t xml:space="preserve">When </w:t>
      </w:r>
      <w:r w:rsidRPr="00B74B51">
        <w:rPr>
          <w:rFonts w:asciiTheme="majorHAnsi" w:hAnsiTheme="majorHAnsi"/>
          <w:i/>
        </w:rPr>
        <w:t>SRCAP</w:t>
      </w:r>
      <w:r>
        <w:rPr>
          <w:rFonts w:asciiTheme="majorHAnsi" w:hAnsiTheme="majorHAnsi"/>
        </w:rPr>
        <w:t xml:space="preserve"> was singularly knocked down in MRC5 cells there was a significant increase in the DNA damage markers- </w:t>
      </w:r>
      <w:r>
        <w:rPr>
          <w:rFonts w:ascii="Calibri" w:hAnsi="Calibri"/>
        </w:rPr>
        <w:t>γ</w:t>
      </w:r>
      <w:r>
        <w:rPr>
          <w:rFonts w:asciiTheme="majorHAnsi" w:hAnsiTheme="majorHAnsi"/>
        </w:rPr>
        <w:t>H2AX and 53BP1</w:t>
      </w:r>
      <w:r w:rsidR="004B7C1B" w:rsidRPr="004B7C1B">
        <w:rPr>
          <w:rFonts w:asciiTheme="majorHAnsi" w:hAnsiTheme="majorHAnsi"/>
        </w:rPr>
        <w:t xml:space="preserve"> </w:t>
      </w:r>
      <w:r w:rsidR="004B7C1B">
        <w:rPr>
          <w:rFonts w:asciiTheme="majorHAnsi" w:hAnsiTheme="majorHAnsi"/>
        </w:rPr>
        <w:t>(Figure 5.6</w:t>
      </w:r>
      <w:r w:rsidR="004805B7">
        <w:rPr>
          <w:rFonts w:asciiTheme="majorHAnsi" w:hAnsiTheme="majorHAnsi"/>
        </w:rPr>
        <w:t>a&amp;b</w:t>
      </w:r>
      <w:r w:rsidR="004B7C1B">
        <w:rPr>
          <w:rFonts w:asciiTheme="majorHAnsi" w:hAnsiTheme="majorHAnsi"/>
        </w:rPr>
        <w:t>)</w:t>
      </w:r>
      <w:r>
        <w:rPr>
          <w:rFonts w:asciiTheme="majorHAnsi" w:hAnsiTheme="majorHAnsi"/>
        </w:rPr>
        <w:t>. W</w:t>
      </w:r>
      <w:r w:rsidR="004B7C1B">
        <w:rPr>
          <w:rFonts w:asciiTheme="majorHAnsi" w:hAnsiTheme="majorHAnsi"/>
        </w:rPr>
        <w:t>hen comparing the data below</w:t>
      </w:r>
      <w:r>
        <w:rPr>
          <w:rFonts w:asciiTheme="majorHAnsi" w:hAnsiTheme="majorHAnsi"/>
        </w:rPr>
        <w:t xml:space="preserve"> to</w:t>
      </w:r>
      <w:r w:rsidR="004B7C1B">
        <w:rPr>
          <w:rFonts w:asciiTheme="majorHAnsi" w:hAnsiTheme="majorHAnsi"/>
        </w:rPr>
        <w:t xml:space="preserve"> that shown</w:t>
      </w:r>
      <w:r w:rsidR="00B74B51">
        <w:rPr>
          <w:rFonts w:asciiTheme="majorHAnsi" w:hAnsiTheme="majorHAnsi"/>
        </w:rPr>
        <w:t xml:space="preserve"> </w:t>
      </w:r>
      <w:r w:rsidR="00970748">
        <w:rPr>
          <w:rFonts w:asciiTheme="majorHAnsi" w:hAnsiTheme="majorHAnsi"/>
        </w:rPr>
        <w:t xml:space="preserve">in </w:t>
      </w:r>
      <w:r w:rsidR="00B74B51">
        <w:rPr>
          <w:rFonts w:asciiTheme="majorHAnsi" w:hAnsiTheme="majorHAnsi"/>
        </w:rPr>
        <w:t>F</w:t>
      </w:r>
      <w:r>
        <w:rPr>
          <w:rFonts w:asciiTheme="majorHAnsi" w:hAnsiTheme="majorHAnsi"/>
        </w:rPr>
        <w:t>igure 5.3</w:t>
      </w:r>
      <w:r w:rsidR="004B7C1B">
        <w:rPr>
          <w:rFonts w:asciiTheme="majorHAnsi" w:hAnsiTheme="majorHAnsi"/>
        </w:rPr>
        <w:t>c</w:t>
      </w:r>
      <w:r w:rsidR="00970748">
        <w:rPr>
          <w:rFonts w:asciiTheme="majorHAnsi" w:hAnsiTheme="majorHAnsi"/>
        </w:rPr>
        <w:t>,</w:t>
      </w:r>
      <w:r>
        <w:rPr>
          <w:rFonts w:asciiTheme="majorHAnsi" w:hAnsiTheme="majorHAnsi"/>
        </w:rPr>
        <w:t xml:space="preserve"> </w:t>
      </w:r>
      <w:r w:rsidRPr="00B74B51">
        <w:rPr>
          <w:rFonts w:asciiTheme="majorHAnsi" w:hAnsiTheme="majorHAnsi"/>
          <w:i/>
        </w:rPr>
        <w:t>SRCAP</w:t>
      </w:r>
      <w:r>
        <w:rPr>
          <w:rFonts w:asciiTheme="majorHAnsi" w:hAnsiTheme="majorHAnsi"/>
        </w:rPr>
        <w:t xml:space="preserve"> knockdown alone induces </w:t>
      </w:r>
      <w:r w:rsidR="00D12AA2">
        <w:rPr>
          <w:rFonts w:asciiTheme="majorHAnsi" w:hAnsiTheme="majorHAnsi"/>
        </w:rPr>
        <w:t xml:space="preserve">a </w:t>
      </w:r>
      <w:r>
        <w:rPr>
          <w:rFonts w:asciiTheme="majorHAnsi" w:hAnsiTheme="majorHAnsi"/>
        </w:rPr>
        <w:t xml:space="preserve">similar number of average foci per cell as </w:t>
      </w:r>
      <w:r w:rsidRPr="00B74B51">
        <w:rPr>
          <w:rFonts w:asciiTheme="majorHAnsi" w:hAnsiTheme="majorHAnsi"/>
          <w:i/>
        </w:rPr>
        <w:t>SRCAP</w:t>
      </w:r>
      <w:r w:rsidR="00377382">
        <w:rPr>
          <w:rFonts w:asciiTheme="majorHAnsi" w:hAnsiTheme="majorHAnsi"/>
        </w:rPr>
        <w:t xml:space="preserve"> knockdown plus RAS over-</w:t>
      </w:r>
      <w:r>
        <w:rPr>
          <w:rFonts w:asciiTheme="majorHAnsi" w:hAnsiTheme="majorHAnsi"/>
        </w:rPr>
        <w:t>expression. RAS over</w:t>
      </w:r>
      <w:r w:rsidR="00377382">
        <w:rPr>
          <w:rFonts w:asciiTheme="majorHAnsi" w:hAnsiTheme="majorHAnsi"/>
        </w:rPr>
        <w:t>-</w:t>
      </w:r>
      <w:r>
        <w:rPr>
          <w:rFonts w:asciiTheme="majorHAnsi" w:hAnsiTheme="majorHAnsi"/>
        </w:rPr>
        <w:t xml:space="preserve">expression alone produces </w:t>
      </w:r>
      <w:r w:rsidR="00D12AA2">
        <w:rPr>
          <w:rFonts w:asciiTheme="majorHAnsi" w:hAnsiTheme="majorHAnsi"/>
        </w:rPr>
        <w:t xml:space="preserve">only </w:t>
      </w:r>
      <w:r>
        <w:rPr>
          <w:rFonts w:asciiTheme="majorHAnsi" w:hAnsiTheme="majorHAnsi"/>
        </w:rPr>
        <w:t xml:space="preserve">1 to 2 fewer foci per cell than </w:t>
      </w:r>
      <w:r w:rsidRPr="00B74B51">
        <w:rPr>
          <w:rFonts w:asciiTheme="majorHAnsi" w:hAnsiTheme="majorHAnsi"/>
          <w:i/>
        </w:rPr>
        <w:t>SRCAP</w:t>
      </w:r>
      <w:r w:rsidR="00AF562F">
        <w:rPr>
          <w:rFonts w:asciiTheme="majorHAnsi" w:hAnsiTheme="majorHAnsi"/>
        </w:rPr>
        <w:t xml:space="preserve"> knock</w:t>
      </w:r>
      <w:r>
        <w:rPr>
          <w:rFonts w:asciiTheme="majorHAnsi" w:hAnsiTheme="majorHAnsi"/>
        </w:rPr>
        <w:t>down alone</w:t>
      </w:r>
      <w:r w:rsidR="00D12AA2">
        <w:rPr>
          <w:rFonts w:asciiTheme="majorHAnsi" w:hAnsiTheme="majorHAnsi"/>
        </w:rPr>
        <w:t xml:space="preserve"> (p&gt;0.05 i.e. no significant difference)</w:t>
      </w:r>
      <w:r>
        <w:rPr>
          <w:rFonts w:asciiTheme="majorHAnsi" w:hAnsiTheme="majorHAnsi"/>
        </w:rPr>
        <w:t>. This indicates that the increase in DNA damage in MRC5 cells when RAS is over</w:t>
      </w:r>
      <w:r w:rsidR="00377382">
        <w:rPr>
          <w:rFonts w:asciiTheme="majorHAnsi" w:hAnsiTheme="majorHAnsi"/>
        </w:rPr>
        <w:t>-</w:t>
      </w:r>
      <w:r>
        <w:rPr>
          <w:rFonts w:asciiTheme="majorHAnsi" w:hAnsiTheme="majorHAnsi"/>
        </w:rPr>
        <w:t xml:space="preserve">expressed and </w:t>
      </w:r>
      <w:r w:rsidRPr="00B74B51">
        <w:rPr>
          <w:rFonts w:asciiTheme="majorHAnsi" w:hAnsiTheme="majorHAnsi"/>
          <w:i/>
        </w:rPr>
        <w:t>SRCAP</w:t>
      </w:r>
      <w:r>
        <w:rPr>
          <w:rFonts w:asciiTheme="majorHAnsi" w:hAnsiTheme="majorHAnsi"/>
        </w:rPr>
        <w:t xml:space="preserve"> knocked down could be being driven primarily by the </w:t>
      </w:r>
      <w:r w:rsidRPr="00B74B51">
        <w:rPr>
          <w:rFonts w:asciiTheme="majorHAnsi" w:hAnsiTheme="majorHAnsi"/>
          <w:i/>
        </w:rPr>
        <w:t>SRCAP</w:t>
      </w:r>
      <w:r>
        <w:rPr>
          <w:rFonts w:asciiTheme="majorHAnsi" w:hAnsiTheme="majorHAnsi"/>
        </w:rPr>
        <w:t xml:space="preserve"> knockdown. </w:t>
      </w:r>
    </w:p>
    <w:p w14:paraId="384C6A05" w14:textId="77777777" w:rsidR="00EA7C5D" w:rsidRDefault="00EA7C5D">
      <w:pPr>
        <w:rPr>
          <w:rFonts w:asciiTheme="majorHAnsi" w:hAnsiTheme="majorHAnsi"/>
        </w:rPr>
      </w:pPr>
      <w:r>
        <w:rPr>
          <w:rFonts w:asciiTheme="majorHAnsi" w:hAnsiTheme="majorHAnsi"/>
        </w:rPr>
        <w:br w:type="page"/>
      </w:r>
    </w:p>
    <w:p w14:paraId="5C006559" w14:textId="7BC67999" w:rsidR="00EA7C5D" w:rsidRDefault="00970748" w:rsidP="00787436">
      <w:pPr>
        <w:spacing w:line="360" w:lineRule="auto"/>
        <w:jc w:val="both"/>
        <w:rPr>
          <w:rFonts w:asciiTheme="majorHAnsi" w:hAnsiTheme="majorHAnsi"/>
        </w:rPr>
      </w:pPr>
      <w:r>
        <w:rPr>
          <w:rFonts w:asciiTheme="majorHAnsi" w:hAnsiTheme="majorHAnsi"/>
          <w:noProof/>
          <w:lang w:val="en-US"/>
        </w:rPr>
        <w:drawing>
          <wp:anchor distT="0" distB="0" distL="114300" distR="114300" simplePos="0" relativeHeight="251714560" behindDoc="0" locked="0" layoutInCell="1" allowOverlap="1" wp14:anchorId="7726286A" wp14:editId="7F21F253">
            <wp:simplePos x="0" y="0"/>
            <wp:positionH relativeFrom="column">
              <wp:posOffset>914400</wp:posOffset>
            </wp:positionH>
            <wp:positionV relativeFrom="paragraph">
              <wp:posOffset>-114300</wp:posOffset>
            </wp:positionV>
            <wp:extent cx="3657600" cy="3134995"/>
            <wp:effectExtent l="0" t="0" r="0" b="0"/>
            <wp:wrapSquare wrapText="bothSides"/>
            <wp:docPr id="12" name="Picture 12" descr="Macintosh HD:Users:ClairFellows:Desktop:Screen Shot 2017-11-10 at 12.5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11-10 at 12.54.32.png"/>
                    <pic:cNvPicPr>
                      <a:picLocks noChangeAspect="1" noChangeArrowheads="1"/>
                    </pic:cNvPicPr>
                  </pic:nvPicPr>
                  <pic:blipFill>
                    <a:blip r:embed="rId146">
                      <a:extLst>
                        <a:ext uri="{BEBA8EAE-BF5A-486C-A8C5-ECC9F3942E4B}">
                          <a14:imgProps xmlns:a14="http://schemas.microsoft.com/office/drawing/2010/main">
                            <a14:imgLayer r:embed="rId14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57600" cy="313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5B7">
        <w:rPr>
          <w:rFonts w:asciiTheme="majorHAnsi" w:hAnsiTheme="majorHAnsi"/>
          <w:noProof/>
          <w:lang w:val="en-US"/>
        </w:rPr>
        <mc:AlternateContent>
          <mc:Choice Requires="wps">
            <w:drawing>
              <wp:anchor distT="0" distB="0" distL="114300" distR="114300" simplePos="0" relativeHeight="251715584" behindDoc="0" locked="0" layoutInCell="1" allowOverlap="1" wp14:anchorId="7CDD463A" wp14:editId="0833E629">
                <wp:simplePos x="0" y="0"/>
                <wp:positionH relativeFrom="column">
                  <wp:posOffset>114300</wp:posOffset>
                </wp:positionH>
                <wp:positionV relativeFrom="paragraph">
                  <wp:posOffset>-114300</wp:posOffset>
                </wp:positionV>
                <wp:extent cx="457200" cy="4572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FCA8B5" w14:textId="02AB510E" w:rsidR="00E82D3B" w:rsidRPr="004805B7" w:rsidRDefault="00E82D3B">
                            <w:pPr>
                              <w:rPr>
                                <w:b/>
                              </w:rPr>
                            </w:pPr>
                            <w:proofErr w:type="gramStart"/>
                            <w:r w:rsidRPr="004805B7">
                              <w:rPr>
                                <w:b/>
                              </w:rPr>
                              <w:t>a</w:t>
                            </w:r>
                            <w:proofErr w:type="gramEnd"/>
                            <w:r w:rsidRPr="004805B7">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166" type="#_x0000_t202" style="position:absolute;left:0;text-align:left;margin-left:9pt;margin-top:-8.95pt;width:36pt;height:36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" filled="f" stroked="f">
                <v:textbox>
                  <w:txbxContent>
                    <w:p w14:paraId="3FFCA8B5" w14:textId="02AB510E" w:rsidR="000A1E0D" w:rsidRPr="004805B7" w:rsidRDefault="000A1E0D">
                      <w:pPr>
                        <w:rPr>
                          <w:b/>
                        </w:rPr>
                      </w:pPr>
                      <w:proofErr w:type="gramStart"/>
                      <w:r w:rsidRPr="004805B7">
                        <w:rPr>
                          <w:b/>
                        </w:rPr>
                        <w:t>a</w:t>
                      </w:r>
                      <w:proofErr w:type="gramEnd"/>
                      <w:r w:rsidRPr="004805B7">
                        <w:rPr>
                          <w:b/>
                        </w:rPr>
                        <w:t>.)</w:t>
                      </w:r>
                    </w:p>
                  </w:txbxContent>
                </v:textbox>
                <w10:wrap type="square"/>
              </v:shape>
            </w:pict>
          </mc:Fallback>
        </mc:AlternateContent>
      </w:r>
    </w:p>
    <w:p w14:paraId="487701EA" w14:textId="6A65ECBA" w:rsidR="00970748" w:rsidRDefault="00970748" w:rsidP="00970748">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1687936" behindDoc="0" locked="0" layoutInCell="1" allowOverlap="1" wp14:anchorId="023D43DA" wp14:editId="527383D8">
                <wp:simplePos x="0" y="0"/>
                <wp:positionH relativeFrom="column">
                  <wp:posOffset>-4686300</wp:posOffset>
                </wp:positionH>
                <wp:positionV relativeFrom="paragraph">
                  <wp:posOffset>4636135</wp:posOffset>
                </wp:positionV>
                <wp:extent cx="5486400" cy="1943100"/>
                <wp:effectExtent l="0" t="0" r="0" b="12700"/>
                <wp:wrapSquare wrapText="bothSides"/>
                <wp:docPr id="27" name="Text Box 27"/>
                <wp:cNvGraphicFramePr/>
                <a:graphic xmlns:a="http://schemas.openxmlformats.org/drawingml/2006/main">
                  <a:graphicData uri="http://schemas.microsoft.com/office/word/2010/wordprocessingShape">
                    <wps:wsp>
                      <wps:cNvSpPr txBox="1"/>
                      <wps:spPr>
                        <a:xfrm>
                          <a:off x="0" y="0"/>
                          <a:ext cx="54864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BD8AE5" w14:textId="31A159EC" w:rsidR="00E82D3B" w:rsidRDefault="00E82D3B" w:rsidP="00D23556">
                            <w:pPr>
                              <w:jc w:val="both"/>
                              <w:rPr>
                                <w:b/>
                                <w:i/>
                                <w:sz w:val="22"/>
                              </w:rPr>
                            </w:pPr>
                            <w:r w:rsidRPr="00D23556">
                              <w:rPr>
                                <w:b/>
                                <w:i/>
                                <w:sz w:val="22"/>
                              </w:rPr>
                              <w:t>Figure 5.6</w:t>
                            </w:r>
                            <w:r>
                              <w:rPr>
                                <w:b/>
                                <w:i/>
                                <w:sz w:val="22"/>
                              </w:rPr>
                              <w:t xml:space="preserve"> SRCAP </w:t>
                            </w:r>
                            <w:proofErr w:type="gramStart"/>
                            <w:r>
                              <w:rPr>
                                <w:b/>
                                <w:i/>
                                <w:sz w:val="22"/>
                              </w:rPr>
                              <w:t>knockdown</w:t>
                            </w:r>
                            <w:proofErr w:type="gramEnd"/>
                            <w:r>
                              <w:rPr>
                                <w:b/>
                                <w:i/>
                                <w:sz w:val="22"/>
                              </w:rPr>
                              <w:t xml:space="preserve"> alone increases DNA damage in MRC5 cells </w:t>
                            </w:r>
                          </w:p>
                          <w:p w14:paraId="037B1FC0" w14:textId="735128E6" w:rsidR="00E82D3B" w:rsidRDefault="00E82D3B" w:rsidP="00D23556">
                            <w:pPr>
                              <w:jc w:val="both"/>
                              <w:rPr>
                                <w:i/>
                                <w:sz w:val="22"/>
                              </w:rPr>
                            </w:pPr>
                            <w:proofErr w:type="gramStart"/>
                            <w:r>
                              <w:rPr>
                                <w:i/>
                                <w:sz w:val="22"/>
                              </w:rPr>
                              <w:t>a.)</w:t>
                            </w:r>
                            <w:proofErr w:type="gramEnd"/>
                            <w:r>
                              <w:rPr>
                                <w:i/>
                                <w:sz w:val="22"/>
                              </w:rPr>
                              <w:t>Representative immunofluorescence images of MRC5 cells</w:t>
                            </w:r>
                            <w:r w:rsidRPr="004805B7">
                              <w:rPr>
                                <w:i/>
                                <w:sz w:val="22"/>
                              </w:rPr>
                              <w:t xml:space="preserve"> </w:t>
                            </w:r>
                            <w:r w:rsidRPr="00DE0F03">
                              <w:rPr>
                                <w:i/>
                                <w:sz w:val="22"/>
                              </w:rPr>
                              <w:t>seeded on coverslips and transfected with SRCAP or control siRNA for 48hrs, the coverslips were then fixed and γH2AX and 53BP1 antibodies used to detect the DNA damage markers.</w:t>
                            </w:r>
                          </w:p>
                          <w:p w14:paraId="4C1CAF0F" w14:textId="00615CE9" w:rsidR="00E82D3B" w:rsidRPr="00DE0F03" w:rsidRDefault="00E82D3B" w:rsidP="00D23556">
                            <w:pPr>
                              <w:jc w:val="both"/>
                              <w:rPr>
                                <w:i/>
                                <w:sz w:val="22"/>
                              </w:rPr>
                            </w:pPr>
                            <w:r>
                              <w:rPr>
                                <w:i/>
                                <w:sz w:val="22"/>
                              </w:rPr>
                              <w:t>b.)</w:t>
                            </w:r>
                            <w:r w:rsidRPr="00DE0F03">
                              <w:rPr>
                                <w:i/>
                                <w:sz w:val="22"/>
                              </w:rPr>
                              <w:t xml:space="preserve"> Images were taken and the foci in each one of 100 cells counted, to produce the average number of foci per cell, separate experiments are represented by individual symbols with </w:t>
                            </w:r>
                            <w:r>
                              <w:rPr>
                                <w:i/>
                                <w:sz w:val="22"/>
                              </w:rPr>
                              <w:t>median and range</w:t>
                            </w:r>
                            <w:r w:rsidRPr="00DE0F03">
                              <w:rPr>
                                <w:i/>
                                <w:sz w:val="22"/>
                              </w:rPr>
                              <w:t xml:space="preserve"> plotted. There was a significant p value for γH2AX (p=0.05) but not for 53BP1 (p=0.0714) when a Kruskal-Walli</w:t>
                            </w:r>
                            <w:r>
                              <w:rPr>
                                <w:i/>
                                <w:sz w:val="22"/>
                              </w:rPr>
                              <w:t xml:space="preserve">s test was applied. Comparing each siRNA probe to control showed that si7 was significantly </w:t>
                            </w:r>
                            <w:r w:rsidRPr="00DE0F03">
                              <w:rPr>
                                <w:i/>
                                <w:sz w:val="22"/>
                              </w:rPr>
                              <w:t xml:space="preserve">increased compared to control </w:t>
                            </w:r>
                            <w:r>
                              <w:rPr>
                                <w:i/>
                                <w:sz w:val="22"/>
                              </w:rPr>
                              <w:t xml:space="preserve">in both cell lines, </w:t>
                            </w:r>
                            <w:r w:rsidRPr="00DE0F03">
                              <w:rPr>
                                <w:i/>
                                <w:sz w:val="22"/>
                              </w:rPr>
                              <w:t xml:space="preserve">as indicated by the significance stars on the graphs </w:t>
                            </w:r>
                            <w:r>
                              <w:rPr>
                                <w:i/>
                                <w:iCs/>
                                <w:sz w:val="22"/>
                                <w:szCs w:val="22"/>
                              </w:rPr>
                              <w:t>(* = p≤0.05</w:t>
                            </w:r>
                            <w:r w:rsidRPr="00DE0F03">
                              <w:rPr>
                                <w:i/>
                                <w:iCs/>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167" type="#_x0000_t202" style="position:absolute;margin-left:-368.95pt;margin-top:365.05pt;width:6in;height:15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IYj9MCAAAa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" filled="f" stroked="f">
                <v:textbox>
                  <w:txbxContent>
                    <w:p w14:paraId="69BD8AE5" w14:textId="31A159EC" w:rsidR="000A1E0D" w:rsidRDefault="000A1E0D" w:rsidP="00D23556">
                      <w:pPr>
                        <w:jc w:val="both"/>
                        <w:rPr>
                          <w:b/>
                          <w:i/>
                          <w:sz w:val="22"/>
                        </w:rPr>
                      </w:pPr>
                      <w:r w:rsidRPr="00D23556">
                        <w:rPr>
                          <w:b/>
                          <w:i/>
                          <w:sz w:val="22"/>
                        </w:rPr>
                        <w:t>Figure 5.6</w:t>
                      </w:r>
                      <w:r>
                        <w:rPr>
                          <w:b/>
                          <w:i/>
                          <w:sz w:val="22"/>
                        </w:rPr>
                        <w:t xml:space="preserve"> SRCAP </w:t>
                      </w:r>
                      <w:proofErr w:type="gramStart"/>
                      <w:r>
                        <w:rPr>
                          <w:b/>
                          <w:i/>
                          <w:sz w:val="22"/>
                        </w:rPr>
                        <w:t>knockdown</w:t>
                      </w:r>
                      <w:proofErr w:type="gramEnd"/>
                      <w:r>
                        <w:rPr>
                          <w:b/>
                          <w:i/>
                          <w:sz w:val="22"/>
                        </w:rPr>
                        <w:t xml:space="preserve"> alone increases DNA damage in MRC5 cells </w:t>
                      </w:r>
                    </w:p>
                    <w:p w14:paraId="037B1FC0" w14:textId="735128E6" w:rsidR="000A1E0D" w:rsidRDefault="000A1E0D" w:rsidP="00D23556">
                      <w:pPr>
                        <w:jc w:val="both"/>
                        <w:rPr>
                          <w:i/>
                          <w:sz w:val="22"/>
                        </w:rPr>
                      </w:pPr>
                      <w:proofErr w:type="gramStart"/>
                      <w:r>
                        <w:rPr>
                          <w:i/>
                          <w:sz w:val="22"/>
                        </w:rPr>
                        <w:t>a.)</w:t>
                      </w:r>
                      <w:proofErr w:type="gramEnd"/>
                      <w:r>
                        <w:rPr>
                          <w:i/>
                          <w:sz w:val="22"/>
                        </w:rPr>
                        <w:t>Representative immunofluorescence images of MRC5 cells</w:t>
                      </w:r>
                      <w:r w:rsidRPr="004805B7">
                        <w:rPr>
                          <w:i/>
                          <w:sz w:val="22"/>
                        </w:rPr>
                        <w:t xml:space="preserve"> </w:t>
                      </w:r>
                      <w:r w:rsidRPr="00DE0F03">
                        <w:rPr>
                          <w:i/>
                          <w:sz w:val="22"/>
                        </w:rPr>
                        <w:t>seeded on coverslips and transfected with SRCAP or control siRNA for 48hrs, the coverslips were then fixed and γH2AX and 53BP1 antibodies used to detect the DNA damage markers.</w:t>
                      </w:r>
                    </w:p>
                    <w:p w14:paraId="4C1CAF0F" w14:textId="00615CE9" w:rsidR="000A1E0D" w:rsidRPr="00DE0F03" w:rsidRDefault="000A1E0D" w:rsidP="00D23556">
                      <w:pPr>
                        <w:jc w:val="both"/>
                        <w:rPr>
                          <w:i/>
                          <w:sz w:val="22"/>
                        </w:rPr>
                      </w:pPr>
                      <w:r>
                        <w:rPr>
                          <w:i/>
                          <w:sz w:val="22"/>
                        </w:rPr>
                        <w:t>b.)</w:t>
                      </w:r>
                      <w:r w:rsidRPr="00DE0F03">
                        <w:rPr>
                          <w:i/>
                          <w:sz w:val="22"/>
                        </w:rPr>
                        <w:t xml:space="preserve"> Images were taken and the foci in each one of 100 cells counted, to produce the average number of foci per cell, separate experiments are represented by individual symbols with </w:t>
                      </w:r>
                      <w:r>
                        <w:rPr>
                          <w:i/>
                          <w:sz w:val="22"/>
                        </w:rPr>
                        <w:t>median and range</w:t>
                      </w:r>
                      <w:r w:rsidRPr="00DE0F03">
                        <w:rPr>
                          <w:i/>
                          <w:sz w:val="22"/>
                        </w:rPr>
                        <w:t xml:space="preserve"> plotted. There was a significant p value for γH2AX (p=0.05) but not for 53BP1 (p=0.0714) when a Kruskal-Walli</w:t>
                      </w:r>
                      <w:r>
                        <w:rPr>
                          <w:i/>
                          <w:sz w:val="22"/>
                        </w:rPr>
                        <w:t xml:space="preserve">s test was applied. Comparing each siRNA probe to control showed that si7 was significantly </w:t>
                      </w:r>
                      <w:r w:rsidRPr="00DE0F03">
                        <w:rPr>
                          <w:i/>
                          <w:sz w:val="22"/>
                        </w:rPr>
                        <w:t xml:space="preserve">increased compared to control </w:t>
                      </w:r>
                      <w:r>
                        <w:rPr>
                          <w:i/>
                          <w:sz w:val="22"/>
                        </w:rPr>
                        <w:t xml:space="preserve">in both cell lines, </w:t>
                      </w:r>
                      <w:r w:rsidRPr="00DE0F03">
                        <w:rPr>
                          <w:i/>
                          <w:sz w:val="22"/>
                        </w:rPr>
                        <w:t xml:space="preserve">as indicated by the significance stars on the graphs </w:t>
                      </w:r>
                      <w:r>
                        <w:rPr>
                          <w:i/>
                          <w:iCs/>
                          <w:sz w:val="22"/>
                          <w:szCs w:val="22"/>
                        </w:rPr>
                        <w:t>(* = p≤0.05</w:t>
                      </w:r>
                      <w:r w:rsidRPr="00DE0F03">
                        <w:rPr>
                          <w:i/>
                          <w:iCs/>
                          <w:sz w:val="22"/>
                          <w:szCs w:val="22"/>
                        </w:rPr>
                        <w:t>).</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1717632" behindDoc="0" locked="0" layoutInCell="1" allowOverlap="1" wp14:anchorId="1D994A81" wp14:editId="2665E54F">
                <wp:simplePos x="0" y="0"/>
                <wp:positionH relativeFrom="column">
                  <wp:posOffset>-4457700</wp:posOffset>
                </wp:positionH>
                <wp:positionV relativeFrom="paragraph">
                  <wp:posOffset>2464435</wp:posOffset>
                </wp:positionV>
                <wp:extent cx="457200" cy="4572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A63F93" w14:textId="05B5A7E9" w:rsidR="00E82D3B" w:rsidRPr="004805B7" w:rsidRDefault="00E82D3B" w:rsidP="004805B7">
                            <w:pPr>
                              <w:rPr>
                                <w:b/>
                              </w:rPr>
                            </w:pPr>
                            <w:proofErr w:type="gramStart"/>
                            <w:r>
                              <w:rPr>
                                <w:b/>
                              </w:rPr>
                              <w:t>b</w:t>
                            </w:r>
                            <w:proofErr w:type="gramEnd"/>
                            <w:r w:rsidRPr="004805B7">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168" type="#_x0000_t202" style="position:absolute;margin-left:-350.95pt;margin-top:194.05pt;width:36pt;height:36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ku6csCAAAY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" filled="f" stroked="f">
                <v:textbox>
                  <w:txbxContent>
                    <w:p w14:paraId="15A63F93" w14:textId="05B5A7E9" w:rsidR="000A1E0D" w:rsidRPr="004805B7" w:rsidRDefault="000A1E0D" w:rsidP="004805B7">
                      <w:pPr>
                        <w:rPr>
                          <w:b/>
                        </w:rPr>
                      </w:pPr>
                      <w:proofErr w:type="gramStart"/>
                      <w:r>
                        <w:rPr>
                          <w:b/>
                        </w:rPr>
                        <w:t>b</w:t>
                      </w:r>
                      <w:proofErr w:type="gramEnd"/>
                      <w:r w:rsidRPr="004805B7">
                        <w:rPr>
                          <w:b/>
                        </w:rPr>
                        <w:t>.)</w:t>
                      </w:r>
                    </w:p>
                  </w:txbxContent>
                </v:textbox>
                <w10:wrap type="square"/>
              </v:shape>
            </w:pict>
          </mc:Fallback>
        </mc:AlternateContent>
      </w:r>
      <w:r w:rsidR="00C40D56" w:rsidRPr="00C40D56">
        <w:t xml:space="preserve"> </w:t>
      </w:r>
    </w:p>
    <w:p w14:paraId="177B6D25" w14:textId="77777777" w:rsidR="00970748" w:rsidRDefault="00970748" w:rsidP="00970748">
      <w:pPr>
        <w:rPr>
          <w:rFonts w:asciiTheme="majorHAnsi" w:hAnsiTheme="majorHAnsi"/>
        </w:rPr>
      </w:pPr>
    </w:p>
    <w:p w14:paraId="7516F117" w14:textId="77777777" w:rsidR="00970748" w:rsidRDefault="00970748" w:rsidP="00970748">
      <w:pPr>
        <w:rPr>
          <w:rFonts w:asciiTheme="majorHAnsi" w:hAnsiTheme="majorHAnsi"/>
        </w:rPr>
      </w:pPr>
    </w:p>
    <w:p w14:paraId="0C2BF898" w14:textId="77777777" w:rsidR="00970748" w:rsidRDefault="00970748" w:rsidP="00970748">
      <w:pPr>
        <w:rPr>
          <w:rFonts w:asciiTheme="majorHAnsi" w:hAnsiTheme="majorHAnsi"/>
        </w:rPr>
      </w:pPr>
    </w:p>
    <w:p w14:paraId="0DEC8ECD" w14:textId="77777777" w:rsidR="00970748" w:rsidRDefault="00970748" w:rsidP="00970748">
      <w:pPr>
        <w:rPr>
          <w:rFonts w:asciiTheme="majorHAnsi" w:hAnsiTheme="majorHAnsi"/>
        </w:rPr>
      </w:pPr>
    </w:p>
    <w:p w14:paraId="472F0F10" w14:textId="7EB7493F" w:rsidR="00970748" w:rsidRDefault="00970748" w:rsidP="00970748">
      <w:pPr>
        <w:rPr>
          <w:rFonts w:asciiTheme="majorHAnsi" w:hAnsiTheme="majorHAnsi"/>
        </w:rPr>
      </w:pPr>
    </w:p>
    <w:p w14:paraId="7361A250" w14:textId="77777777" w:rsidR="00970748" w:rsidRDefault="00970748" w:rsidP="00970748">
      <w:pPr>
        <w:rPr>
          <w:rFonts w:asciiTheme="majorHAnsi" w:hAnsiTheme="majorHAnsi"/>
        </w:rPr>
      </w:pPr>
    </w:p>
    <w:p w14:paraId="039CDE89" w14:textId="77777777" w:rsidR="00970748" w:rsidRDefault="00970748" w:rsidP="00970748">
      <w:pPr>
        <w:rPr>
          <w:rFonts w:asciiTheme="majorHAnsi" w:hAnsiTheme="majorHAnsi"/>
        </w:rPr>
      </w:pPr>
    </w:p>
    <w:p w14:paraId="3411F0D5" w14:textId="77777777" w:rsidR="00970748" w:rsidRDefault="00970748" w:rsidP="00970748">
      <w:pPr>
        <w:rPr>
          <w:rFonts w:asciiTheme="majorHAnsi" w:hAnsiTheme="majorHAnsi"/>
        </w:rPr>
      </w:pPr>
    </w:p>
    <w:p w14:paraId="2F50E4A9" w14:textId="77777777" w:rsidR="00970748" w:rsidRDefault="00970748" w:rsidP="00970748">
      <w:pPr>
        <w:rPr>
          <w:rFonts w:asciiTheme="majorHAnsi" w:hAnsiTheme="majorHAnsi"/>
        </w:rPr>
      </w:pPr>
    </w:p>
    <w:p w14:paraId="4D60F399" w14:textId="77777777" w:rsidR="00970748" w:rsidRDefault="00970748" w:rsidP="00970748">
      <w:pPr>
        <w:rPr>
          <w:rFonts w:asciiTheme="majorHAnsi" w:hAnsiTheme="majorHAnsi"/>
        </w:rPr>
      </w:pPr>
    </w:p>
    <w:p w14:paraId="1B6E0402" w14:textId="77777777" w:rsidR="00970748" w:rsidRDefault="00970748" w:rsidP="00970748">
      <w:pPr>
        <w:rPr>
          <w:rFonts w:asciiTheme="majorHAnsi" w:hAnsiTheme="majorHAnsi"/>
        </w:rPr>
      </w:pPr>
    </w:p>
    <w:p w14:paraId="669C88E1" w14:textId="77777777" w:rsidR="00970748" w:rsidRDefault="00970748" w:rsidP="00970748">
      <w:pPr>
        <w:rPr>
          <w:rFonts w:asciiTheme="majorHAnsi" w:hAnsiTheme="majorHAnsi"/>
        </w:rPr>
      </w:pPr>
    </w:p>
    <w:p w14:paraId="1E3C1CDF" w14:textId="77777777" w:rsidR="00970748" w:rsidRDefault="00970748" w:rsidP="00970748">
      <w:pPr>
        <w:rPr>
          <w:rFonts w:asciiTheme="majorHAnsi" w:hAnsiTheme="majorHAnsi"/>
        </w:rPr>
      </w:pPr>
    </w:p>
    <w:p w14:paraId="032C5787" w14:textId="77777777" w:rsidR="00970748" w:rsidRDefault="00970748" w:rsidP="00970748">
      <w:pPr>
        <w:rPr>
          <w:rFonts w:asciiTheme="majorHAnsi" w:hAnsiTheme="majorHAnsi"/>
        </w:rPr>
      </w:pPr>
    </w:p>
    <w:p w14:paraId="57269894" w14:textId="5881E24F" w:rsidR="00970748" w:rsidRDefault="00C40D56" w:rsidP="00970748">
      <w:pPr>
        <w:rPr>
          <w:rFonts w:asciiTheme="majorHAnsi" w:hAnsiTheme="majorHAnsi"/>
        </w:rPr>
      </w:pPr>
      <w:r>
        <w:rPr>
          <w:rFonts w:asciiTheme="majorHAnsi" w:hAnsiTheme="majorHAnsi"/>
          <w:noProof/>
          <w:lang w:val="en-US"/>
        </w:rPr>
        <w:drawing>
          <wp:anchor distT="0" distB="0" distL="114300" distR="114300" simplePos="0" relativeHeight="252212224" behindDoc="0" locked="0" layoutInCell="1" allowOverlap="1" wp14:anchorId="3E04F1AF" wp14:editId="41ABA343">
            <wp:simplePos x="0" y="0"/>
            <wp:positionH relativeFrom="column">
              <wp:posOffset>-571500</wp:posOffset>
            </wp:positionH>
            <wp:positionV relativeFrom="paragraph">
              <wp:posOffset>130810</wp:posOffset>
            </wp:positionV>
            <wp:extent cx="4914900" cy="1515745"/>
            <wp:effectExtent l="0" t="0" r="12700" b="8255"/>
            <wp:wrapSquare wrapText="bothSides"/>
            <wp:docPr id="3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14900" cy="1515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A30E10" w14:textId="77777777" w:rsidR="00C40D56" w:rsidRDefault="00C40D56" w:rsidP="00970748">
      <w:pPr>
        <w:spacing w:line="360" w:lineRule="auto"/>
        <w:jc w:val="both"/>
        <w:rPr>
          <w:rFonts w:asciiTheme="majorHAnsi" w:hAnsiTheme="majorHAnsi"/>
        </w:rPr>
      </w:pPr>
    </w:p>
    <w:p w14:paraId="40F599EB" w14:textId="6419171D" w:rsidR="001C40B3" w:rsidRDefault="00745621" w:rsidP="00970748">
      <w:pPr>
        <w:spacing w:line="360" w:lineRule="auto"/>
        <w:jc w:val="both"/>
        <w:rPr>
          <w:rFonts w:asciiTheme="majorHAnsi" w:hAnsiTheme="majorHAnsi"/>
        </w:rPr>
      </w:pPr>
      <w:r w:rsidRPr="00281F19">
        <w:rPr>
          <w:rFonts w:asciiTheme="majorHAnsi" w:hAnsiTheme="majorHAnsi"/>
        </w:rPr>
        <w:t>When the percentage of nuclear abnormalities was counted</w:t>
      </w:r>
      <w:r w:rsidR="004212EE">
        <w:rPr>
          <w:rFonts w:asciiTheme="majorHAnsi" w:hAnsiTheme="majorHAnsi"/>
        </w:rPr>
        <w:t xml:space="preserve"> (as scored using the parameters o</w:t>
      </w:r>
      <w:r w:rsidR="004F4ECC">
        <w:rPr>
          <w:rFonts w:asciiTheme="majorHAnsi" w:hAnsiTheme="majorHAnsi"/>
        </w:rPr>
        <w:t>utlined in Chapter 3 Figure 3.21</w:t>
      </w:r>
      <w:r w:rsidR="004212EE">
        <w:rPr>
          <w:rFonts w:asciiTheme="majorHAnsi" w:hAnsiTheme="majorHAnsi"/>
        </w:rPr>
        <w:t>)</w:t>
      </w:r>
      <w:r w:rsidRPr="00281F19">
        <w:rPr>
          <w:rFonts w:asciiTheme="majorHAnsi" w:hAnsiTheme="majorHAnsi"/>
        </w:rPr>
        <w:t xml:space="preserve"> in MRC5 cells containing </w:t>
      </w:r>
      <w:r w:rsidRPr="00B74B51">
        <w:rPr>
          <w:rFonts w:asciiTheme="majorHAnsi" w:hAnsiTheme="majorHAnsi"/>
          <w:i/>
        </w:rPr>
        <w:t>SRCAP</w:t>
      </w:r>
      <w:r w:rsidRPr="00281F19">
        <w:rPr>
          <w:rFonts w:asciiTheme="majorHAnsi" w:hAnsiTheme="majorHAnsi"/>
        </w:rPr>
        <w:t xml:space="preserve"> knockdown ther</w:t>
      </w:r>
      <w:r w:rsidR="00B3724B" w:rsidRPr="00281F19">
        <w:rPr>
          <w:rFonts w:asciiTheme="majorHAnsi" w:hAnsiTheme="majorHAnsi"/>
        </w:rPr>
        <w:t>e was a significant increase compared to control cells</w:t>
      </w:r>
      <w:r w:rsidR="00C40D56">
        <w:rPr>
          <w:rFonts w:asciiTheme="majorHAnsi" w:hAnsiTheme="majorHAnsi"/>
        </w:rPr>
        <w:t xml:space="preserve">, only in si6, however si7 did show a trend but did not reach significance </w:t>
      </w:r>
      <w:r w:rsidR="00026681">
        <w:rPr>
          <w:rFonts w:asciiTheme="majorHAnsi" w:hAnsiTheme="majorHAnsi"/>
        </w:rPr>
        <w:t>(Figure 5.7</w:t>
      </w:r>
      <w:r w:rsidR="001C40B3">
        <w:rPr>
          <w:rFonts w:asciiTheme="majorHAnsi" w:hAnsiTheme="majorHAnsi"/>
        </w:rPr>
        <w:t>a&amp;b</w:t>
      </w:r>
      <w:r w:rsidR="00026681">
        <w:rPr>
          <w:rFonts w:asciiTheme="majorHAnsi" w:hAnsiTheme="majorHAnsi"/>
        </w:rPr>
        <w:t>)</w:t>
      </w:r>
      <w:r w:rsidR="00B3724B" w:rsidRPr="00281F19">
        <w:rPr>
          <w:rFonts w:asciiTheme="majorHAnsi" w:hAnsiTheme="majorHAnsi"/>
        </w:rPr>
        <w:t xml:space="preserve">. </w:t>
      </w:r>
      <w:r w:rsidR="00D12AA2">
        <w:rPr>
          <w:rFonts w:asciiTheme="majorHAnsi" w:hAnsiTheme="majorHAnsi"/>
        </w:rPr>
        <w:t xml:space="preserve">Again, compared to the </w:t>
      </w:r>
      <w:r w:rsidR="004B7C1B">
        <w:rPr>
          <w:rFonts w:asciiTheme="majorHAnsi" w:hAnsiTheme="majorHAnsi"/>
        </w:rPr>
        <w:t>MRC5 graph in F</w:t>
      </w:r>
      <w:r w:rsidR="00281F19">
        <w:rPr>
          <w:rFonts w:asciiTheme="majorHAnsi" w:hAnsiTheme="majorHAnsi"/>
        </w:rPr>
        <w:t>igure 5.4</w:t>
      </w:r>
      <w:r w:rsidR="004B7C1B">
        <w:rPr>
          <w:rFonts w:asciiTheme="majorHAnsi" w:hAnsiTheme="majorHAnsi"/>
        </w:rPr>
        <w:t>c</w:t>
      </w:r>
      <w:r w:rsidR="00281F19">
        <w:rPr>
          <w:rFonts w:asciiTheme="majorHAnsi" w:hAnsiTheme="majorHAnsi"/>
        </w:rPr>
        <w:t xml:space="preserve"> </w:t>
      </w:r>
      <w:r w:rsidR="00D12AA2">
        <w:rPr>
          <w:rFonts w:asciiTheme="majorHAnsi" w:hAnsiTheme="majorHAnsi"/>
        </w:rPr>
        <w:t xml:space="preserve">this was </w:t>
      </w:r>
      <w:r w:rsidR="00026681">
        <w:rPr>
          <w:rFonts w:asciiTheme="majorHAnsi" w:hAnsiTheme="majorHAnsi"/>
        </w:rPr>
        <w:t>much higher than when RAS over</w:t>
      </w:r>
      <w:r w:rsidR="00377382">
        <w:rPr>
          <w:rFonts w:asciiTheme="majorHAnsi" w:hAnsiTheme="majorHAnsi"/>
        </w:rPr>
        <w:t>-</w:t>
      </w:r>
      <w:r w:rsidR="00026681">
        <w:rPr>
          <w:rFonts w:asciiTheme="majorHAnsi" w:hAnsiTheme="majorHAnsi"/>
        </w:rPr>
        <w:t xml:space="preserve">expression occurs alone and around the same as when RAS was combined with </w:t>
      </w:r>
      <w:r w:rsidR="00026681" w:rsidRPr="00B74B51">
        <w:rPr>
          <w:rFonts w:asciiTheme="majorHAnsi" w:hAnsiTheme="majorHAnsi"/>
          <w:i/>
        </w:rPr>
        <w:t>SRCAP</w:t>
      </w:r>
      <w:r w:rsidR="00026681">
        <w:rPr>
          <w:rFonts w:asciiTheme="majorHAnsi" w:hAnsiTheme="majorHAnsi"/>
        </w:rPr>
        <w:t xml:space="preserve"> knockdown. Looking at the fold changes, si6 and si7 alone increased nuclear abnormalities compared to control by 3.3 and 2.4 </w:t>
      </w:r>
      <w:r w:rsidR="00D12AA2">
        <w:rPr>
          <w:rFonts w:asciiTheme="majorHAnsi" w:hAnsiTheme="majorHAnsi"/>
        </w:rPr>
        <w:t xml:space="preserve">fold </w:t>
      </w:r>
      <w:r w:rsidR="00026681">
        <w:rPr>
          <w:rFonts w:asciiTheme="majorHAnsi" w:hAnsiTheme="majorHAnsi"/>
        </w:rPr>
        <w:t xml:space="preserve">respectively. The RAS alone fold changes were 1.5 and 1.7 for clone 1 and 2. </w:t>
      </w:r>
      <w:r w:rsidR="00896936">
        <w:rPr>
          <w:rFonts w:asciiTheme="majorHAnsi" w:hAnsiTheme="majorHAnsi"/>
        </w:rPr>
        <w:t>W</w:t>
      </w:r>
      <w:r w:rsidR="00026681">
        <w:rPr>
          <w:rFonts w:asciiTheme="majorHAnsi" w:hAnsiTheme="majorHAnsi"/>
        </w:rPr>
        <w:t>hen RAS over</w:t>
      </w:r>
      <w:r w:rsidR="00377382">
        <w:rPr>
          <w:rFonts w:asciiTheme="majorHAnsi" w:hAnsiTheme="majorHAnsi"/>
        </w:rPr>
        <w:t>-</w:t>
      </w:r>
      <w:r w:rsidR="00026681">
        <w:rPr>
          <w:rFonts w:asciiTheme="majorHAnsi" w:hAnsiTheme="majorHAnsi"/>
        </w:rPr>
        <w:t xml:space="preserve">expression was combined with </w:t>
      </w:r>
      <w:r w:rsidR="00026681" w:rsidRPr="00B74B51">
        <w:rPr>
          <w:rFonts w:asciiTheme="majorHAnsi" w:hAnsiTheme="majorHAnsi"/>
          <w:i/>
        </w:rPr>
        <w:t>SRCAP</w:t>
      </w:r>
      <w:r w:rsidR="00026681">
        <w:rPr>
          <w:rFonts w:asciiTheme="majorHAnsi" w:hAnsiTheme="majorHAnsi"/>
        </w:rPr>
        <w:t xml:space="preserve"> knockdown the fold chan</w:t>
      </w:r>
      <w:r w:rsidR="00D12AA2">
        <w:rPr>
          <w:rFonts w:asciiTheme="majorHAnsi" w:hAnsiTheme="majorHAnsi"/>
        </w:rPr>
        <w:t>ges in nuclear abnormalities were</w:t>
      </w:r>
      <w:r w:rsidR="00026681">
        <w:rPr>
          <w:rFonts w:asciiTheme="majorHAnsi" w:hAnsiTheme="majorHAnsi"/>
        </w:rPr>
        <w:t xml:space="preserve"> 3.4 and 2.3 for clone 1 si6 and si7, and 4.5 and 3.0 for clone 2 si6 and si7</w:t>
      </w:r>
      <w:r w:rsidR="00D12AA2">
        <w:rPr>
          <w:rFonts w:asciiTheme="majorHAnsi" w:hAnsiTheme="majorHAnsi"/>
        </w:rPr>
        <w:t xml:space="preserve"> respectively. Therefore, these</w:t>
      </w:r>
      <w:r w:rsidR="00026681">
        <w:rPr>
          <w:rFonts w:asciiTheme="majorHAnsi" w:hAnsiTheme="majorHAnsi"/>
        </w:rPr>
        <w:t xml:space="preserve"> data suggests that </w:t>
      </w:r>
      <w:r w:rsidR="00026681" w:rsidRPr="00B74B51">
        <w:rPr>
          <w:rFonts w:asciiTheme="majorHAnsi" w:hAnsiTheme="majorHAnsi"/>
          <w:i/>
        </w:rPr>
        <w:t>SRCAP</w:t>
      </w:r>
      <w:r w:rsidR="00026681">
        <w:rPr>
          <w:rFonts w:asciiTheme="majorHAnsi" w:hAnsiTheme="majorHAnsi"/>
        </w:rPr>
        <w:t xml:space="preserve"> alone is </w:t>
      </w:r>
      <w:r w:rsidR="004B7C1B">
        <w:rPr>
          <w:rFonts w:asciiTheme="majorHAnsi" w:hAnsiTheme="majorHAnsi"/>
        </w:rPr>
        <w:t>sufficient</w:t>
      </w:r>
      <w:r w:rsidR="00026681">
        <w:rPr>
          <w:rFonts w:asciiTheme="majorHAnsi" w:hAnsiTheme="majorHAnsi"/>
        </w:rPr>
        <w:t xml:space="preserve"> to induce high levels of nuclear abnormalities in MRC5 cells, and that an increase in RAS alone </w:t>
      </w:r>
      <w:r w:rsidR="00D12AA2">
        <w:rPr>
          <w:rFonts w:asciiTheme="majorHAnsi" w:hAnsiTheme="majorHAnsi"/>
        </w:rPr>
        <w:t>leads to</w:t>
      </w:r>
      <w:r w:rsidR="00026681">
        <w:rPr>
          <w:rFonts w:asciiTheme="majorHAnsi" w:hAnsiTheme="majorHAnsi"/>
        </w:rPr>
        <w:t xml:space="preserve"> much lower </w:t>
      </w:r>
      <w:r w:rsidR="00D12AA2">
        <w:rPr>
          <w:rFonts w:asciiTheme="majorHAnsi" w:hAnsiTheme="majorHAnsi"/>
        </w:rPr>
        <w:t xml:space="preserve">induced </w:t>
      </w:r>
      <w:r w:rsidR="00026681">
        <w:rPr>
          <w:rFonts w:asciiTheme="majorHAnsi" w:hAnsiTheme="majorHAnsi"/>
        </w:rPr>
        <w:t xml:space="preserve">levels of abnormalities. </w:t>
      </w:r>
      <w:r w:rsidR="00601004">
        <w:rPr>
          <w:rFonts w:asciiTheme="majorHAnsi" w:hAnsiTheme="majorHAnsi"/>
        </w:rPr>
        <w:t xml:space="preserve">It also suggests that </w:t>
      </w:r>
      <w:r w:rsidR="00026681">
        <w:rPr>
          <w:rFonts w:asciiTheme="majorHAnsi" w:hAnsiTheme="majorHAnsi"/>
        </w:rPr>
        <w:t xml:space="preserve">when the two aberrations are combined there is no further increase in nuclear abnormalities from </w:t>
      </w:r>
      <w:r w:rsidR="00026681" w:rsidRPr="00B74B51">
        <w:rPr>
          <w:rFonts w:asciiTheme="majorHAnsi" w:hAnsiTheme="majorHAnsi"/>
          <w:i/>
        </w:rPr>
        <w:t>SRCAP</w:t>
      </w:r>
      <w:r w:rsidR="00026681">
        <w:rPr>
          <w:rFonts w:asciiTheme="majorHAnsi" w:hAnsiTheme="majorHAnsi"/>
        </w:rPr>
        <w:t xml:space="preserve"> depletion alone. </w:t>
      </w:r>
      <w:r w:rsidR="00601004">
        <w:rPr>
          <w:rFonts w:asciiTheme="majorHAnsi" w:hAnsiTheme="majorHAnsi"/>
        </w:rPr>
        <w:t xml:space="preserve">It therefore appears that </w:t>
      </w:r>
      <w:r w:rsidR="00ED0E50" w:rsidRPr="00B74B51">
        <w:rPr>
          <w:rFonts w:asciiTheme="majorHAnsi" w:hAnsiTheme="majorHAnsi"/>
          <w:i/>
        </w:rPr>
        <w:t>SRCAP</w:t>
      </w:r>
      <w:r w:rsidR="00ED0E50">
        <w:rPr>
          <w:rFonts w:asciiTheme="majorHAnsi" w:hAnsiTheme="majorHAnsi"/>
        </w:rPr>
        <w:t xml:space="preserve"> knockdown is </w:t>
      </w:r>
      <w:r w:rsidR="00896936">
        <w:rPr>
          <w:rFonts w:asciiTheme="majorHAnsi" w:hAnsiTheme="majorHAnsi"/>
        </w:rPr>
        <w:t>a</w:t>
      </w:r>
      <w:r w:rsidR="00ED0E50">
        <w:rPr>
          <w:rFonts w:asciiTheme="majorHAnsi" w:hAnsiTheme="majorHAnsi"/>
        </w:rPr>
        <w:t xml:space="preserve"> driving force behind genomic instability in a normal cell line and that the added oncogenic stress of RAS being over</w:t>
      </w:r>
      <w:r w:rsidR="00377382">
        <w:rPr>
          <w:rFonts w:asciiTheme="majorHAnsi" w:hAnsiTheme="majorHAnsi"/>
        </w:rPr>
        <w:t>-</w:t>
      </w:r>
      <w:r w:rsidR="00ED0E50">
        <w:rPr>
          <w:rFonts w:asciiTheme="majorHAnsi" w:hAnsiTheme="majorHAnsi"/>
        </w:rPr>
        <w:t xml:space="preserve">expressed has no </w:t>
      </w:r>
      <w:r w:rsidR="00601004">
        <w:rPr>
          <w:rFonts w:asciiTheme="majorHAnsi" w:hAnsiTheme="majorHAnsi"/>
        </w:rPr>
        <w:t xml:space="preserve">overt </w:t>
      </w:r>
      <w:r w:rsidR="006814C2">
        <w:rPr>
          <w:rFonts w:asciiTheme="majorHAnsi" w:hAnsiTheme="majorHAnsi"/>
        </w:rPr>
        <w:t>bearing</w:t>
      </w:r>
      <w:r w:rsidR="00ED0E50">
        <w:rPr>
          <w:rFonts w:asciiTheme="majorHAnsi" w:hAnsiTheme="majorHAnsi"/>
        </w:rPr>
        <w:t xml:space="preserve"> </w:t>
      </w:r>
      <w:r w:rsidR="006814C2">
        <w:rPr>
          <w:rFonts w:asciiTheme="majorHAnsi" w:hAnsiTheme="majorHAnsi"/>
        </w:rPr>
        <w:t>on nuclear abnormalities</w:t>
      </w:r>
      <w:r w:rsidR="00DE0F03">
        <w:rPr>
          <w:rFonts w:asciiTheme="majorHAnsi" w:hAnsiTheme="majorHAnsi"/>
        </w:rPr>
        <w:t xml:space="preserve"> or DNA damage</w:t>
      </w:r>
      <w:r w:rsidR="006814C2">
        <w:rPr>
          <w:rFonts w:asciiTheme="majorHAnsi" w:hAnsiTheme="majorHAnsi"/>
        </w:rPr>
        <w:t xml:space="preserve">. </w:t>
      </w:r>
    </w:p>
    <w:p w14:paraId="1A36DC22" w14:textId="1E481B3F" w:rsidR="001C40B3" w:rsidRDefault="00C40D56">
      <w:pPr>
        <w:rPr>
          <w:rFonts w:asciiTheme="majorHAnsi" w:hAnsiTheme="majorHAnsi"/>
        </w:rPr>
      </w:pPr>
      <w:r w:rsidRPr="00281F19">
        <w:rPr>
          <w:rFonts w:asciiTheme="majorHAnsi" w:hAnsiTheme="majorHAnsi"/>
          <w:noProof/>
          <w:lang w:val="en-US"/>
        </w:rPr>
        <mc:AlternateContent>
          <mc:Choice Requires="wps">
            <w:drawing>
              <wp:anchor distT="0" distB="0" distL="114300" distR="114300" simplePos="0" relativeHeight="251685888" behindDoc="0" locked="0" layoutInCell="1" allowOverlap="1" wp14:anchorId="67C99F96" wp14:editId="3CA94877">
                <wp:simplePos x="0" y="0"/>
                <wp:positionH relativeFrom="column">
                  <wp:posOffset>-114300</wp:posOffset>
                </wp:positionH>
                <wp:positionV relativeFrom="paragraph">
                  <wp:posOffset>3852545</wp:posOffset>
                </wp:positionV>
                <wp:extent cx="5600700" cy="1764665"/>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5600700" cy="17646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F8FC19" w14:textId="739278C4" w:rsidR="00E82D3B" w:rsidRDefault="00E82D3B" w:rsidP="00281F19">
                            <w:pPr>
                              <w:jc w:val="both"/>
                              <w:rPr>
                                <w:b/>
                                <w:i/>
                                <w:sz w:val="22"/>
                              </w:rPr>
                            </w:pPr>
                            <w:r w:rsidRPr="00281F19">
                              <w:rPr>
                                <w:b/>
                                <w:i/>
                                <w:sz w:val="22"/>
                              </w:rPr>
                              <w:t xml:space="preserve">Figure 5.7 SRCAP </w:t>
                            </w:r>
                            <w:proofErr w:type="gramStart"/>
                            <w:r w:rsidRPr="00281F19">
                              <w:rPr>
                                <w:b/>
                                <w:i/>
                                <w:sz w:val="22"/>
                              </w:rPr>
                              <w:t>knockdown</w:t>
                            </w:r>
                            <w:proofErr w:type="gramEnd"/>
                            <w:r w:rsidRPr="00281F19">
                              <w:rPr>
                                <w:b/>
                                <w:i/>
                                <w:sz w:val="22"/>
                              </w:rPr>
                              <w:t xml:space="preserve"> alone causes an increase in nuclear abnormalities </w:t>
                            </w:r>
                            <w:r>
                              <w:rPr>
                                <w:b/>
                                <w:i/>
                                <w:sz w:val="22"/>
                              </w:rPr>
                              <w:t>in MRC5 cells.</w:t>
                            </w:r>
                          </w:p>
                          <w:p w14:paraId="3DE57F34" w14:textId="72F92EB6" w:rsidR="00E82D3B" w:rsidRPr="001C40B3" w:rsidRDefault="00E82D3B" w:rsidP="001C40B3">
                            <w:pPr>
                              <w:jc w:val="both"/>
                              <w:rPr>
                                <w:i/>
                                <w:sz w:val="22"/>
                              </w:rPr>
                            </w:pPr>
                            <w:r>
                              <w:rPr>
                                <w:i/>
                                <w:sz w:val="22"/>
                              </w:rPr>
                              <w:t xml:space="preserve">a.) </w:t>
                            </w:r>
                            <w:r w:rsidRPr="001C40B3">
                              <w:rPr>
                                <w:i/>
                                <w:sz w:val="22"/>
                              </w:rPr>
                              <w:t>The MRC5 parental cells seeded and fixed on coverslips from figure 5.6 were counted using the DAPI filter and assessed for nuclear abnormalities as stated previously.</w:t>
                            </w:r>
                            <w:r>
                              <w:rPr>
                                <w:i/>
                                <w:sz w:val="22"/>
                              </w:rPr>
                              <w:t xml:space="preserve"> Shown are representative images of the three conditions</w:t>
                            </w:r>
                          </w:p>
                          <w:p w14:paraId="52FF4E57" w14:textId="3588016E" w:rsidR="00E82D3B" w:rsidRPr="001C40B3" w:rsidRDefault="00E82D3B" w:rsidP="001C40B3">
                            <w:pPr>
                              <w:jc w:val="both"/>
                              <w:rPr>
                                <w:i/>
                                <w:sz w:val="22"/>
                              </w:rPr>
                            </w:pPr>
                            <w:r w:rsidRPr="001C40B3">
                              <w:rPr>
                                <w:i/>
                                <w:sz w:val="22"/>
                              </w:rPr>
                              <w:t xml:space="preserve"> </w:t>
                            </w:r>
                            <w:r>
                              <w:rPr>
                                <w:i/>
                                <w:sz w:val="22"/>
                              </w:rPr>
                              <w:t xml:space="preserve">b.) </w:t>
                            </w:r>
                            <w:proofErr w:type="gramStart"/>
                            <w:r w:rsidRPr="001C40B3">
                              <w:rPr>
                                <w:i/>
                                <w:sz w:val="22"/>
                              </w:rPr>
                              <w:t>The</w:t>
                            </w:r>
                            <w:proofErr w:type="gramEnd"/>
                            <w:r w:rsidRPr="001C40B3">
                              <w:rPr>
                                <w:i/>
                                <w:sz w:val="22"/>
                              </w:rPr>
                              <w:t xml:space="preserve"> symbols represent the percentage of nuclear abnormalities from three separate experiments with the median and range plotted. Using a Kruskal-Wallis non-parametric statistical test there was a</w:t>
                            </w:r>
                            <w:r>
                              <w:rPr>
                                <w:i/>
                                <w:sz w:val="22"/>
                              </w:rPr>
                              <w:t>n overall</w:t>
                            </w:r>
                            <w:r w:rsidRPr="001C40B3">
                              <w:rPr>
                                <w:i/>
                                <w:sz w:val="22"/>
                              </w:rPr>
                              <w:t xml:space="preserve"> significant p of value of 0.0036</w:t>
                            </w:r>
                            <w:r>
                              <w:rPr>
                                <w:i/>
                                <w:sz w:val="22"/>
                              </w:rPr>
                              <w:t>, and when comparing the individual siRNA to control there was significance with si6 only,</w:t>
                            </w:r>
                            <w:r w:rsidRPr="001C40B3">
                              <w:rPr>
                                <w:i/>
                                <w:sz w:val="22"/>
                              </w:rPr>
                              <w:t xml:space="preserve"> as started on the graph by significance stars (</w:t>
                            </w:r>
                            <w:r>
                              <w:rPr>
                                <w:i/>
                                <w:iCs/>
                                <w:sz w:val="22"/>
                                <w:szCs w:val="22"/>
                              </w:rPr>
                              <w:t>**=p≤ 0.01</w:t>
                            </w:r>
                            <w:r w:rsidRPr="001C40B3">
                              <w:rPr>
                                <w:i/>
                                <w:iCs/>
                                <w:sz w:val="22"/>
                                <w:szCs w:val="22"/>
                                <w:lang w:val="en-US"/>
                              </w:rPr>
                              <w:t>)</w:t>
                            </w:r>
                            <w:r w:rsidRPr="001C40B3">
                              <w:rPr>
                                <w:i/>
                                <w:sz w:val="22"/>
                              </w:rPr>
                              <w:t xml:space="preserve">. </w:t>
                            </w:r>
                          </w:p>
                          <w:p w14:paraId="3FA76094" w14:textId="77777777" w:rsidR="00E82D3B" w:rsidRPr="00281F19" w:rsidRDefault="00E82D3B">
                            <w:pPr>
                              <w:rPr>
                                <w:b/>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169" type="#_x0000_t202" style="position:absolute;margin-left:-8.95pt;margin-top:303.35pt;width:441pt;height:138.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" filled="f" stroked="f">
                <v:textbox>
                  <w:txbxContent>
                    <w:p w14:paraId="52F8FC19" w14:textId="739278C4" w:rsidR="000A1E0D" w:rsidRDefault="000A1E0D" w:rsidP="00281F19">
                      <w:pPr>
                        <w:jc w:val="both"/>
                        <w:rPr>
                          <w:b/>
                          <w:i/>
                          <w:sz w:val="22"/>
                        </w:rPr>
                      </w:pPr>
                      <w:r w:rsidRPr="00281F19">
                        <w:rPr>
                          <w:b/>
                          <w:i/>
                          <w:sz w:val="22"/>
                        </w:rPr>
                        <w:t xml:space="preserve">Figure 5.7 SRCAP </w:t>
                      </w:r>
                      <w:proofErr w:type="gramStart"/>
                      <w:r w:rsidRPr="00281F19">
                        <w:rPr>
                          <w:b/>
                          <w:i/>
                          <w:sz w:val="22"/>
                        </w:rPr>
                        <w:t>knockdown</w:t>
                      </w:r>
                      <w:proofErr w:type="gramEnd"/>
                      <w:r w:rsidRPr="00281F19">
                        <w:rPr>
                          <w:b/>
                          <w:i/>
                          <w:sz w:val="22"/>
                        </w:rPr>
                        <w:t xml:space="preserve"> alone causes an increase in nuclear abnormalities </w:t>
                      </w:r>
                      <w:r>
                        <w:rPr>
                          <w:b/>
                          <w:i/>
                          <w:sz w:val="22"/>
                        </w:rPr>
                        <w:t>in MRC5 cells.</w:t>
                      </w:r>
                    </w:p>
                    <w:p w14:paraId="3DE57F34" w14:textId="72F92EB6" w:rsidR="000A1E0D" w:rsidRPr="001C40B3" w:rsidRDefault="000A1E0D" w:rsidP="001C40B3">
                      <w:pPr>
                        <w:jc w:val="both"/>
                        <w:rPr>
                          <w:i/>
                          <w:sz w:val="22"/>
                        </w:rPr>
                      </w:pPr>
                      <w:r>
                        <w:rPr>
                          <w:i/>
                          <w:sz w:val="22"/>
                        </w:rPr>
                        <w:t xml:space="preserve">a.) </w:t>
                      </w:r>
                      <w:r w:rsidRPr="001C40B3">
                        <w:rPr>
                          <w:i/>
                          <w:sz w:val="22"/>
                        </w:rPr>
                        <w:t>The MRC5 parental cells seeded and fixed on coverslips from figure 5.6 were counted using the DAPI filter and assessed for nuclear abnormalities as stated previously.</w:t>
                      </w:r>
                      <w:r>
                        <w:rPr>
                          <w:i/>
                          <w:sz w:val="22"/>
                        </w:rPr>
                        <w:t xml:space="preserve"> Shown are representative images of the three conditions</w:t>
                      </w:r>
                    </w:p>
                    <w:p w14:paraId="52FF4E57" w14:textId="3588016E" w:rsidR="000A1E0D" w:rsidRPr="001C40B3" w:rsidRDefault="000A1E0D" w:rsidP="001C40B3">
                      <w:pPr>
                        <w:jc w:val="both"/>
                        <w:rPr>
                          <w:i/>
                          <w:sz w:val="22"/>
                        </w:rPr>
                      </w:pPr>
                      <w:r w:rsidRPr="001C40B3">
                        <w:rPr>
                          <w:i/>
                          <w:sz w:val="22"/>
                        </w:rPr>
                        <w:t xml:space="preserve"> </w:t>
                      </w:r>
                      <w:r>
                        <w:rPr>
                          <w:i/>
                          <w:sz w:val="22"/>
                        </w:rPr>
                        <w:t xml:space="preserve">b.) </w:t>
                      </w:r>
                      <w:proofErr w:type="gramStart"/>
                      <w:r w:rsidRPr="001C40B3">
                        <w:rPr>
                          <w:i/>
                          <w:sz w:val="22"/>
                        </w:rPr>
                        <w:t>The</w:t>
                      </w:r>
                      <w:proofErr w:type="gramEnd"/>
                      <w:r w:rsidRPr="001C40B3">
                        <w:rPr>
                          <w:i/>
                          <w:sz w:val="22"/>
                        </w:rPr>
                        <w:t xml:space="preserve"> symbols represent the percentage of nuclear abnormalities from three separate experiments with the median and range plotted. Using a Kruskal-Wallis non-parametric statistical test there was a</w:t>
                      </w:r>
                      <w:r>
                        <w:rPr>
                          <w:i/>
                          <w:sz w:val="22"/>
                        </w:rPr>
                        <w:t>n overall</w:t>
                      </w:r>
                      <w:r w:rsidRPr="001C40B3">
                        <w:rPr>
                          <w:i/>
                          <w:sz w:val="22"/>
                        </w:rPr>
                        <w:t xml:space="preserve"> significant p of value of 0.0036</w:t>
                      </w:r>
                      <w:r>
                        <w:rPr>
                          <w:i/>
                          <w:sz w:val="22"/>
                        </w:rPr>
                        <w:t>, and when comparing the individual siRNA to control there was significance with si6 only,</w:t>
                      </w:r>
                      <w:r w:rsidRPr="001C40B3">
                        <w:rPr>
                          <w:i/>
                          <w:sz w:val="22"/>
                        </w:rPr>
                        <w:t xml:space="preserve"> as started on the graph by significance stars (</w:t>
                      </w:r>
                      <w:r>
                        <w:rPr>
                          <w:i/>
                          <w:iCs/>
                          <w:sz w:val="22"/>
                          <w:szCs w:val="22"/>
                        </w:rPr>
                        <w:t>**=p≤ 0.01</w:t>
                      </w:r>
                      <w:r w:rsidRPr="001C40B3">
                        <w:rPr>
                          <w:i/>
                          <w:iCs/>
                          <w:sz w:val="22"/>
                          <w:szCs w:val="22"/>
                          <w:lang w:val="en-US"/>
                        </w:rPr>
                        <w:t>)</w:t>
                      </w:r>
                      <w:r w:rsidRPr="001C40B3">
                        <w:rPr>
                          <w:i/>
                          <w:sz w:val="22"/>
                        </w:rPr>
                        <w:t xml:space="preserve">. </w:t>
                      </w:r>
                    </w:p>
                    <w:p w14:paraId="3FA76094" w14:textId="77777777" w:rsidR="000A1E0D" w:rsidRPr="00281F19" w:rsidRDefault="000A1E0D">
                      <w:pPr>
                        <w:rPr>
                          <w:b/>
                          <w:i/>
                          <w:sz w:val="22"/>
                        </w:rPr>
                      </w:pPr>
                    </w:p>
                  </w:txbxContent>
                </v:textbox>
                <w10:wrap type="square"/>
              </v:shape>
            </w:pict>
          </mc:Fallback>
        </mc:AlternateContent>
      </w:r>
      <w:r>
        <w:rPr>
          <w:rFonts w:asciiTheme="majorHAnsi" w:hAnsiTheme="majorHAnsi"/>
          <w:noProof/>
          <w:lang w:val="en-US"/>
        </w:rPr>
        <w:drawing>
          <wp:anchor distT="0" distB="0" distL="114300" distR="114300" simplePos="0" relativeHeight="252211200" behindDoc="0" locked="0" layoutInCell="1" allowOverlap="1" wp14:anchorId="3EFCBF7D" wp14:editId="4F49FA08">
            <wp:simplePos x="0" y="0"/>
            <wp:positionH relativeFrom="column">
              <wp:posOffset>1257300</wp:posOffset>
            </wp:positionH>
            <wp:positionV relativeFrom="paragraph">
              <wp:posOffset>1959610</wp:posOffset>
            </wp:positionV>
            <wp:extent cx="2976880" cy="1766570"/>
            <wp:effectExtent l="0" t="0" r="0" b="11430"/>
            <wp:wrapTight wrapText="bothSides">
              <wp:wrapPolygon edited="0">
                <wp:start x="0" y="0"/>
                <wp:lineTo x="0" y="21429"/>
                <wp:lineTo x="21379" y="21429"/>
                <wp:lineTo x="21379" y="0"/>
                <wp:lineTo x="0" y="0"/>
              </wp:wrapPolygon>
            </wp:wrapTight>
            <wp:docPr id="2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76880" cy="1766570"/>
                    </a:xfrm>
                    <a:prstGeom prst="rect">
                      <a:avLst/>
                    </a:prstGeom>
                    <a:noFill/>
                    <a:ln>
                      <a:noFill/>
                    </a:ln>
                  </pic:spPr>
                </pic:pic>
              </a:graphicData>
            </a:graphic>
            <wp14:sizeRelH relativeFrom="page">
              <wp14:pctWidth>0</wp14:pctWidth>
            </wp14:sizeRelH>
            <wp14:sizeRelV relativeFrom="page">
              <wp14:pctHeight>0</wp14:pctHeight>
            </wp14:sizeRelV>
          </wp:anchor>
        </w:drawing>
      </w:r>
      <w:r w:rsidR="00FA1353">
        <w:rPr>
          <w:rFonts w:asciiTheme="majorHAnsi" w:hAnsiTheme="majorHAnsi"/>
          <w:noProof/>
          <w:lang w:val="en-US"/>
        </w:rPr>
        <mc:AlternateContent>
          <mc:Choice Requires="wps">
            <w:drawing>
              <wp:anchor distT="0" distB="0" distL="114300" distR="114300" simplePos="0" relativeHeight="251725824" behindDoc="0" locked="0" layoutInCell="1" allowOverlap="1" wp14:anchorId="3E2441F8" wp14:editId="4F59138E">
                <wp:simplePos x="0" y="0"/>
                <wp:positionH relativeFrom="column">
                  <wp:posOffset>0</wp:posOffset>
                </wp:positionH>
                <wp:positionV relativeFrom="paragraph">
                  <wp:posOffset>309245</wp:posOffset>
                </wp:positionV>
                <wp:extent cx="457200" cy="4572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CECFE7" w14:textId="1D4C13EF" w:rsidR="00E82D3B" w:rsidRPr="001C40B3" w:rsidRDefault="00E82D3B">
                            <w:pPr>
                              <w:rPr>
                                <w:b/>
                              </w:rPr>
                            </w:pPr>
                            <w:proofErr w:type="gramStart"/>
                            <w:r w:rsidRPr="001C40B3">
                              <w:rPr>
                                <w:b/>
                              </w:rPr>
                              <w:t>a</w:t>
                            </w:r>
                            <w:proofErr w:type="gramEnd"/>
                            <w:r w:rsidRPr="001C40B3">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 o:spid="_x0000_s1170" type="#_x0000_t202" style="position:absolute;margin-left:0;margin-top:24.35pt;width:36pt;height:36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" filled="f" stroked="f">
                <v:textbox>
                  <w:txbxContent>
                    <w:p w14:paraId="18CECFE7" w14:textId="1D4C13EF" w:rsidR="000A1E0D" w:rsidRPr="001C40B3" w:rsidRDefault="000A1E0D">
                      <w:pPr>
                        <w:rPr>
                          <w:b/>
                        </w:rPr>
                      </w:pPr>
                      <w:proofErr w:type="gramStart"/>
                      <w:r w:rsidRPr="001C40B3">
                        <w:rPr>
                          <w:b/>
                        </w:rPr>
                        <w:t>a</w:t>
                      </w:r>
                      <w:proofErr w:type="gramEnd"/>
                      <w:r w:rsidRPr="001C40B3">
                        <w:rPr>
                          <w:b/>
                        </w:rPr>
                        <w:t>.)</w:t>
                      </w:r>
                    </w:p>
                  </w:txbxContent>
                </v:textbox>
                <w10:wrap type="square"/>
              </v:shape>
            </w:pict>
          </mc:Fallback>
        </mc:AlternateContent>
      </w:r>
      <w:r w:rsidR="00FA1353">
        <w:rPr>
          <w:rFonts w:asciiTheme="majorHAnsi" w:hAnsiTheme="majorHAnsi"/>
          <w:noProof/>
          <w:lang w:val="en-US"/>
        </w:rPr>
        <mc:AlternateContent>
          <mc:Choice Requires="wps">
            <w:drawing>
              <wp:anchor distT="0" distB="0" distL="114300" distR="114300" simplePos="0" relativeHeight="251727872" behindDoc="0" locked="0" layoutInCell="1" allowOverlap="1" wp14:anchorId="5137EB59" wp14:editId="33D88D3B">
                <wp:simplePos x="0" y="0"/>
                <wp:positionH relativeFrom="column">
                  <wp:posOffset>800100</wp:posOffset>
                </wp:positionH>
                <wp:positionV relativeFrom="paragraph">
                  <wp:posOffset>2023745</wp:posOffset>
                </wp:positionV>
                <wp:extent cx="457200" cy="45720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6B330B" w14:textId="191749B8" w:rsidR="00E82D3B" w:rsidRPr="001C40B3" w:rsidRDefault="00E82D3B" w:rsidP="001C40B3">
                            <w:pPr>
                              <w:rPr>
                                <w:b/>
                              </w:rPr>
                            </w:pPr>
                            <w:proofErr w:type="gramStart"/>
                            <w:r>
                              <w:rPr>
                                <w:b/>
                              </w:rPr>
                              <w:t>b</w:t>
                            </w:r>
                            <w:proofErr w:type="gramEnd"/>
                            <w:r w:rsidRPr="001C40B3">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7" o:spid="_x0000_s1171" type="#_x0000_t202" style="position:absolute;margin-left:63pt;margin-top:159.35pt;width:36pt;height:36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" filled="f" stroked="f">
                <v:textbox>
                  <w:txbxContent>
                    <w:p w14:paraId="246B330B" w14:textId="191749B8" w:rsidR="000A1E0D" w:rsidRPr="001C40B3" w:rsidRDefault="000A1E0D" w:rsidP="001C40B3">
                      <w:pPr>
                        <w:rPr>
                          <w:b/>
                        </w:rPr>
                      </w:pPr>
                      <w:proofErr w:type="gramStart"/>
                      <w:r>
                        <w:rPr>
                          <w:b/>
                        </w:rPr>
                        <w:t>b</w:t>
                      </w:r>
                      <w:proofErr w:type="gramEnd"/>
                      <w:r w:rsidRPr="001C40B3">
                        <w:rPr>
                          <w:b/>
                        </w:rPr>
                        <w:t>.)</w:t>
                      </w:r>
                    </w:p>
                  </w:txbxContent>
                </v:textbox>
                <w10:wrap type="square"/>
              </v:shape>
            </w:pict>
          </mc:Fallback>
        </mc:AlternateContent>
      </w:r>
      <w:r w:rsidR="00FA1353">
        <w:rPr>
          <w:noProof/>
          <w:lang w:val="en-US"/>
        </w:rPr>
        <w:drawing>
          <wp:anchor distT="0" distB="0" distL="114300" distR="114300" simplePos="0" relativeHeight="251724800" behindDoc="0" locked="0" layoutInCell="1" allowOverlap="1" wp14:anchorId="6ED02B4F" wp14:editId="66D57366">
            <wp:simplePos x="0" y="0"/>
            <wp:positionH relativeFrom="column">
              <wp:posOffset>342900</wp:posOffset>
            </wp:positionH>
            <wp:positionV relativeFrom="paragraph">
              <wp:posOffset>194945</wp:posOffset>
            </wp:positionV>
            <wp:extent cx="4914900" cy="1740535"/>
            <wp:effectExtent l="0" t="0" r="12700" b="12065"/>
            <wp:wrapSquare wrapText="bothSides"/>
            <wp:docPr id="45" name="Picture 45" descr="Macintosh HD:Users:ClairFellows:Desktop:Screen Shot 2017-11-10 at 15.1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lairFellows:Desktop:Screen Shot 2017-11-10 at 15.17.23.png"/>
                    <pic:cNvPicPr>
                      <a:picLocks noChangeAspect="1" noChangeArrowheads="1"/>
                    </pic:cNvPicPr>
                  </pic:nvPicPr>
                  <pic:blipFill>
                    <a:blip r:embed="rId150">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914900" cy="174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0B3">
        <w:rPr>
          <w:rFonts w:asciiTheme="majorHAnsi" w:hAnsiTheme="majorHAnsi"/>
        </w:rPr>
        <w:br w:type="page"/>
      </w:r>
    </w:p>
    <w:p w14:paraId="3EE5DC73" w14:textId="42776541" w:rsidR="00ED0E50" w:rsidRPr="00FA1353" w:rsidRDefault="00EB74DE" w:rsidP="00FA1353">
      <w:pPr>
        <w:rPr>
          <w:rFonts w:asciiTheme="majorHAnsi" w:hAnsiTheme="majorHAnsi"/>
          <w:sz w:val="28"/>
          <w:u w:val="single"/>
          <w:lang w:val="en-US"/>
        </w:rPr>
      </w:pPr>
      <w:r w:rsidRPr="00EB74DE">
        <w:rPr>
          <w:rFonts w:asciiTheme="majorHAnsi" w:hAnsiTheme="majorHAnsi"/>
          <w:sz w:val="28"/>
          <w:u w:val="single"/>
          <w:lang w:val="en-US"/>
        </w:rPr>
        <w:t xml:space="preserve">5.5 </w:t>
      </w:r>
      <w:r w:rsidR="00ED0E50" w:rsidRPr="00EB74DE">
        <w:rPr>
          <w:rFonts w:asciiTheme="majorHAnsi" w:hAnsiTheme="majorHAnsi"/>
          <w:sz w:val="28"/>
          <w:u w:val="single"/>
          <w:lang w:val="en-US"/>
        </w:rPr>
        <w:t>Discussion</w:t>
      </w:r>
    </w:p>
    <w:p w14:paraId="109CCC51" w14:textId="77777777" w:rsidR="002B7F54" w:rsidRDefault="002B7F54" w:rsidP="00ED0E50">
      <w:pPr>
        <w:jc w:val="both"/>
        <w:rPr>
          <w:rFonts w:asciiTheme="majorHAnsi" w:hAnsiTheme="majorHAnsi"/>
          <w:sz w:val="28"/>
          <w:u w:val="single"/>
          <w:lang w:val="en-US"/>
        </w:rPr>
      </w:pPr>
    </w:p>
    <w:p w14:paraId="554942BB" w14:textId="6A0FDCB1" w:rsidR="00853806" w:rsidRPr="00853806" w:rsidRDefault="00853806" w:rsidP="00E6223C">
      <w:pPr>
        <w:pStyle w:val="ListParagraph"/>
        <w:numPr>
          <w:ilvl w:val="0"/>
          <w:numId w:val="2"/>
        </w:numPr>
        <w:spacing w:line="360" w:lineRule="auto"/>
        <w:jc w:val="both"/>
        <w:rPr>
          <w:rFonts w:asciiTheme="majorHAnsi" w:hAnsiTheme="majorHAnsi"/>
          <w:b/>
          <w:i/>
          <w:lang w:val="en-US"/>
        </w:rPr>
      </w:pPr>
      <w:r>
        <w:rPr>
          <w:rFonts w:asciiTheme="majorHAnsi" w:hAnsiTheme="majorHAnsi"/>
          <w:b/>
          <w:i/>
          <w:lang w:val="en-US"/>
        </w:rPr>
        <w:t>Phenotypic effects of SRCAP knockdown in RAS oncogene activated cells</w:t>
      </w:r>
    </w:p>
    <w:p w14:paraId="6A56F632" w14:textId="7ED13480" w:rsidR="002B7F54" w:rsidRDefault="00601004" w:rsidP="002B7F54">
      <w:pPr>
        <w:spacing w:line="360" w:lineRule="auto"/>
        <w:jc w:val="both"/>
        <w:rPr>
          <w:rFonts w:asciiTheme="majorHAnsi" w:hAnsiTheme="majorHAnsi"/>
          <w:lang w:val="en-US"/>
        </w:rPr>
      </w:pPr>
      <w:r>
        <w:rPr>
          <w:rFonts w:asciiTheme="majorHAnsi" w:hAnsiTheme="majorHAnsi"/>
          <w:lang w:val="en-US"/>
        </w:rPr>
        <w:t>Onco</w:t>
      </w:r>
      <w:r w:rsidR="002B7F54">
        <w:rPr>
          <w:rFonts w:asciiTheme="majorHAnsi" w:hAnsiTheme="majorHAnsi"/>
          <w:lang w:val="en-US"/>
        </w:rPr>
        <w:t>genic stress can cause an increase in genomic instability, whi</w:t>
      </w:r>
      <w:r w:rsidR="00896936">
        <w:rPr>
          <w:rFonts w:asciiTheme="majorHAnsi" w:hAnsiTheme="majorHAnsi"/>
          <w:lang w:val="en-US"/>
        </w:rPr>
        <w:t xml:space="preserve">ch could push the cells over a DNA damage </w:t>
      </w:r>
      <w:r w:rsidR="002B7F54">
        <w:rPr>
          <w:rFonts w:asciiTheme="majorHAnsi" w:hAnsiTheme="majorHAnsi"/>
          <w:lang w:val="en-US"/>
        </w:rPr>
        <w:t>threshold and instigate cell death. In this chapter RAS over</w:t>
      </w:r>
      <w:r w:rsidR="00896936">
        <w:rPr>
          <w:rFonts w:asciiTheme="majorHAnsi" w:hAnsiTheme="majorHAnsi"/>
          <w:lang w:val="en-US"/>
        </w:rPr>
        <w:t>-</w:t>
      </w:r>
      <w:r w:rsidR="002B7F54">
        <w:rPr>
          <w:rFonts w:asciiTheme="majorHAnsi" w:hAnsiTheme="majorHAnsi"/>
          <w:lang w:val="en-US"/>
        </w:rPr>
        <w:t xml:space="preserve">expression was used as the oncogenic stressor within </w:t>
      </w:r>
      <w:r>
        <w:rPr>
          <w:rFonts w:asciiTheme="majorHAnsi" w:hAnsiTheme="majorHAnsi"/>
          <w:lang w:val="en-US"/>
        </w:rPr>
        <w:t>several</w:t>
      </w:r>
      <w:r w:rsidR="002B7F54">
        <w:rPr>
          <w:rFonts w:asciiTheme="majorHAnsi" w:hAnsiTheme="majorHAnsi"/>
          <w:lang w:val="en-US"/>
        </w:rPr>
        <w:t xml:space="preserve"> cell lines</w:t>
      </w:r>
      <w:r w:rsidR="00482DE3">
        <w:rPr>
          <w:rFonts w:asciiTheme="majorHAnsi" w:hAnsiTheme="majorHAnsi"/>
          <w:lang w:val="en-US"/>
        </w:rPr>
        <w:t>,</w:t>
      </w:r>
      <w:r w:rsidR="002B7F54">
        <w:rPr>
          <w:rFonts w:asciiTheme="majorHAnsi" w:hAnsiTheme="majorHAnsi"/>
          <w:lang w:val="en-US"/>
        </w:rPr>
        <w:t xml:space="preserve"> as it is found to be an activating mutation in around 50% of colorectal cancer patients.</w:t>
      </w:r>
      <w:r w:rsidR="00482DE3">
        <w:rPr>
          <w:rFonts w:asciiTheme="majorHAnsi" w:hAnsiTheme="majorHAnsi"/>
          <w:lang w:val="en-US"/>
        </w:rPr>
        <w:t xml:space="preserve"> The </w:t>
      </w:r>
      <w:r>
        <w:rPr>
          <w:rFonts w:asciiTheme="majorHAnsi" w:hAnsiTheme="majorHAnsi"/>
          <w:lang w:val="en-US"/>
        </w:rPr>
        <w:t xml:space="preserve">subsequent </w:t>
      </w:r>
      <w:r w:rsidR="00482DE3">
        <w:rPr>
          <w:rFonts w:asciiTheme="majorHAnsi" w:hAnsiTheme="majorHAnsi"/>
          <w:lang w:val="en-US"/>
        </w:rPr>
        <w:t xml:space="preserve">experiments </w:t>
      </w:r>
      <w:r>
        <w:rPr>
          <w:rFonts w:asciiTheme="majorHAnsi" w:hAnsiTheme="majorHAnsi"/>
          <w:lang w:val="en-US"/>
        </w:rPr>
        <w:t xml:space="preserve">carried out aimed </w:t>
      </w:r>
      <w:r w:rsidR="00482DE3">
        <w:rPr>
          <w:rFonts w:asciiTheme="majorHAnsi" w:hAnsiTheme="majorHAnsi"/>
          <w:lang w:val="en-US"/>
        </w:rPr>
        <w:t xml:space="preserve">to test </w:t>
      </w:r>
      <w:r w:rsidR="0099552F">
        <w:rPr>
          <w:rFonts w:asciiTheme="majorHAnsi" w:hAnsiTheme="majorHAnsi"/>
          <w:lang w:val="en-US"/>
        </w:rPr>
        <w:t>the biological consequences of SRCAP knock</w:t>
      </w:r>
      <w:r w:rsidR="00FE6E14">
        <w:rPr>
          <w:rFonts w:asciiTheme="majorHAnsi" w:hAnsiTheme="majorHAnsi"/>
          <w:lang w:val="en-US"/>
        </w:rPr>
        <w:t xml:space="preserve"> </w:t>
      </w:r>
      <w:r w:rsidR="0099552F">
        <w:rPr>
          <w:rFonts w:asciiTheme="majorHAnsi" w:hAnsiTheme="majorHAnsi"/>
          <w:lang w:val="en-US"/>
        </w:rPr>
        <w:t xml:space="preserve">down in colorectal cancer cell </w:t>
      </w:r>
      <w:r w:rsidR="0099552F" w:rsidRPr="00E83A72">
        <w:rPr>
          <w:rFonts w:asciiTheme="majorHAnsi" w:hAnsiTheme="majorHAnsi"/>
          <w:lang w:val="en-US"/>
        </w:rPr>
        <w:t xml:space="preserve">lines and a </w:t>
      </w:r>
      <w:r w:rsidR="00A16855" w:rsidRPr="00E83A72">
        <w:rPr>
          <w:rFonts w:asciiTheme="majorHAnsi" w:hAnsiTheme="majorHAnsi"/>
          <w:lang w:val="en-US"/>
        </w:rPr>
        <w:t>non-cancerous fibroblast</w:t>
      </w:r>
      <w:r w:rsidR="0099552F">
        <w:rPr>
          <w:rFonts w:asciiTheme="majorHAnsi" w:hAnsiTheme="majorHAnsi"/>
          <w:lang w:val="en-US"/>
        </w:rPr>
        <w:t xml:space="preserve"> cell line </w:t>
      </w:r>
      <w:r w:rsidR="007B73F0">
        <w:rPr>
          <w:rFonts w:asciiTheme="majorHAnsi" w:hAnsiTheme="majorHAnsi"/>
          <w:lang w:val="en-US"/>
        </w:rPr>
        <w:t xml:space="preserve">when the </w:t>
      </w:r>
      <w:r w:rsidR="00482DE3">
        <w:rPr>
          <w:rFonts w:asciiTheme="majorHAnsi" w:hAnsiTheme="majorHAnsi"/>
          <w:lang w:val="en-US"/>
        </w:rPr>
        <w:t xml:space="preserve">frequently mutated and well characterized </w:t>
      </w:r>
      <w:r w:rsidR="007B73F0">
        <w:rPr>
          <w:rFonts w:asciiTheme="majorHAnsi" w:hAnsiTheme="majorHAnsi"/>
          <w:lang w:val="en-US"/>
        </w:rPr>
        <w:t>driver of colorectal cancer, RAS, was over</w:t>
      </w:r>
      <w:r w:rsidR="00377382">
        <w:rPr>
          <w:rFonts w:asciiTheme="majorHAnsi" w:hAnsiTheme="majorHAnsi"/>
          <w:lang w:val="en-US"/>
        </w:rPr>
        <w:t>-</w:t>
      </w:r>
      <w:r w:rsidR="007B73F0">
        <w:rPr>
          <w:rFonts w:asciiTheme="majorHAnsi" w:hAnsiTheme="majorHAnsi"/>
          <w:lang w:val="en-US"/>
        </w:rPr>
        <w:t xml:space="preserve">expressed. </w:t>
      </w:r>
      <w:r w:rsidR="00482DE3">
        <w:rPr>
          <w:rFonts w:asciiTheme="majorHAnsi" w:hAnsiTheme="majorHAnsi"/>
          <w:lang w:val="en-US"/>
        </w:rPr>
        <w:t xml:space="preserve"> </w:t>
      </w:r>
    </w:p>
    <w:p w14:paraId="3132ED19" w14:textId="77777777" w:rsidR="00E043B5" w:rsidRDefault="00E043B5" w:rsidP="002B7F54">
      <w:pPr>
        <w:spacing w:line="360" w:lineRule="auto"/>
        <w:jc w:val="both"/>
        <w:rPr>
          <w:rFonts w:asciiTheme="majorHAnsi" w:hAnsiTheme="majorHAnsi"/>
          <w:lang w:val="en-US"/>
        </w:rPr>
      </w:pPr>
    </w:p>
    <w:p w14:paraId="503C7189" w14:textId="7CB65C60" w:rsidR="00C03705" w:rsidRDefault="00E043B5" w:rsidP="002B7F54">
      <w:pPr>
        <w:spacing w:line="360" w:lineRule="auto"/>
        <w:jc w:val="both"/>
        <w:rPr>
          <w:rFonts w:asciiTheme="majorHAnsi" w:hAnsiTheme="majorHAnsi"/>
          <w:lang w:val="en-US"/>
        </w:rPr>
      </w:pPr>
      <w:r>
        <w:rPr>
          <w:rFonts w:asciiTheme="majorHAnsi" w:hAnsiTheme="majorHAnsi"/>
          <w:lang w:val="en-US"/>
        </w:rPr>
        <w:t xml:space="preserve">The </w:t>
      </w:r>
      <w:r w:rsidRPr="00C17740">
        <w:rPr>
          <w:rFonts w:asciiTheme="majorHAnsi" w:hAnsiTheme="majorHAnsi"/>
          <w:i/>
          <w:lang w:val="en-US"/>
        </w:rPr>
        <w:t>RAS</w:t>
      </w:r>
      <w:r>
        <w:rPr>
          <w:rFonts w:asciiTheme="majorHAnsi" w:hAnsiTheme="majorHAnsi"/>
          <w:lang w:val="en-US"/>
        </w:rPr>
        <w:t xml:space="preserve"> construct </w:t>
      </w:r>
      <w:r w:rsidRPr="00E83A72">
        <w:rPr>
          <w:rFonts w:asciiTheme="majorHAnsi" w:hAnsiTheme="majorHAnsi"/>
          <w:lang w:val="en-US"/>
        </w:rPr>
        <w:t xml:space="preserve">was successfully stably transfected into two CRC cell lines and one lung fibroblast cell line. Unfortunately a </w:t>
      </w:r>
      <w:r w:rsidR="00896936" w:rsidRPr="00E83A72">
        <w:rPr>
          <w:rFonts w:asciiTheme="majorHAnsi" w:hAnsiTheme="majorHAnsi"/>
          <w:lang w:val="en-US"/>
        </w:rPr>
        <w:t xml:space="preserve">colon </w:t>
      </w:r>
      <w:r w:rsidR="00A16855" w:rsidRPr="00E83A72">
        <w:rPr>
          <w:rFonts w:asciiTheme="majorHAnsi" w:hAnsiTheme="majorHAnsi"/>
          <w:lang w:val="en-US"/>
        </w:rPr>
        <w:t xml:space="preserve">epithelial or fibroblast </w:t>
      </w:r>
      <w:r w:rsidR="00896936" w:rsidRPr="00E83A72">
        <w:rPr>
          <w:rFonts w:asciiTheme="majorHAnsi" w:hAnsiTheme="majorHAnsi"/>
          <w:lang w:val="en-US"/>
        </w:rPr>
        <w:t>cell line could no</w:t>
      </w:r>
      <w:r w:rsidRPr="00E83A72">
        <w:rPr>
          <w:rFonts w:asciiTheme="majorHAnsi" w:hAnsiTheme="majorHAnsi"/>
          <w:lang w:val="en-US"/>
        </w:rPr>
        <w:t>t be obtained</w:t>
      </w:r>
      <w:r w:rsidR="00A16855" w:rsidRPr="00E83A72">
        <w:rPr>
          <w:rFonts w:asciiTheme="majorHAnsi" w:hAnsiTheme="majorHAnsi"/>
          <w:lang w:val="en-US"/>
        </w:rPr>
        <w:t xml:space="preserve"> which wasn’t from a malignant origin</w:t>
      </w:r>
      <w:r w:rsidRPr="00E83A72">
        <w:rPr>
          <w:rFonts w:asciiTheme="majorHAnsi" w:hAnsiTheme="majorHAnsi"/>
          <w:lang w:val="en-US"/>
        </w:rPr>
        <w:t>, as this</w:t>
      </w:r>
      <w:r>
        <w:rPr>
          <w:rFonts w:asciiTheme="majorHAnsi" w:hAnsiTheme="majorHAnsi"/>
          <w:lang w:val="en-US"/>
        </w:rPr>
        <w:t xml:space="preserve"> would have been th</w:t>
      </w:r>
      <w:r w:rsidR="00601004">
        <w:rPr>
          <w:rFonts w:asciiTheme="majorHAnsi" w:hAnsiTheme="majorHAnsi"/>
          <w:lang w:val="en-US"/>
        </w:rPr>
        <w:t>e most ideal candidate to assess the effects of RAS over</w:t>
      </w:r>
      <w:r w:rsidR="00377382">
        <w:rPr>
          <w:rFonts w:asciiTheme="majorHAnsi" w:hAnsiTheme="majorHAnsi"/>
          <w:lang w:val="en-US"/>
        </w:rPr>
        <w:t>-</w:t>
      </w:r>
      <w:r w:rsidR="00601004">
        <w:rPr>
          <w:rFonts w:asciiTheme="majorHAnsi" w:hAnsiTheme="majorHAnsi"/>
          <w:lang w:val="en-US"/>
        </w:rPr>
        <w:t xml:space="preserve">expression and </w:t>
      </w:r>
      <w:r w:rsidR="00601004" w:rsidRPr="00C17740">
        <w:rPr>
          <w:rFonts w:asciiTheme="majorHAnsi" w:hAnsiTheme="majorHAnsi"/>
          <w:i/>
          <w:lang w:val="en-US"/>
        </w:rPr>
        <w:t>SRCAP</w:t>
      </w:r>
      <w:r w:rsidR="00601004">
        <w:rPr>
          <w:rFonts w:asciiTheme="majorHAnsi" w:hAnsiTheme="majorHAnsi"/>
          <w:lang w:val="en-US"/>
        </w:rPr>
        <w:t xml:space="preserve"> depletion in a non-tumourigenic environment.</w:t>
      </w:r>
      <w:r>
        <w:rPr>
          <w:rFonts w:asciiTheme="majorHAnsi" w:hAnsiTheme="majorHAnsi"/>
          <w:lang w:val="en-US"/>
        </w:rPr>
        <w:t xml:space="preserve"> It was then proven that </w:t>
      </w:r>
      <w:r w:rsidRPr="00C17740">
        <w:rPr>
          <w:rFonts w:asciiTheme="majorHAnsi" w:hAnsiTheme="majorHAnsi"/>
          <w:i/>
          <w:lang w:val="en-US"/>
        </w:rPr>
        <w:t>SRCAP</w:t>
      </w:r>
      <w:r>
        <w:rPr>
          <w:rFonts w:asciiTheme="majorHAnsi" w:hAnsiTheme="majorHAnsi"/>
          <w:lang w:val="en-US"/>
        </w:rPr>
        <w:t xml:space="preserve"> could be significantly knocked down in the RAS over</w:t>
      </w:r>
      <w:r w:rsidR="00377382">
        <w:rPr>
          <w:rFonts w:asciiTheme="majorHAnsi" w:hAnsiTheme="majorHAnsi"/>
          <w:lang w:val="en-US"/>
        </w:rPr>
        <w:t>-</w:t>
      </w:r>
      <w:r>
        <w:rPr>
          <w:rFonts w:asciiTheme="majorHAnsi" w:hAnsiTheme="majorHAnsi"/>
          <w:lang w:val="en-US"/>
        </w:rPr>
        <w:t>expressing cell line models and that RAS over</w:t>
      </w:r>
      <w:r w:rsidR="00377382">
        <w:rPr>
          <w:rFonts w:asciiTheme="majorHAnsi" w:hAnsiTheme="majorHAnsi"/>
          <w:lang w:val="en-US"/>
        </w:rPr>
        <w:t>-</w:t>
      </w:r>
      <w:r>
        <w:rPr>
          <w:rFonts w:asciiTheme="majorHAnsi" w:hAnsiTheme="majorHAnsi"/>
          <w:lang w:val="en-US"/>
        </w:rPr>
        <w:t xml:space="preserve">expression alone did not </w:t>
      </w:r>
      <w:r w:rsidR="00C03705">
        <w:rPr>
          <w:rFonts w:asciiTheme="majorHAnsi" w:hAnsiTheme="majorHAnsi"/>
          <w:lang w:val="en-US"/>
        </w:rPr>
        <w:t>affect</w:t>
      </w:r>
      <w:r>
        <w:rPr>
          <w:rFonts w:asciiTheme="majorHAnsi" w:hAnsiTheme="majorHAnsi"/>
          <w:lang w:val="en-US"/>
        </w:rPr>
        <w:t xml:space="preserve"> endogenous </w:t>
      </w:r>
      <w:r w:rsidRPr="00C17740">
        <w:rPr>
          <w:rFonts w:asciiTheme="majorHAnsi" w:hAnsiTheme="majorHAnsi"/>
          <w:i/>
          <w:lang w:val="en-US"/>
        </w:rPr>
        <w:t>SRCAP</w:t>
      </w:r>
      <w:r>
        <w:rPr>
          <w:rFonts w:asciiTheme="majorHAnsi" w:hAnsiTheme="majorHAnsi"/>
          <w:lang w:val="en-US"/>
        </w:rPr>
        <w:t xml:space="preserve"> levels.</w:t>
      </w:r>
      <w:r w:rsidR="007B73F0">
        <w:rPr>
          <w:rFonts w:asciiTheme="majorHAnsi" w:hAnsiTheme="majorHAnsi"/>
          <w:lang w:val="en-US"/>
        </w:rPr>
        <w:t xml:space="preserve"> However, a study limitation is that although the RAS protein was shown to be over</w:t>
      </w:r>
      <w:r w:rsidR="00896936">
        <w:rPr>
          <w:rFonts w:asciiTheme="majorHAnsi" w:hAnsiTheme="majorHAnsi"/>
          <w:lang w:val="en-US"/>
        </w:rPr>
        <w:t>-</w:t>
      </w:r>
      <w:r w:rsidR="007B73F0">
        <w:rPr>
          <w:rFonts w:asciiTheme="majorHAnsi" w:hAnsiTheme="majorHAnsi"/>
          <w:lang w:val="en-US"/>
        </w:rPr>
        <w:t xml:space="preserve">expressed, RAS activity was not assessed. One way to assess this </w:t>
      </w:r>
      <w:r w:rsidR="00896936">
        <w:rPr>
          <w:rFonts w:asciiTheme="majorHAnsi" w:hAnsiTheme="majorHAnsi"/>
          <w:lang w:val="en-US"/>
        </w:rPr>
        <w:t>would be</w:t>
      </w:r>
      <w:r w:rsidR="007B73F0">
        <w:rPr>
          <w:rFonts w:asciiTheme="majorHAnsi" w:hAnsiTheme="majorHAnsi"/>
          <w:lang w:val="en-US"/>
        </w:rPr>
        <w:t xml:space="preserve"> to do an active RAS pull down assay in which a GST-RAF1-RBD fusion protein binds to the active form of RAS when it is bound to GTP. This is immunoprecipitated and analysis determined by western blotting techniques using a RAS antibody. </w:t>
      </w:r>
    </w:p>
    <w:p w14:paraId="274C916E" w14:textId="77777777" w:rsidR="007B73F0" w:rsidRDefault="007B73F0" w:rsidP="002B7F54">
      <w:pPr>
        <w:spacing w:line="360" w:lineRule="auto"/>
        <w:jc w:val="both"/>
        <w:rPr>
          <w:rFonts w:asciiTheme="majorHAnsi" w:hAnsiTheme="majorHAnsi"/>
          <w:lang w:val="en-US"/>
        </w:rPr>
      </w:pPr>
    </w:p>
    <w:p w14:paraId="60604064" w14:textId="11EC6C9A" w:rsidR="00C03705" w:rsidRDefault="00896936" w:rsidP="002B7F54">
      <w:pPr>
        <w:spacing w:line="360" w:lineRule="auto"/>
        <w:jc w:val="both"/>
        <w:rPr>
          <w:rFonts w:asciiTheme="majorHAnsi" w:hAnsiTheme="majorHAnsi"/>
          <w:lang w:val="en-US"/>
        </w:rPr>
      </w:pPr>
      <w:r>
        <w:rPr>
          <w:rFonts w:asciiTheme="majorHAnsi" w:hAnsiTheme="majorHAnsi"/>
          <w:lang w:val="en-US"/>
        </w:rPr>
        <w:t>When RAS was over-</w:t>
      </w:r>
      <w:r w:rsidR="00C03705">
        <w:rPr>
          <w:rFonts w:asciiTheme="majorHAnsi" w:hAnsiTheme="majorHAnsi"/>
          <w:lang w:val="en-US"/>
        </w:rPr>
        <w:t xml:space="preserve">expressed alone there was a slight increase in DNA damage markers, and when </w:t>
      </w:r>
      <w:r w:rsidR="00C03705" w:rsidRPr="00C17740">
        <w:rPr>
          <w:rFonts w:asciiTheme="majorHAnsi" w:hAnsiTheme="majorHAnsi"/>
          <w:i/>
          <w:lang w:val="en-US"/>
        </w:rPr>
        <w:t>SRCAP</w:t>
      </w:r>
      <w:r w:rsidR="00AF562F">
        <w:rPr>
          <w:rFonts w:asciiTheme="majorHAnsi" w:hAnsiTheme="majorHAnsi"/>
          <w:lang w:val="en-US"/>
        </w:rPr>
        <w:t xml:space="preserve"> knock</w:t>
      </w:r>
      <w:r w:rsidR="00C03705">
        <w:rPr>
          <w:rFonts w:asciiTheme="majorHAnsi" w:hAnsiTheme="majorHAnsi"/>
          <w:lang w:val="en-US"/>
        </w:rPr>
        <w:t xml:space="preserve">down </w:t>
      </w:r>
      <w:r w:rsidR="00D7549E">
        <w:rPr>
          <w:rFonts w:asciiTheme="majorHAnsi" w:hAnsiTheme="majorHAnsi"/>
          <w:lang w:val="en-US"/>
        </w:rPr>
        <w:t xml:space="preserve">was added </w:t>
      </w:r>
      <w:r w:rsidR="00D12AA2">
        <w:rPr>
          <w:rFonts w:asciiTheme="majorHAnsi" w:hAnsiTheme="majorHAnsi"/>
          <w:lang w:val="en-US"/>
        </w:rPr>
        <w:t>in addition,</w:t>
      </w:r>
      <w:r w:rsidR="00D7549E">
        <w:rPr>
          <w:rFonts w:asciiTheme="majorHAnsi" w:hAnsiTheme="majorHAnsi"/>
          <w:lang w:val="en-US"/>
        </w:rPr>
        <w:t xml:space="preserve"> this increased </w:t>
      </w:r>
      <w:r>
        <w:rPr>
          <w:rFonts w:asciiTheme="majorHAnsi" w:hAnsiTheme="majorHAnsi"/>
          <w:lang w:val="en-US"/>
        </w:rPr>
        <w:t xml:space="preserve">more </w:t>
      </w:r>
      <w:r w:rsidR="005606CF">
        <w:rPr>
          <w:rFonts w:asciiTheme="majorHAnsi" w:hAnsiTheme="majorHAnsi"/>
          <w:lang w:val="en-US"/>
        </w:rPr>
        <w:t>significantly</w:t>
      </w:r>
      <w:r w:rsidR="00D7549E">
        <w:rPr>
          <w:rFonts w:asciiTheme="majorHAnsi" w:hAnsiTheme="majorHAnsi"/>
          <w:lang w:val="en-US"/>
        </w:rPr>
        <w:t xml:space="preserve"> in SW480 cells. However, in HCT116 cells the damage decrease</w:t>
      </w:r>
      <w:r w:rsidR="00601004">
        <w:rPr>
          <w:rFonts w:asciiTheme="majorHAnsi" w:hAnsiTheme="majorHAnsi"/>
          <w:lang w:val="en-US"/>
        </w:rPr>
        <w:t>d</w:t>
      </w:r>
      <w:r w:rsidR="00D7549E">
        <w:rPr>
          <w:rFonts w:asciiTheme="majorHAnsi" w:hAnsiTheme="majorHAnsi"/>
          <w:lang w:val="en-US"/>
        </w:rPr>
        <w:t xml:space="preserve"> when the two aberrations were combined. It is unclear why this happen</w:t>
      </w:r>
      <w:r w:rsidR="00C17740">
        <w:rPr>
          <w:rFonts w:asciiTheme="majorHAnsi" w:hAnsiTheme="majorHAnsi"/>
          <w:lang w:val="en-US"/>
        </w:rPr>
        <w:t xml:space="preserve">ed but could be again due to a </w:t>
      </w:r>
      <w:r>
        <w:rPr>
          <w:rFonts w:asciiTheme="majorHAnsi" w:hAnsiTheme="majorHAnsi"/>
          <w:lang w:val="en-US"/>
        </w:rPr>
        <w:t xml:space="preserve">differing </w:t>
      </w:r>
      <w:r w:rsidR="00C17740">
        <w:rPr>
          <w:rFonts w:asciiTheme="majorHAnsi" w:hAnsiTheme="majorHAnsi"/>
          <w:lang w:val="en-US"/>
        </w:rPr>
        <w:t>TP</w:t>
      </w:r>
      <w:r w:rsidR="00D7549E">
        <w:rPr>
          <w:rFonts w:asciiTheme="majorHAnsi" w:hAnsiTheme="majorHAnsi"/>
          <w:lang w:val="en-US"/>
        </w:rPr>
        <w:t>53 response</w:t>
      </w:r>
      <w:r w:rsidR="00AF5D69">
        <w:rPr>
          <w:rFonts w:asciiTheme="majorHAnsi" w:hAnsiTheme="majorHAnsi"/>
          <w:lang w:val="en-US"/>
        </w:rPr>
        <w:t>, and in future work it would be useful to assess what happens in the TP53 deficient HCT116 cells used in Chapter 4</w:t>
      </w:r>
      <w:r w:rsidR="00D7549E">
        <w:rPr>
          <w:rFonts w:asciiTheme="majorHAnsi" w:hAnsiTheme="majorHAnsi"/>
          <w:lang w:val="en-US"/>
        </w:rPr>
        <w:t>. Yet, when the cell cycle profiles were investigated HCT116 cells show</w:t>
      </w:r>
      <w:r w:rsidR="0003574E">
        <w:rPr>
          <w:rFonts w:asciiTheme="majorHAnsi" w:hAnsiTheme="majorHAnsi"/>
          <w:lang w:val="en-US"/>
        </w:rPr>
        <w:t>ed</w:t>
      </w:r>
      <w:r w:rsidR="00D7549E">
        <w:rPr>
          <w:rFonts w:asciiTheme="majorHAnsi" w:hAnsiTheme="majorHAnsi"/>
          <w:lang w:val="en-US"/>
        </w:rPr>
        <w:t xml:space="preserve"> a profile indicative of high levels of damage when RAS over</w:t>
      </w:r>
      <w:r>
        <w:rPr>
          <w:rFonts w:asciiTheme="majorHAnsi" w:hAnsiTheme="majorHAnsi"/>
          <w:lang w:val="en-US"/>
        </w:rPr>
        <w:t>-</w:t>
      </w:r>
      <w:r w:rsidR="00D7549E">
        <w:rPr>
          <w:rFonts w:asciiTheme="majorHAnsi" w:hAnsiTheme="majorHAnsi"/>
          <w:lang w:val="en-US"/>
        </w:rPr>
        <w:t>express</w:t>
      </w:r>
      <w:r w:rsidR="00AF562F">
        <w:rPr>
          <w:rFonts w:asciiTheme="majorHAnsi" w:hAnsiTheme="majorHAnsi"/>
          <w:lang w:val="en-US"/>
        </w:rPr>
        <w:t>ion was combined with si6 knock</w:t>
      </w:r>
      <w:r w:rsidR="00D7549E">
        <w:rPr>
          <w:rFonts w:asciiTheme="majorHAnsi" w:hAnsiTheme="majorHAnsi"/>
          <w:lang w:val="en-US"/>
        </w:rPr>
        <w:t xml:space="preserve">down, </w:t>
      </w:r>
      <w:r w:rsidR="00D12AA2">
        <w:rPr>
          <w:rFonts w:asciiTheme="majorHAnsi" w:hAnsiTheme="majorHAnsi"/>
          <w:lang w:val="en-US"/>
        </w:rPr>
        <w:t>with</w:t>
      </w:r>
      <w:r w:rsidR="00D7549E">
        <w:rPr>
          <w:rFonts w:asciiTheme="majorHAnsi" w:hAnsiTheme="majorHAnsi"/>
          <w:lang w:val="en-US"/>
        </w:rPr>
        <w:t xml:space="preserve"> cells accumulating in G1 </w:t>
      </w:r>
      <w:r w:rsidR="00D12AA2">
        <w:rPr>
          <w:rFonts w:asciiTheme="majorHAnsi" w:hAnsiTheme="majorHAnsi"/>
          <w:lang w:val="en-US"/>
        </w:rPr>
        <w:t xml:space="preserve">and a consequent </w:t>
      </w:r>
      <w:r w:rsidR="00D7549E">
        <w:rPr>
          <w:rFonts w:asciiTheme="majorHAnsi" w:hAnsiTheme="majorHAnsi"/>
          <w:lang w:val="en-US"/>
        </w:rPr>
        <w:t>decrease in S phase cells, as well as an increase in the sub G1 apoptotic phase. SW480 cells with RAS over</w:t>
      </w:r>
      <w:r w:rsidR="00377382">
        <w:rPr>
          <w:rFonts w:asciiTheme="majorHAnsi" w:hAnsiTheme="majorHAnsi"/>
          <w:lang w:val="en-US"/>
        </w:rPr>
        <w:t>-</w:t>
      </w:r>
      <w:r w:rsidR="00D7549E">
        <w:rPr>
          <w:rFonts w:asciiTheme="majorHAnsi" w:hAnsiTheme="majorHAnsi"/>
          <w:lang w:val="en-US"/>
        </w:rPr>
        <w:t>expression followed a similar pattern to published data</w:t>
      </w:r>
      <w:r w:rsidR="009C5EC6">
        <w:rPr>
          <w:rFonts w:asciiTheme="majorHAnsi" w:hAnsiTheme="majorHAnsi"/>
          <w:lang w:val="en-US"/>
        </w:rPr>
        <w:t xml:space="preserve"> </w:t>
      </w:r>
      <w:r w:rsidR="009C5EC6">
        <w:rPr>
          <w:rFonts w:asciiTheme="majorHAnsi" w:hAnsiTheme="majorHAnsi"/>
          <w:lang w:val="en-US"/>
        </w:rPr>
        <w:fldChar w:fldCharType="begin">
          <w:fldData xml:space="preserve">PEVuZE5vdGU+PENpdGU+PEF1dGhvcj5TdGVja2VsPC9BdXRob3I+PFllYXI+MjAxMjwvWWVhcj48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</w:fldData>
        </w:fldChar>
      </w:r>
      <w:r w:rsidR="009C5EC6">
        <w:rPr>
          <w:rFonts w:asciiTheme="majorHAnsi" w:hAnsiTheme="majorHAnsi"/>
          <w:lang w:val="en-US"/>
        </w:rPr>
        <w:instrText xml:space="preserve"> ADDIN EN.CITE </w:instrText>
      </w:r>
      <w:r w:rsidR="009C5EC6">
        <w:rPr>
          <w:rFonts w:asciiTheme="majorHAnsi" w:hAnsiTheme="majorHAnsi"/>
          <w:lang w:val="en-US"/>
        </w:rPr>
        <w:fldChar w:fldCharType="begin">
          <w:fldData xml:space="preserve">PEVuZE5vdGU+PENpdGU+PEF1dGhvcj5TdGVja2VsPC9BdXRob3I+PFllYXI+MjAxMjwvWWVhcj48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</w:fldData>
        </w:fldChar>
      </w:r>
      <w:r w:rsidR="009C5EC6">
        <w:rPr>
          <w:rFonts w:asciiTheme="majorHAnsi" w:hAnsiTheme="majorHAnsi"/>
          <w:lang w:val="en-US"/>
        </w:rPr>
        <w:instrText xml:space="preserve"> ADDIN EN.CITE.DATA </w:instrText>
      </w:r>
      <w:r w:rsidR="009C5EC6">
        <w:rPr>
          <w:rFonts w:asciiTheme="majorHAnsi" w:hAnsiTheme="majorHAnsi"/>
          <w:lang w:val="en-US"/>
        </w:rPr>
      </w:r>
      <w:r w:rsidR="009C5EC6">
        <w:rPr>
          <w:rFonts w:asciiTheme="majorHAnsi" w:hAnsiTheme="majorHAnsi"/>
          <w:lang w:val="en-US"/>
        </w:rPr>
        <w:fldChar w:fldCharType="end"/>
      </w:r>
      <w:r w:rsidR="009C5EC6">
        <w:rPr>
          <w:rFonts w:asciiTheme="majorHAnsi" w:hAnsiTheme="majorHAnsi"/>
          <w:lang w:val="en-US"/>
        </w:rPr>
      </w:r>
      <w:r w:rsidR="009C5EC6">
        <w:rPr>
          <w:rFonts w:asciiTheme="majorHAnsi" w:hAnsiTheme="majorHAnsi"/>
          <w:lang w:val="en-US"/>
        </w:rPr>
        <w:fldChar w:fldCharType="separate"/>
      </w:r>
      <w:r w:rsidR="009C5EC6">
        <w:rPr>
          <w:rFonts w:asciiTheme="majorHAnsi" w:hAnsiTheme="majorHAnsi"/>
          <w:noProof/>
          <w:lang w:val="en-US"/>
        </w:rPr>
        <w:t>(Steckel et al., 2012)</w:t>
      </w:r>
      <w:r w:rsidR="009C5EC6">
        <w:rPr>
          <w:rFonts w:asciiTheme="majorHAnsi" w:hAnsiTheme="majorHAnsi"/>
          <w:lang w:val="en-US"/>
        </w:rPr>
        <w:fldChar w:fldCharType="end"/>
      </w:r>
      <w:r w:rsidR="005606CF">
        <w:rPr>
          <w:rFonts w:asciiTheme="majorHAnsi" w:hAnsiTheme="majorHAnsi"/>
          <w:lang w:val="en-US"/>
        </w:rPr>
        <w:t>;</w:t>
      </w:r>
      <w:r w:rsidR="00D7549E">
        <w:rPr>
          <w:rFonts w:asciiTheme="majorHAnsi" w:hAnsiTheme="majorHAnsi"/>
          <w:lang w:val="en-US"/>
        </w:rPr>
        <w:t xml:space="preserve"> </w:t>
      </w:r>
      <w:r w:rsidR="00D12AA2">
        <w:rPr>
          <w:rFonts w:asciiTheme="majorHAnsi" w:hAnsiTheme="majorHAnsi"/>
          <w:lang w:val="en-US"/>
        </w:rPr>
        <w:t>with cells accumulating</w:t>
      </w:r>
      <w:r w:rsidR="00D7549E">
        <w:rPr>
          <w:rFonts w:asciiTheme="majorHAnsi" w:hAnsiTheme="majorHAnsi"/>
          <w:lang w:val="en-US"/>
        </w:rPr>
        <w:t xml:space="preserve"> at the </w:t>
      </w:r>
      <w:r w:rsidR="00D12AA2">
        <w:rPr>
          <w:rFonts w:asciiTheme="majorHAnsi" w:hAnsiTheme="majorHAnsi"/>
          <w:lang w:val="en-US"/>
        </w:rPr>
        <w:t>G2/M checkpoint</w:t>
      </w:r>
      <w:r w:rsidR="0003574E">
        <w:rPr>
          <w:rFonts w:asciiTheme="majorHAnsi" w:hAnsiTheme="majorHAnsi"/>
          <w:lang w:val="en-US"/>
        </w:rPr>
        <w:t xml:space="preserve"> with clone 13 only</w:t>
      </w:r>
      <w:r w:rsidR="00D12AA2">
        <w:rPr>
          <w:rFonts w:asciiTheme="majorHAnsi" w:hAnsiTheme="majorHAnsi"/>
          <w:lang w:val="en-US"/>
        </w:rPr>
        <w:t>, and this did not</w:t>
      </w:r>
      <w:r w:rsidR="00D7549E">
        <w:rPr>
          <w:rFonts w:asciiTheme="majorHAnsi" w:hAnsiTheme="majorHAnsi"/>
          <w:lang w:val="en-US"/>
        </w:rPr>
        <w:t xml:space="preserve"> alter when </w:t>
      </w:r>
      <w:r w:rsidR="00D7549E" w:rsidRPr="00C17740">
        <w:rPr>
          <w:rFonts w:asciiTheme="majorHAnsi" w:hAnsiTheme="majorHAnsi"/>
          <w:i/>
          <w:lang w:val="en-US"/>
        </w:rPr>
        <w:t>SRCAP</w:t>
      </w:r>
      <w:r w:rsidR="00D7549E">
        <w:rPr>
          <w:rFonts w:asciiTheme="majorHAnsi" w:hAnsiTheme="majorHAnsi"/>
          <w:lang w:val="en-US"/>
        </w:rPr>
        <w:t xml:space="preserve"> knockdown was added. </w:t>
      </w:r>
      <w:r w:rsidR="005606CF">
        <w:rPr>
          <w:rFonts w:asciiTheme="majorHAnsi" w:hAnsiTheme="majorHAnsi"/>
          <w:lang w:val="en-US"/>
        </w:rPr>
        <w:t xml:space="preserve">Although an indication of apoptosis levels can be gained from the percentage of cells in the sub G1 phase, further work on this area could focus on specific apoptotic assays such as dual staining with Annexin V and propidium iodide, or using caspase 3 assays. With these, a more confident determination of whether </w:t>
      </w:r>
      <w:r w:rsidR="005606CF" w:rsidRPr="00C17740">
        <w:rPr>
          <w:rFonts w:asciiTheme="majorHAnsi" w:hAnsiTheme="majorHAnsi"/>
          <w:i/>
          <w:lang w:val="en-US"/>
        </w:rPr>
        <w:t>SRCAP</w:t>
      </w:r>
      <w:r w:rsidR="005606CF">
        <w:rPr>
          <w:rFonts w:asciiTheme="majorHAnsi" w:hAnsiTheme="majorHAnsi"/>
          <w:lang w:val="en-US"/>
        </w:rPr>
        <w:t xml:space="preserve"> depletion in a RAS oncogene activated cell model could be resolved</w:t>
      </w:r>
      <w:r w:rsidR="0003574E">
        <w:rPr>
          <w:rFonts w:asciiTheme="majorHAnsi" w:hAnsiTheme="majorHAnsi"/>
          <w:lang w:val="en-US"/>
        </w:rPr>
        <w:t>.</w:t>
      </w:r>
    </w:p>
    <w:p w14:paraId="36E5CDFA" w14:textId="77777777" w:rsidR="00D7549E" w:rsidRDefault="00D7549E" w:rsidP="002B7F54">
      <w:pPr>
        <w:spacing w:line="360" w:lineRule="auto"/>
        <w:jc w:val="both"/>
        <w:rPr>
          <w:rFonts w:asciiTheme="majorHAnsi" w:hAnsiTheme="majorHAnsi"/>
          <w:lang w:val="en-US"/>
        </w:rPr>
      </w:pPr>
    </w:p>
    <w:p w14:paraId="25CC8D44" w14:textId="02EA5063" w:rsidR="00853806" w:rsidRPr="00853806" w:rsidRDefault="00853806" w:rsidP="00E6223C">
      <w:pPr>
        <w:pStyle w:val="ListParagraph"/>
        <w:numPr>
          <w:ilvl w:val="0"/>
          <w:numId w:val="2"/>
        </w:numPr>
        <w:spacing w:line="360" w:lineRule="auto"/>
        <w:jc w:val="both"/>
        <w:rPr>
          <w:rFonts w:asciiTheme="majorHAnsi" w:hAnsiTheme="majorHAnsi"/>
          <w:b/>
          <w:i/>
          <w:lang w:val="en-US"/>
        </w:rPr>
      </w:pPr>
      <w:r w:rsidRPr="00853806">
        <w:rPr>
          <w:rFonts w:asciiTheme="majorHAnsi" w:hAnsiTheme="majorHAnsi"/>
          <w:b/>
          <w:i/>
          <w:lang w:val="en-US"/>
        </w:rPr>
        <w:t xml:space="preserve">SRCAP </w:t>
      </w:r>
      <w:r w:rsidR="00AF562F">
        <w:rPr>
          <w:rFonts w:asciiTheme="majorHAnsi" w:hAnsiTheme="majorHAnsi"/>
          <w:b/>
          <w:i/>
          <w:lang w:val="en-US"/>
        </w:rPr>
        <w:t>knock</w:t>
      </w:r>
      <w:r>
        <w:rPr>
          <w:rFonts w:asciiTheme="majorHAnsi" w:hAnsiTheme="majorHAnsi"/>
          <w:b/>
          <w:i/>
          <w:lang w:val="en-US"/>
        </w:rPr>
        <w:t xml:space="preserve">down in a </w:t>
      </w:r>
      <w:r w:rsidR="00A16855">
        <w:rPr>
          <w:rFonts w:asciiTheme="majorHAnsi" w:hAnsiTheme="majorHAnsi"/>
          <w:b/>
          <w:i/>
          <w:lang w:val="en-US"/>
        </w:rPr>
        <w:t>fibroblast</w:t>
      </w:r>
      <w:r>
        <w:rPr>
          <w:rFonts w:asciiTheme="majorHAnsi" w:hAnsiTheme="majorHAnsi"/>
          <w:b/>
          <w:i/>
          <w:lang w:val="en-US"/>
        </w:rPr>
        <w:t xml:space="preserve"> cell line</w:t>
      </w:r>
    </w:p>
    <w:p w14:paraId="2AE040E3" w14:textId="21F9C369" w:rsidR="00D7549E" w:rsidRDefault="00D7549E" w:rsidP="002B7F54">
      <w:pPr>
        <w:spacing w:line="360" w:lineRule="auto"/>
        <w:jc w:val="both"/>
        <w:rPr>
          <w:rFonts w:asciiTheme="majorHAnsi" w:hAnsiTheme="majorHAnsi"/>
          <w:lang w:val="en-US"/>
        </w:rPr>
      </w:pPr>
      <w:r>
        <w:rPr>
          <w:rFonts w:asciiTheme="majorHAnsi" w:hAnsiTheme="majorHAnsi"/>
          <w:lang w:val="en-US"/>
        </w:rPr>
        <w:t xml:space="preserve">When damage was assessed in MRC5 cells there was a slight increase </w:t>
      </w:r>
      <w:r w:rsidR="00AF5D69">
        <w:rPr>
          <w:rFonts w:asciiTheme="majorHAnsi" w:hAnsiTheme="majorHAnsi"/>
          <w:lang w:val="en-US"/>
        </w:rPr>
        <w:t xml:space="preserve">in DNA damage as assessed by nuclear foci, </w:t>
      </w:r>
      <w:r>
        <w:rPr>
          <w:rFonts w:asciiTheme="majorHAnsi" w:hAnsiTheme="majorHAnsi"/>
          <w:lang w:val="en-US"/>
        </w:rPr>
        <w:t>when RAS w</w:t>
      </w:r>
      <w:r w:rsidR="00D12AA2">
        <w:rPr>
          <w:rFonts w:asciiTheme="majorHAnsi" w:hAnsiTheme="majorHAnsi"/>
          <w:lang w:val="en-US"/>
        </w:rPr>
        <w:t>as over</w:t>
      </w:r>
      <w:r w:rsidR="00AF5D69">
        <w:rPr>
          <w:rFonts w:asciiTheme="majorHAnsi" w:hAnsiTheme="majorHAnsi"/>
          <w:lang w:val="en-US"/>
        </w:rPr>
        <w:t>-</w:t>
      </w:r>
      <w:r w:rsidR="00D12AA2">
        <w:rPr>
          <w:rFonts w:asciiTheme="majorHAnsi" w:hAnsiTheme="majorHAnsi"/>
          <w:lang w:val="en-US"/>
        </w:rPr>
        <w:t>expressed and this did not</w:t>
      </w:r>
      <w:r>
        <w:rPr>
          <w:rFonts w:asciiTheme="majorHAnsi" w:hAnsiTheme="majorHAnsi"/>
          <w:lang w:val="en-US"/>
        </w:rPr>
        <w:t xml:space="preserve"> alter significantly when </w:t>
      </w:r>
      <w:r w:rsidRPr="00C17740">
        <w:rPr>
          <w:rFonts w:asciiTheme="majorHAnsi" w:hAnsiTheme="majorHAnsi"/>
          <w:i/>
          <w:lang w:val="en-US"/>
        </w:rPr>
        <w:t>SRCAP</w:t>
      </w:r>
      <w:r w:rsidR="00AF562F">
        <w:rPr>
          <w:rFonts w:asciiTheme="majorHAnsi" w:hAnsiTheme="majorHAnsi"/>
          <w:lang w:val="en-US"/>
        </w:rPr>
        <w:t xml:space="preserve"> knock</w:t>
      </w:r>
      <w:r>
        <w:rPr>
          <w:rFonts w:asciiTheme="majorHAnsi" w:hAnsiTheme="majorHAnsi"/>
          <w:lang w:val="en-US"/>
        </w:rPr>
        <w:t xml:space="preserve">down was included. </w:t>
      </w:r>
      <w:r w:rsidR="00601004">
        <w:rPr>
          <w:rFonts w:asciiTheme="majorHAnsi" w:hAnsiTheme="majorHAnsi"/>
          <w:lang w:val="en-US"/>
        </w:rPr>
        <w:t>Additionally,</w:t>
      </w:r>
      <w:r>
        <w:rPr>
          <w:rFonts w:asciiTheme="majorHAnsi" w:hAnsiTheme="majorHAnsi"/>
          <w:lang w:val="en-US"/>
        </w:rPr>
        <w:t xml:space="preserve"> the cell cycle profiles were almost exactly the same no matter the conditions. However, interestingly the RAS over</w:t>
      </w:r>
      <w:r w:rsidR="00377382">
        <w:rPr>
          <w:rFonts w:asciiTheme="majorHAnsi" w:hAnsiTheme="majorHAnsi"/>
          <w:lang w:val="en-US"/>
        </w:rPr>
        <w:t>-</w:t>
      </w:r>
      <w:r>
        <w:rPr>
          <w:rFonts w:asciiTheme="majorHAnsi" w:hAnsiTheme="majorHAnsi"/>
          <w:lang w:val="en-US"/>
        </w:rPr>
        <w:t xml:space="preserve">expressing MRC5 cells with </w:t>
      </w:r>
      <w:r w:rsidRPr="00C17740">
        <w:rPr>
          <w:rFonts w:asciiTheme="majorHAnsi" w:hAnsiTheme="majorHAnsi"/>
          <w:i/>
          <w:lang w:val="en-US"/>
        </w:rPr>
        <w:t>SRCAP</w:t>
      </w:r>
      <w:r>
        <w:rPr>
          <w:rFonts w:asciiTheme="majorHAnsi" w:hAnsiTheme="majorHAnsi"/>
          <w:lang w:val="en-US"/>
        </w:rPr>
        <w:t xml:space="preserve"> knockdown displayed high levels of nuclear abnormalities, beyond what was seen for the two CRC cell lines. </w:t>
      </w:r>
      <w:r w:rsidR="00D12AA2">
        <w:rPr>
          <w:rFonts w:asciiTheme="majorHAnsi" w:hAnsiTheme="majorHAnsi"/>
          <w:lang w:val="en-US"/>
        </w:rPr>
        <w:t xml:space="preserve">We therefore </w:t>
      </w:r>
      <w:r>
        <w:rPr>
          <w:rFonts w:asciiTheme="majorHAnsi" w:hAnsiTheme="majorHAnsi"/>
          <w:lang w:val="en-US"/>
        </w:rPr>
        <w:t>investigate</w:t>
      </w:r>
      <w:r w:rsidR="00D12AA2">
        <w:rPr>
          <w:rFonts w:asciiTheme="majorHAnsi" w:hAnsiTheme="majorHAnsi"/>
          <w:lang w:val="en-US"/>
        </w:rPr>
        <w:t>d</w:t>
      </w:r>
      <w:r>
        <w:rPr>
          <w:rFonts w:asciiTheme="majorHAnsi" w:hAnsiTheme="majorHAnsi"/>
          <w:lang w:val="en-US"/>
        </w:rPr>
        <w:t xml:space="preserve"> whether this was a consequence of combining both aberrations within the same cell line or whether it was an effect of one alone. It appeared that </w:t>
      </w:r>
      <w:r w:rsidRPr="00C17740">
        <w:rPr>
          <w:rFonts w:asciiTheme="majorHAnsi" w:hAnsiTheme="majorHAnsi"/>
          <w:i/>
          <w:lang w:val="en-US"/>
        </w:rPr>
        <w:t>SRCAP</w:t>
      </w:r>
      <w:r>
        <w:rPr>
          <w:rFonts w:asciiTheme="majorHAnsi" w:hAnsiTheme="majorHAnsi"/>
          <w:lang w:val="en-US"/>
        </w:rPr>
        <w:t xml:space="preserve"> knock</w:t>
      </w:r>
      <w:r w:rsidR="00C17740">
        <w:rPr>
          <w:rFonts w:asciiTheme="majorHAnsi" w:hAnsiTheme="majorHAnsi"/>
          <w:lang w:val="en-US"/>
        </w:rPr>
        <w:t xml:space="preserve"> </w:t>
      </w:r>
      <w:r>
        <w:rPr>
          <w:rFonts w:asciiTheme="majorHAnsi" w:hAnsiTheme="majorHAnsi"/>
          <w:lang w:val="en-US"/>
        </w:rPr>
        <w:t xml:space="preserve">down </w:t>
      </w:r>
      <w:r w:rsidR="00C524BC">
        <w:rPr>
          <w:rFonts w:asciiTheme="majorHAnsi" w:hAnsiTheme="majorHAnsi"/>
          <w:lang w:val="en-US"/>
        </w:rPr>
        <w:t xml:space="preserve">alone </w:t>
      </w:r>
      <w:r>
        <w:rPr>
          <w:rFonts w:asciiTheme="majorHAnsi" w:hAnsiTheme="majorHAnsi"/>
          <w:lang w:val="en-US"/>
        </w:rPr>
        <w:t>was the driving force behind the increased nuclear abnormalities</w:t>
      </w:r>
      <w:r w:rsidR="00C524BC">
        <w:rPr>
          <w:rFonts w:asciiTheme="majorHAnsi" w:hAnsiTheme="majorHAnsi"/>
          <w:lang w:val="en-US"/>
        </w:rPr>
        <w:t xml:space="preserve"> seen. It is curious that these high levels were seen within a </w:t>
      </w:r>
      <w:r w:rsidR="00514E7D">
        <w:rPr>
          <w:rFonts w:asciiTheme="majorHAnsi" w:hAnsiTheme="majorHAnsi"/>
          <w:lang w:val="en-US"/>
        </w:rPr>
        <w:t>non-tumourigenic</w:t>
      </w:r>
      <w:r w:rsidR="00C524BC">
        <w:rPr>
          <w:rFonts w:asciiTheme="majorHAnsi" w:hAnsiTheme="majorHAnsi"/>
          <w:lang w:val="en-US"/>
        </w:rPr>
        <w:t xml:space="preserve"> cell lin</w:t>
      </w:r>
      <w:r w:rsidR="00D12AA2">
        <w:rPr>
          <w:rFonts w:asciiTheme="majorHAnsi" w:hAnsiTheme="majorHAnsi"/>
          <w:lang w:val="en-US"/>
        </w:rPr>
        <w:t xml:space="preserve">e, and it would be beneficial </w:t>
      </w:r>
      <w:r w:rsidR="00C524BC">
        <w:rPr>
          <w:rFonts w:asciiTheme="majorHAnsi" w:hAnsiTheme="majorHAnsi"/>
          <w:lang w:val="en-US"/>
        </w:rPr>
        <w:t>to further investigate if this is seen in other cell lines</w:t>
      </w:r>
      <w:r w:rsidR="00D12AA2">
        <w:rPr>
          <w:rFonts w:asciiTheme="majorHAnsi" w:hAnsiTheme="majorHAnsi"/>
          <w:lang w:val="en-US"/>
        </w:rPr>
        <w:t xml:space="preserve"> in this respect</w:t>
      </w:r>
      <w:r w:rsidR="00C524BC">
        <w:rPr>
          <w:rFonts w:asciiTheme="majorHAnsi" w:hAnsiTheme="majorHAnsi"/>
          <w:lang w:val="en-US"/>
        </w:rPr>
        <w:t xml:space="preserve">, especially colon cells.  </w:t>
      </w:r>
    </w:p>
    <w:p w14:paraId="6D021DB1" w14:textId="77777777" w:rsidR="00C524BC" w:rsidRDefault="00C524BC" w:rsidP="002B7F54">
      <w:pPr>
        <w:spacing w:line="360" w:lineRule="auto"/>
        <w:jc w:val="both"/>
        <w:rPr>
          <w:rFonts w:asciiTheme="majorHAnsi" w:hAnsiTheme="majorHAnsi"/>
          <w:lang w:val="en-US"/>
        </w:rPr>
      </w:pPr>
    </w:p>
    <w:p w14:paraId="10C5CE65" w14:textId="2676D357" w:rsidR="00F22224" w:rsidRDefault="00C524BC" w:rsidP="00C524BC">
      <w:pPr>
        <w:spacing w:line="360" w:lineRule="auto"/>
        <w:jc w:val="both"/>
        <w:rPr>
          <w:rFonts w:asciiTheme="majorHAnsi" w:hAnsiTheme="majorHAnsi"/>
          <w:lang w:val="en-US"/>
        </w:rPr>
      </w:pPr>
      <w:r>
        <w:rPr>
          <w:rFonts w:asciiTheme="majorHAnsi" w:hAnsiTheme="majorHAnsi"/>
          <w:lang w:val="en-US"/>
        </w:rPr>
        <w:t xml:space="preserve">Overall it appears that increasing the amount of oncogenic stress within a cell line </w:t>
      </w:r>
      <w:r w:rsidR="009821E0">
        <w:rPr>
          <w:rFonts w:asciiTheme="majorHAnsi" w:hAnsiTheme="majorHAnsi"/>
          <w:lang w:val="en-US"/>
        </w:rPr>
        <w:t>and</w:t>
      </w:r>
      <w:r>
        <w:rPr>
          <w:rFonts w:asciiTheme="majorHAnsi" w:hAnsiTheme="majorHAnsi"/>
          <w:lang w:val="en-US"/>
        </w:rPr>
        <w:t xml:space="preserve"> knocking </w:t>
      </w:r>
      <w:r w:rsidRPr="00C17740">
        <w:rPr>
          <w:rFonts w:asciiTheme="majorHAnsi" w:hAnsiTheme="majorHAnsi"/>
          <w:i/>
          <w:lang w:val="en-US"/>
        </w:rPr>
        <w:t>SRCAP</w:t>
      </w:r>
      <w:r>
        <w:rPr>
          <w:rFonts w:asciiTheme="majorHAnsi" w:hAnsiTheme="majorHAnsi"/>
          <w:lang w:val="en-US"/>
        </w:rPr>
        <w:t xml:space="preserve"> down had differing affects depending on the cell line. The chromosomally unstable SW480 cell line showed an increase in DNA </w:t>
      </w:r>
      <w:proofErr w:type="gramStart"/>
      <w:r>
        <w:rPr>
          <w:rFonts w:asciiTheme="majorHAnsi" w:hAnsiTheme="majorHAnsi"/>
          <w:lang w:val="en-US"/>
        </w:rPr>
        <w:t>damage</w:t>
      </w:r>
      <w:r w:rsidR="009C5EC6">
        <w:rPr>
          <w:rFonts w:asciiTheme="majorHAnsi" w:hAnsiTheme="majorHAnsi"/>
          <w:lang w:val="en-US"/>
        </w:rPr>
        <w:t>,</w:t>
      </w:r>
      <w:proofErr w:type="gramEnd"/>
      <w:r w:rsidR="009C5EC6">
        <w:rPr>
          <w:rFonts w:asciiTheme="majorHAnsi" w:hAnsiTheme="majorHAnsi"/>
          <w:lang w:val="en-US"/>
        </w:rPr>
        <w:t xml:space="preserve"> whilst in HCT116 cells there was a decrease in DNA damage markers in RAS over</w:t>
      </w:r>
      <w:r w:rsidR="00377382">
        <w:rPr>
          <w:rFonts w:asciiTheme="majorHAnsi" w:hAnsiTheme="majorHAnsi"/>
          <w:lang w:val="en-US"/>
        </w:rPr>
        <w:t>-</w:t>
      </w:r>
      <w:r w:rsidR="009C5EC6">
        <w:rPr>
          <w:rFonts w:asciiTheme="majorHAnsi" w:hAnsiTheme="majorHAnsi"/>
          <w:lang w:val="en-US"/>
        </w:rPr>
        <w:t xml:space="preserve">expressing clones with </w:t>
      </w:r>
      <w:r w:rsidR="009C5EC6" w:rsidRPr="00C17740">
        <w:rPr>
          <w:rFonts w:asciiTheme="majorHAnsi" w:hAnsiTheme="majorHAnsi"/>
          <w:i/>
          <w:lang w:val="en-US"/>
        </w:rPr>
        <w:t>SRCAP</w:t>
      </w:r>
      <w:r w:rsidR="00AF562F">
        <w:rPr>
          <w:rFonts w:asciiTheme="majorHAnsi" w:hAnsiTheme="majorHAnsi"/>
          <w:lang w:val="en-US"/>
        </w:rPr>
        <w:t xml:space="preserve"> knock</w:t>
      </w:r>
      <w:r w:rsidR="009C5EC6">
        <w:rPr>
          <w:rFonts w:asciiTheme="majorHAnsi" w:hAnsiTheme="majorHAnsi"/>
          <w:lang w:val="en-US"/>
        </w:rPr>
        <w:t>down compared to the RAS over</w:t>
      </w:r>
      <w:r w:rsidR="00377382">
        <w:rPr>
          <w:rFonts w:asciiTheme="majorHAnsi" w:hAnsiTheme="majorHAnsi"/>
          <w:lang w:val="en-US"/>
        </w:rPr>
        <w:t>-</w:t>
      </w:r>
      <w:r w:rsidR="009C5EC6">
        <w:rPr>
          <w:rFonts w:asciiTheme="majorHAnsi" w:hAnsiTheme="majorHAnsi"/>
          <w:lang w:val="en-US"/>
        </w:rPr>
        <w:t xml:space="preserve">expressing clones alone. </w:t>
      </w:r>
      <w:r>
        <w:rPr>
          <w:rFonts w:asciiTheme="majorHAnsi" w:hAnsiTheme="majorHAnsi"/>
          <w:lang w:val="en-US"/>
        </w:rPr>
        <w:t xml:space="preserve">It is also noteworthy that in a normal cell line, </w:t>
      </w:r>
      <w:r w:rsidRPr="00C17740">
        <w:rPr>
          <w:rFonts w:asciiTheme="majorHAnsi" w:hAnsiTheme="majorHAnsi"/>
          <w:i/>
          <w:lang w:val="en-US"/>
        </w:rPr>
        <w:t>SRCAP</w:t>
      </w:r>
      <w:r>
        <w:rPr>
          <w:rFonts w:asciiTheme="majorHAnsi" w:hAnsiTheme="majorHAnsi"/>
          <w:lang w:val="en-US"/>
        </w:rPr>
        <w:t xml:space="preserve"> knockdown still caused genome instability and at much higher levels with regards to nuclear abnormalities</w:t>
      </w:r>
      <w:r w:rsidR="009C5EC6">
        <w:rPr>
          <w:rFonts w:asciiTheme="majorHAnsi" w:hAnsiTheme="majorHAnsi"/>
          <w:lang w:val="en-US"/>
        </w:rPr>
        <w:t>.</w:t>
      </w:r>
    </w:p>
    <w:p w14:paraId="5E6F1210" w14:textId="37F62928" w:rsidR="00853806" w:rsidRPr="00853806" w:rsidRDefault="00853806" w:rsidP="00E6223C">
      <w:pPr>
        <w:pStyle w:val="ListParagraph"/>
        <w:numPr>
          <w:ilvl w:val="0"/>
          <w:numId w:val="2"/>
        </w:numPr>
        <w:spacing w:line="360" w:lineRule="auto"/>
        <w:jc w:val="both"/>
        <w:rPr>
          <w:rFonts w:asciiTheme="majorHAnsi" w:hAnsiTheme="majorHAnsi"/>
          <w:b/>
          <w:i/>
          <w:lang w:val="en-US"/>
        </w:rPr>
      </w:pPr>
      <w:r w:rsidRPr="00853806">
        <w:rPr>
          <w:rFonts w:asciiTheme="majorHAnsi" w:hAnsiTheme="majorHAnsi"/>
          <w:b/>
          <w:i/>
          <w:lang w:val="en-US"/>
        </w:rPr>
        <w:t>Study Limitation</w:t>
      </w:r>
      <w:r w:rsidR="006D2E41">
        <w:rPr>
          <w:rFonts w:asciiTheme="majorHAnsi" w:hAnsiTheme="majorHAnsi"/>
          <w:b/>
          <w:i/>
          <w:lang w:val="en-US"/>
        </w:rPr>
        <w:t>- RAS isoforms</w:t>
      </w:r>
    </w:p>
    <w:p w14:paraId="1D49E2DE" w14:textId="44100737" w:rsidR="008B41A7" w:rsidRDefault="008B41A7" w:rsidP="00C524BC">
      <w:pPr>
        <w:spacing w:line="360" w:lineRule="auto"/>
        <w:jc w:val="both"/>
        <w:rPr>
          <w:rFonts w:asciiTheme="majorHAnsi" w:hAnsiTheme="majorHAnsi"/>
          <w:lang w:val="en-US"/>
        </w:rPr>
      </w:pPr>
      <w:r>
        <w:rPr>
          <w:rFonts w:asciiTheme="majorHAnsi" w:hAnsiTheme="majorHAnsi"/>
          <w:lang w:val="en-US"/>
        </w:rPr>
        <w:t>A further study limitation is that</w:t>
      </w:r>
      <w:r w:rsidR="009C5EC6">
        <w:rPr>
          <w:rFonts w:asciiTheme="majorHAnsi" w:hAnsiTheme="majorHAnsi"/>
          <w:lang w:val="en-US"/>
        </w:rPr>
        <w:t xml:space="preserve"> the construct used throughout this chapter was a </w:t>
      </w:r>
      <w:r w:rsidR="009C5EC6" w:rsidRPr="00C17740">
        <w:rPr>
          <w:rFonts w:asciiTheme="majorHAnsi" w:hAnsiTheme="majorHAnsi"/>
          <w:i/>
          <w:lang w:val="en-US"/>
        </w:rPr>
        <w:t>HRAS</w:t>
      </w:r>
      <w:r w:rsidR="009C5EC6">
        <w:rPr>
          <w:rFonts w:asciiTheme="majorHAnsi" w:hAnsiTheme="majorHAnsi"/>
          <w:lang w:val="en-US"/>
        </w:rPr>
        <w:t xml:space="preserve"> construct, whereas the most prevalent </w:t>
      </w:r>
      <w:r w:rsidR="009C5EC6" w:rsidRPr="00C17740">
        <w:rPr>
          <w:rFonts w:asciiTheme="majorHAnsi" w:hAnsiTheme="majorHAnsi"/>
          <w:i/>
          <w:lang w:val="en-US"/>
        </w:rPr>
        <w:t>RA</w:t>
      </w:r>
      <w:r w:rsidR="005606CF" w:rsidRPr="00C17740">
        <w:rPr>
          <w:rFonts w:asciiTheme="majorHAnsi" w:hAnsiTheme="majorHAnsi"/>
          <w:i/>
          <w:lang w:val="en-US"/>
        </w:rPr>
        <w:t>S</w:t>
      </w:r>
      <w:r w:rsidR="005606CF">
        <w:rPr>
          <w:rFonts w:asciiTheme="majorHAnsi" w:hAnsiTheme="majorHAnsi"/>
          <w:lang w:val="en-US"/>
        </w:rPr>
        <w:t xml:space="preserve"> mutation within CRC is </w:t>
      </w:r>
      <w:r w:rsidR="005606CF" w:rsidRPr="00C17740">
        <w:rPr>
          <w:rFonts w:asciiTheme="majorHAnsi" w:hAnsiTheme="majorHAnsi"/>
          <w:i/>
          <w:lang w:val="en-US"/>
        </w:rPr>
        <w:t>KRAS</w:t>
      </w:r>
      <w:r w:rsidR="005606CF">
        <w:rPr>
          <w:rFonts w:asciiTheme="majorHAnsi" w:hAnsiTheme="majorHAnsi"/>
          <w:lang w:val="en-US"/>
        </w:rPr>
        <w:t xml:space="preserve">. Although the </w:t>
      </w:r>
      <w:r w:rsidR="005606CF" w:rsidRPr="00C17740">
        <w:rPr>
          <w:rFonts w:asciiTheme="majorHAnsi" w:hAnsiTheme="majorHAnsi"/>
          <w:i/>
          <w:lang w:val="en-US"/>
        </w:rPr>
        <w:t>RAS</w:t>
      </w:r>
      <w:r w:rsidR="005606CF">
        <w:rPr>
          <w:rFonts w:asciiTheme="majorHAnsi" w:hAnsiTheme="majorHAnsi"/>
          <w:lang w:val="en-US"/>
        </w:rPr>
        <w:t xml:space="preserve"> variants share 80% sequence homology and are expressed in all cell lineages, they </w:t>
      </w:r>
      <w:r w:rsidR="00AF5D69">
        <w:rPr>
          <w:rFonts w:asciiTheme="majorHAnsi" w:hAnsiTheme="majorHAnsi"/>
          <w:lang w:val="en-US"/>
        </w:rPr>
        <w:t>differ in their C</w:t>
      </w:r>
      <w:r w:rsidR="009C5EC6">
        <w:rPr>
          <w:rFonts w:asciiTheme="majorHAnsi" w:hAnsiTheme="majorHAnsi"/>
          <w:lang w:val="en-US"/>
        </w:rPr>
        <w:t>-terminal amino acid sequence</w:t>
      </w:r>
      <w:r w:rsidR="005606CF">
        <w:rPr>
          <w:rFonts w:asciiTheme="majorHAnsi" w:hAnsiTheme="majorHAnsi"/>
          <w:lang w:val="en-US"/>
        </w:rPr>
        <w:t xml:space="preserve"> and are expressed to differing degrees depending on the tissue</w:t>
      </w:r>
      <w:r w:rsidR="0053426D">
        <w:rPr>
          <w:rFonts w:asciiTheme="majorHAnsi" w:hAnsiTheme="majorHAnsi"/>
          <w:lang w:val="en-US"/>
        </w:rPr>
        <w:t xml:space="preserve"> </w:t>
      </w:r>
      <w:r w:rsidR="0053426D">
        <w:rPr>
          <w:rFonts w:asciiTheme="majorHAnsi" w:hAnsiTheme="majorHAnsi"/>
          <w:lang w:val="en-US"/>
        </w:rPr>
        <w:fldChar w:fldCharType="begin"/>
      </w:r>
      <w:r w:rsidR="0053426D">
        <w:rPr>
          <w:rFonts w:asciiTheme="majorHAnsi" w:hAnsiTheme="majorHAnsi"/>
          <w:lang w:val="en-US"/>
        </w:rPr>
        <w:instrText xml:space="preserve"> ADDIN EN.CITE &lt;EndNote&gt;&lt;Cite&gt;&lt;Author&gt;Castellano&lt;/Author&gt;&lt;Year&gt;2011&lt;/Year&gt;&lt;IDText&gt;Functional specificity of ras isoforms: so similar but so different&lt;/IDText&gt;&lt;DisplayText&gt;(Castellano and Santos, 2011)&lt;/DisplayText&gt;&lt;record&gt;&lt;dates&gt;&lt;pub-dates&gt;&lt;date&gt;Mar&lt;/date&gt;&lt;/pub-dates&gt;&lt;year&gt;2011&lt;/year&gt;&lt;/dates&gt;&lt;keywords&gt;&lt;keyword&gt;Ras&lt;/keyword&gt;&lt;keyword&gt;Ras isoforms&lt;/keyword&gt;&lt;keyword&gt;canonical Ras&lt;/keyword&gt;&lt;keyword&gt;functional specificity&lt;/keyword&gt;&lt;keyword&gt;redundancy&lt;/keyword&gt;&lt;/keywords&gt;&lt;urls&gt;&lt;related-urls&gt;&lt;url&gt;https://www.ncbi.nlm.nih.gov/pubmed/21779495&lt;/url&gt;&lt;/related-urls&gt;&lt;/urls&gt;&lt;isbn&gt;1947-6027&lt;/isbn&gt;&lt;custom2&gt;PMC3128637&lt;/custom2&gt;&lt;titles&gt;&lt;title&gt;Functional specificity of ras isoforms: so similar but so different&lt;/title&gt;&lt;secondary-title&gt;Genes Cancer&lt;/secondary-title&gt;&lt;/titles&gt;&lt;pages&gt;216-31&lt;/pages&gt;&lt;number&gt;3&lt;/number&gt;&lt;contributors&gt;&lt;authors&gt;&lt;author&gt;Castellano, E.&lt;/author&gt;&lt;author&gt;Santos, E.&lt;/author&gt;&lt;/authors&gt;&lt;/contributors&gt;&lt;language&gt;eng&lt;/language&gt;&lt;added-date format="utc"&gt;1510233818&lt;/added-date&gt;&lt;ref-type name="Journal Article"&gt;17&lt;/ref-type&gt;&lt;rec-number&gt;360&lt;/rec-number&gt;&lt;last-updated-date format="utc"&gt;1510233818&lt;/last-updated-date&gt;&lt;accession-num&gt;21779495&lt;/accession-num&gt;&lt;electronic-resource-num&gt;10.1177/1947601911408081&lt;/electronic-resource-num&gt;&lt;volume&gt;2&lt;/volume&gt;&lt;/record&gt;&lt;/Cite&gt;&lt;/EndNote&gt;</w:instrText>
      </w:r>
      <w:r w:rsidR="0053426D">
        <w:rPr>
          <w:rFonts w:asciiTheme="majorHAnsi" w:hAnsiTheme="majorHAnsi"/>
          <w:lang w:val="en-US"/>
        </w:rPr>
        <w:fldChar w:fldCharType="separate"/>
      </w:r>
      <w:r w:rsidR="0053426D">
        <w:rPr>
          <w:rFonts w:asciiTheme="majorHAnsi" w:hAnsiTheme="majorHAnsi"/>
          <w:noProof/>
          <w:lang w:val="en-US"/>
        </w:rPr>
        <w:t>(Castellano and Santos, 2011)</w:t>
      </w:r>
      <w:r w:rsidR="0053426D">
        <w:rPr>
          <w:rFonts w:asciiTheme="majorHAnsi" w:hAnsiTheme="majorHAnsi"/>
          <w:lang w:val="en-US"/>
        </w:rPr>
        <w:fldChar w:fldCharType="end"/>
      </w:r>
      <w:r w:rsidR="005606CF">
        <w:rPr>
          <w:rFonts w:asciiTheme="majorHAnsi" w:hAnsiTheme="majorHAnsi"/>
          <w:lang w:val="en-US"/>
        </w:rPr>
        <w:t>.</w:t>
      </w:r>
      <w:r w:rsidR="00266330">
        <w:rPr>
          <w:rFonts w:asciiTheme="majorHAnsi" w:hAnsiTheme="majorHAnsi"/>
          <w:lang w:val="en-US"/>
        </w:rPr>
        <w:t xml:space="preserve"> For example KRAS is most prevalent in the lung and colon, HRAS in the brain and skin and NRAS in the testis and thymus</w:t>
      </w:r>
      <w:r w:rsidR="0053426D">
        <w:rPr>
          <w:rFonts w:asciiTheme="majorHAnsi" w:hAnsiTheme="majorHAnsi"/>
          <w:lang w:val="en-US"/>
        </w:rPr>
        <w:t xml:space="preserve"> </w:t>
      </w:r>
      <w:r w:rsidR="0053426D">
        <w:rPr>
          <w:rFonts w:asciiTheme="majorHAnsi" w:hAnsiTheme="majorHAnsi"/>
          <w:lang w:val="en-US"/>
        </w:rPr>
        <w:fldChar w:fldCharType="begin"/>
      </w:r>
      <w:r w:rsidR="0053426D">
        <w:rPr>
          <w:rFonts w:asciiTheme="majorHAnsi" w:hAnsiTheme="majorHAnsi"/>
          <w:lang w:val="en-US"/>
        </w:rPr>
        <w:instrText xml:space="preserve"> ADDIN EN.CITE &lt;EndNote&gt;&lt;Cite&gt;&lt;Author&gt;Leon&lt;/Author&gt;&lt;Year&gt;1987&lt;/Year&gt;&lt;IDText&gt;Differential expression of the ras gene family in mice&lt;/IDText&gt;&lt;DisplayText&gt;(Leon et al., 1987)&lt;/DisplayText&gt;&lt;record&gt;&lt;dates&gt;&lt;pub-dates&gt;&lt;date&gt;Apr&lt;/date&gt;&lt;/pub-dates&gt;&lt;year&gt;1987&lt;/year&gt;&lt;/dates&gt;&lt;keywords&gt;&lt;keyword&gt;Aging&lt;/keyword&gt;&lt;keyword&gt;Animals&lt;/keyword&gt;&lt;keyword&gt;Female&lt;/keyword&gt;&lt;keyword&gt;Male&lt;/keyword&gt;&lt;keyword&gt;Mice&lt;/keyword&gt;&lt;keyword&gt;Mice, Inbred Strains&lt;/keyword&gt;&lt;keyword&gt;Oncogenes&lt;/keyword&gt;&lt;keyword&gt;Organ Specificity&lt;/keyword&gt;&lt;keyword&gt;RNA, Messenger&lt;/keyword&gt;&lt;keyword&gt;Transcription, Genetic&lt;/keyword&gt;&lt;/keywords&gt;&lt;urls&gt;&lt;related-urls&gt;&lt;url&gt;https://www.ncbi.nlm.nih.gov/pubmed/3600635&lt;/url&gt;&lt;/related-urls&gt;&lt;/urls&gt;&lt;isbn&gt;0270-7306&lt;/isbn&gt;&lt;custom2&gt;PMC365242&lt;/custom2&gt;&lt;titles&gt;&lt;title&gt;Differential expression of the ras gene family in mice&lt;/title&gt;&lt;secondary-title&gt;Mol Cell Biol&lt;/secondary-title&gt;&lt;/titles&gt;&lt;pages&gt;1535-40&lt;/pages&gt;&lt;number&gt;4&lt;/number&gt;&lt;contributors&gt;&lt;authors&gt;&lt;author&gt;Leon, J.&lt;/author&gt;&lt;author&gt;Guerrero, I.&lt;/author&gt;&lt;author&gt;Pellicer, A.&lt;/author&gt;&lt;/authors&gt;&lt;/contributors&gt;&lt;language&gt;eng&lt;/language&gt;&lt;added-date format="utc"&gt;1510233960&lt;/added-date&gt;&lt;ref-type name="Journal Article"&gt;17&lt;/ref-type&gt;&lt;rec-number&gt;361&lt;/rec-number&gt;&lt;last-updated-date format="utc"&gt;1510233960&lt;/last-updated-date&gt;&lt;accession-num&gt;3600635&lt;/accession-num&gt;&lt;volume&gt;7&lt;/volume&gt;&lt;/record&gt;&lt;/Cite&gt;&lt;/EndNote&gt;</w:instrText>
      </w:r>
      <w:r w:rsidR="0053426D">
        <w:rPr>
          <w:rFonts w:asciiTheme="majorHAnsi" w:hAnsiTheme="majorHAnsi"/>
          <w:lang w:val="en-US"/>
        </w:rPr>
        <w:fldChar w:fldCharType="separate"/>
      </w:r>
      <w:r w:rsidR="0053426D">
        <w:rPr>
          <w:rFonts w:asciiTheme="majorHAnsi" w:hAnsiTheme="majorHAnsi"/>
          <w:noProof/>
          <w:lang w:val="en-US"/>
        </w:rPr>
        <w:t>(Leon et al., 1987)</w:t>
      </w:r>
      <w:r w:rsidR="0053426D">
        <w:rPr>
          <w:rFonts w:asciiTheme="majorHAnsi" w:hAnsiTheme="majorHAnsi"/>
          <w:lang w:val="en-US"/>
        </w:rPr>
        <w:fldChar w:fldCharType="end"/>
      </w:r>
      <w:r w:rsidR="00266330">
        <w:rPr>
          <w:rFonts w:asciiTheme="majorHAnsi" w:hAnsiTheme="majorHAnsi"/>
          <w:lang w:val="en-US"/>
        </w:rPr>
        <w:t xml:space="preserve">. The cellular localization and how this affects function is also key to understanding the differences between the isoforms, for example KRAS in the mitochondria induces apoptosis, whilst HRAS is active at the Golgi and endoplasmic reticulum but only at the </w:t>
      </w:r>
      <w:r w:rsidR="00AF5D69">
        <w:rPr>
          <w:rFonts w:asciiTheme="majorHAnsi" w:hAnsiTheme="majorHAnsi"/>
          <w:lang w:val="en-US"/>
        </w:rPr>
        <w:t>latter does it set off its down</w:t>
      </w:r>
      <w:r w:rsidR="00266330">
        <w:rPr>
          <w:rFonts w:asciiTheme="majorHAnsi" w:hAnsiTheme="majorHAnsi"/>
          <w:lang w:val="en-US"/>
        </w:rPr>
        <w:t>stream kinase signaling cascade, and this cascade is only activated by KRAS when it is membrane bound</w:t>
      </w:r>
      <w:r w:rsidR="0053426D">
        <w:rPr>
          <w:rFonts w:asciiTheme="majorHAnsi" w:hAnsiTheme="majorHAnsi"/>
          <w:lang w:val="en-US"/>
        </w:rPr>
        <w:t xml:space="preserve"> </w:t>
      </w:r>
      <w:r w:rsidR="0053426D">
        <w:rPr>
          <w:rFonts w:asciiTheme="majorHAnsi" w:hAnsiTheme="majorHAnsi"/>
          <w:lang w:val="en-US"/>
        </w:rPr>
        <w:fldChar w:fldCharType="begin"/>
      </w:r>
      <w:r w:rsidR="0053426D">
        <w:rPr>
          <w:rFonts w:asciiTheme="majorHAnsi" w:hAnsiTheme="majorHAnsi"/>
          <w:lang w:val="en-US"/>
        </w:rPr>
        <w:instrText xml:space="preserve"> ADDIN EN.CITE &lt;EndNote&gt;&lt;Cite&gt;&lt;Author&gt;Castellano&lt;/Author&gt;&lt;Year&gt;2011&lt;/Year&gt;&lt;IDText&gt;Functional specificity of ras isoforms: so similar but so different&lt;/IDText&gt;&lt;DisplayText&gt;(Castellano and Santos, 2011)&lt;/DisplayText&gt;&lt;record&gt;&lt;dates&gt;&lt;pub-dates&gt;&lt;date&gt;Mar&lt;/date&gt;&lt;/pub-dates&gt;&lt;year&gt;2011&lt;/year&gt;&lt;/dates&gt;&lt;keywords&gt;&lt;keyword&gt;Ras&lt;/keyword&gt;&lt;keyword&gt;Ras isoforms&lt;/keyword&gt;&lt;keyword&gt;canonical Ras&lt;/keyword&gt;&lt;keyword&gt;functional specificity&lt;/keyword&gt;&lt;keyword&gt;redundancy&lt;/keyword&gt;&lt;/keywords&gt;&lt;urls&gt;&lt;related-urls&gt;&lt;url&gt;https://www.ncbi.nlm.nih.gov/pubmed/21779495&lt;/url&gt;&lt;/related-urls&gt;&lt;/urls&gt;&lt;isbn&gt;1947-6027&lt;/isbn&gt;&lt;custom2&gt;PMC3128637&lt;/custom2&gt;&lt;titles&gt;&lt;title&gt;Functional specificity of ras isoforms: so similar but so different&lt;/title&gt;&lt;secondary-title&gt;Genes Cancer&lt;/secondary-title&gt;&lt;/titles&gt;&lt;pages&gt;216-31&lt;/pages&gt;&lt;number&gt;3&lt;/number&gt;&lt;contributors&gt;&lt;authors&gt;&lt;author&gt;Castellano, E.&lt;/author&gt;&lt;author&gt;Santos, E.&lt;/author&gt;&lt;/authors&gt;&lt;/contributors&gt;&lt;language&gt;eng&lt;/language&gt;&lt;added-date format="utc"&gt;1510233818&lt;/added-date&gt;&lt;ref-type name="Journal Article"&gt;17&lt;/ref-type&gt;&lt;rec-number&gt;360&lt;/rec-number&gt;&lt;last-updated-date format="utc"&gt;1510233818&lt;/last-updated-date&gt;&lt;accession-num&gt;21779495&lt;/accession-num&gt;&lt;electronic-resource-num&gt;10.1177/1947601911408081&lt;/electronic-resource-num&gt;&lt;volume&gt;2&lt;/volume&gt;&lt;/record&gt;&lt;/Cite&gt;&lt;/EndNote&gt;</w:instrText>
      </w:r>
      <w:r w:rsidR="0053426D">
        <w:rPr>
          <w:rFonts w:asciiTheme="majorHAnsi" w:hAnsiTheme="majorHAnsi"/>
          <w:lang w:val="en-US"/>
        </w:rPr>
        <w:fldChar w:fldCharType="separate"/>
      </w:r>
      <w:r w:rsidR="0053426D">
        <w:rPr>
          <w:rFonts w:asciiTheme="majorHAnsi" w:hAnsiTheme="majorHAnsi"/>
          <w:noProof/>
          <w:lang w:val="en-US"/>
        </w:rPr>
        <w:t>(Castellano and Santos, 2011)</w:t>
      </w:r>
      <w:r w:rsidR="0053426D">
        <w:rPr>
          <w:rFonts w:asciiTheme="majorHAnsi" w:hAnsiTheme="majorHAnsi"/>
          <w:lang w:val="en-US"/>
        </w:rPr>
        <w:fldChar w:fldCharType="end"/>
      </w:r>
      <w:r w:rsidR="00266330">
        <w:rPr>
          <w:rFonts w:asciiTheme="majorHAnsi" w:hAnsiTheme="majorHAnsi"/>
          <w:lang w:val="en-US"/>
        </w:rPr>
        <w:t xml:space="preserve">. </w:t>
      </w:r>
      <w:r w:rsidR="00B20887">
        <w:rPr>
          <w:rFonts w:asciiTheme="majorHAnsi" w:hAnsiTheme="majorHAnsi"/>
          <w:lang w:val="en-US"/>
        </w:rPr>
        <w:t xml:space="preserve">Moreover, it has been found that transfection of the different isoforms into different cell lines causes altered transforming abilities, for instance </w:t>
      </w:r>
      <w:r w:rsidR="00B20887" w:rsidRPr="00C17740">
        <w:rPr>
          <w:rFonts w:asciiTheme="majorHAnsi" w:hAnsiTheme="majorHAnsi"/>
          <w:i/>
          <w:lang w:val="en-US"/>
        </w:rPr>
        <w:t>HRAS</w:t>
      </w:r>
      <w:r w:rsidR="00B20887">
        <w:rPr>
          <w:rFonts w:asciiTheme="majorHAnsi" w:hAnsiTheme="majorHAnsi"/>
          <w:lang w:val="en-US"/>
        </w:rPr>
        <w:t xml:space="preserve"> has an increased transformation ability in fibroblast cell lines</w:t>
      </w:r>
      <w:r w:rsidR="0053426D">
        <w:rPr>
          <w:rFonts w:asciiTheme="majorHAnsi" w:hAnsiTheme="majorHAnsi"/>
          <w:lang w:val="en-US"/>
        </w:rPr>
        <w:t xml:space="preserve"> </w:t>
      </w:r>
      <w:r w:rsidR="0053426D">
        <w:rPr>
          <w:rFonts w:asciiTheme="majorHAnsi" w:hAnsiTheme="majorHAnsi"/>
          <w:lang w:val="en-US"/>
        </w:rPr>
        <w:fldChar w:fldCharType="begin"/>
      </w:r>
      <w:r w:rsidR="0053426D">
        <w:rPr>
          <w:rFonts w:asciiTheme="majorHAnsi" w:hAnsiTheme="majorHAnsi"/>
          <w:lang w:val="en-US"/>
        </w:rPr>
        <w:instrText xml:space="preserve"> ADDIN EN.CITE &lt;EndNote&gt;&lt;Cite&gt;&lt;Author&gt;Cheng&lt;/Author&gt;&lt;Year&gt;2011&lt;/Year&gt;&lt;IDText&gt;Compartmentalized Ras proteins transform NIH 3T3 cells with different efficiencies&lt;/IDText&gt;&lt;DisplayText&gt;(Cheng et al., 2011)&lt;/DisplayText&gt;&lt;record&gt;&lt;dates&gt;&lt;pub-dates&gt;&lt;date&gt;Mar&lt;/date&gt;&lt;/pub-dates&gt;&lt;year&gt;2011&lt;/year&gt;&lt;/dates&gt;&lt;keywords&gt;&lt;keyword&gt;Animals&lt;/keyword&gt;&lt;keyword&gt;Cell Aging&lt;/keyword&gt;&lt;keyword&gt;Cell Line&lt;/keyword&gt;&lt;keyword&gt;Cell Transformation, Neoplastic&lt;/keyword&gt;&lt;keyword&gt;Fibroblasts&lt;/keyword&gt;&lt;keyword&gt;Foreskin&lt;/keyword&gt;&lt;keyword&gt;Guanine Nucleotide Exchange Factors&lt;/keyword&gt;&lt;keyword&gt;Humans&lt;/keyword&gt;&lt;keyword&gt;Male&lt;/keyword&gt;&lt;keyword&gt;Mice&lt;/keyword&gt;&lt;keyword&gt;Mice, Nude&lt;/keyword&gt;&lt;keyword&gt;NIH 3T3 Cells&lt;/keyword&gt;&lt;keyword&gt;Neoplasms&lt;/keyword&gt;&lt;keyword&gt;Proto-Oncogene Proteins p21(ras)&lt;/keyword&gt;&lt;keyword&gt;cdc42 GTP-Binding Protein&lt;/keyword&gt;&lt;/keywords&gt;&lt;urls&gt;&lt;related-urls&gt;&lt;url&gt;https://www.ncbi.nlm.nih.gov/pubmed/21189290&lt;/url&gt;&lt;/related-urls&gt;&lt;/urls&gt;&lt;isbn&gt;1098-5549&lt;/isbn&gt;&lt;custom2&gt;PMC3067814&lt;/custom2&gt;&lt;titles&gt;&lt;title&gt;Compartmentalized Ras proteins transform NIH 3T3 cells with different efficiencies&lt;/title&gt;&lt;secondary-title&gt;Mol Cell Biol&lt;/secondary-title&gt;&lt;/titles&gt;&lt;pages&gt;983-97&lt;/pages&gt;&lt;number&gt;5&lt;/number&gt;&lt;contributors&gt;&lt;authors&gt;&lt;author&gt;Cheng, C. M.&lt;/author&gt;&lt;author&gt;Li, H.&lt;/author&gt;&lt;author&gt;Gasman, S.&lt;/author&gt;&lt;author&gt;Huang, J.&lt;/author&gt;&lt;author&gt;Schiff, R.&lt;/author&gt;&lt;author&gt;Chang, E. C.&lt;/author&gt;&lt;/authors&gt;&lt;/contributors&gt;&lt;edition&gt;2010/12/28&lt;/edition&gt;&lt;language&gt;eng&lt;/language&gt;&lt;added-date format="utc"&gt;1510234192&lt;/added-date&gt;&lt;ref-type name="Journal Article"&gt;17&lt;/ref-type&gt;&lt;rec-number&gt;362&lt;/rec-number&gt;&lt;last-updated-date format="utc"&gt;1510234192&lt;/last-updated-date&gt;&lt;accession-num&gt;21189290&lt;/accession-num&gt;&lt;electronic-resource-num&gt;10.1128/MCB.00137-10&lt;/electronic-resource-num&gt;&lt;volume&gt;31&lt;/volume&gt;&lt;/record&gt;&lt;/Cite&gt;&lt;/EndNote&gt;</w:instrText>
      </w:r>
      <w:r w:rsidR="0053426D">
        <w:rPr>
          <w:rFonts w:asciiTheme="majorHAnsi" w:hAnsiTheme="majorHAnsi"/>
          <w:lang w:val="en-US"/>
        </w:rPr>
        <w:fldChar w:fldCharType="separate"/>
      </w:r>
      <w:r w:rsidR="0053426D">
        <w:rPr>
          <w:rFonts w:asciiTheme="majorHAnsi" w:hAnsiTheme="majorHAnsi"/>
          <w:noProof/>
          <w:lang w:val="en-US"/>
        </w:rPr>
        <w:t>(Cheng et al., 2011)</w:t>
      </w:r>
      <w:r w:rsidR="0053426D">
        <w:rPr>
          <w:rFonts w:asciiTheme="majorHAnsi" w:hAnsiTheme="majorHAnsi"/>
          <w:lang w:val="en-US"/>
        </w:rPr>
        <w:fldChar w:fldCharType="end"/>
      </w:r>
      <w:r>
        <w:rPr>
          <w:rFonts w:asciiTheme="majorHAnsi" w:hAnsiTheme="majorHAnsi"/>
          <w:lang w:val="en-US"/>
        </w:rPr>
        <w:t>, which could explain why the normal lung fibroblast cell line MRC5 showed an increased level of nuclear abnormalities</w:t>
      </w:r>
      <w:r w:rsidR="0053426D">
        <w:rPr>
          <w:rFonts w:asciiTheme="majorHAnsi" w:hAnsiTheme="majorHAnsi"/>
          <w:lang w:val="en-US"/>
        </w:rPr>
        <w:t xml:space="preserve"> within the</w:t>
      </w:r>
      <w:r>
        <w:rPr>
          <w:rFonts w:asciiTheme="majorHAnsi" w:hAnsiTheme="majorHAnsi"/>
          <w:lang w:val="en-US"/>
        </w:rPr>
        <w:t xml:space="preserve"> experiments</w:t>
      </w:r>
      <w:r w:rsidR="0053426D">
        <w:rPr>
          <w:rFonts w:asciiTheme="majorHAnsi" w:hAnsiTheme="majorHAnsi"/>
          <w:lang w:val="en-US"/>
        </w:rPr>
        <w:t xml:space="preserve"> presented here</w:t>
      </w:r>
      <w:r>
        <w:rPr>
          <w:rFonts w:asciiTheme="majorHAnsi" w:hAnsiTheme="majorHAnsi"/>
          <w:lang w:val="en-US"/>
        </w:rPr>
        <w:t xml:space="preserve">. When the </w:t>
      </w:r>
      <w:r w:rsidRPr="00C17740">
        <w:rPr>
          <w:rFonts w:asciiTheme="majorHAnsi" w:hAnsiTheme="majorHAnsi"/>
          <w:i/>
          <w:lang w:val="en-US"/>
        </w:rPr>
        <w:t>RAS</w:t>
      </w:r>
      <w:r>
        <w:rPr>
          <w:rFonts w:asciiTheme="majorHAnsi" w:hAnsiTheme="majorHAnsi"/>
          <w:lang w:val="en-US"/>
        </w:rPr>
        <w:t xml:space="preserve"> isoforms wer</w:t>
      </w:r>
      <w:r w:rsidR="00B20887">
        <w:rPr>
          <w:rFonts w:asciiTheme="majorHAnsi" w:hAnsiTheme="majorHAnsi"/>
          <w:lang w:val="en-US"/>
        </w:rPr>
        <w:t>e transplanted into mouse models the different isoforms induce</w:t>
      </w:r>
      <w:r>
        <w:rPr>
          <w:rFonts w:asciiTheme="majorHAnsi" w:hAnsiTheme="majorHAnsi"/>
          <w:lang w:val="en-US"/>
        </w:rPr>
        <w:t>d</w:t>
      </w:r>
      <w:r w:rsidR="00B20887">
        <w:rPr>
          <w:rFonts w:asciiTheme="majorHAnsi" w:hAnsiTheme="majorHAnsi"/>
          <w:lang w:val="en-US"/>
        </w:rPr>
        <w:t xml:space="preserve"> different types of leukemia and at different potencies</w:t>
      </w:r>
      <w:r w:rsidR="002623DD">
        <w:rPr>
          <w:rFonts w:asciiTheme="majorHAnsi" w:hAnsiTheme="majorHAnsi"/>
          <w:lang w:val="en-US"/>
        </w:rPr>
        <w:t xml:space="preserve"> </w:t>
      </w:r>
      <w:r w:rsidR="002623DD">
        <w:rPr>
          <w:rFonts w:asciiTheme="majorHAnsi" w:hAnsiTheme="majorHAnsi"/>
          <w:lang w:val="en-US"/>
        </w:rPr>
        <w:fldChar w:fldCharType="begin"/>
      </w:r>
      <w:r w:rsidR="002623DD">
        <w:rPr>
          <w:rFonts w:asciiTheme="majorHAnsi" w:hAnsiTheme="majorHAnsi"/>
          <w:lang w:val="en-US"/>
        </w:rPr>
        <w:instrText xml:space="preserve"> ADDIN EN.CITE &lt;EndNote&gt;&lt;Cite&gt;&lt;Author&gt;Parikh&lt;/Author&gt;&lt;Year&gt;2007&lt;/Year&gt;&lt;IDText&gt;Oncogenic NRAS, KRAS, and HRAS exhibit different leukemogenic potentials in mice&lt;/IDText&gt;&lt;DisplayText&gt;(Parikh et al., 2007)&lt;/DisplayText&gt;&lt;record&gt;&lt;dates&gt;&lt;pub-dates&gt;&lt;date&gt;Aug&lt;/date&gt;&lt;/pub-dates&gt;&lt;year&gt;2007&lt;/year&gt;&lt;/dates&gt;&lt;keywords&gt;&lt;keyword&gt;Animals&lt;/keyword&gt;&lt;keyword&gt;Blotting, Southern&lt;/keyword&gt;&lt;keyword&gt;Bone Marrow&lt;/keyword&gt;&lt;keyword&gt;Bone Marrow Transplantation&lt;/keyword&gt;&lt;keyword&gt;Disease Models, Animal&lt;/keyword&gt;&lt;keyword&gt;Female&lt;/keyword&gt;&lt;keyword&gt;Flow Cytometry&lt;/keyword&gt;&lt;keyword&gt;Genes, ras&lt;/keyword&gt;&lt;keyword&gt;Humans&lt;/keyword&gt;&lt;keyword&gt;Leukemia, Myeloid&lt;/keyword&gt;&lt;keyword&gt;Mice&lt;/keyword&gt;&lt;keyword&gt;Mice, Inbred BALB C&lt;/keyword&gt;&lt;keyword&gt;Mutation&lt;/keyword&gt;&lt;keyword&gt;Neoplasm Invasiveness&lt;/keyword&gt;&lt;keyword&gt;Retroviridae&lt;/keyword&gt;&lt;/keywords&gt;&lt;urls&gt;&lt;related-urls&gt;&lt;url&gt;https://www.ncbi.nlm.nih.gov/pubmed/17671181&lt;/url&gt;&lt;/related-urls&gt;&lt;/urls&gt;&lt;isbn&gt;0008-5472&lt;/isbn&gt;&lt;custom2&gt;PMC2662707&lt;/custom2&gt;&lt;titles&gt;&lt;title&gt;Oncogenic NRAS, KRAS, and HRAS exhibit different leukemogenic potentials in mice&lt;/title&gt;&lt;secondary-title&gt;Cancer Res&lt;/secondary-title&gt;&lt;/titles&gt;&lt;pages&gt;7139-46&lt;/pages&gt;&lt;number&gt;15&lt;/number&gt;&lt;contributors&gt;&lt;authors&gt;&lt;author&gt;Parikh, C.&lt;/author&gt;&lt;author&gt;Subrahmanyam, R.&lt;/author&gt;&lt;author&gt;Ren, R.&lt;/author&gt;&lt;/authors&gt;&lt;/contributors&gt;&lt;language&gt;eng&lt;/language&gt;&lt;added-date format="utc"&gt;1510233675&lt;/added-date&gt;&lt;ref-type name="Journal Article"&gt;17&lt;/ref-type&gt;&lt;rec-number&gt;359&lt;/rec-number&gt;&lt;last-updated-date format="utc"&gt;1510233675&lt;/last-updated-date&gt;&lt;accession-num&gt;17671181&lt;/accession-num&gt;&lt;electronic-resource-num&gt;10.1158/0008-5472.CAN-07-0778&lt;/electronic-resource-num&gt;&lt;volume&gt;67&lt;/volume&gt;&lt;/record&gt;&lt;/Cite&gt;&lt;/EndNote&gt;</w:instrText>
      </w:r>
      <w:r w:rsidR="002623DD">
        <w:rPr>
          <w:rFonts w:asciiTheme="majorHAnsi" w:hAnsiTheme="majorHAnsi"/>
          <w:lang w:val="en-US"/>
        </w:rPr>
        <w:fldChar w:fldCharType="separate"/>
      </w:r>
      <w:r w:rsidR="002623DD">
        <w:rPr>
          <w:rFonts w:asciiTheme="majorHAnsi" w:hAnsiTheme="majorHAnsi"/>
          <w:noProof/>
          <w:lang w:val="en-US"/>
        </w:rPr>
        <w:t>(Parikh et al., 2007)</w:t>
      </w:r>
      <w:r w:rsidR="002623DD">
        <w:rPr>
          <w:rFonts w:asciiTheme="majorHAnsi" w:hAnsiTheme="majorHAnsi"/>
          <w:lang w:val="en-US"/>
        </w:rPr>
        <w:fldChar w:fldCharType="end"/>
      </w:r>
      <w:r w:rsidR="00B20887">
        <w:rPr>
          <w:rFonts w:asciiTheme="majorHAnsi" w:hAnsiTheme="majorHAnsi"/>
          <w:lang w:val="en-US"/>
        </w:rPr>
        <w:t xml:space="preserve">. </w:t>
      </w:r>
    </w:p>
    <w:p w14:paraId="76FE00F5" w14:textId="77777777" w:rsidR="008B41A7" w:rsidRDefault="008B41A7" w:rsidP="00C524BC">
      <w:pPr>
        <w:spacing w:line="360" w:lineRule="auto"/>
        <w:jc w:val="both"/>
        <w:rPr>
          <w:rFonts w:asciiTheme="majorHAnsi" w:hAnsiTheme="majorHAnsi"/>
          <w:lang w:val="en-US"/>
        </w:rPr>
      </w:pPr>
    </w:p>
    <w:p w14:paraId="58907DE1" w14:textId="5C622095" w:rsidR="00F70FA9" w:rsidRDefault="00377382" w:rsidP="00C524BC">
      <w:pPr>
        <w:spacing w:line="360" w:lineRule="auto"/>
        <w:jc w:val="both"/>
        <w:rPr>
          <w:rFonts w:asciiTheme="majorHAnsi" w:hAnsiTheme="majorHAnsi"/>
          <w:lang w:val="en-US"/>
        </w:rPr>
      </w:pPr>
      <w:r>
        <w:rPr>
          <w:rFonts w:asciiTheme="majorHAnsi" w:hAnsiTheme="majorHAnsi"/>
          <w:lang w:val="en-US"/>
        </w:rPr>
        <w:t>KRAS is highly over-</w:t>
      </w:r>
      <w:r w:rsidR="00B20887">
        <w:rPr>
          <w:rFonts w:asciiTheme="majorHAnsi" w:hAnsiTheme="majorHAnsi"/>
          <w:lang w:val="en-US"/>
        </w:rPr>
        <w:t xml:space="preserve">expressed in CRC and studies show that KRAS activated cells result in a more efficient increase in the anti apoptotic-signaling cascade and that they increase cell motility by alteration of RAC and N-cadherin levels. This results in a greater </w:t>
      </w:r>
      <w:r w:rsidR="00391945">
        <w:rPr>
          <w:rFonts w:asciiTheme="majorHAnsi" w:hAnsiTheme="majorHAnsi"/>
          <w:lang w:val="en-US"/>
        </w:rPr>
        <w:t>tumour growth advantage and invasiveness trait</w:t>
      </w:r>
      <w:r w:rsidR="002623DD">
        <w:rPr>
          <w:rFonts w:asciiTheme="majorHAnsi" w:hAnsiTheme="majorHAnsi"/>
          <w:lang w:val="en-US"/>
        </w:rPr>
        <w:t xml:space="preserve"> </w:t>
      </w:r>
      <w:r w:rsidR="002623DD">
        <w:rPr>
          <w:rFonts w:asciiTheme="majorHAnsi" w:hAnsiTheme="majorHAnsi"/>
          <w:lang w:val="en-US"/>
        </w:rPr>
        <w:fldChar w:fldCharType="begin"/>
      </w:r>
      <w:r w:rsidR="002623DD">
        <w:rPr>
          <w:rFonts w:asciiTheme="majorHAnsi" w:hAnsiTheme="majorHAnsi"/>
          <w:lang w:val="en-US"/>
        </w:rPr>
        <w:instrText xml:space="preserve"> ADDIN EN.CITE &lt;EndNote&gt;&lt;Cite&gt;&lt;Author&gt;Walsh&lt;/Author&gt;&lt;Year&gt;2001&lt;/Year&gt;&lt;IDText&gt;Differential activation of the Rac pathway by Ha-Ras and K-Ras&lt;/IDText&gt;&lt;DisplayText&gt;(Walsh and Bar-Sagi, 2001)&lt;/DisplayText&gt;&lt;record&gt;&lt;dates&gt;&lt;pub-dates&gt;&lt;date&gt;May&lt;/date&gt;&lt;/pub-dates&gt;&lt;year&gt;2001&lt;/year&gt;&lt;/dates&gt;&lt;keywords&gt;&lt;keyword&gt;Animals&lt;/keyword&gt;&lt;keyword&gt;Apoptosis&lt;/keyword&gt;&lt;keyword&gt;COS Cells&lt;/keyword&gt;&lt;keyword&gt;Cell Line&lt;/keyword&gt;&lt;keyword&gt;Cell Membrane&lt;/keyword&gt;&lt;keyword&gt;Cercopithecus aethiops&lt;/keyword&gt;&lt;keyword&gt;Humans&lt;/keyword&gt;&lt;keyword&gt;Mammals&lt;/keyword&gt;&lt;keyword&gt;Pinocytosis&lt;/keyword&gt;&lt;keyword&gt;Recombinant Proteins&lt;/keyword&gt;&lt;keyword&gt;Transfection&lt;/keyword&gt;&lt;keyword&gt;rac GTP-Binding Proteins&lt;/keyword&gt;&lt;keyword&gt;ras Proteins&lt;/keyword&gt;&lt;/keywords&gt;&lt;urls&gt;&lt;related-urls&gt;&lt;url&gt;https://www.ncbi.nlm.nih.gov/pubmed/11278702&lt;/url&gt;&lt;/related-urls&gt;&lt;/urls&gt;&lt;isbn&gt;0021-9258&lt;/isbn&gt;&lt;titles&gt;&lt;title&gt;Differential activation of the Rac pathway by Ha-Ras and K-Ras&lt;/title&gt;&lt;secondary-title&gt;J Biol Chem&lt;/secondary-title&gt;&lt;/titles&gt;&lt;pages&gt;15609-15&lt;/pages&gt;&lt;number&gt;19&lt;/number&gt;&lt;contributors&gt;&lt;authors&gt;&lt;author&gt;Walsh, A. B.&lt;/author&gt;&lt;author&gt;Bar-Sagi, D.&lt;/author&gt;&lt;/authors&gt;&lt;/contributors&gt;&lt;edition&gt;2001/02/14&lt;/edition&gt;&lt;language&gt;eng&lt;/language&gt;&lt;added-date format="utc"&gt;1510233608&lt;/added-date&gt;&lt;ref-type name="Journal Article"&gt;17&lt;/ref-type&gt;&lt;rec-number&gt;358&lt;/rec-number&gt;&lt;last-updated-date format="utc"&gt;1510233608&lt;/last-updated-date&gt;&lt;accession-num&gt;11278702&lt;/accession-num&gt;&lt;electronic-resource-num&gt;10.1074/jbc.M010573200&lt;/electronic-resource-num&gt;&lt;volume&gt;276&lt;/volume&gt;&lt;/record&gt;&lt;/Cite&gt;&lt;/EndNote&gt;</w:instrText>
      </w:r>
      <w:r w:rsidR="002623DD">
        <w:rPr>
          <w:rFonts w:asciiTheme="majorHAnsi" w:hAnsiTheme="majorHAnsi"/>
          <w:lang w:val="en-US"/>
        </w:rPr>
        <w:fldChar w:fldCharType="separate"/>
      </w:r>
      <w:r w:rsidR="002623DD">
        <w:rPr>
          <w:rFonts w:asciiTheme="majorHAnsi" w:hAnsiTheme="majorHAnsi"/>
          <w:noProof/>
          <w:lang w:val="en-US"/>
        </w:rPr>
        <w:t>(Walsh and Bar-Sagi, 2001)</w:t>
      </w:r>
      <w:r w:rsidR="002623DD">
        <w:rPr>
          <w:rFonts w:asciiTheme="majorHAnsi" w:hAnsiTheme="majorHAnsi"/>
          <w:lang w:val="en-US"/>
        </w:rPr>
        <w:fldChar w:fldCharType="end"/>
      </w:r>
      <w:r w:rsidR="00391945">
        <w:rPr>
          <w:rFonts w:asciiTheme="majorHAnsi" w:hAnsiTheme="majorHAnsi"/>
          <w:lang w:val="en-US"/>
        </w:rPr>
        <w:t xml:space="preserve">. The </w:t>
      </w:r>
      <w:r w:rsidR="00391945" w:rsidRPr="00C17740">
        <w:rPr>
          <w:rFonts w:asciiTheme="majorHAnsi" w:hAnsiTheme="majorHAnsi"/>
          <w:i/>
          <w:lang w:val="en-US"/>
        </w:rPr>
        <w:t>RAS</w:t>
      </w:r>
      <w:r w:rsidR="00391945">
        <w:rPr>
          <w:rFonts w:asciiTheme="majorHAnsi" w:hAnsiTheme="majorHAnsi"/>
          <w:lang w:val="en-US"/>
        </w:rPr>
        <w:t xml:space="preserve"> isoforms appear to activate the same pathway, however it is </w:t>
      </w:r>
      <w:r w:rsidR="000B792D">
        <w:rPr>
          <w:rFonts w:asciiTheme="majorHAnsi" w:hAnsiTheme="majorHAnsi"/>
          <w:lang w:val="en-US"/>
        </w:rPr>
        <w:t>their</w:t>
      </w:r>
      <w:r w:rsidR="00391945">
        <w:rPr>
          <w:rFonts w:asciiTheme="majorHAnsi" w:hAnsiTheme="majorHAnsi"/>
          <w:lang w:val="en-US"/>
        </w:rPr>
        <w:t xml:space="preserve"> activation </w:t>
      </w:r>
      <w:r w:rsidR="008C3AC5">
        <w:rPr>
          <w:rFonts w:asciiTheme="majorHAnsi" w:hAnsiTheme="majorHAnsi"/>
          <w:lang w:val="en-US"/>
        </w:rPr>
        <w:t>of the effectors within the RAS pathway that differs, as KRAS activates Raf-1 preferentially whereas HRAS activates PI3K</w:t>
      </w:r>
      <w:r w:rsidR="002623DD">
        <w:rPr>
          <w:rFonts w:asciiTheme="majorHAnsi" w:hAnsiTheme="majorHAnsi"/>
          <w:lang w:val="en-US"/>
        </w:rPr>
        <w:t xml:space="preserve"> </w:t>
      </w:r>
      <w:r w:rsidR="002623DD">
        <w:rPr>
          <w:rFonts w:asciiTheme="majorHAnsi" w:hAnsiTheme="majorHAnsi"/>
          <w:lang w:val="en-US"/>
        </w:rPr>
        <w:fldChar w:fldCharType="begin"/>
      </w:r>
      <w:r w:rsidR="002623DD">
        <w:rPr>
          <w:rFonts w:asciiTheme="majorHAnsi" w:hAnsiTheme="majorHAnsi"/>
          <w:lang w:val="en-US"/>
        </w:rPr>
        <w:instrText xml:space="preserve"> ADDIN EN.CITE &lt;EndNote&gt;&lt;Cite&gt;&lt;Author&gt;Yan&lt;/Author&gt;&lt;Year&gt;1998&lt;/Year&gt;&lt;IDText&gt;Ras isoforms vary in their ability to activate Raf-1 and phosphoinositide 3-kinase&lt;/IDText&gt;&lt;DisplayText&gt;(Yan et al., 1998)&lt;/DisplayText&gt;&lt;record&gt;&lt;dates&gt;&lt;pub-dates&gt;&lt;date&gt;Sep&lt;/date&gt;&lt;/pub-dates&gt;&lt;year&gt;1998&lt;/year&gt;&lt;/dates&gt;&lt;keywords&gt;&lt;keyword&gt;Amino Acid Sequence&lt;/keyword&gt;&lt;keyword&gt;Animals&lt;/keyword&gt;&lt;keyword&gt;COS Cells&lt;/keyword&gt;&lt;keyword&gt;Cell Membrane&lt;/keyword&gt;&lt;keyword&gt;Enzyme Activation&lt;/keyword&gt;&lt;keyword&gt;Genetic Variation&lt;/keyword&gt;&lt;keyword&gt;Humans&lt;/keyword&gt;&lt;keyword&gt;Kinetics&lt;/keyword&gt;&lt;keyword&gt;Molecular Sequence Data&lt;/keyword&gt;&lt;keyword&gt;Phosphatidylinositol 3-Kinases&lt;/keyword&gt;&lt;keyword&gt;Proto-Oncogene Proteins c-raf&lt;/keyword&gt;&lt;keyword&gt;Proto-Oncogene Proteins p21(ras)&lt;/keyword&gt;&lt;keyword&gt;Recombinant Proteins&lt;/keyword&gt;&lt;keyword&gt;Sequence Alignment&lt;/keyword&gt;&lt;keyword&gt;Sequence Homology, Amino Acid&lt;/keyword&gt;&lt;keyword&gt;Transfection&lt;/keyword&gt;&lt;/keywords&gt;&lt;urls&gt;&lt;related-urls&gt;&lt;url&gt;https://www.ncbi.nlm.nih.gov/pubmed/9727023&lt;/url&gt;&lt;/related-urls&gt;&lt;/urls&gt;&lt;isbn&gt;0021-9258&lt;/isbn&gt;&lt;titles&gt;&lt;title&gt;Ras isoforms vary in their ability to activate Raf-1 and phosphoinositide 3-kinase&lt;/title&gt;&lt;secondary-title&gt;J Biol Chem&lt;/secondary-title&gt;&lt;/titles&gt;&lt;pages&gt;24052-6&lt;/pages&gt;&lt;number&gt;37&lt;/number&gt;&lt;contributors&gt;&lt;authors&gt;&lt;author&gt;Yan, J.&lt;/author&gt;&lt;author&gt;Roy, S.&lt;/author&gt;&lt;author&gt;Apolloni, A.&lt;/author&gt;&lt;author&gt;Lane, A.&lt;/author&gt;&lt;author&gt;Hancock, J. F.&lt;/author&gt;&lt;/authors&gt;&lt;/contributors&gt;&lt;language&gt;eng&lt;/language&gt;&lt;added-date format="utc"&gt;1510233502&lt;/added-date&gt;&lt;ref-type name="Journal Article"&gt;17&lt;/ref-type&gt;&lt;rec-number&gt;357&lt;/rec-number&gt;&lt;last-updated-date format="utc"&gt;1510233502&lt;/last-updated-date&gt;&lt;accession-num&gt;9727023&lt;/accession-num&gt;&lt;volume&gt;273&lt;/volume&gt;&lt;/record&gt;&lt;/Cite&gt;&lt;/EndNote&gt;</w:instrText>
      </w:r>
      <w:r w:rsidR="002623DD">
        <w:rPr>
          <w:rFonts w:asciiTheme="majorHAnsi" w:hAnsiTheme="majorHAnsi"/>
          <w:lang w:val="en-US"/>
        </w:rPr>
        <w:fldChar w:fldCharType="separate"/>
      </w:r>
      <w:r w:rsidR="002623DD">
        <w:rPr>
          <w:rFonts w:asciiTheme="majorHAnsi" w:hAnsiTheme="majorHAnsi"/>
          <w:noProof/>
          <w:lang w:val="en-US"/>
        </w:rPr>
        <w:t>(Yan et al., 1998)</w:t>
      </w:r>
      <w:r w:rsidR="002623DD">
        <w:rPr>
          <w:rFonts w:asciiTheme="majorHAnsi" w:hAnsiTheme="majorHAnsi"/>
          <w:lang w:val="en-US"/>
        </w:rPr>
        <w:fldChar w:fldCharType="end"/>
      </w:r>
      <w:r w:rsidR="000B792D">
        <w:rPr>
          <w:rFonts w:asciiTheme="majorHAnsi" w:hAnsiTheme="majorHAnsi"/>
          <w:lang w:val="en-US"/>
        </w:rPr>
        <w:t>. This appears to then create differing gene expression profiles in the</w:t>
      </w:r>
      <w:r w:rsidR="00AF5D69">
        <w:rPr>
          <w:rFonts w:asciiTheme="majorHAnsi" w:hAnsiTheme="majorHAnsi"/>
          <w:lang w:val="en-US"/>
        </w:rPr>
        <w:t xml:space="preserve"> colon adenoma cell line Caco-2;</w:t>
      </w:r>
      <w:r w:rsidR="000B792D">
        <w:rPr>
          <w:rFonts w:asciiTheme="majorHAnsi" w:hAnsiTheme="majorHAnsi"/>
          <w:lang w:val="en-US"/>
        </w:rPr>
        <w:t xml:space="preserve"> for example KRAS over</w:t>
      </w:r>
      <w:r>
        <w:rPr>
          <w:rFonts w:asciiTheme="majorHAnsi" w:hAnsiTheme="majorHAnsi"/>
          <w:lang w:val="en-US"/>
        </w:rPr>
        <w:t>-</w:t>
      </w:r>
      <w:r w:rsidR="000B792D">
        <w:rPr>
          <w:rFonts w:asciiTheme="majorHAnsi" w:hAnsiTheme="majorHAnsi"/>
          <w:lang w:val="en-US"/>
        </w:rPr>
        <w:t xml:space="preserve">expression modified genes associated with cell adhesion and colon development, whereas HRAS showed differences in cell morphology genes. Thus it appears that the different isoforms may contribute to different aspects of colon cancer progression with </w:t>
      </w:r>
      <w:r w:rsidR="000B792D" w:rsidRPr="00C17740">
        <w:rPr>
          <w:rFonts w:asciiTheme="majorHAnsi" w:hAnsiTheme="majorHAnsi"/>
          <w:i/>
          <w:lang w:val="en-US"/>
        </w:rPr>
        <w:t>HRAS</w:t>
      </w:r>
      <w:r w:rsidR="000B792D">
        <w:rPr>
          <w:rFonts w:asciiTheme="majorHAnsi" w:hAnsiTheme="majorHAnsi"/>
          <w:lang w:val="en-US"/>
        </w:rPr>
        <w:t xml:space="preserve"> playing a role in cell transformation and </w:t>
      </w:r>
      <w:r w:rsidR="000B792D" w:rsidRPr="00C17740">
        <w:rPr>
          <w:rFonts w:asciiTheme="majorHAnsi" w:hAnsiTheme="majorHAnsi"/>
          <w:i/>
          <w:lang w:val="en-US"/>
        </w:rPr>
        <w:t>KRAS</w:t>
      </w:r>
      <w:r w:rsidR="000B792D">
        <w:rPr>
          <w:rFonts w:asciiTheme="majorHAnsi" w:hAnsiTheme="majorHAnsi"/>
          <w:lang w:val="en-US"/>
        </w:rPr>
        <w:t xml:space="preserve"> in creating an environment suitable for </w:t>
      </w:r>
      <w:r w:rsidR="008B41A7">
        <w:rPr>
          <w:rFonts w:asciiTheme="majorHAnsi" w:hAnsiTheme="majorHAnsi"/>
          <w:lang w:val="en-US"/>
        </w:rPr>
        <w:t>tumour development</w:t>
      </w:r>
      <w:r w:rsidR="002623DD">
        <w:rPr>
          <w:rFonts w:asciiTheme="majorHAnsi" w:hAnsiTheme="majorHAnsi"/>
          <w:lang w:val="en-US"/>
        </w:rPr>
        <w:t xml:space="preserve"> </w:t>
      </w:r>
      <w:r w:rsidR="002623DD">
        <w:rPr>
          <w:rFonts w:asciiTheme="majorHAnsi" w:hAnsiTheme="majorHAnsi"/>
          <w:lang w:val="en-US"/>
        </w:rPr>
        <w:fldChar w:fldCharType="begin"/>
      </w:r>
      <w:r w:rsidR="002623DD">
        <w:rPr>
          <w:rFonts w:asciiTheme="majorHAnsi" w:hAnsiTheme="majorHAnsi"/>
          <w:lang w:val="en-US"/>
        </w:rPr>
        <w:instrText xml:space="preserve"> ADDIN EN.CITE &lt;EndNote&gt;&lt;Cite&gt;&lt;Author&gt;Roberts&lt;/Author&gt;&lt;Year&gt;2006&lt;/Year&gt;&lt;IDText&gt;Microarray analysis of the differential transformation mediated by Kirsten and Harvey Ras oncogenes in a human colorectal adenocarcinoma cell line&lt;/IDText&gt;&lt;DisplayText&gt;(Roberts et al., 2006)&lt;/DisplayText&gt;&lt;record&gt;&lt;dates&gt;&lt;pub-dates&gt;&lt;date&gt;Feb&lt;/date&gt;&lt;/pub-dates&gt;&lt;year&gt;2006&lt;/year&gt;&lt;/dates&gt;&lt;keywords&gt;&lt;keyword&gt;Adenocarcinoma&lt;/keyword&gt;&lt;keyword&gt;Animals&lt;/keyword&gt;&lt;keyword&gt;Cell Transformation, Neoplastic&lt;/keyword&gt;&lt;keyword&gt;Colorectal Neoplasms&lt;/keyword&gt;&lt;keyword&gt;DNA, Neoplasm&lt;/keyword&gt;&lt;keyword&gt;Gene Expression Profiling&lt;/keyword&gt;&lt;keyword&gt;Genes, ras&lt;/keyword&gt;&lt;keyword&gt;Humans&lt;/keyword&gt;&lt;keyword&gt;Mesoderm&lt;/keyword&gt;&lt;keyword&gt;Mice&lt;/keyword&gt;&lt;keyword&gt;Mice, SCID&lt;/keyword&gt;&lt;keyword&gt;Mutation&lt;/keyword&gt;&lt;keyword&gt;Oligonucleotide Array Sequence Analysis&lt;/keyword&gt;&lt;keyword&gt;Protein Isoforms&lt;/keyword&gt;&lt;keyword&gt;Reverse Transcriptase Polymerase Chain Reaction&lt;/keyword&gt;&lt;/keywords&gt;&lt;urls&gt;&lt;related-urls&gt;&lt;url&gt;https://www.ncbi.nlm.nih.gov/pubmed/16152623&lt;/url&gt;&lt;/related-urls&gt;&lt;/urls&gt;&lt;isbn&gt;0020-7136&lt;/isbn&gt;&lt;titles&gt;&lt;title&gt;Microarray analysis of the differential transformation mediated by Kirsten and Harvey Ras oncogenes in a human colorectal adenocarcinoma cell line&lt;/title&gt;&lt;secondary-title&gt;Int J Cancer&lt;/secondary-title&gt;&lt;/titles&gt;&lt;pages&gt;616-27&lt;/pages&gt;&lt;number&gt;3&lt;/number&gt;&lt;contributors&gt;&lt;authors&gt;&lt;author&gt;Roberts, M. L.&lt;/author&gt;&lt;author&gt;Drosopoulos, K. G.&lt;/author&gt;&lt;author&gt;Vasileiou, I.&lt;/author&gt;&lt;author&gt;Stricker, M.&lt;/author&gt;&lt;author&gt;Taoufik, E.&lt;/author&gt;&lt;author&gt;Maercker, C.&lt;/author&gt;&lt;author&gt;Guialis, A.&lt;/author&gt;&lt;author&gt;Alexis, M. N.&lt;/author&gt;&lt;author&gt;Pintzas, A.&lt;/author&gt;&lt;/authors&gt;&lt;/contributors&gt;&lt;language&gt;eng&lt;/language&gt;&lt;added-date format="utc"&gt;1510233400&lt;/added-date&gt;&lt;ref-type name="Journal Article"&gt;17&lt;/ref-type&gt;&lt;rec-number&gt;356&lt;/rec-number&gt;&lt;last-updated-date format="utc"&gt;1510233400&lt;/last-updated-date&gt;&lt;accession-num&gt;16152623&lt;/accession-num&gt;&lt;electronic-resource-num&gt;10.1002/ijc.21386&lt;/electronic-resource-num&gt;&lt;volume&gt;118&lt;/volume&gt;&lt;/record&gt;&lt;/Cite&gt;&lt;/EndNote&gt;</w:instrText>
      </w:r>
      <w:r w:rsidR="002623DD">
        <w:rPr>
          <w:rFonts w:asciiTheme="majorHAnsi" w:hAnsiTheme="majorHAnsi"/>
          <w:lang w:val="en-US"/>
        </w:rPr>
        <w:fldChar w:fldCharType="separate"/>
      </w:r>
      <w:r w:rsidR="002623DD">
        <w:rPr>
          <w:rFonts w:asciiTheme="majorHAnsi" w:hAnsiTheme="majorHAnsi"/>
          <w:noProof/>
          <w:lang w:val="en-US"/>
        </w:rPr>
        <w:t>(Roberts et al., 2006)</w:t>
      </w:r>
      <w:r w:rsidR="002623DD">
        <w:rPr>
          <w:rFonts w:asciiTheme="majorHAnsi" w:hAnsiTheme="majorHAnsi"/>
          <w:lang w:val="en-US"/>
        </w:rPr>
        <w:fldChar w:fldCharType="end"/>
      </w:r>
      <w:r w:rsidR="008B41A7">
        <w:rPr>
          <w:rFonts w:asciiTheme="majorHAnsi" w:hAnsiTheme="majorHAnsi"/>
          <w:lang w:val="en-US"/>
        </w:rPr>
        <w:t xml:space="preserve">.  </w:t>
      </w:r>
      <w:r w:rsidR="0053426D">
        <w:rPr>
          <w:rFonts w:asciiTheme="majorHAnsi" w:hAnsiTheme="majorHAnsi"/>
          <w:lang w:val="en-US"/>
        </w:rPr>
        <w:t xml:space="preserve">However, there are still questions to be answered about the functioning of the different </w:t>
      </w:r>
      <w:r w:rsidR="0053426D" w:rsidRPr="00C17740">
        <w:rPr>
          <w:rFonts w:asciiTheme="majorHAnsi" w:hAnsiTheme="majorHAnsi"/>
          <w:i/>
          <w:lang w:val="en-US"/>
        </w:rPr>
        <w:t>RAS</w:t>
      </w:r>
      <w:r w:rsidR="0053426D">
        <w:rPr>
          <w:rFonts w:asciiTheme="majorHAnsi" w:hAnsiTheme="majorHAnsi"/>
          <w:lang w:val="en-US"/>
        </w:rPr>
        <w:t xml:space="preserve"> isoforms within different tissues and diseases and also to what extent they share functional similarities. </w:t>
      </w:r>
      <w:r w:rsidR="008B41A7">
        <w:rPr>
          <w:rFonts w:asciiTheme="majorHAnsi" w:hAnsiTheme="majorHAnsi"/>
          <w:lang w:val="en-US"/>
        </w:rPr>
        <w:t xml:space="preserve">Therefore the use of </w:t>
      </w:r>
      <w:r w:rsidR="008B41A7" w:rsidRPr="00C17740">
        <w:rPr>
          <w:rFonts w:asciiTheme="majorHAnsi" w:hAnsiTheme="majorHAnsi"/>
          <w:i/>
          <w:lang w:val="en-US"/>
        </w:rPr>
        <w:t>HRAS</w:t>
      </w:r>
      <w:r w:rsidR="008B41A7">
        <w:rPr>
          <w:rFonts w:asciiTheme="majorHAnsi" w:hAnsiTheme="majorHAnsi"/>
          <w:lang w:val="en-US"/>
        </w:rPr>
        <w:t xml:space="preserve"> in this set of experiments may produce differing results to what would be seen if a </w:t>
      </w:r>
      <w:r w:rsidR="008B41A7" w:rsidRPr="00C17740">
        <w:rPr>
          <w:rFonts w:asciiTheme="majorHAnsi" w:hAnsiTheme="majorHAnsi"/>
          <w:i/>
          <w:lang w:val="en-US"/>
        </w:rPr>
        <w:t>KRAS</w:t>
      </w:r>
      <w:r w:rsidR="008B41A7">
        <w:rPr>
          <w:rFonts w:asciiTheme="majorHAnsi" w:hAnsiTheme="majorHAnsi"/>
          <w:lang w:val="en-US"/>
        </w:rPr>
        <w:t xml:space="preserve"> construct were utilized, </w:t>
      </w:r>
      <w:r w:rsidR="00FA1353">
        <w:rPr>
          <w:rFonts w:asciiTheme="majorHAnsi" w:hAnsiTheme="majorHAnsi"/>
          <w:lang w:val="en-US"/>
        </w:rPr>
        <w:t>but</w:t>
      </w:r>
      <w:r w:rsidR="008B41A7">
        <w:rPr>
          <w:rFonts w:asciiTheme="majorHAnsi" w:hAnsiTheme="majorHAnsi"/>
          <w:lang w:val="en-US"/>
        </w:rPr>
        <w:t xml:space="preserve"> </w:t>
      </w:r>
      <w:r w:rsidR="0053426D">
        <w:rPr>
          <w:rFonts w:asciiTheme="majorHAnsi" w:hAnsiTheme="majorHAnsi"/>
          <w:lang w:val="en-US"/>
        </w:rPr>
        <w:t xml:space="preserve">as </w:t>
      </w:r>
      <w:r w:rsidR="008B41A7">
        <w:rPr>
          <w:rFonts w:asciiTheme="majorHAnsi" w:hAnsiTheme="majorHAnsi"/>
          <w:lang w:val="en-US"/>
        </w:rPr>
        <w:t>a preliminary model it did produce so</w:t>
      </w:r>
      <w:r w:rsidR="0053426D">
        <w:rPr>
          <w:rFonts w:asciiTheme="majorHAnsi" w:hAnsiTheme="majorHAnsi"/>
          <w:lang w:val="en-US"/>
        </w:rPr>
        <w:t>me interesting results which could</w:t>
      </w:r>
      <w:r w:rsidR="008B41A7">
        <w:rPr>
          <w:rFonts w:asciiTheme="majorHAnsi" w:hAnsiTheme="majorHAnsi"/>
          <w:lang w:val="en-US"/>
        </w:rPr>
        <w:t xml:space="preserve"> be followed up. </w:t>
      </w:r>
      <w:r w:rsidR="000B792D">
        <w:rPr>
          <w:rFonts w:asciiTheme="majorHAnsi" w:hAnsiTheme="majorHAnsi"/>
          <w:lang w:val="en-US"/>
        </w:rPr>
        <w:t xml:space="preserve"> </w:t>
      </w:r>
    </w:p>
    <w:p w14:paraId="5F6B131D" w14:textId="77777777" w:rsidR="00786F36" w:rsidRDefault="00786F36" w:rsidP="00C524BC">
      <w:pPr>
        <w:spacing w:line="360" w:lineRule="auto"/>
        <w:jc w:val="both"/>
        <w:rPr>
          <w:rFonts w:asciiTheme="majorHAnsi" w:hAnsiTheme="majorHAnsi"/>
          <w:lang w:val="en-US"/>
        </w:rPr>
      </w:pPr>
    </w:p>
    <w:p w14:paraId="29C92AC2" w14:textId="70A63A5A" w:rsidR="00786F36" w:rsidRDefault="00786F36" w:rsidP="00786F36">
      <w:pPr>
        <w:pStyle w:val="ListParagraph"/>
        <w:numPr>
          <w:ilvl w:val="0"/>
          <w:numId w:val="2"/>
        </w:numPr>
        <w:spacing w:line="360" w:lineRule="auto"/>
        <w:jc w:val="both"/>
        <w:rPr>
          <w:rFonts w:asciiTheme="majorHAnsi" w:hAnsiTheme="majorHAnsi"/>
          <w:b/>
          <w:i/>
          <w:lang w:val="en-US"/>
        </w:rPr>
      </w:pPr>
      <w:r w:rsidRPr="00786F36">
        <w:rPr>
          <w:rFonts w:asciiTheme="majorHAnsi" w:hAnsiTheme="majorHAnsi"/>
          <w:b/>
          <w:i/>
          <w:lang w:val="en-US"/>
        </w:rPr>
        <w:t>Future Work</w:t>
      </w:r>
    </w:p>
    <w:p w14:paraId="39D1D707" w14:textId="421C1383" w:rsidR="00786F36" w:rsidRPr="00786F36" w:rsidRDefault="00786F36" w:rsidP="00786F36">
      <w:pPr>
        <w:spacing w:line="360" w:lineRule="auto"/>
        <w:jc w:val="both"/>
        <w:rPr>
          <w:rFonts w:asciiTheme="majorHAnsi" w:hAnsiTheme="majorHAnsi"/>
          <w:lang w:val="en-US"/>
        </w:rPr>
      </w:pPr>
      <w:r w:rsidRPr="00E83A72">
        <w:rPr>
          <w:rFonts w:asciiTheme="majorHAnsi" w:hAnsiTheme="majorHAnsi"/>
          <w:lang w:val="en-US"/>
        </w:rPr>
        <w:t xml:space="preserve">Future work with the </w:t>
      </w:r>
      <w:r w:rsidRPr="00E83A72">
        <w:rPr>
          <w:rFonts w:asciiTheme="majorHAnsi" w:hAnsiTheme="majorHAnsi"/>
          <w:i/>
          <w:lang w:val="en-US"/>
        </w:rPr>
        <w:t>RAS</w:t>
      </w:r>
      <w:r w:rsidRPr="00E83A72">
        <w:rPr>
          <w:rFonts w:asciiTheme="majorHAnsi" w:hAnsiTheme="majorHAnsi"/>
          <w:lang w:val="en-US"/>
        </w:rPr>
        <w:t xml:space="preserve"> over expressing cell lines would include conducting MTT and clonogenic experiments with clinically used chemotherapy drugs, as shown in chapter two on the </w:t>
      </w:r>
      <w:r w:rsidRPr="00E83A72">
        <w:rPr>
          <w:rFonts w:asciiTheme="majorHAnsi" w:hAnsiTheme="majorHAnsi"/>
          <w:i/>
          <w:lang w:val="en-US"/>
        </w:rPr>
        <w:t>SRCAP</w:t>
      </w:r>
      <w:r w:rsidRPr="00E83A72">
        <w:rPr>
          <w:rFonts w:asciiTheme="majorHAnsi" w:hAnsiTheme="majorHAnsi"/>
          <w:lang w:val="en-US"/>
        </w:rPr>
        <w:t xml:space="preserve"> knock down cell lines. However, due to time constraints this wasn’t conducted for this thesis. This would therefore be interesting to see whether the RAS mutational status affected response to 5-FU and/or cisplatin with </w:t>
      </w:r>
      <w:r w:rsidRPr="00E83A72">
        <w:rPr>
          <w:rFonts w:asciiTheme="majorHAnsi" w:hAnsiTheme="majorHAnsi"/>
          <w:i/>
          <w:lang w:val="en-US"/>
        </w:rPr>
        <w:t>SRCAP</w:t>
      </w:r>
      <w:r w:rsidRPr="00E83A72">
        <w:rPr>
          <w:rFonts w:asciiTheme="majorHAnsi" w:hAnsiTheme="majorHAnsi"/>
          <w:lang w:val="en-US"/>
        </w:rPr>
        <w:t xml:space="preserve"> knock down in a similar way in the two colorectal cancer cell lines, but also possibly most importantly in the fibroblast cell line MRC5. </w:t>
      </w:r>
      <w:r w:rsidR="00CD5447" w:rsidRPr="00E83A72">
        <w:rPr>
          <w:rFonts w:asciiTheme="majorHAnsi" w:hAnsiTheme="majorHAnsi"/>
          <w:lang w:val="en-US"/>
        </w:rPr>
        <w:t xml:space="preserve">As mentioned in the introduction to this chapter </w:t>
      </w:r>
      <w:r w:rsidR="00CD5447" w:rsidRPr="00E83A72">
        <w:rPr>
          <w:rFonts w:asciiTheme="majorHAnsi" w:hAnsiTheme="majorHAnsi"/>
          <w:i/>
          <w:lang w:val="en-US"/>
        </w:rPr>
        <w:t>RAS</w:t>
      </w:r>
      <w:r w:rsidR="00CD5447" w:rsidRPr="00E83A72">
        <w:rPr>
          <w:rFonts w:asciiTheme="majorHAnsi" w:hAnsiTheme="majorHAnsi"/>
          <w:lang w:val="en-US"/>
        </w:rPr>
        <w:t xml:space="preserve"> mutational status is a predictor of response to anti-EGFR therapies, such as cetuximab, due to it being a downstream effector in the EGFR signaling pathway</w:t>
      </w:r>
      <w:r w:rsidR="005D1F19" w:rsidRPr="00E83A72">
        <w:rPr>
          <w:rFonts w:asciiTheme="majorHAnsi" w:hAnsiTheme="majorHAnsi"/>
          <w:lang w:val="en-US"/>
        </w:rPr>
        <w:t xml:space="preserve"> </w:t>
      </w:r>
      <w:r w:rsidR="005D1F19" w:rsidRPr="00E83A72">
        <w:rPr>
          <w:rFonts w:asciiTheme="majorHAnsi" w:hAnsiTheme="majorHAnsi"/>
          <w:lang w:val="en-US"/>
        </w:rPr>
        <w:fldChar w:fldCharType="begin">
          <w:fldData xml:space="preserve">PEVuZE5vdGU+PENpdGU+PEF1dGhvcj5WYW4gQ3V0c2VtPC9BdXRob3I+PFllYXI+MjAxNTwvWWVh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</w:fldData>
        </w:fldChar>
      </w:r>
      <w:r w:rsidR="005D1F19" w:rsidRPr="00E83A72">
        <w:rPr>
          <w:rFonts w:asciiTheme="majorHAnsi" w:hAnsiTheme="majorHAnsi"/>
          <w:lang w:val="en-US"/>
        </w:rPr>
        <w:instrText xml:space="preserve"> ADDIN EN.CITE </w:instrText>
      </w:r>
      <w:r w:rsidR="005D1F19" w:rsidRPr="00E83A72">
        <w:rPr>
          <w:rFonts w:asciiTheme="majorHAnsi" w:hAnsiTheme="majorHAnsi"/>
          <w:lang w:val="en-US"/>
        </w:rPr>
        <w:fldChar w:fldCharType="begin">
          <w:fldData xml:space="preserve">PEVuZE5vdGU+PENpdGU+PEF1dGhvcj5WYW4gQ3V0c2VtPC9BdXRob3I+PFllYXI+MjAxNTwvWWVh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</w:fldData>
        </w:fldChar>
      </w:r>
      <w:r w:rsidR="005D1F19" w:rsidRPr="00E83A72">
        <w:rPr>
          <w:rFonts w:asciiTheme="majorHAnsi" w:hAnsiTheme="majorHAnsi"/>
          <w:lang w:val="en-US"/>
        </w:rPr>
        <w:instrText xml:space="preserve"> ADDIN EN.CITE.DATA </w:instrText>
      </w:r>
      <w:r w:rsidR="005D1F19" w:rsidRPr="00E83A72">
        <w:rPr>
          <w:rFonts w:asciiTheme="majorHAnsi" w:hAnsiTheme="majorHAnsi"/>
          <w:lang w:val="en-US"/>
        </w:rPr>
      </w:r>
      <w:r w:rsidR="005D1F19" w:rsidRPr="00E83A72">
        <w:rPr>
          <w:rFonts w:asciiTheme="majorHAnsi" w:hAnsiTheme="majorHAnsi"/>
          <w:lang w:val="en-US"/>
        </w:rPr>
        <w:fldChar w:fldCharType="end"/>
      </w:r>
      <w:r w:rsidR="005D1F19" w:rsidRPr="00E83A72">
        <w:rPr>
          <w:rFonts w:asciiTheme="majorHAnsi" w:hAnsiTheme="majorHAnsi"/>
          <w:lang w:val="en-US"/>
        </w:rPr>
      </w:r>
      <w:r w:rsidR="005D1F19" w:rsidRPr="00E83A72">
        <w:rPr>
          <w:rFonts w:asciiTheme="majorHAnsi" w:hAnsiTheme="majorHAnsi"/>
          <w:lang w:val="en-US"/>
        </w:rPr>
        <w:fldChar w:fldCharType="separate"/>
      </w:r>
      <w:r w:rsidR="005D1F19" w:rsidRPr="00E83A72">
        <w:rPr>
          <w:rFonts w:asciiTheme="majorHAnsi" w:hAnsiTheme="majorHAnsi"/>
          <w:noProof/>
          <w:lang w:val="en-US"/>
        </w:rPr>
        <w:t>(Van Cutsem et al., 2015)</w:t>
      </w:r>
      <w:r w:rsidR="005D1F19" w:rsidRPr="00E83A72">
        <w:rPr>
          <w:rFonts w:asciiTheme="majorHAnsi" w:hAnsiTheme="majorHAnsi"/>
          <w:lang w:val="en-US"/>
        </w:rPr>
        <w:fldChar w:fldCharType="end"/>
      </w:r>
      <w:r w:rsidR="00CD5447" w:rsidRPr="00E83A72">
        <w:rPr>
          <w:rFonts w:asciiTheme="majorHAnsi" w:hAnsiTheme="majorHAnsi"/>
          <w:lang w:val="en-US"/>
        </w:rPr>
        <w:t xml:space="preserve">. However, response to treatments such as 5-FU and oxaliplatin is less widely studied. It is well characterised that patients which have </w:t>
      </w:r>
      <w:r w:rsidR="00CD5447" w:rsidRPr="00E83A72">
        <w:rPr>
          <w:rFonts w:asciiTheme="majorHAnsi" w:hAnsiTheme="majorHAnsi"/>
          <w:i/>
          <w:lang w:val="en-US"/>
        </w:rPr>
        <w:t>RAS</w:t>
      </w:r>
      <w:r w:rsidR="00CD5447" w:rsidRPr="00E83A72">
        <w:rPr>
          <w:rFonts w:asciiTheme="majorHAnsi" w:hAnsiTheme="majorHAnsi"/>
          <w:lang w:val="en-US"/>
        </w:rPr>
        <w:t xml:space="preserve"> mutations confer a poor prognosis and disease free survival</w:t>
      </w:r>
      <w:r w:rsidR="005D1F19" w:rsidRPr="00E83A72">
        <w:rPr>
          <w:rFonts w:asciiTheme="majorHAnsi" w:hAnsiTheme="majorHAnsi"/>
          <w:lang w:val="en-US"/>
        </w:rPr>
        <w:t>, with a high rate of recurrence</w:t>
      </w:r>
      <w:r w:rsidR="00CD5447" w:rsidRPr="00E83A72">
        <w:rPr>
          <w:rFonts w:asciiTheme="majorHAnsi" w:hAnsiTheme="majorHAnsi"/>
          <w:lang w:val="en-US"/>
        </w:rPr>
        <w:t xml:space="preserve">. However, several studies have indicated that adjuvant chemotherapy with fluoropyrimidine- alone chemotherapy or the FOLFOX regimen is of benefit to patients with </w:t>
      </w:r>
      <w:r w:rsidR="00CD5447" w:rsidRPr="00E83A72">
        <w:rPr>
          <w:rFonts w:asciiTheme="majorHAnsi" w:hAnsiTheme="majorHAnsi"/>
          <w:i/>
          <w:lang w:val="en-US"/>
        </w:rPr>
        <w:t>RAS</w:t>
      </w:r>
      <w:r w:rsidR="00CD5447" w:rsidRPr="00E83A72">
        <w:rPr>
          <w:rFonts w:asciiTheme="majorHAnsi" w:hAnsiTheme="majorHAnsi"/>
          <w:lang w:val="en-US"/>
        </w:rPr>
        <w:t xml:space="preserve"> mutations and that there was increased response in comparison to tumours with wild-type </w:t>
      </w:r>
      <w:r w:rsidR="00CD5447" w:rsidRPr="00E83A72">
        <w:rPr>
          <w:rFonts w:asciiTheme="majorHAnsi" w:hAnsiTheme="majorHAnsi"/>
          <w:i/>
          <w:lang w:val="en-US"/>
        </w:rPr>
        <w:t>RAS</w:t>
      </w:r>
      <w:r w:rsidR="00CD5447" w:rsidRPr="00E83A72">
        <w:rPr>
          <w:rFonts w:asciiTheme="majorHAnsi" w:hAnsiTheme="majorHAnsi"/>
          <w:lang w:val="en-US"/>
        </w:rPr>
        <w:t xml:space="preserve">. </w:t>
      </w:r>
      <w:r w:rsidR="005D1F19" w:rsidRPr="00E83A72">
        <w:rPr>
          <w:rFonts w:asciiTheme="majorHAnsi" w:hAnsiTheme="majorHAnsi"/>
          <w:lang w:val="en-US"/>
        </w:rPr>
        <w:t xml:space="preserve">In fact the survival rates improved in both colon and rectal </w:t>
      </w:r>
      <w:r w:rsidR="005D1F19" w:rsidRPr="00E83A72">
        <w:rPr>
          <w:rFonts w:asciiTheme="majorHAnsi" w:hAnsiTheme="majorHAnsi"/>
          <w:i/>
          <w:lang w:val="en-US"/>
        </w:rPr>
        <w:t>RAS</w:t>
      </w:r>
      <w:r w:rsidR="005D1F19" w:rsidRPr="00E83A72">
        <w:rPr>
          <w:rFonts w:asciiTheme="majorHAnsi" w:hAnsiTheme="majorHAnsi"/>
          <w:lang w:val="en-US"/>
        </w:rPr>
        <w:t xml:space="preserve"> mutated cancer with post-operative chemotherapy </w:t>
      </w:r>
      <w:r w:rsidR="005D1F19" w:rsidRPr="00E83A72">
        <w:rPr>
          <w:rFonts w:asciiTheme="majorHAnsi" w:hAnsiTheme="majorHAnsi"/>
          <w:lang w:val="en-US"/>
        </w:rPr>
        <w:fldChar w:fldCharType="begin">
          <w:fldData xml:space="preserve">PEVuZE5vdGU+PENpdGU+PEF1dGhvcj5EZW5nPC9BdXRob3I+PFllYXI+MjAxNTwvWWVhcj48SURU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</w:fldData>
        </w:fldChar>
      </w:r>
      <w:r w:rsidR="005D1F19" w:rsidRPr="00E83A72">
        <w:rPr>
          <w:rFonts w:asciiTheme="majorHAnsi" w:hAnsiTheme="majorHAnsi"/>
          <w:lang w:val="en-US"/>
        </w:rPr>
        <w:instrText xml:space="preserve"> ADDIN EN.CITE </w:instrText>
      </w:r>
      <w:r w:rsidR="005D1F19" w:rsidRPr="00E83A72">
        <w:rPr>
          <w:rFonts w:asciiTheme="majorHAnsi" w:hAnsiTheme="majorHAnsi"/>
          <w:lang w:val="en-US"/>
        </w:rPr>
        <w:fldChar w:fldCharType="begin">
          <w:fldData xml:space="preserve">PEVuZE5vdGU+PENpdGU+PEF1dGhvcj5EZW5nPC9BdXRob3I+PFllYXI+MjAxNTwvWWVhcj48SURU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</w:fldData>
        </w:fldChar>
      </w:r>
      <w:r w:rsidR="005D1F19" w:rsidRPr="00E83A72">
        <w:rPr>
          <w:rFonts w:asciiTheme="majorHAnsi" w:hAnsiTheme="majorHAnsi"/>
          <w:lang w:val="en-US"/>
        </w:rPr>
        <w:instrText xml:space="preserve"> ADDIN EN.CITE.DATA </w:instrText>
      </w:r>
      <w:r w:rsidR="005D1F19" w:rsidRPr="00E83A72">
        <w:rPr>
          <w:rFonts w:asciiTheme="majorHAnsi" w:hAnsiTheme="majorHAnsi"/>
          <w:lang w:val="en-US"/>
        </w:rPr>
      </w:r>
      <w:r w:rsidR="005D1F19" w:rsidRPr="00E83A72">
        <w:rPr>
          <w:rFonts w:asciiTheme="majorHAnsi" w:hAnsiTheme="majorHAnsi"/>
          <w:lang w:val="en-US"/>
        </w:rPr>
        <w:fldChar w:fldCharType="end"/>
      </w:r>
      <w:r w:rsidR="005D1F19" w:rsidRPr="00E83A72">
        <w:rPr>
          <w:rFonts w:asciiTheme="majorHAnsi" w:hAnsiTheme="majorHAnsi"/>
          <w:lang w:val="en-US"/>
        </w:rPr>
      </w:r>
      <w:r w:rsidR="005D1F19" w:rsidRPr="00E83A72">
        <w:rPr>
          <w:rFonts w:asciiTheme="majorHAnsi" w:hAnsiTheme="majorHAnsi"/>
          <w:lang w:val="en-US"/>
        </w:rPr>
        <w:fldChar w:fldCharType="separate"/>
      </w:r>
      <w:r w:rsidR="005D1F19" w:rsidRPr="00E83A72">
        <w:rPr>
          <w:rFonts w:asciiTheme="majorHAnsi" w:hAnsiTheme="majorHAnsi"/>
          <w:noProof/>
          <w:lang w:val="en-US"/>
        </w:rPr>
        <w:t>(Deng et al., 2015, Sasaki et al., 2016)</w:t>
      </w:r>
      <w:r w:rsidR="005D1F19" w:rsidRPr="00E83A72">
        <w:rPr>
          <w:rFonts w:asciiTheme="majorHAnsi" w:hAnsiTheme="majorHAnsi"/>
          <w:lang w:val="en-US"/>
        </w:rPr>
        <w:fldChar w:fldCharType="end"/>
      </w:r>
      <w:r w:rsidR="005D1F19" w:rsidRPr="00E83A72">
        <w:rPr>
          <w:rFonts w:asciiTheme="majorHAnsi" w:hAnsiTheme="majorHAnsi"/>
          <w:lang w:val="en-US"/>
        </w:rPr>
        <w:t xml:space="preserve">.  </w:t>
      </w:r>
      <w:r w:rsidR="001F41D0" w:rsidRPr="00E83A72">
        <w:rPr>
          <w:rFonts w:asciiTheme="majorHAnsi" w:hAnsiTheme="majorHAnsi"/>
          <w:lang w:val="en-US"/>
        </w:rPr>
        <w:t xml:space="preserve">It is thought the reason behind this is that RAS mutations correlate to a decrease in thymidylate synthase, and lower rates of this enzyme are associated with increased 5-FU activity </w:t>
      </w:r>
      <w:r w:rsidR="001F41D0" w:rsidRPr="00E83A72">
        <w:rPr>
          <w:rFonts w:asciiTheme="majorHAnsi" w:hAnsiTheme="majorHAnsi"/>
          <w:lang w:val="en-US"/>
        </w:rPr>
        <w:fldChar w:fldCharType="begin">
          <w:fldData xml:space="preserve">PEVuZE5vdGU+PENpdGU+PEF1dGhvcj5NYXVzPC9BdXRob3I+PFllYXI+MjAxNTwvWWVhcj48SURU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</w:fldData>
        </w:fldChar>
      </w:r>
      <w:r w:rsidR="001F41D0" w:rsidRPr="00E83A72">
        <w:rPr>
          <w:rFonts w:asciiTheme="majorHAnsi" w:hAnsiTheme="majorHAnsi"/>
          <w:lang w:val="en-US"/>
        </w:rPr>
        <w:instrText xml:space="preserve"> ADDIN EN.CITE </w:instrText>
      </w:r>
      <w:r w:rsidR="001F41D0" w:rsidRPr="00E83A72">
        <w:rPr>
          <w:rFonts w:asciiTheme="majorHAnsi" w:hAnsiTheme="majorHAnsi"/>
          <w:lang w:val="en-US"/>
        </w:rPr>
        <w:fldChar w:fldCharType="begin">
          <w:fldData xml:space="preserve">PEVuZE5vdGU+PENpdGU+PEF1dGhvcj5NYXVzPC9BdXRob3I+PFllYXI+MjAxNTwvWWVhcj48SURU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</w:fldData>
        </w:fldChar>
      </w:r>
      <w:r w:rsidR="001F41D0" w:rsidRPr="00E83A72">
        <w:rPr>
          <w:rFonts w:asciiTheme="majorHAnsi" w:hAnsiTheme="majorHAnsi"/>
          <w:lang w:val="en-US"/>
        </w:rPr>
        <w:instrText xml:space="preserve"> ADDIN EN.CITE.DATA </w:instrText>
      </w:r>
      <w:r w:rsidR="001F41D0" w:rsidRPr="00E83A72">
        <w:rPr>
          <w:rFonts w:asciiTheme="majorHAnsi" w:hAnsiTheme="majorHAnsi"/>
          <w:lang w:val="en-US"/>
        </w:rPr>
      </w:r>
      <w:r w:rsidR="001F41D0" w:rsidRPr="00E83A72">
        <w:rPr>
          <w:rFonts w:asciiTheme="majorHAnsi" w:hAnsiTheme="majorHAnsi"/>
          <w:lang w:val="en-US"/>
        </w:rPr>
        <w:fldChar w:fldCharType="end"/>
      </w:r>
      <w:r w:rsidR="001F41D0" w:rsidRPr="00E83A72">
        <w:rPr>
          <w:rFonts w:asciiTheme="majorHAnsi" w:hAnsiTheme="majorHAnsi"/>
          <w:lang w:val="en-US"/>
        </w:rPr>
      </w:r>
      <w:r w:rsidR="001F41D0" w:rsidRPr="00E83A72">
        <w:rPr>
          <w:rFonts w:asciiTheme="majorHAnsi" w:hAnsiTheme="majorHAnsi"/>
          <w:lang w:val="en-US"/>
        </w:rPr>
        <w:fldChar w:fldCharType="separate"/>
      </w:r>
      <w:r w:rsidR="001F41D0" w:rsidRPr="00E83A72">
        <w:rPr>
          <w:rFonts w:asciiTheme="majorHAnsi" w:hAnsiTheme="majorHAnsi"/>
          <w:noProof/>
          <w:lang w:val="en-US"/>
        </w:rPr>
        <w:t>(Maus et al., 2015)</w:t>
      </w:r>
      <w:r w:rsidR="001F41D0" w:rsidRPr="00E83A72">
        <w:rPr>
          <w:rFonts w:asciiTheme="majorHAnsi" w:hAnsiTheme="majorHAnsi"/>
          <w:lang w:val="en-US"/>
        </w:rPr>
        <w:fldChar w:fldCharType="end"/>
      </w:r>
      <w:r w:rsidR="001F41D0" w:rsidRPr="00E83A72">
        <w:rPr>
          <w:rFonts w:asciiTheme="majorHAnsi" w:hAnsiTheme="majorHAnsi"/>
          <w:lang w:val="en-US"/>
        </w:rPr>
        <w:t xml:space="preserve">. Therefore, it would be interesting to see whether the addition of </w:t>
      </w:r>
      <w:r w:rsidR="001F41D0" w:rsidRPr="00E83A72">
        <w:rPr>
          <w:rFonts w:asciiTheme="majorHAnsi" w:hAnsiTheme="majorHAnsi"/>
          <w:i/>
          <w:lang w:val="en-US"/>
        </w:rPr>
        <w:t>RAS</w:t>
      </w:r>
      <w:r w:rsidR="001F41D0" w:rsidRPr="00E83A72">
        <w:rPr>
          <w:rFonts w:asciiTheme="majorHAnsi" w:hAnsiTheme="majorHAnsi"/>
          <w:lang w:val="en-US"/>
        </w:rPr>
        <w:t xml:space="preserve"> </w:t>
      </w:r>
      <w:r w:rsidR="000A33A1" w:rsidRPr="00E83A72">
        <w:rPr>
          <w:rFonts w:asciiTheme="majorHAnsi" w:hAnsiTheme="majorHAnsi"/>
          <w:lang w:val="en-US"/>
        </w:rPr>
        <w:t>over-</w:t>
      </w:r>
      <w:r w:rsidR="001F41D0" w:rsidRPr="00E83A72">
        <w:rPr>
          <w:rFonts w:asciiTheme="majorHAnsi" w:hAnsiTheme="majorHAnsi"/>
          <w:lang w:val="en-US"/>
        </w:rPr>
        <w:t xml:space="preserve">expression to our drug response experiments </w:t>
      </w:r>
      <w:r w:rsidR="000A33A1" w:rsidRPr="00E83A72">
        <w:rPr>
          <w:rFonts w:asciiTheme="majorHAnsi" w:hAnsiTheme="majorHAnsi"/>
          <w:lang w:val="en-US"/>
        </w:rPr>
        <w:t xml:space="preserve">correlated to the clinically seen data and gave a larger sensitization when compared to </w:t>
      </w:r>
      <w:r w:rsidR="000A33A1" w:rsidRPr="00E83A72">
        <w:rPr>
          <w:rFonts w:asciiTheme="majorHAnsi" w:hAnsiTheme="majorHAnsi"/>
          <w:i/>
          <w:lang w:val="en-US"/>
        </w:rPr>
        <w:t>RAS</w:t>
      </w:r>
      <w:r w:rsidR="000A33A1" w:rsidRPr="00E83A72">
        <w:rPr>
          <w:rFonts w:asciiTheme="majorHAnsi" w:hAnsiTheme="majorHAnsi"/>
          <w:lang w:val="en-US"/>
        </w:rPr>
        <w:t xml:space="preserve"> wild-type cells.</w:t>
      </w:r>
      <w:r w:rsidR="000A33A1">
        <w:rPr>
          <w:rFonts w:asciiTheme="majorHAnsi" w:hAnsiTheme="majorHAnsi"/>
          <w:lang w:val="en-US"/>
        </w:rPr>
        <w:t xml:space="preserve"> </w:t>
      </w:r>
    </w:p>
    <w:p w14:paraId="5FFB719F" w14:textId="77777777" w:rsidR="00786F36" w:rsidRDefault="00786F36" w:rsidP="00786F36">
      <w:pPr>
        <w:spacing w:line="360" w:lineRule="auto"/>
        <w:jc w:val="both"/>
        <w:rPr>
          <w:rFonts w:asciiTheme="majorHAnsi" w:hAnsiTheme="majorHAnsi"/>
          <w:lang w:val="en-US"/>
        </w:rPr>
      </w:pPr>
    </w:p>
    <w:p w14:paraId="4C42CD7B" w14:textId="77777777" w:rsidR="00786F36" w:rsidRPr="00786F36" w:rsidRDefault="00786F36" w:rsidP="00786F36">
      <w:pPr>
        <w:spacing w:line="360" w:lineRule="auto"/>
        <w:jc w:val="both"/>
        <w:rPr>
          <w:rFonts w:asciiTheme="majorHAnsi" w:hAnsiTheme="majorHAnsi"/>
          <w:lang w:val="en-US"/>
        </w:rPr>
        <w:sectPr w:rsidR="00786F36" w:rsidRPr="00786F36" w:rsidSect="00F70FA9">
          <w:headerReference w:type="default" r:id="rId152"/>
          <w:type w:val="continuous"/>
          <w:pgSz w:w="11900" w:h="16840"/>
          <w:pgMar w:top="1440" w:right="1134" w:bottom="1440" w:left="2268" w:header="709" w:footer="709" w:gutter="0"/>
          <w:cols w:space="708"/>
          <w:docGrid w:linePitch="360"/>
        </w:sectPr>
      </w:pPr>
    </w:p>
    <w:p w14:paraId="7E2B8AF0" w14:textId="77777777" w:rsidR="007C58EA" w:rsidRPr="008A2907" w:rsidRDefault="007C58EA" w:rsidP="007C58EA">
      <w:pPr>
        <w:pStyle w:val="Title"/>
        <w:rPr>
          <w:color w:val="000000" w:themeColor="text1"/>
        </w:rPr>
      </w:pPr>
      <w:r w:rsidRPr="008A2907">
        <w:rPr>
          <w:color w:val="000000" w:themeColor="text1"/>
        </w:rPr>
        <w:t>Chapter 6: Transcriptomic analysis of the effects of SRCAP deregulation</w:t>
      </w:r>
    </w:p>
    <w:p w14:paraId="677E08E7" w14:textId="77777777" w:rsidR="007C58EA" w:rsidRPr="005C1978" w:rsidRDefault="007C58EA" w:rsidP="007C58EA"/>
    <w:p w14:paraId="69287F86" w14:textId="77777777" w:rsidR="007C58EA" w:rsidRPr="00D02990" w:rsidRDefault="007C58EA" w:rsidP="007C58EA">
      <w:pPr>
        <w:spacing w:line="276" w:lineRule="auto"/>
        <w:rPr>
          <w:rFonts w:asciiTheme="majorHAnsi" w:hAnsiTheme="majorHAnsi"/>
          <w:szCs w:val="32"/>
        </w:rPr>
      </w:pPr>
      <w:r w:rsidRPr="00D02990">
        <w:rPr>
          <w:rFonts w:asciiTheme="majorHAnsi" w:hAnsiTheme="majorHAnsi"/>
          <w:szCs w:val="32"/>
        </w:rPr>
        <w:t>6.1 Introduction</w:t>
      </w:r>
    </w:p>
    <w:p w14:paraId="51B13050" w14:textId="77777777" w:rsidR="007C58EA" w:rsidRPr="00D02990" w:rsidRDefault="007C58EA" w:rsidP="007C58EA">
      <w:pPr>
        <w:spacing w:line="276" w:lineRule="auto"/>
        <w:rPr>
          <w:rFonts w:asciiTheme="majorHAnsi" w:hAnsiTheme="majorHAnsi"/>
          <w:szCs w:val="32"/>
        </w:rPr>
      </w:pPr>
      <w:r w:rsidRPr="00D02990">
        <w:rPr>
          <w:rFonts w:asciiTheme="majorHAnsi" w:hAnsiTheme="majorHAnsi"/>
          <w:szCs w:val="32"/>
        </w:rPr>
        <w:t>6.2 Collection of RNA samples and quality control</w:t>
      </w:r>
    </w:p>
    <w:p w14:paraId="159757D7" w14:textId="77777777" w:rsidR="007C58EA" w:rsidRPr="00D02990" w:rsidRDefault="007C58EA" w:rsidP="007C58EA">
      <w:pPr>
        <w:spacing w:line="276" w:lineRule="auto"/>
        <w:jc w:val="both"/>
        <w:rPr>
          <w:rFonts w:asciiTheme="majorHAnsi" w:hAnsiTheme="majorHAnsi"/>
          <w:szCs w:val="32"/>
        </w:rPr>
      </w:pPr>
      <w:r w:rsidRPr="00D02990">
        <w:rPr>
          <w:rFonts w:asciiTheme="majorHAnsi" w:hAnsiTheme="majorHAnsi"/>
          <w:szCs w:val="32"/>
        </w:rPr>
        <w:t>6.3 Data Analysis</w:t>
      </w:r>
    </w:p>
    <w:p w14:paraId="6A11805C" w14:textId="738E7B43" w:rsidR="007C58EA" w:rsidRPr="00D02990" w:rsidRDefault="007C58EA" w:rsidP="002F41C6">
      <w:pPr>
        <w:pStyle w:val="ListParagraph"/>
        <w:numPr>
          <w:ilvl w:val="0"/>
          <w:numId w:val="25"/>
        </w:numPr>
        <w:spacing w:line="276" w:lineRule="auto"/>
        <w:jc w:val="both"/>
        <w:rPr>
          <w:rFonts w:asciiTheme="majorHAnsi" w:hAnsiTheme="majorHAnsi"/>
          <w:szCs w:val="32"/>
        </w:rPr>
      </w:pPr>
      <w:r w:rsidRPr="00D02990">
        <w:rPr>
          <w:rFonts w:asciiTheme="majorHAnsi" w:hAnsiTheme="majorHAnsi"/>
          <w:szCs w:val="32"/>
        </w:rPr>
        <w:t>Control vs. si6</w:t>
      </w:r>
      <w:r w:rsidR="00676FDB">
        <w:rPr>
          <w:rFonts w:asciiTheme="majorHAnsi" w:hAnsiTheme="majorHAnsi"/>
          <w:szCs w:val="32"/>
        </w:rPr>
        <w:t xml:space="preserve"> SRCAP knock</w:t>
      </w:r>
      <w:r w:rsidR="00E03EA8">
        <w:rPr>
          <w:rFonts w:asciiTheme="majorHAnsi" w:hAnsiTheme="majorHAnsi"/>
          <w:szCs w:val="32"/>
        </w:rPr>
        <w:t>down</w:t>
      </w:r>
    </w:p>
    <w:p w14:paraId="3C763E89" w14:textId="684BE100" w:rsidR="007C58EA" w:rsidRPr="00D02990" w:rsidRDefault="007C58EA" w:rsidP="002F41C6">
      <w:pPr>
        <w:pStyle w:val="ListParagraph"/>
        <w:numPr>
          <w:ilvl w:val="0"/>
          <w:numId w:val="25"/>
        </w:numPr>
        <w:spacing w:line="276" w:lineRule="auto"/>
        <w:jc w:val="both"/>
        <w:rPr>
          <w:rFonts w:asciiTheme="majorHAnsi" w:hAnsiTheme="majorHAnsi"/>
          <w:szCs w:val="32"/>
        </w:rPr>
      </w:pPr>
      <w:r w:rsidRPr="00D02990">
        <w:rPr>
          <w:rFonts w:asciiTheme="majorHAnsi" w:hAnsiTheme="majorHAnsi"/>
          <w:szCs w:val="32"/>
        </w:rPr>
        <w:t xml:space="preserve">Control vs. </w:t>
      </w:r>
      <w:r w:rsidRPr="00D02990">
        <w:rPr>
          <w:rFonts w:asciiTheme="majorHAnsi" w:hAnsiTheme="majorHAnsi"/>
          <w:i/>
          <w:szCs w:val="32"/>
        </w:rPr>
        <w:t>YFP SRCAP</w:t>
      </w:r>
      <w:r w:rsidR="002F71D9">
        <w:rPr>
          <w:rFonts w:asciiTheme="majorHAnsi" w:hAnsiTheme="majorHAnsi"/>
          <w:i/>
          <w:szCs w:val="32"/>
        </w:rPr>
        <w:t xml:space="preserve"> over-expression </w:t>
      </w:r>
    </w:p>
    <w:p w14:paraId="3ECBEA4E" w14:textId="6ECE7996" w:rsidR="00FE5F01" w:rsidRPr="00FE5F01" w:rsidRDefault="007C58EA" w:rsidP="002F41C6">
      <w:pPr>
        <w:pStyle w:val="ListParagraph"/>
        <w:numPr>
          <w:ilvl w:val="1"/>
          <w:numId w:val="19"/>
        </w:numPr>
        <w:spacing w:line="276" w:lineRule="auto"/>
        <w:ind w:left="426" w:hanging="426"/>
        <w:jc w:val="both"/>
        <w:rPr>
          <w:rFonts w:asciiTheme="majorHAnsi" w:hAnsiTheme="majorHAnsi"/>
          <w:szCs w:val="32"/>
        </w:rPr>
      </w:pPr>
      <w:r w:rsidRPr="00FE5F01">
        <w:rPr>
          <w:rFonts w:asciiTheme="majorHAnsi" w:hAnsiTheme="majorHAnsi"/>
          <w:szCs w:val="32"/>
        </w:rPr>
        <w:t>Hit validation</w:t>
      </w:r>
    </w:p>
    <w:p w14:paraId="190BA53B" w14:textId="2B20C22E" w:rsidR="00FE5F01" w:rsidRDefault="00FE5F01" w:rsidP="002F41C6">
      <w:pPr>
        <w:pStyle w:val="ListParagraph"/>
        <w:numPr>
          <w:ilvl w:val="0"/>
          <w:numId w:val="40"/>
        </w:numPr>
        <w:spacing w:line="276" w:lineRule="auto"/>
        <w:jc w:val="both"/>
        <w:rPr>
          <w:rFonts w:asciiTheme="majorHAnsi" w:hAnsiTheme="majorHAnsi"/>
          <w:szCs w:val="32"/>
        </w:rPr>
      </w:pPr>
      <w:r>
        <w:rPr>
          <w:rFonts w:asciiTheme="majorHAnsi" w:hAnsiTheme="majorHAnsi"/>
          <w:szCs w:val="32"/>
        </w:rPr>
        <w:t>Original microarray samples</w:t>
      </w:r>
    </w:p>
    <w:p w14:paraId="253987F0" w14:textId="0F2295D1" w:rsidR="00FE5F01" w:rsidRPr="00FE5F01" w:rsidRDefault="00676FDB" w:rsidP="002F41C6">
      <w:pPr>
        <w:pStyle w:val="ListParagraph"/>
        <w:numPr>
          <w:ilvl w:val="0"/>
          <w:numId w:val="40"/>
        </w:numPr>
        <w:spacing w:line="276" w:lineRule="auto"/>
        <w:jc w:val="both"/>
        <w:rPr>
          <w:rFonts w:asciiTheme="majorHAnsi" w:hAnsiTheme="majorHAnsi"/>
          <w:szCs w:val="32"/>
        </w:rPr>
      </w:pPr>
      <w:r>
        <w:rPr>
          <w:rFonts w:asciiTheme="majorHAnsi" w:hAnsiTheme="majorHAnsi"/>
          <w:szCs w:val="32"/>
        </w:rPr>
        <w:t>New knock</w:t>
      </w:r>
      <w:r w:rsidR="00FE5F01">
        <w:rPr>
          <w:rFonts w:asciiTheme="majorHAnsi" w:hAnsiTheme="majorHAnsi"/>
          <w:szCs w:val="32"/>
        </w:rPr>
        <w:t>down samples</w:t>
      </w:r>
    </w:p>
    <w:p w14:paraId="70BA43AE" w14:textId="77777777" w:rsidR="007C58EA" w:rsidRPr="00D02990" w:rsidRDefault="007C58EA" w:rsidP="007C58EA">
      <w:pPr>
        <w:spacing w:line="276" w:lineRule="auto"/>
        <w:jc w:val="both"/>
        <w:rPr>
          <w:rFonts w:asciiTheme="majorHAnsi" w:hAnsiTheme="majorHAnsi"/>
          <w:szCs w:val="32"/>
        </w:rPr>
      </w:pPr>
      <w:r w:rsidRPr="00D02990">
        <w:rPr>
          <w:rFonts w:asciiTheme="majorHAnsi" w:hAnsiTheme="majorHAnsi"/>
          <w:szCs w:val="32"/>
        </w:rPr>
        <w:t>6.5 Discussion</w:t>
      </w:r>
    </w:p>
    <w:p w14:paraId="34C34DB7" w14:textId="160905BA" w:rsidR="007C58EA" w:rsidRDefault="00676FDB" w:rsidP="002F41C6">
      <w:pPr>
        <w:pStyle w:val="ListParagraph"/>
        <w:numPr>
          <w:ilvl w:val="0"/>
          <w:numId w:val="27"/>
        </w:numPr>
        <w:spacing w:line="276" w:lineRule="auto"/>
        <w:jc w:val="both"/>
        <w:rPr>
          <w:rFonts w:asciiTheme="majorHAnsi" w:hAnsiTheme="majorHAnsi"/>
        </w:rPr>
      </w:pPr>
      <w:r>
        <w:rPr>
          <w:rFonts w:asciiTheme="majorHAnsi" w:hAnsiTheme="majorHAnsi"/>
        </w:rPr>
        <w:t>SRCAP knock</w:t>
      </w:r>
      <w:r w:rsidR="007C58EA" w:rsidRPr="00D02990">
        <w:rPr>
          <w:rFonts w:asciiTheme="majorHAnsi" w:hAnsiTheme="majorHAnsi"/>
        </w:rPr>
        <w:t>down alters genes associated with cancer progression</w:t>
      </w:r>
    </w:p>
    <w:p w14:paraId="438947B6" w14:textId="2AA2499B" w:rsidR="007C58EA" w:rsidRDefault="002C2E2A" w:rsidP="002F41C6">
      <w:pPr>
        <w:pStyle w:val="ListParagraph"/>
        <w:numPr>
          <w:ilvl w:val="0"/>
          <w:numId w:val="27"/>
        </w:numPr>
        <w:spacing w:line="276" w:lineRule="auto"/>
        <w:jc w:val="both"/>
        <w:rPr>
          <w:rFonts w:asciiTheme="majorHAnsi" w:hAnsiTheme="majorHAnsi"/>
        </w:rPr>
      </w:pPr>
      <w:r>
        <w:rPr>
          <w:rFonts w:asciiTheme="majorHAnsi" w:hAnsiTheme="majorHAnsi"/>
        </w:rPr>
        <w:t>SRCAP over-</w:t>
      </w:r>
      <w:r w:rsidR="007C58EA" w:rsidRPr="00D02990">
        <w:rPr>
          <w:rFonts w:asciiTheme="majorHAnsi" w:hAnsiTheme="majorHAnsi"/>
        </w:rPr>
        <w:t>expression shows variation between repeats</w:t>
      </w:r>
    </w:p>
    <w:p w14:paraId="0490EFFB" w14:textId="5C50D7C3" w:rsidR="007C58EA" w:rsidRDefault="009433A4" w:rsidP="002F41C6">
      <w:pPr>
        <w:pStyle w:val="ListParagraph"/>
        <w:numPr>
          <w:ilvl w:val="0"/>
          <w:numId w:val="27"/>
        </w:numPr>
        <w:spacing w:line="276" w:lineRule="auto"/>
        <w:jc w:val="both"/>
        <w:rPr>
          <w:rFonts w:asciiTheme="majorHAnsi" w:hAnsiTheme="majorHAnsi"/>
        </w:rPr>
      </w:pPr>
      <w:r>
        <w:rPr>
          <w:rFonts w:asciiTheme="majorHAnsi" w:hAnsiTheme="majorHAnsi"/>
        </w:rPr>
        <w:t>Validation of microarray hits</w:t>
      </w:r>
    </w:p>
    <w:p w14:paraId="47532203" w14:textId="77777777" w:rsidR="007C58EA" w:rsidRPr="00D02990" w:rsidRDefault="007C58EA" w:rsidP="002F41C6">
      <w:pPr>
        <w:pStyle w:val="ListParagraph"/>
        <w:numPr>
          <w:ilvl w:val="0"/>
          <w:numId w:val="27"/>
        </w:numPr>
        <w:spacing w:line="276" w:lineRule="auto"/>
        <w:jc w:val="both"/>
        <w:rPr>
          <w:rFonts w:asciiTheme="majorHAnsi" w:hAnsiTheme="majorHAnsi"/>
        </w:rPr>
      </w:pPr>
      <w:r>
        <w:rPr>
          <w:rFonts w:asciiTheme="majorHAnsi" w:hAnsiTheme="majorHAnsi"/>
        </w:rPr>
        <w:t>Study limitations and future directions</w:t>
      </w:r>
    </w:p>
    <w:p w14:paraId="6E96C53B" w14:textId="77777777" w:rsidR="007C58EA" w:rsidRDefault="007C58EA" w:rsidP="007C58EA">
      <w:pPr>
        <w:rPr>
          <w:rFonts w:asciiTheme="majorHAnsi" w:hAnsiTheme="majorHAnsi"/>
          <w:sz w:val="32"/>
          <w:szCs w:val="32"/>
        </w:rPr>
      </w:pPr>
    </w:p>
    <w:p w14:paraId="2B9C7B7D" w14:textId="77777777" w:rsidR="00B305C3" w:rsidRDefault="00B305C3" w:rsidP="007C58EA">
      <w:pPr>
        <w:rPr>
          <w:rFonts w:asciiTheme="majorHAnsi" w:hAnsiTheme="majorHAnsi"/>
          <w:sz w:val="28"/>
          <w:szCs w:val="32"/>
          <w:u w:val="single"/>
        </w:rPr>
      </w:pPr>
    </w:p>
    <w:p w14:paraId="36651171" w14:textId="77777777" w:rsidR="007C58EA" w:rsidRPr="00014036" w:rsidRDefault="007C58EA" w:rsidP="007C58EA">
      <w:pPr>
        <w:rPr>
          <w:rFonts w:asciiTheme="majorHAnsi" w:hAnsiTheme="majorHAnsi"/>
          <w:sz w:val="28"/>
          <w:szCs w:val="32"/>
          <w:u w:val="single"/>
        </w:rPr>
      </w:pPr>
      <w:r w:rsidRPr="00014036">
        <w:rPr>
          <w:rFonts w:asciiTheme="majorHAnsi" w:hAnsiTheme="majorHAnsi"/>
          <w:sz w:val="28"/>
          <w:szCs w:val="32"/>
          <w:u w:val="single"/>
        </w:rPr>
        <w:t>List of Figures</w:t>
      </w:r>
    </w:p>
    <w:p w14:paraId="5E5AE88D" w14:textId="77777777" w:rsidR="007C58EA" w:rsidRDefault="007C58EA" w:rsidP="007C58EA">
      <w:pPr>
        <w:rPr>
          <w:rFonts w:asciiTheme="majorHAnsi" w:hAnsiTheme="majorHAnsi"/>
          <w:sz w:val="28"/>
          <w:szCs w:val="28"/>
        </w:rPr>
      </w:pPr>
    </w:p>
    <w:p w14:paraId="60985485" w14:textId="77777777" w:rsidR="007C58EA" w:rsidRPr="00014036" w:rsidRDefault="007C58EA" w:rsidP="007C58EA">
      <w:pPr>
        <w:spacing w:line="360" w:lineRule="auto"/>
        <w:jc w:val="both"/>
        <w:rPr>
          <w:rFonts w:asciiTheme="majorHAnsi" w:hAnsiTheme="majorHAnsi"/>
          <w:i/>
          <w:szCs w:val="28"/>
        </w:rPr>
      </w:pPr>
      <w:r w:rsidRPr="00014036">
        <w:rPr>
          <w:rFonts w:asciiTheme="majorHAnsi" w:hAnsiTheme="majorHAnsi"/>
          <w:i/>
          <w:szCs w:val="28"/>
        </w:rPr>
        <w:t>6.1 RNA sample collection shows differing SRCAP expression levels</w:t>
      </w:r>
    </w:p>
    <w:p w14:paraId="4EEF505A" w14:textId="77777777" w:rsidR="007C58EA" w:rsidRPr="00014036" w:rsidRDefault="007C58EA" w:rsidP="007C58EA">
      <w:pPr>
        <w:spacing w:line="360" w:lineRule="auto"/>
        <w:jc w:val="both"/>
        <w:rPr>
          <w:rFonts w:asciiTheme="majorHAnsi" w:hAnsiTheme="majorHAnsi"/>
          <w:i/>
          <w:szCs w:val="28"/>
        </w:rPr>
      </w:pPr>
      <w:r w:rsidRPr="00014036">
        <w:rPr>
          <w:rFonts w:asciiTheme="majorHAnsi" w:hAnsiTheme="majorHAnsi"/>
          <w:i/>
          <w:szCs w:val="28"/>
        </w:rPr>
        <w:t>6.2 RIN analysis shows high quality RNA samples</w:t>
      </w:r>
    </w:p>
    <w:p w14:paraId="4DEA64F6" w14:textId="77777777" w:rsidR="007C58EA" w:rsidRPr="00014036" w:rsidRDefault="007C58EA" w:rsidP="007C58EA">
      <w:pPr>
        <w:spacing w:line="360" w:lineRule="auto"/>
        <w:jc w:val="both"/>
        <w:rPr>
          <w:rFonts w:asciiTheme="majorHAnsi" w:hAnsiTheme="majorHAnsi"/>
          <w:i/>
          <w:szCs w:val="28"/>
        </w:rPr>
      </w:pPr>
      <w:r w:rsidRPr="00014036">
        <w:rPr>
          <w:rFonts w:asciiTheme="majorHAnsi" w:hAnsiTheme="majorHAnsi"/>
          <w:i/>
          <w:szCs w:val="28"/>
        </w:rPr>
        <w:t>6.3 Microarray quality controls show inconsistency in YFP SRCAP repeat 3</w:t>
      </w:r>
    </w:p>
    <w:p w14:paraId="34300A29" w14:textId="77777777" w:rsidR="007C58EA" w:rsidRPr="00014036" w:rsidRDefault="007C58EA" w:rsidP="007C58EA">
      <w:pPr>
        <w:spacing w:line="360" w:lineRule="auto"/>
        <w:jc w:val="both"/>
        <w:rPr>
          <w:rFonts w:asciiTheme="majorHAnsi" w:hAnsiTheme="majorHAnsi"/>
          <w:i/>
          <w:szCs w:val="28"/>
        </w:rPr>
      </w:pPr>
      <w:r w:rsidRPr="00014036">
        <w:rPr>
          <w:rFonts w:asciiTheme="majorHAnsi" w:hAnsiTheme="majorHAnsi"/>
          <w:i/>
          <w:szCs w:val="28"/>
        </w:rPr>
        <w:t>6.4 Control vs. si6 data shows good correlation in fold changes between the separate repeats</w:t>
      </w:r>
    </w:p>
    <w:p w14:paraId="320283BD" w14:textId="77777777" w:rsidR="007C58EA" w:rsidRPr="00014036" w:rsidRDefault="007C58EA" w:rsidP="007C58EA">
      <w:pPr>
        <w:spacing w:line="360" w:lineRule="auto"/>
        <w:jc w:val="both"/>
        <w:rPr>
          <w:rFonts w:asciiTheme="majorHAnsi" w:hAnsiTheme="majorHAnsi"/>
          <w:i/>
          <w:szCs w:val="28"/>
        </w:rPr>
      </w:pPr>
      <w:r w:rsidRPr="00014036">
        <w:rPr>
          <w:rFonts w:asciiTheme="majorHAnsi" w:hAnsiTheme="majorHAnsi"/>
          <w:i/>
          <w:szCs w:val="28"/>
        </w:rPr>
        <w:t>6.5 Genes with a decrease in expression when SRCAP was knocked down show enrichment for nucleosomal components and gene expression regulators</w:t>
      </w:r>
    </w:p>
    <w:p w14:paraId="2584B005" w14:textId="77777777" w:rsidR="007C58EA" w:rsidRPr="00014036" w:rsidRDefault="007C58EA" w:rsidP="007C58EA">
      <w:pPr>
        <w:spacing w:line="360" w:lineRule="auto"/>
        <w:jc w:val="both"/>
        <w:rPr>
          <w:rFonts w:asciiTheme="majorHAnsi" w:hAnsiTheme="majorHAnsi"/>
          <w:i/>
          <w:szCs w:val="28"/>
        </w:rPr>
      </w:pPr>
      <w:r w:rsidRPr="00014036">
        <w:rPr>
          <w:rFonts w:asciiTheme="majorHAnsi" w:hAnsiTheme="majorHAnsi"/>
          <w:i/>
          <w:szCs w:val="28"/>
        </w:rPr>
        <w:t>6.6 Genes with an increase in expression when SRCAP was knocked down show enrichment for regulators of cell proliferation</w:t>
      </w:r>
    </w:p>
    <w:p w14:paraId="6E6178CB" w14:textId="77777777" w:rsidR="007C58EA" w:rsidRPr="00014036" w:rsidRDefault="007C58EA" w:rsidP="007C58EA">
      <w:pPr>
        <w:spacing w:line="360" w:lineRule="auto"/>
        <w:jc w:val="both"/>
        <w:rPr>
          <w:rFonts w:asciiTheme="majorHAnsi" w:hAnsiTheme="majorHAnsi"/>
          <w:i/>
          <w:szCs w:val="28"/>
        </w:rPr>
      </w:pPr>
      <w:r w:rsidRPr="00014036">
        <w:rPr>
          <w:rFonts w:asciiTheme="majorHAnsi" w:hAnsiTheme="majorHAnsi"/>
          <w:i/>
          <w:szCs w:val="28"/>
        </w:rPr>
        <w:t>6.7 Control vs. YFP SRCAP data shows lower correlation rates in fold changes between the separate repeats</w:t>
      </w:r>
    </w:p>
    <w:p w14:paraId="2C6400CE" w14:textId="0C82FB8D" w:rsidR="007C58EA" w:rsidRPr="00014036" w:rsidRDefault="007C58EA" w:rsidP="007C58EA">
      <w:pPr>
        <w:spacing w:line="360" w:lineRule="auto"/>
        <w:jc w:val="both"/>
        <w:rPr>
          <w:rFonts w:asciiTheme="majorHAnsi" w:hAnsiTheme="majorHAnsi"/>
          <w:szCs w:val="28"/>
        </w:rPr>
      </w:pPr>
      <w:r w:rsidRPr="00014036">
        <w:rPr>
          <w:rFonts w:asciiTheme="majorHAnsi" w:hAnsiTheme="majorHAnsi"/>
          <w:i/>
          <w:szCs w:val="28"/>
        </w:rPr>
        <w:t>6.8 Genes with a decrease in</w:t>
      </w:r>
      <w:r w:rsidR="00377382">
        <w:rPr>
          <w:rFonts w:asciiTheme="majorHAnsi" w:hAnsiTheme="majorHAnsi"/>
          <w:i/>
          <w:szCs w:val="28"/>
        </w:rPr>
        <w:t xml:space="preserve"> expression when SRCAP was over-</w:t>
      </w:r>
      <w:r w:rsidRPr="00014036">
        <w:rPr>
          <w:rFonts w:asciiTheme="majorHAnsi" w:hAnsiTheme="majorHAnsi"/>
          <w:i/>
          <w:szCs w:val="28"/>
        </w:rPr>
        <w:t>expressed show enrichment for the negative regulation of cellular processes</w:t>
      </w:r>
    </w:p>
    <w:p w14:paraId="1E653C1B" w14:textId="474C18FC" w:rsidR="00B305C3" w:rsidRDefault="007C58EA" w:rsidP="007C58EA">
      <w:pPr>
        <w:spacing w:line="360" w:lineRule="auto"/>
        <w:jc w:val="both"/>
        <w:rPr>
          <w:rFonts w:asciiTheme="majorHAnsi" w:hAnsiTheme="majorHAnsi"/>
          <w:sz w:val="28"/>
          <w:szCs w:val="28"/>
        </w:rPr>
      </w:pPr>
      <w:r w:rsidRPr="00014036">
        <w:rPr>
          <w:rFonts w:asciiTheme="majorHAnsi" w:hAnsiTheme="majorHAnsi"/>
          <w:i/>
          <w:szCs w:val="28"/>
        </w:rPr>
        <w:t>6.9</w:t>
      </w:r>
      <w:r w:rsidRPr="00014036">
        <w:rPr>
          <w:rFonts w:asciiTheme="majorHAnsi" w:hAnsiTheme="majorHAnsi"/>
          <w:szCs w:val="28"/>
        </w:rPr>
        <w:t xml:space="preserve"> </w:t>
      </w:r>
      <w:r w:rsidRPr="00014036">
        <w:rPr>
          <w:rFonts w:asciiTheme="majorHAnsi" w:hAnsiTheme="majorHAnsi"/>
          <w:i/>
          <w:szCs w:val="28"/>
        </w:rPr>
        <w:t>Genes with an increase in</w:t>
      </w:r>
      <w:r w:rsidR="00377382">
        <w:rPr>
          <w:rFonts w:asciiTheme="majorHAnsi" w:hAnsiTheme="majorHAnsi"/>
          <w:i/>
          <w:szCs w:val="28"/>
        </w:rPr>
        <w:t xml:space="preserve"> expression when SRCAP was over-</w:t>
      </w:r>
      <w:r w:rsidRPr="00014036">
        <w:rPr>
          <w:rFonts w:asciiTheme="majorHAnsi" w:hAnsiTheme="majorHAnsi"/>
          <w:i/>
          <w:szCs w:val="28"/>
        </w:rPr>
        <w:t>expressed show no enrichment for any pathways</w:t>
      </w:r>
      <w:r w:rsidRPr="002F3CA3">
        <w:rPr>
          <w:rFonts w:asciiTheme="majorHAnsi" w:hAnsiTheme="majorHAnsi"/>
          <w:sz w:val="28"/>
          <w:szCs w:val="28"/>
        </w:rPr>
        <w:t xml:space="preserve"> </w:t>
      </w:r>
    </w:p>
    <w:p w14:paraId="4DF2C2CD" w14:textId="0BE4CC8F" w:rsidR="00B305C3" w:rsidRPr="00B305C3" w:rsidRDefault="00B305C3" w:rsidP="007C58EA">
      <w:pPr>
        <w:spacing w:line="360" w:lineRule="auto"/>
        <w:jc w:val="both"/>
        <w:rPr>
          <w:rFonts w:asciiTheme="majorHAnsi" w:hAnsiTheme="majorHAnsi"/>
          <w:i/>
          <w:szCs w:val="28"/>
        </w:rPr>
      </w:pPr>
      <w:r w:rsidRPr="00B305C3">
        <w:rPr>
          <w:rFonts w:asciiTheme="majorHAnsi" w:hAnsiTheme="majorHAnsi"/>
          <w:i/>
          <w:szCs w:val="28"/>
        </w:rPr>
        <w:t>6.10</w:t>
      </w:r>
      <w:r>
        <w:rPr>
          <w:rFonts w:asciiTheme="majorHAnsi" w:hAnsiTheme="majorHAnsi"/>
          <w:i/>
          <w:szCs w:val="28"/>
        </w:rPr>
        <w:t xml:space="preserve"> </w:t>
      </w:r>
      <w:r w:rsidRPr="00B305C3">
        <w:rPr>
          <w:rFonts w:asciiTheme="majorHAnsi" w:hAnsiTheme="majorHAnsi"/>
          <w:i/>
          <w:szCs w:val="28"/>
        </w:rPr>
        <w:t xml:space="preserve">SRCAP expression </w:t>
      </w:r>
      <w:r w:rsidR="000C3DEE">
        <w:rPr>
          <w:rFonts w:asciiTheme="majorHAnsi" w:hAnsiTheme="majorHAnsi"/>
          <w:i/>
          <w:szCs w:val="28"/>
        </w:rPr>
        <w:t>re-</w:t>
      </w:r>
      <w:r w:rsidRPr="00B305C3">
        <w:rPr>
          <w:rFonts w:asciiTheme="majorHAnsi" w:hAnsiTheme="majorHAnsi"/>
          <w:i/>
          <w:szCs w:val="28"/>
        </w:rPr>
        <w:t xml:space="preserve">testing </w:t>
      </w:r>
      <w:r w:rsidR="000C3DEE">
        <w:rPr>
          <w:rFonts w:asciiTheme="majorHAnsi" w:hAnsiTheme="majorHAnsi"/>
          <w:i/>
          <w:szCs w:val="28"/>
        </w:rPr>
        <w:t>in original</w:t>
      </w:r>
      <w:r w:rsidRPr="00B305C3">
        <w:rPr>
          <w:rFonts w:asciiTheme="majorHAnsi" w:hAnsiTheme="majorHAnsi"/>
          <w:i/>
          <w:szCs w:val="28"/>
        </w:rPr>
        <w:t xml:space="preserve"> microarray samples</w:t>
      </w:r>
    </w:p>
    <w:p w14:paraId="1AF49BAE" w14:textId="6D4073C8" w:rsidR="00B305C3" w:rsidRPr="00B305C3" w:rsidRDefault="00B305C3" w:rsidP="0049529F">
      <w:pPr>
        <w:spacing w:line="360" w:lineRule="auto"/>
        <w:jc w:val="both"/>
        <w:rPr>
          <w:rFonts w:asciiTheme="majorHAnsi" w:hAnsiTheme="majorHAnsi"/>
          <w:i/>
          <w:szCs w:val="28"/>
        </w:rPr>
      </w:pPr>
      <w:r w:rsidRPr="00B305C3">
        <w:rPr>
          <w:rFonts w:asciiTheme="majorHAnsi" w:hAnsiTheme="majorHAnsi"/>
          <w:i/>
          <w:szCs w:val="28"/>
        </w:rPr>
        <w:t>6.11</w:t>
      </w:r>
      <w:r w:rsidR="002D139C" w:rsidRPr="002D139C">
        <w:rPr>
          <w:b/>
          <w:i/>
          <w:sz w:val="22"/>
        </w:rPr>
        <w:t xml:space="preserve"> </w:t>
      </w:r>
      <w:r w:rsidR="002D139C" w:rsidRPr="002D139C">
        <w:rPr>
          <w:rFonts w:asciiTheme="majorHAnsi" w:hAnsiTheme="majorHAnsi"/>
          <w:i/>
          <w:szCs w:val="28"/>
        </w:rPr>
        <w:t>Taqman RT-PCR of original microarray samples gives validated results</w:t>
      </w:r>
    </w:p>
    <w:p w14:paraId="7FF06859" w14:textId="5F90740E" w:rsidR="0081505A" w:rsidRPr="0081505A" w:rsidRDefault="00B305C3" w:rsidP="0049529F">
      <w:pPr>
        <w:spacing w:line="360" w:lineRule="auto"/>
        <w:jc w:val="both"/>
        <w:rPr>
          <w:rFonts w:asciiTheme="majorHAnsi" w:hAnsiTheme="majorHAnsi"/>
          <w:i/>
          <w:sz w:val="28"/>
          <w:szCs w:val="28"/>
        </w:rPr>
      </w:pPr>
      <w:r w:rsidRPr="00B305C3">
        <w:rPr>
          <w:rFonts w:asciiTheme="majorHAnsi" w:hAnsiTheme="majorHAnsi"/>
          <w:i/>
          <w:szCs w:val="28"/>
        </w:rPr>
        <w:t>6.12</w:t>
      </w:r>
      <w:r w:rsidR="0049529F">
        <w:rPr>
          <w:rFonts w:asciiTheme="majorHAnsi" w:hAnsiTheme="majorHAnsi"/>
          <w:i/>
          <w:szCs w:val="28"/>
        </w:rPr>
        <w:t xml:space="preserve"> </w:t>
      </w:r>
      <w:r w:rsidR="0081505A" w:rsidRPr="0081505A">
        <w:rPr>
          <w:rFonts w:asciiTheme="majorHAnsi" w:hAnsiTheme="majorHAnsi"/>
          <w:i/>
          <w:szCs w:val="22"/>
        </w:rPr>
        <w:t>Evaluation of knockdown of SRCAP on new cell samples</w:t>
      </w:r>
    </w:p>
    <w:p w14:paraId="59EB9C1B" w14:textId="0772C7EE" w:rsidR="0049529F" w:rsidRPr="0049529F" w:rsidRDefault="0081505A" w:rsidP="0049529F">
      <w:pPr>
        <w:spacing w:line="360" w:lineRule="auto"/>
        <w:jc w:val="both"/>
        <w:rPr>
          <w:rFonts w:asciiTheme="majorHAnsi" w:hAnsiTheme="majorHAnsi"/>
          <w:i/>
        </w:rPr>
      </w:pPr>
      <w:r w:rsidRPr="00B305C3">
        <w:rPr>
          <w:rFonts w:asciiTheme="majorHAnsi" w:hAnsiTheme="majorHAnsi"/>
          <w:i/>
          <w:szCs w:val="28"/>
        </w:rPr>
        <w:t>6.</w:t>
      </w:r>
      <w:r w:rsidRPr="0049529F">
        <w:rPr>
          <w:rFonts w:asciiTheme="majorHAnsi" w:hAnsiTheme="majorHAnsi"/>
          <w:i/>
          <w:szCs w:val="28"/>
        </w:rPr>
        <w:t>13</w:t>
      </w:r>
      <w:r>
        <w:rPr>
          <w:rFonts w:asciiTheme="majorHAnsi" w:hAnsiTheme="majorHAnsi"/>
          <w:i/>
          <w:szCs w:val="28"/>
        </w:rPr>
        <w:t xml:space="preserve"> </w:t>
      </w:r>
      <w:r w:rsidR="0049529F" w:rsidRPr="0049529F">
        <w:rPr>
          <w:rFonts w:asciiTheme="majorHAnsi" w:hAnsiTheme="majorHAnsi"/>
          <w:i/>
        </w:rPr>
        <w:t>Validation of hits</w:t>
      </w:r>
      <w:r w:rsidR="000C3DEE">
        <w:rPr>
          <w:rFonts w:asciiTheme="majorHAnsi" w:hAnsiTheme="majorHAnsi"/>
          <w:i/>
        </w:rPr>
        <w:t xml:space="preserve"> in </w:t>
      </w:r>
      <w:r w:rsidR="004F41AE">
        <w:rPr>
          <w:rFonts w:asciiTheme="majorHAnsi" w:hAnsiTheme="majorHAnsi"/>
          <w:i/>
        </w:rPr>
        <w:t xml:space="preserve">HCT116 </w:t>
      </w:r>
      <w:r w:rsidR="002C2E2A">
        <w:rPr>
          <w:rFonts w:asciiTheme="majorHAnsi" w:hAnsiTheme="majorHAnsi"/>
          <w:i/>
        </w:rPr>
        <w:t>SRCAP knock</w:t>
      </w:r>
      <w:r w:rsidR="000C3DEE">
        <w:rPr>
          <w:rFonts w:asciiTheme="majorHAnsi" w:hAnsiTheme="majorHAnsi"/>
          <w:i/>
        </w:rPr>
        <w:t>down</w:t>
      </w:r>
      <w:r w:rsidR="0049529F" w:rsidRPr="0049529F">
        <w:rPr>
          <w:rFonts w:asciiTheme="majorHAnsi" w:hAnsiTheme="majorHAnsi"/>
          <w:i/>
        </w:rPr>
        <w:t xml:space="preserve"> </w:t>
      </w:r>
      <w:r w:rsidR="000C3DEE">
        <w:rPr>
          <w:rFonts w:asciiTheme="majorHAnsi" w:hAnsiTheme="majorHAnsi"/>
          <w:i/>
        </w:rPr>
        <w:t xml:space="preserve">cells </w:t>
      </w:r>
      <w:r w:rsidR="0049529F" w:rsidRPr="0049529F">
        <w:rPr>
          <w:rFonts w:asciiTheme="majorHAnsi" w:hAnsiTheme="majorHAnsi"/>
          <w:i/>
        </w:rPr>
        <w:t>with new RNA samples shows comparative results</w:t>
      </w:r>
    </w:p>
    <w:p w14:paraId="61D22E86" w14:textId="3727BFE7" w:rsidR="00B305C3" w:rsidRPr="0049529F" w:rsidRDefault="0081505A" w:rsidP="0049529F">
      <w:pPr>
        <w:spacing w:line="360" w:lineRule="auto"/>
        <w:jc w:val="both"/>
        <w:rPr>
          <w:rFonts w:asciiTheme="majorHAnsi" w:hAnsiTheme="majorHAnsi"/>
          <w:b/>
          <w:i/>
          <w:szCs w:val="28"/>
        </w:rPr>
      </w:pPr>
      <w:r w:rsidRPr="00B305C3">
        <w:rPr>
          <w:rFonts w:asciiTheme="majorHAnsi" w:hAnsiTheme="majorHAnsi"/>
          <w:i/>
          <w:szCs w:val="28"/>
        </w:rPr>
        <w:t>6.14</w:t>
      </w:r>
      <w:r>
        <w:rPr>
          <w:rFonts w:asciiTheme="majorHAnsi" w:hAnsiTheme="majorHAnsi"/>
          <w:i/>
          <w:szCs w:val="28"/>
        </w:rPr>
        <w:t xml:space="preserve"> </w:t>
      </w:r>
      <w:r w:rsidR="0049529F" w:rsidRPr="0049529F">
        <w:rPr>
          <w:rFonts w:asciiTheme="majorHAnsi" w:hAnsiTheme="majorHAnsi"/>
          <w:i/>
          <w:szCs w:val="28"/>
        </w:rPr>
        <w:t>Validation of hits in</w:t>
      </w:r>
      <w:r w:rsidR="004F41AE">
        <w:rPr>
          <w:rFonts w:asciiTheme="majorHAnsi" w:hAnsiTheme="majorHAnsi"/>
          <w:i/>
          <w:szCs w:val="28"/>
        </w:rPr>
        <w:t xml:space="preserve"> SW480</w:t>
      </w:r>
      <w:r w:rsidR="0049529F" w:rsidRPr="0049529F">
        <w:rPr>
          <w:rFonts w:asciiTheme="majorHAnsi" w:hAnsiTheme="majorHAnsi"/>
          <w:i/>
          <w:szCs w:val="28"/>
        </w:rPr>
        <w:t xml:space="preserve"> </w:t>
      </w:r>
      <w:r w:rsidR="002C2E2A">
        <w:rPr>
          <w:rFonts w:asciiTheme="majorHAnsi" w:hAnsiTheme="majorHAnsi"/>
          <w:i/>
          <w:szCs w:val="28"/>
        </w:rPr>
        <w:t>SRCAP knock</w:t>
      </w:r>
      <w:r w:rsidR="000C3DEE">
        <w:rPr>
          <w:rFonts w:asciiTheme="majorHAnsi" w:hAnsiTheme="majorHAnsi"/>
          <w:i/>
          <w:szCs w:val="28"/>
        </w:rPr>
        <w:t xml:space="preserve">down cells in </w:t>
      </w:r>
      <w:r w:rsidR="0049529F" w:rsidRPr="0049529F">
        <w:rPr>
          <w:rFonts w:asciiTheme="majorHAnsi" w:hAnsiTheme="majorHAnsi"/>
          <w:i/>
          <w:szCs w:val="28"/>
        </w:rPr>
        <w:t>another CRC cell line also shows comparable results</w:t>
      </w:r>
    </w:p>
    <w:p w14:paraId="2966A5F3" w14:textId="47AD0EF3" w:rsidR="00B305C3" w:rsidRDefault="0081505A" w:rsidP="0049529F">
      <w:pPr>
        <w:spacing w:line="360" w:lineRule="auto"/>
        <w:jc w:val="both"/>
        <w:rPr>
          <w:rFonts w:asciiTheme="majorHAnsi" w:hAnsiTheme="majorHAnsi"/>
          <w:i/>
        </w:rPr>
      </w:pPr>
      <w:r>
        <w:rPr>
          <w:rFonts w:asciiTheme="majorHAnsi" w:hAnsiTheme="majorHAnsi"/>
          <w:i/>
        </w:rPr>
        <w:t>6.15</w:t>
      </w:r>
      <w:r w:rsidRPr="00AE465B">
        <w:rPr>
          <w:b/>
          <w:i/>
          <w:sz w:val="22"/>
        </w:rPr>
        <w:t xml:space="preserve"> </w:t>
      </w:r>
      <w:r w:rsidR="00916545" w:rsidRPr="00916545">
        <w:rPr>
          <w:rFonts w:asciiTheme="majorHAnsi" w:hAnsiTheme="majorHAnsi"/>
          <w:i/>
        </w:rPr>
        <w:t>PHLDA2 and ELK3 validated fold changes are comparable to the original microarray fold changes</w:t>
      </w:r>
    </w:p>
    <w:p w14:paraId="23580CDB" w14:textId="45C9BF27" w:rsidR="00AE465B" w:rsidRPr="00AE465B" w:rsidRDefault="0081505A" w:rsidP="00AE465B">
      <w:pPr>
        <w:spacing w:line="360" w:lineRule="auto"/>
        <w:jc w:val="both"/>
        <w:rPr>
          <w:rFonts w:asciiTheme="majorHAnsi" w:hAnsiTheme="majorHAnsi"/>
          <w:b/>
          <w:i/>
        </w:rPr>
      </w:pPr>
      <w:r>
        <w:rPr>
          <w:rFonts w:asciiTheme="majorHAnsi" w:hAnsiTheme="majorHAnsi"/>
          <w:i/>
        </w:rPr>
        <w:t xml:space="preserve">6.16 </w:t>
      </w:r>
      <w:r w:rsidR="00AE465B" w:rsidRPr="00AE465B">
        <w:rPr>
          <w:rFonts w:asciiTheme="majorHAnsi" w:hAnsiTheme="majorHAnsi"/>
          <w:i/>
        </w:rPr>
        <w:t>CPA4 is also increased when SRCAP is knocked down</w:t>
      </w:r>
    </w:p>
    <w:p w14:paraId="501BB9B6" w14:textId="52B04E5D" w:rsidR="00916545" w:rsidRPr="00B305C3" w:rsidRDefault="00916545" w:rsidP="0049529F">
      <w:pPr>
        <w:spacing w:line="360" w:lineRule="auto"/>
        <w:jc w:val="both"/>
        <w:rPr>
          <w:rFonts w:asciiTheme="majorHAnsi" w:hAnsiTheme="majorHAnsi"/>
          <w:i/>
          <w:szCs w:val="28"/>
        </w:rPr>
      </w:pPr>
    </w:p>
    <w:p w14:paraId="137F9875" w14:textId="01C267C7" w:rsidR="007C58EA" w:rsidRPr="002F3CA3" w:rsidRDefault="007C58EA" w:rsidP="0049529F">
      <w:pPr>
        <w:spacing w:line="360" w:lineRule="auto"/>
        <w:jc w:val="both"/>
        <w:rPr>
          <w:rFonts w:asciiTheme="majorHAnsi" w:hAnsiTheme="majorHAnsi"/>
          <w:sz w:val="28"/>
          <w:szCs w:val="28"/>
        </w:rPr>
      </w:pPr>
      <w:r w:rsidRPr="002F3CA3">
        <w:rPr>
          <w:rFonts w:asciiTheme="majorHAnsi" w:hAnsiTheme="majorHAnsi"/>
          <w:sz w:val="28"/>
          <w:szCs w:val="28"/>
        </w:rPr>
        <w:br w:type="page"/>
      </w:r>
    </w:p>
    <w:p w14:paraId="21088E22" w14:textId="77777777" w:rsidR="007C58EA" w:rsidRDefault="007C58EA" w:rsidP="007C58EA">
      <w:pPr>
        <w:rPr>
          <w:rFonts w:asciiTheme="majorHAnsi" w:hAnsiTheme="majorHAnsi"/>
          <w:sz w:val="28"/>
          <w:szCs w:val="28"/>
          <w:u w:val="single"/>
        </w:rPr>
      </w:pPr>
      <w:r>
        <w:rPr>
          <w:rFonts w:asciiTheme="majorHAnsi" w:hAnsiTheme="majorHAnsi"/>
          <w:sz w:val="28"/>
          <w:szCs w:val="28"/>
          <w:u w:val="single"/>
        </w:rPr>
        <w:t>6</w:t>
      </w:r>
      <w:r w:rsidRPr="00DF6660">
        <w:rPr>
          <w:rFonts w:asciiTheme="majorHAnsi" w:hAnsiTheme="majorHAnsi"/>
          <w:sz w:val="28"/>
          <w:szCs w:val="28"/>
          <w:u w:val="single"/>
        </w:rPr>
        <w:t>.1 Introduction</w:t>
      </w:r>
    </w:p>
    <w:p w14:paraId="604168B8" w14:textId="77777777" w:rsidR="007C58EA" w:rsidRDefault="007C58EA" w:rsidP="007C58EA">
      <w:pPr>
        <w:rPr>
          <w:rFonts w:asciiTheme="majorHAnsi" w:hAnsiTheme="majorHAnsi"/>
          <w:sz w:val="28"/>
          <w:szCs w:val="28"/>
          <w:u w:val="single"/>
        </w:rPr>
      </w:pPr>
    </w:p>
    <w:p w14:paraId="485B47CA" w14:textId="564AE779" w:rsidR="007C58EA" w:rsidRDefault="00F54A17" w:rsidP="007C58EA">
      <w:pPr>
        <w:spacing w:line="360" w:lineRule="auto"/>
        <w:jc w:val="both"/>
        <w:rPr>
          <w:rFonts w:asciiTheme="majorHAnsi" w:hAnsiTheme="majorHAnsi"/>
        </w:rPr>
      </w:pPr>
      <w:r>
        <w:rPr>
          <w:rFonts w:asciiTheme="majorHAnsi" w:hAnsiTheme="majorHAnsi"/>
        </w:rPr>
        <w:t xml:space="preserve">In order to assess how the differing </w:t>
      </w:r>
      <w:r w:rsidRPr="00014036">
        <w:rPr>
          <w:rFonts w:asciiTheme="majorHAnsi" w:hAnsiTheme="majorHAnsi"/>
          <w:i/>
        </w:rPr>
        <w:t>SRCAP</w:t>
      </w:r>
      <w:r>
        <w:rPr>
          <w:rFonts w:asciiTheme="majorHAnsi" w:hAnsiTheme="majorHAnsi"/>
        </w:rPr>
        <w:t xml:space="preserve"> expression levels affect known pathways within the development and progression of cancer, genome-wide transcript levels were assessed in both </w:t>
      </w:r>
      <w:r w:rsidRPr="00014036">
        <w:rPr>
          <w:rFonts w:asciiTheme="majorHAnsi" w:hAnsiTheme="majorHAnsi"/>
          <w:i/>
        </w:rPr>
        <w:t>SRCAP</w:t>
      </w:r>
      <w:r>
        <w:rPr>
          <w:rFonts w:asciiTheme="majorHAnsi" w:hAnsiTheme="majorHAnsi"/>
        </w:rPr>
        <w:t xml:space="preserve"> ov</w:t>
      </w:r>
      <w:r w:rsidR="002C2E2A">
        <w:rPr>
          <w:rFonts w:asciiTheme="majorHAnsi" w:hAnsiTheme="majorHAnsi"/>
        </w:rPr>
        <w:t>er</w:t>
      </w:r>
      <w:r w:rsidR="00377382">
        <w:rPr>
          <w:rFonts w:asciiTheme="majorHAnsi" w:hAnsiTheme="majorHAnsi"/>
        </w:rPr>
        <w:t>-</w:t>
      </w:r>
      <w:r w:rsidR="002C2E2A">
        <w:rPr>
          <w:rFonts w:asciiTheme="majorHAnsi" w:hAnsiTheme="majorHAnsi"/>
        </w:rPr>
        <w:t>expression and knock</w:t>
      </w:r>
      <w:r>
        <w:rPr>
          <w:rFonts w:asciiTheme="majorHAnsi" w:hAnsiTheme="majorHAnsi"/>
        </w:rPr>
        <w:t xml:space="preserve">down cell populations. </w:t>
      </w:r>
      <w:r w:rsidR="007C58EA">
        <w:rPr>
          <w:rFonts w:asciiTheme="majorHAnsi" w:hAnsiTheme="majorHAnsi"/>
        </w:rPr>
        <w:t xml:space="preserve">For example, as previously mentioned </w:t>
      </w:r>
      <w:r w:rsidR="00377382">
        <w:rPr>
          <w:rFonts w:asciiTheme="majorHAnsi" w:hAnsiTheme="majorHAnsi"/>
        </w:rPr>
        <w:t xml:space="preserve">SRCAP has been </w:t>
      </w:r>
      <w:proofErr w:type="gramStart"/>
      <w:r w:rsidR="00377382">
        <w:rPr>
          <w:rFonts w:asciiTheme="majorHAnsi" w:hAnsiTheme="majorHAnsi"/>
        </w:rPr>
        <w:t>shown to be over-</w:t>
      </w:r>
      <w:r w:rsidR="007C58EA">
        <w:rPr>
          <w:rFonts w:asciiTheme="majorHAnsi" w:hAnsiTheme="majorHAnsi"/>
        </w:rPr>
        <w:t>expressed</w:t>
      </w:r>
      <w:proofErr w:type="gramEnd"/>
      <w:r w:rsidR="007C58EA">
        <w:rPr>
          <w:rFonts w:asciiTheme="majorHAnsi" w:hAnsiTheme="majorHAnsi"/>
        </w:rPr>
        <w:t xml:space="preserve"> within various cancers </w:t>
      </w:r>
      <w:r w:rsidR="007C58EA">
        <w:rPr>
          <w:rFonts w:asciiTheme="majorHAnsi" w:hAnsiTheme="majorHAns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U2x1cGlhbmVrIGV0IGFsLiwgMjAxMCwgU2FudGluIGV0IGFsLiwgMjAwNCk8L0Rpc3BsYXlUZXh0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</w:fldData>
        </w:fldChar>
      </w:r>
      <w:r w:rsidR="007C58EA">
        <w:rPr>
          <w:rFonts w:asciiTheme="majorHAnsi" w:hAnsiTheme="majorHAnsi"/>
        </w:rPr>
        <w:instrText xml:space="preserve"> ADDIN EN.CITE </w:instrText>
      </w:r>
      <w:r w:rsidR="007C58EA">
        <w:rPr>
          <w:rFonts w:asciiTheme="majorHAnsi" w:hAnsiTheme="majorHAns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U2x1cGlhbmVrIGV0IGFsLiwgMjAxMCwgU2FudGluIGV0IGFsLiwgMjAwNCk8L0Rpc3BsYXlUZXh0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</w:fldData>
        </w:fldChar>
      </w:r>
      <w:r w:rsidR="007C58EA">
        <w:rPr>
          <w:rFonts w:asciiTheme="majorHAnsi" w:hAnsiTheme="majorHAnsi"/>
        </w:rPr>
        <w:instrText xml:space="preserve"> ADDIN EN.CITE.DATA </w:instrText>
      </w:r>
      <w:r w:rsidR="007C58EA">
        <w:rPr>
          <w:rFonts w:asciiTheme="majorHAnsi" w:hAnsiTheme="majorHAnsi"/>
        </w:rPr>
      </w:r>
      <w:r w:rsidR="007C58EA">
        <w:rPr>
          <w:rFonts w:asciiTheme="majorHAnsi" w:hAnsiTheme="majorHAnsi"/>
        </w:rPr>
        <w:fldChar w:fldCharType="end"/>
      </w:r>
      <w:r w:rsidR="007C58EA">
        <w:rPr>
          <w:rFonts w:asciiTheme="majorHAnsi" w:hAnsiTheme="majorHAnsi"/>
        </w:rPr>
      </w:r>
      <w:r w:rsidR="007C58EA">
        <w:rPr>
          <w:rFonts w:asciiTheme="majorHAnsi" w:hAnsiTheme="majorHAnsi"/>
        </w:rPr>
        <w:fldChar w:fldCharType="separate"/>
      </w:r>
      <w:r w:rsidR="007C58EA">
        <w:rPr>
          <w:rFonts w:asciiTheme="majorHAnsi" w:hAnsiTheme="majorHAnsi"/>
          <w:noProof/>
        </w:rPr>
        <w:t>(Slupianek et al., 2010, Santin et al., 2004)</w:t>
      </w:r>
      <w:r w:rsidR="007C58EA">
        <w:rPr>
          <w:rFonts w:asciiTheme="majorHAnsi" w:hAnsiTheme="majorHAnsi"/>
        </w:rPr>
        <w:fldChar w:fldCharType="end"/>
      </w:r>
      <w:r w:rsidR="007C58EA">
        <w:rPr>
          <w:rFonts w:asciiTheme="majorHAnsi" w:hAnsiTheme="majorHAnsi"/>
        </w:rPr>
        <w:t>, and therefore thought to be a potential driver of tu</w:t>
      </w:r>
      <w:r>
        <w:rPr>
          <w:rFonts w:asciiTheme="majorHAnsi" w:hAnsiTheme="majorHAnsi"/>
        </w:rPr>
        <w:t>mour progression. As such, it was</w:t>
      </w:r>
      <w:r w:rsidR="00377382">
        <w:rPr>
          <w:rFonts w:asciiTheme="majorHAnsi" w:hAnsiTheme="majorHAnsi"/>
        </w:rPr>
        <w:t xml:space="preserve"> hypothesised that over-</w:t>
      </w:r>
      <w:r w:rsidR="007C58EA">
        <w:rPr>
          <w:rFonts w:asciiTheme="majorHAnsi" w:hAnsiTheme="majorHAnsi"/>
        </w:rPr>
        <w:t>expression of SRCAP would lead to an increase in H2A.Z incorporation into the nucleosome leading to an increase in transcription from the relaxed chromatin state</w:t>
      </w:r>
      <w:r w:rsidR="00F22224">
        <w:rPr>
          <w:rFonts w:asciiTheme="majorHAnsi" w:hAnsiTheme="majorHAnsi"/>
        </w:rPr>
        <w:t xml:space="preserve"> at promoters</w:t>
      </w:r>
      <w:r w:rsidR="007C58EA">
        <w:rPr>
          <w:rFonts w:asciiTheme="majorHAnsi" w:hAnsiTheme="majorHAnsi"/>
        </w:rPr>
        <w:t xml:space="preserve">. However, what transcriptional pathways this would impact on and how this </w:t>
      </w:r>
      <w:r>
        <w:rPr>
          <w:rFonts w:asciiTheme="majorHAnsi" w:hAnsiTheme="majorHAnsi"/>
        </w:rPr>
        <w:t xml:space="preserve">potentially </w:t>
      </w:r>
      <w:r w:rsidR="007C58EA">
        <w:rPr>
          <w:rFonts w:asciiTheme="majorHAnsi" w:hAnsiTheme="majorHAnsi"/>
        </w:rPr>
        <w:t xml:space="preserve">drives tumourigenesis is still unknown. </w:t>
      </w:r>
    </w:p>
    <w:p w14:paraId="70DDEE44" w14:textId="77777777" w:rsidR="007C58EA" w:rsidRDefault="007C58EA" w:rsidP="007C58EA">
      <w:pPr>
        <w:spacing w:line="360" w:lineRule="auto"/>
        <w:jc w:val="both"/>
        <w:rPr>
          <w:rFonts w:asciiTheme="majorHAnsi" w:hAnsiTheme="majorHAnsi"/>
        </w:rPr>
      </w:pPr>
    </w:p>
    <w:p w14:paraId="0D0A9766" w14:textId="3198A906" w:rsidR="007C58EA" w:rsidRDefault="007C58EA" w:rsidP="007C58EA">
      <w:pPr>
        <w:spacing w:line="360" w:lineRule="auto"/>
        <w:jc w:val="both"/>
        <w:rPr>
          <w:rFonts w:asciiTheme="majorHAnsi" w:hAnsiTheme="majorHAnsi"/>
        </w:rPr>
      </w:pPr>
      <w:r>
        <w:rPr>
          <w:rFonts w:asciiTheme="majorHAnsi" w:hAnsiTheme="majorHAnsi"/>
        </w:rPr>
        <w:t>Using a</w:t>
      </w:r>
      <w:r w:rsidR="00E04A51">
        <w:rPr>
          <w:rFonts w:asciiTheme="majorHAnsi" w:hAnsiTheme="majorHAnsi"/>
        </w:rPr>
        <w:t>n</w:t>
      </w:r>
      <w:r>
        <w:rPr>
          <w:rFonts w:asciiTheme="majorHAnsi" w:hAnsiTheme="majorHAnsi"/>
        </w:rPr>
        <w:t xml:space="preserve"> RNA microarray it was shown </w:t>
      </w:r>
      <w:r w:rsidR="00F54A17">
        <w:rPr>
          <w:rFonts w:asciiTheme="majorHAnsi" w:hAnsiTheme="majorHAnsi"/>
        </w:rPr>
        <w:t>previously that the knockdown o</w:t>
      </w:r>
      <w:r>
        <w:rPr>
          <w:rFonts w:asciiTheme="majorHAnsi" w:hAnsiTheme="majorHAnsi"/>
        </w:rPr>
        <w:t>f p400</w:t>
      </w:r>
      <w:r w:rsidR="00F54A17">
        <w:rPr>
          <w:rFonts w:asciiTheme="majorHAnsi" w:hAnsiTheme="majorHAnsi"/>
        </w:rPr>
        <w:t xml:space="preserve"> in HCT116 cells</w:t>
      </w:r>
      <w:r>
        <w:rPr>
          <w:rFonts w:asciiTheme="majorHAnsi" w:hAnsiTheme="majorHAnsi"/>
        </w:rPr>
        <w:t>, which is also up regulated in CRC and incorporates H2A.Z into nucleosomes, leads to a significant deregulation o</w:t>
      </w:r>
      <w:r w:rsidR="00F22224">
        <w:rPr>
          <w:rFonts w:asciiTheme="majorHAnsi" w:hAnsiTheme="majorHAnsi"/>
        </w:rPr>
        <w:t xml:space="preserve">f genes involved </w:t>
      </w:r>
      <w:r w:rsidR="00642915">
        <w:rPr>
          <w:rFonts w:asciiTheme="majorHAnsi" w:hAnsiTheme="majorHAnsi"/>
        </w:rPr>
        <w:t xml:space="preserve">in the WNT </w:t>
      </w:r>
      <w:r>
        <w:rPr>
          <w:rFonts w:asciiTheme="majorHAnsi" w:hAnsiTheme="majorHAnsi"/>
        </w:rPr>
        <w:t xml:space="preserve">pathway </w:t>
      </w:r>
      <w:r>
        <w:rPr>
          <w:rFonts w:asciiTheme="majorHAnsi" w:hAnsiTheme="majorHAnsi"/>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(Chevillard-Briet et al., 2014)</w:t>
      </w:r>
      <w:r>
        <w:rPr>
          <w:rFonts w:asciiTheme="majorHAnsi" w:hAnsiTheme="majorHAnsi"/>
        </w:rPr>
        <w:fldChar w:fldCharType="end"/>
      </w:r>
      <w:r w:rsidR="00642915">
        <w:rPr>
          <w:rFonts w:asciiTheme="majorHAnsi" w:hAnsiTheme="majorHAnsi"/>
        </w:rPr>
        <w:t xml:space="preserve">. The WNT </w:t>
      </w:r>
      <w:r>
        <w:rPr>
          <w:rFonts w:asciiTheme="majorHAnsi" w:hAnsiTheme="majorHAnsi"/>
        </w:rPr>
        <w:t>pathway plays a cent</w:t>
      </w:r>
      <w:r w:rsidR="00F22224">
        <w:rPr>
          <w:rFonts w:asciiTheme="majorHAnsi" w:hAnsiTheme="majorHAnsi"/>
        </w:rPr>
        <w:t>ral role in gene expression.</w:t>
      </w:r>
      <w:r w:rsidR="00642915">
        <w:rPr>
          <w:rFonts w:asciiTheme="majorHAnsi" w:hAnsiTheme="majorHAnsi"/>
        </w:rPr>
        <w:t xml:space="preserve"> WNT</w:t>
      </w:r>
      <w:r>
        <w:rPr>
          <w:rFonts w:asciiTheme="majorHAnsi" w:hAnsiTheme="majorHAnsi"/>
        </w:rPr>
        <w:t xml:space="preserve"> ligands bind to </w:t>
      </w:r>
      <w:proofErr w:type="gramStart"/>
      <w:r>
        <w:rPr>
          <w:rFonts w:asciiTheme="majorHAnsi" w:hAnsiTheme="majorHAnsi"/>
        </w:rPr>
        <w:t>Frizzled</w:t>
      </w:r>
      <w:proofErr w:type="gramEnd"/>
      <w:r>
        <w:rPr>
          <w:rFonts w:asciiTheme="majorHAnsi" w:hAnsiTheme="majorHAnsi"/>
        </w:rPr>
        <w:t xml:space="preserve"> receptors along with co-receptors such as LRP 5/6 on cell membranes which signals to intracellular phosphoprotein Dishevelled (</w:t>
      </w:r>
      <w:proofErr w:type="spellStart"/>
      <w:r>
        <w:rPr>
          <w:rFonts w:asciiTheme="majorHAnsi" w:hAnsiTheme="majorHAnsi"/>
        </w:rPr>
        <w:t>Dsh</w:t>
      </w:r>
      <w:proofErr w:type="spellEnd"/>
      <w:r>
        <w:rPr>
          <w:rFonts w:asciiTheme="majorHAnsi" w:hAnsiTheme="majorHAnsi"/>
        </w:rPr>
        <w:t>). This activatio</w:t>
      </w:r>
      <w:r w:rsidR="00642915">
        <w:rPr>
          <w:rFonts w:asciiTheme="majorHAnsi" w:hAnsiTheme="majorHAnsi"/>
        </w:rPr>
        <w:t>n then disrupts the negative WNT</w:t>
      </w:r>
      <w:r>
        <w:rPr>
          <w:rFonts w:asciiTheme="majorHAnsi" w:hAnsiTheme="majorHAnsi"/>
        </w:rPr>
        <w:t xml:space="preserve"> protein Axin by dephosphorylation. Axin is usually bound to adenomatosis polyposis coli (APC), protein phosphatase 2A (PP2A), glycogen synthase Kinase 3 (GSK3) and casein Kinase 1a (CK1a) in a destruction complex which targets </w:t>
      </w:r>
      <w:r>
        <w:rPr>
          <w:rFonts w:ascii="Calibri" w:hAnsi="Calibri"/>
        </w:rPr>
        <w:t>β</w:t>
      </w:r>
      <w:r>
        <w:rPr>
          <w:rFonts w:asciiTheme="majorHAnsi" w:hAnsiTheme="majorHAnsi"/>
        </w:rPr>
        <w:t xml:space="preserve">-catenin for ubiquitination and </w:t>
      </w:r>
      <w:r w:rsidR="00F22224">
        <w:rPr>
          <w:rFonts w:asciiTheme="majorHAnsi" w:hAnsiTheme="majorHAnsi"/>
        </w:rPr>
        <w:t>therefore</w:t>
      </w:r>
      <w:r>
        <w:rPr>
          <w:rFonts w:asciiTheme="majorHAnsi" w:hAnsiTheme="majorHAnsi"/>
        </w:rPr>
        <w:t xml:space="preserve"> proteasome degradation. However, when Axin becomes unstable </w:t>
      </w:r>
      <w:proofErr w:type="spellStart"/>
      <w:r>
        <w:rPr>
          <w:rFonts w:asciiTheme="majorHAnsi" w:hAnsiTheme="majorHAnsi"/>
        </w:rPr>
        <w:t>Dsh</w:t>
      </w:r>
      <w:proofErr w:type="spellEnd"/>
      <w:r>
        <w:rPr>
          <w:rFonts w:asciiTheme="majorHAnsi" w:hAnsiTheme="majorHAnsi"/>
        </w:rPr>
        <w:t xml:space="preserve"> is phosphorylated and </w:t>
      </w:r>
      <w:r>
        <w:rPr>
          <w:rFonts w:ascii="Calibri" w:hAnsi="Calibri"/>
        </w:rPr>
        <w:t>β</w:t>
      </w:r>
      <w:r>
        <w:rPr>
          <w:rFonts w:asciiTheme="majorHAnsi" w:hAnsiTheme="majorHAnsi"/>
        </w:rPr>
        <w:t xml:space="preserve">-catenin is able to accumulate within the nucleus and activate cellular responses through transcriptional complexes </w:t>
      </w:r>
      <w:r>
        <w:rPr>
          <w:rFonts w:asciiTheme="majorHAnsi" w:hAnsiTheme="majorHAnsi"/>
        </w:rPr>
        <w:fldChar w:fldCharType="begin"/>
      </w:r>
      <w:r>
        <w:rPr>
          <w:rFonts w:asciiTheme="majorHAnsi" w:hAnsiTheme="majorHAnsi"/>
        </w:rPr>
        <w:instrText xml:space="preserve"> ADDIN EN.CITE &lt;EndNote&gt;&lt;Cite&gt;&lt;Author&gt;Tabatabai&lt;/Author&gt;&lt;Year&gt;2017&lt;/Year&gt;&lt;IDText&gt;Targeting the Wnt Pathway in Cancer: A Review of Novel Therapeutics&lt;/IDText&gt;&lt;DisplayText&gt;(Tabatabai et al., 2017)&lt;/DisplayText&gt;&lt;record&gt;&lt;dates&gt;&lt;pub-dates&gt;&lt;date&gt;Jun&lt;/date&gt;&lt;/pub-dates&gt;&lt;year&gt;2017&lt;/year&gt;&lt;/dates&gt;&lt;urls&gt;&lt;related-urls&gt;&lt;url&gt;https://www.ncbi.nlm.nih.gov/pubmed/28653295&lt;/url&gt;&lt;/related-urls&gt;&lt;/urls&gt;&lt;isbn&gt;1776-260X&lt;/isbn&gt;&lt;titles&gt;&lt;title&gt;Targeting the Wnt Pathway in Cancer: A Review of Novel Therapeutics&lt;/title&gt;&lt;secondary-title&gt;Target Oncol&lt;/secondary-title&gt;&lt;/titles&gt;&lt;contributors&gt;&lt;authors&gt;&lt;author&gt;Tabatabai, R.&lt;/author&gt;&lt;author&gt;Linhares, Y.&lt;/author&gt;&lt;author&gt;Bolos, D.&lt;/author&gt;&lt;author&gt;Mita, M.&lt;/author&gt;&lt;author&gt;Mita, A.&lt;/author&gt;&lt;/authors&gt;&lt;/contributors&gt;&lt;edition&gt;2017/06/26&lt;/edition&gt;&lt;language&gt;eng&lt;/language&gt;&lt;added-date format="utc"&gt;1508761680&lt;/added-date&gt;&lt;ref-type name="Journal Article"&gt;17&lt;/ref-type&gt;&lt;rec-number&gt;294&lt;/rec-number&gt;&lt;last-updated-date format="utc"&gt;1508761680&lt;/last-updated-date&gt;&lt;accession-num&gt;28653295&lt;/accession-num&gt;&lt;electronic-resource-num&gt;10.1007/s11523-017-0507-4&lt;/electronic-resource-num&gt;&lt;/record&gt;&lt;/Cite&gt;&lt;/EndNote&gt;</w:instrText>
      </w:r>
      <w:r>
        <w:rPr>
          <w:rFonts w:asciiTheme="majorHAnsi" w:hAnsiTheme="majorHAnsi"/>
        </w:rPr>
        <w:fldChar w:fldCharType="separate"/>
      </w:r>
      <w:r>
        <w:rPr>
          <w:rFonts w:asciiTheme="majorHAnsi" w:hAnsiTheme="majorHAnsi"/>
          <w:noProof/>
        </w:rPr>
        <w:t>(Tabatabai et al., 2017)</w:t>
      </w:r>
      <w:r>
        <w:rPr>
          <w:rFonts w:asciiTheme="majorHAnsi" w:hAnsiTheme="majorHAnsi"/>
        </w:rPr>
        <w:fldChar w:fldCharType="end"/>
      </w:r>
      <w:r>
        <w:rPr>
          <w:rFonts w:asciiTheme="majorHAnsi" w:hAnsiTheme="majorHAnsi"/>
        </w:rPr>
        <w:t xml:space="preserve">. For example the accumulation of nucleic </w:t>
      </w:r>
      <w:r>
        <w:rPr>
          <w:rFonts w:ascii="Calibri" w:hAnsi="Calibri"/>
        </w:rPr>
        <w:t>β</w:t>
      </w:r>
      <w:r>
        <w:rPr>
          <w:rFonts w:asciiTheme="majorHAnsi" w:hAnsiTheme="majorHAnsi"/>
        </w:rPr>
        <w:t xml:space="preserve">-catenin can signal for the up-regulation of c-MYC and other cell cycle proteins like cyclin D1, by binding to transcription factor TCF/LEF, in order to increase transition from G1 to S phase and in fact the expression of both c-MYC and nucleic </w:t>
      </w:r>
      <w:r>
        <w:rPr>
          <w:rFonts w:ascii="Calibri" w:hAnsi="Calibri"/>
        </w:rPr>
        <w:t>β</w:t>
      </w:r>
      <w:r>
        <w:rPr>
          <w:rFonts w:asciiTheme="majorHAnsi" w:hAnsiTheme="majorHAnsi"/>
        </w:rPr>
        <w:t xml:space="preserve">-catenin has been shown to provide a worse prognosis in CRC </w:t>
      </w:r>
      <w:r w:rsidR="004F4ECC">
        <w:rPr>
          <w:rFonts w:asciiTheme="majorHAnsi" w:hAnsiTheme="majorHAnsi"/>
        </w:rPr>
        <w:t xml:space="preserve">than each alone </w:t>
      </w:r>
      <w:r>
        <w:rPr>
          <w:rFonts w:asciiTheme="majorHAnsi" w:hAnsiTheme="majorHAnsi"/>
        </w:rPr>
        <w:fldChar w:fldCharType="begin"/>
      </w:r>
      <w:r>
        <w:rPr>
          <w:rFonts w:asciiTheme="majorHAnsi" w:hAnsiTheme="majorHAnsi"/>
        </w:rPr>
        <w:instrText xml:space="preserve"> ADDIN EN.CITE &lt;EndNote&gt;&lt;Cite&gt;&lt;Author&gt;Bondi&lt;/Author&gt;&lt;Year&gt;2004&lt;/Year&gt;&lt;IDText&gt;Expression of non-membranous beta-catenin and gamma-catenin, c-Myc and cyclin D1 in relation to patient outcome in human colon adenocarcinomas&lt;/IDText&gt;&lt;DisplayText&gt;(Bondi et al., 2004)&lt;/DisplayText&gt;&lt;record&gt;&lt;dates&gt;&lt;pub-dates&gt;&lt;date&gt;Jan&lt;/date&gt;&lt;/pub-dates&gt;&lt;year&gt;2004&lt;/year&gt;&lt;/dates&gt;&lt;keywords&gt;&lt;keyword&gt;Adenocarcinoma&lt;/keyword&gt;&lt;keyword&gt;Adult&lt;/keyword&gt;&lt;keyword&gt;Aged&lt;/keyword&gt;&lt;keyword&gt;Aged, 80 and over&lt;/keyword&gt;&lt;keyword&gt;Biomarkers, Tumor&lt;/keyword&gt;&lt;keyword&gt;Colonic Neoplasms&lt;/keyword&gt;&lt;keyword&gt;Cyclin D1&lt;/keyword&gt;&lt;keyword&gt;Cytoskeletal Proteins&lt;/keyword&gt;&lt;keyword&gt;Desmoplakins&lt;/keyword&gt;&lt;keyword&gt;Female&lt;/keyword&gt;&lt;keyword&gt;Humans&lt;/keyword&gt;&lt;keyword&gt;Immunohistochemistry&lt;/keyword&gt;&lt;keyword&gt;Male&lt;/keyword&gt;&lt;keyword&gt;Middle Aged&lt;/keyword&gt;&lt;keyword&gt;Neoplasm Staging&lt;/keyword&gt;&lt;keyword&gt;Prognosis&lt;/keyword&gt;&lt;keyword&gt;Proto-Oncogene Proteins c-myc&lt;/keyword&gt;&lt;keyword&gt;Retrospective Studies&lt;/keyword&gt;&lt;keyword&gt;Trans-Activators&lt;/keyword&gt;&lt;keyword&gt;beta Catenin&lt;/keyword&gt;&lt;keyword&gt;gamma Catenin&lt;/keyword&gt;&lt;/keywords&gt;&lt;urls&gt;&lt;related-urls&gt;&lt;url&gt;https://www.ncbi.nlm.nih.gov/pubmed/14961975&lt;/url&gt;&lt;/related-urls&gt;&lt;/urls&gt;&lt;isbn&gt;0903-4641&lt;/isbn&gt;&lt;titles&gt;&lt;title&gt;Expression of non-membranous beta-catenin and gamma-catenin, c-Myc and cyclin D1 in relation to patient outcome in human colon adenocarcinomas&lt;/title&gt;&lt;secondary-title&gt;APMIS&lt;/secondary-title&gt;&lt;/titles&gt;&lt;pages&gt;49-56&lt;/pages&gt;&lt;number&gt;1&lt;/number&gt;&lt;contributors&gt;&lt;authors&gt;&lt;author&gt;Bondi, J.&lt;/author&gt;&lt;author&gt;Bukholm, G.&lt;/author&gt;&lt;author&gt;Nesland, J. M.&lt;/author&gt;&lt;author&gt;Bukholm, I. R.&lt;/author&gt;&lt;/authors&gt;&lt;/contributors&gt;&lt;language&gt;eng&lt;/language&gt;&lt;added-date format="utc"&gt;1508764411&lt;/added-date&gt;&lt;ref-type name="Journal Article"&gt;17&lt;/ref-type&gt;&lt;rec-number&gt;298&lt;/rec-number&gt;&lt;last-updated-date format="utc"&gt;1508764411&lt;/last-updated-date&gt;&lt;accession-num&gt;14961975&lt;/accession-num&gt;&lt;volume&gt;112&lt;/volume&gt;&lt;/record&gt;&lt;/Cite&gt;&lt;/EndNote&gt;</w:instrText>
      </w:r>
      <w:r>
        <w:rPr>
          <w:rFonts w:asciiTheme="majorHAnsi" w:hAnsiTheme="majorHAnsi"/>
        </w:rPr>
        <w:fldChar w:fldCharType="separate"/>
      </w:r>
      <w:r>
        <w:rPr>
          <w:rFonts w:asciiTheme="majorHAnsi" w:hAnsiTheme="majorHAnsi"/>
          <w:noProof/>
        </w:rPr>
        <w:t>(Bondi et al., 2004)</w:t>
      </w:r>
      <w:r>
        <w:rPr>
          <w:rFonts w:asciiTheme="majorHAnsi" w:hAnsiTheme="majorHAnsi"/>
        </w:rPr>
        <w:fldChar w:fldCharType="end"/>
      </w:r>
      <w:r w:rsidR="00F22224">
        <w:rPr>
          <w:rFonts w:asciiTheme="majorHAnsi" w:hAnsiTheme="majorHAnsi"/>
        </w:rPr>
        <w:t>. Further</w:t>
      </w:r>
      <w:r>
        <w:rPr>
          <w:rFonts w:asciiTheme="majorHAnsi" w:hAnsiTheme="majorHAnsi"/>
        </w:rPr>
        <w:t>more</w:t>
      </w:r>
      <w:r w:rsidR="00F22224">
        <w:rPr>
          <w:rFonts w:asciiTheme="majorHAnsi" w:hAnsiTheme="majorHAnsi"/>
        </w:rPr>
        <w:t>,</w:t>
      </w:r>
      <w:r>
        <w:rPr>
          <w:rFonts w:asciiTheme="majorHAnsi" w:hAnsiTheme="majorHAnsi"/>
        </w:rPr>
        <w:t xml:space="preserve"> in some cancers</w:t>
      </w:r>
      <w:r w:rsidR="00E04A51">
        <w:rPr>
          <w:rFonts w:asciiTheme="majorHAnsi" w:hAnsiTheme="majorHAnsi"/>
        </w:rPr>
        <w:t>,</w:t>
      </w:r>
      <w:r>
        <w:rPr>
          <w:rFonts w:asciiTheme="majorHAnsi" w:hAnsiTheme="majorHAnsi"/>
        </w:rPr>
        <w:t xml:space="preserve"> cells ha</w:t>
      </w:r>
      <w:r w:rsidR="00E04A51">
        <w:rPr>
          <w:rFonts w:asciiTheme="majorHAnsi" w:hAnsiTheme="majorHAnsi"/>
        </w:rPr>
        <w:t xml:space="preserve">ve become </w:t>
      </w:r>
      <w:r w:rsidR="00642915">
        <w:rPr>
          <w:rFonts w:asciiTheme="majorHAnsi" w:hAnsiTheme="majorHAnsi"/>
        </w:rPr>
        <w:t>independent of the WNT</w:t>
      </w:r>
      <w:r>
        <w:rPr>
          <w:rFonts w:asciiTheme="majorHAnsi" w:hAnsiTheme="majorHAnsi"/>
        </w:rPr>
        <w:t xml:space="preserve"> ligands by the mutation of downstream oncogenes/tumour suppressor genes that make the pathway constitutively active. </w:t>
      </w:r>
    </w:p>
    <w:p w14:paraId="3CE406A6" w14:textId="77777777" w:rsidR="00AC3592" w:rsidRDefault="00AC3592" w:rsidP="007C58EA">
      <w:pPr>
        <w:spacing w:line="360" w:lineRule="auto"/>
        <w:jc w:val="both"/>
        <w:rPr>
          <w:rFonts w:asciiTheme="majorHAnsi" w:hAnsiTheme="majorHAnsi"/>
        </w:rPr>
      </w:pPr>
    </w:p>
    <w:p w14:paraId="6A5EDEB9" w14:textId="77E310EE" w:rsidR="007C58EA" w:rsidRDefault="007C58EA" w:rsidP="007C58EA">
      <w:pPr>
        <w:spacing w:line="360" w:lineRule="auto"/>
        <w:jc w:val="both"/>
        <w:rPr>
          <w:rFonts w:asciiTheme="majorHAnsi" w:hAnsiTheme="majorHAnsi"/>
        </w:rPr>
      </w:pPr>
      <w:r>
        <w:rPr>
          <w:rFonts w:asciiTheme="majorHAnsi" w:hAnsiTheme="majorHAnsi"/>
        </w:rPr>
        <w:t xml:space="preserve">Further validation in this paper </w:t>
      </w:r>
      <w:r w:rsidR="00F22224">
        <w:rPr>
          <w:rFonts w:asciiTheme="majorHAnsi" w:hAnsiTheme="majorHAnsi"/>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sidR="00F22224">
        <w:rPr>
          <w:rFonts w:asciiTheme="majorHAnsi" w:hAnsiTheme="majorHAnsi"/>
        </w:rPr>
        <w:instrText xml:space="preserve"> ADDIN EN.CITE </w:instrText>
      </w:r>
      <w:r w:rsidR="00F22224">
        <w:rPr>
          <w:rFonts w:asciiTheme="majorHAnsi" w:hAnsiTheme="majorHAnsi"/>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sidR="00F22224">
        <w:rPr>
          <w:rFonts w:asciiTheme="majorHAnsi" w:hAnsiTheme="majorHAnsi"/>
        </w:rPr>
        <w:instrText xml:space="preserve"> ADDIN EN.CITE.DATA </w:instrText>
      </w:r>
      <w:r w:rsidR="00F22224">
        <w:rPr>
          <w:rFonts w:asciiTheme="majorHAnsi" w:hAnsiTheme="majorHAnsi"/>
        </w:rPr>
      </w:r>
      <w:r w:rsidR="00F22224">
        <w:rPr>
          <w:rFonts w:asciiTheme="majorHAnsi" w:hAnsiTheme="majorHAnsi"/>
        </w:rPr>
        <w:fldChar w:fldCharType="end"/>
      </w:r>
      <w:r w:rsidR="00F22224">
        <w:rPr>
          <w:rFonts w:asciiTheme="majorHAnsi" w:hAnsiTheme="majorHAnsi"/>
        </w:rPr>
      </w:r>
      <w:r w:rsidR="00F22224">
        <w:rPr>
          <w:rFonts w:asciiTheme="majorHAnsi" w:hAnsiTheme="majorHAnsi"/>
        </w:rPr>
        <w:fldChar w:fldCharType="separate"/>
      </w:r>
      <w:r w:rsidR="00F22224">
        <w:rPr>
          <w:rFonts w:asciiTheme="majorHAnsi" w:hAnsiTheme="majorHAnsi"/>
          <w:noProof/>
        </w:rPr>
        <w:t>(Chevillard-Briet et al., 2014)</w:t>
      </w:r>
      <w:r w:rsidR="00F22224">
        <w:rPr>
          <w:rFonts w:asciiTheme="majorHAnsi" w:hAnsiTheme="majorHAnsi"/>
        </w:rPr>
        <w:fldChar w:fldCharType="end"/>
      </w:r>
      <w:r w:rsidR="00F22224">
        <w:rPr>
          <w:rFonts w:asciiTheme="majorHAnsi" w:hAnsiTheme="majorHAnsi"/>
        </w:rPr>
        <w:t xml:space="preserve"> </w:t>
      </w:r>
      <w:r>
        <w:rPr>
          <w:rFonts w:asciiTheme="majorHAnsi" w:hAnsiTheme="majorHAnsi"/>
        </w:rPr>
        <w:t xml:space="preserve">showed that </w:t>
      </w:r>
      <w:r w:rsidR="00642915">
        <w:rPr>
          <w:rFonts w:asciiTheme="majorHAnsi" w:hAnsiTheme="majorHAnsi"/>
        </w:rPr>
        <w:t>p400 expression favoured the WNT</w:t>
      </w:r>
      <w:r>
        <w:rPr>
          <w:rFonts w:asciiTheme="majorHAnsi" w:hAnsiTheme="majorHAnsi"/>
        </w:rPr>
        <w:t xml:space="preserve"> pathway and t</w:t>
      </w:r>
      <w:r w:rsidRPr="00F64C75">
        <w:rPr>
          <w:rFonts w:asciiTheme="majorHAnsi" w:hAnsiTheme="majorHAnsi"/>
        </w:rPr>
        <w:t>herefore unregulated expression of p400 i</w:t>
      </w:r>
      <w:r w:rsidR="00642915">
        <w:rPr>
          <w:rFonts w:asciiTheme="majorHAnsi" w:hAnsiTheme="majorHAnsi"/>
        </w:rPr>
        <w:t>n CRC leads to activation of WNT</w:t>
      </w:r>
      <w:r w:rsidRPr="00F64C75">
        <w:rPr>
          <w:rFonts w:asciiTheme="majorHAnsi" w:hAnsiTheme="majorHAnsi"/>
        </w:rPr>
        <w:t xml:space="preserve"> target genes</w:t>
      </w:r>
      <w:r>
        <w:rPr>
          <w:rFonts w:asciiTheme="majorHAnsi" w:hAnsiTheme="majorHAnsi"/>
        </w:rPr>
        <w:t xml:space="preserve"> such as </w:t>
      </w:r>
      <w:r w:rsidRPr="00014036">
        <w:rPr>
          <w:rFonts w:asciiTheme="majorHAnsi" w:hAnsiTheme="majorHAnsi"/>
          <w:i/>
        </w:rPr>
        <w:t>PORCN</w:t>
      </w:r>
      <w:r>
        <w:rPr>
          <w:rFonts w:asciiTheme="majorHAnsi" w:hAnsiTheme="majorHAnsi"/>
        </w:rPr>
        <w:t xml:space="preserve"> and </w:t>
      </w:r>
      <w:r w:rsidRPr="00014036">
        <w:rPr>
          <w:rFonts w:asciiTheme="majorHAnsi" w:hAnsiTheme="majorHAnsi"/>
          <w:i/>
        </w:rPr>
        <w:t>FZD2</w:t>
      </w:r>
      <w:r w:rsidRPr="00F64C75">
        <w:rPr>
          <w:rFonts w:asciiTheme="majorHAnsi" w:hAnsiTheme="majorHAnsi"/>
        </w:rPr>
        <w:t xml:space="preserve">, which drives </w:t>
      </w:r>
      <w:r w:rsidR="00FA1353">
        <w:rPr>
          <w:rFonts w:asciiTheme="majorHAnsi" w:hAnsiTheme="majorHAnsi"/>
        </w:rPr>
        <w:t xml:space="preserve">the </w:t>
      </w:r>
      <w:r w:rsidRPr="00F64C75">
        <w:rPr>
          <w:rFonts w:asciiTheme="majorHAnsi" w:hAnsiTheme="majorHAnsi"/>
        </w:rPr>
        <w:t>cellular proliferation</w:t>
      </w:r>
      <w:r w:rsidRPr="00C967F0">
        <w:rPr>
          <w:rFonts w:asciiTheme="majorHAnsi" w:hAnsiTheme="majorHAnsi"/>
        </w:rPr>
        <w:t xml:space="preserve"> </w:t>
      </w:r>
      <w:r>
        <w:rPr>
          <w:rFonts w:asciiTheme="majorHAnsi" w:hAnsiTheme="majorHAnsi"/>
        </w:rPr>
        <w:t xml:space="preserve">pathway. </w:t>
      </w:r>
      <w:r w:rsidRPr="00F64C75">
        <w:rPr>
          <w:rFonts w:asciiTheme="majorHAnsi" w:hAnsiTheme="majorHAnsi"/>
        </w:rPr>
        <w:t xml:space="preserve"> </w:t>
      </w:r>
      <w:r w:rsidR="00AC3592">
        <w:rPr>
          <w:rFonts w:asciiTheme="majorHAnsi" w:hAnsiTheme="majorHAnsi"/>
        </w:rPr>
        <w:t>O</w:t>
      </w:r>
      <w:r>
        <w:rPr>
          <w:rFonts w:asciiTheme="majorHAnsi" w:hAnsiTheme="majorHAnsi"/>
        </w:rPr>
        <w:t>win</w:t>
      </w:r>
      <w:r w:rsidR="00642915">
        <w:rPr>
          <w:rFonts w:asciiTheme="majorHAnsi" w:hAnsiTheme="majorHAnsi"/>
        </w:rPr>
        <w:t>g to the significance of the WNT</w:t>
      </w:r>
      <w:r>
        <w:rPr>
          <w:rFonts w:asciiTheme="majorHAnsi" w:hAnsiTheme="majorHAnsi"/>
        </w:rPr>
        <w:t xml:space="preserve"> pathway in a variety of cancers i</w:t>
      </w:r>
      <w:r w:rsidR="00377382">
        <w:rPr>
          <w:rFonts w:asciiTheme="majorHAnsi" w:hAnsiTheme="majorHAnsi"/>
        </w:rPr>
        <w:t>t may be that p400 is also over-</w:t>
      </w:r>
      <w:r>
        <w:rPr>
          <w:rFonts w:asciiTheme="majorHAnsi" w:hAnsiTheme="majorHAnsi"/>
        </w:rPr>
        <w:t>expressed in more than just CRC. It</w:t>
      </w:r>
      <w:r w:rsidR="00642915">
        <w:rPr>
          <w:rFonts w:asciiTheme="majorHAnsi" w:hAnsiTheme="majorHAnsi"/>
        </w:rPr>
        <w:t xml:space="preserve"> is interesting to note that WNT</w:t>
      </w:r>
      <w:r>
        <w:rPr>
          <w:rFonts w:asciiTheme="majorHAnsi" w:hAnsiTheme="majorHAnsi"/>
        </w:rPr>
        <w:t xml:space="preserve"> signalling pathway mutations were found in 94% of CRC by the TCGA, so it is already a highly prevalent pathway for </w:t>
      </w:r>
      <w:r w:rsidR="00F22224">
        <w:rPr>
          <w:rFonts w:asciiTheme="majorHAnsi" w:hAnsiTheme="majorHAnsi"/>
        </w:rPr>
        <w:t xml:space="preserve">development of </w:t>
      </w:r>
      <w:r>
        <w:rPr>
          <w:rFonts w:asciiTheme="majorHAnsi" w:hAnsiTheme="majorHAnsi"/>
        </w:rPr>
        <w:t>therapeutic</w:t>
      </w:r>
      <w:r w:rsidR="00F22224">
        <w:rPr>
          <w:rFonts w:asciiTheme="majorHAnsi" w:hAnsiTheme="majorHAnsi"/>
        </w:rPr>
        <w:t>s</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ADDIN EN.CITE &lt;EndNote&gt;&lt;Cite&gt;&lt;Author&gt;Tabatabai&lt;/Author&gt;&lt;Year&gt;2017&lt;/Year&gt;&lt;IDText&gt;Targeting the Wnt Pathway in Cancer: A Review of Novel Therapeutics&lt;/IDText&gt;&lt;DisplayText&gt;(Tabatabai et al., 2017)&lt;/DisplayText&gt;&lt;record&gt;&lt;dates&gt;&lt;pub-dates&gt;&lt;date&gt;Jun&lt;/date&gt;&lt;/pub-dates&gt;&lt;year&gt;2017&lt;/year&gt;&lt;/dates&gt;&lt;urls&gt;&lt;related-urls&gt;&lt;url&gt;https://www.ncbi.nlm.nih.gov/pubmed/28653295&lt;/url&gt;&lt;/related-urls&gt;&lt;/urls&gt;&lt;isbn&gt;1776-260X&lt;/isbn&gt;&lt;titles&gt;&lt;title&gt;Targeting the Wnt Pathway in Cancer: A Review of Novel Therapeutics&lt;/title&gt;&lt;secondary-title&gt;Target Oncol&lt;/secondary-title&gt;&lt;/titles&gt;&lt;contributors&gt;&lt;authors&gt;&lt;author&gt;Tabatabai, R.&lt;/author&gt;&lt;author&gt;Linhares, Y.&lt;/author&gt;&lt;author&gt;Bolos, D.&lt;/author&gt;&lt;author&gt;Mita, M.&lt;/author&gt;&lt;author&gt;Mita, A.&lt;/author&gt;&lt;/authors&gt;&lt;/contributors&gt;&lt;edition&gt;2017/06/26&lt;/edition&gt;&lt;language&gt;eng&lt;/language&gt;&lt;added-date format="utc"&gt;1508761680&lt;/added-date&gt;&lt;ref-type name="Journal Article"&gt;17&lt;/ref-type&gt;&lt;rec-number&gt;294&lt;/rec-number&gt;&lt;last-updated-date format="utc"&gt;1508761680&lt;/last-updated-date&gt;&lt;accession-num&gt;28653295&lt;/accession-num&gt;&lt;electronic-resource-num&gt;10.1007/s11523-017-0507-4&lt;/electronic-resource-num&gt;&lt;/record&gt;&lt;/Cite&gt;&lt;/EndNote&gt;</w:instrText>
      </w:r>
      <w:r>
        <w:rPr>
          <w:rFonts w:asciiTheme="majorHAnsi" w:hAnsiTheme="majorHAnsi"/>
        </w:rPr>
        <w:fldChar w:fldCharType="separate"/>
      </w:r>
      <w:r>
        <w:rPr>
          <w:rFonts w:asciiTheme="majorHAnsi" w:hAnsiTheme="majorHAnsi"/>
          <w:noProof/>
        </w:rPr>
        <w:t>(Tabatabai et al., 2017)</w:t>
      </w:r>
      <w:r>
        <w:rPr>
          <w:rFonts w:asciiTheme="majorHAnsi" w:hAnsiTheme="majorHAnsi"/>
        </w:rPr>
        <w:fldChar w:fldCharType="end"/>
      </w:r>
      <w:r>
        <w:rPr>
          <w:rFonts w:asciiTheme="majorHAnsi" w:hAnsiTheme="majorHAnsi"/>
        </w:rPr>
        <w:t>. This is in part owing to the rol</w:t>
      </w:r>
      <w:r w:rsidR="00642915">
        <w:rPr>
          <w:rFonts w:asciiTheme="majorHAnsi" w:hAnsiTheme="majorHAnsi"/>
        </w:rPr>
        <w:t>e that APC plays within the WNT</w:t>
      </w:r>
      <w:r>
        <w:rPr>
          <w:rFonts w:asciiTheme="majorHAnsi" w:hAnsiTheme="majorHAnsi"/>
        </w:rPr>
        <w:t xml:space="preserve"> pathway and the fact that</w:t>
      </w:r>
      <w:r w:rsidR="00F22224">
        <w:rPr>
          <w:rFonts w:asciiTheme="majorHAnsi" w:hAnsiTheme="majorHAnsi"/>
        </w:rPr>
        <w:t xml:space="preserve"> this gene is highly mutated </w:t>
      </w:r>
      <w:r>
        <w:rPr>
          <w:rFonts w:asciiTheme="majorHAnsi" w:hAnsiTheme="majorHAnsi"/>
        </w:rPr>
        <w:t>in CRC, so tumours di</w:t>
      </w:r>
      <w:r w:rsidR="00FA1353">
        <w:rPr>
          <w:rFonts w:asciiTheme="majorHAnsi" w:hAnsiTheme="majorHAnsi"/>
        </w:rPr>
        <w:t xml:space="preserve">splaying deficient APC </w:t>
      </w:r>
      <w:r w:rsidR="00F22224">
        <w:rPr>
          <w:rFonts w:asciiTheme="majorHAnsi" w:hAnsiTheme="majorHAnsi"/>
        </w:rPr>
        <w:t xml:space="preserve">have </w:t>
      </w:r>
      <w:r w:rsidR="00642915">
        <w:rPr>
          <w:rFonts w:asciiTheme="majorHAnsi" w:hAnsiTheme="majorHAnsi"/>
        </w:rPr>
        <w:t>constitutively active WNT</w:t>
      </w:r>
      <w:r>
        <w:rPr>
          <w:rFonts w:asciiTheme="majorHAnsi" w:hAnsiTheme="majorHAnsi"/>
        </w:rPr>
        <w:t xml:space="preserve"> signalling </w:t>
      </w:r>
      <w:r>
        <w:rPr>
          <w:rFonts w:asciiTheme="majorHAnsi" w:hAnsiTheme="majorHAnsi"/>
        </w:rPr>
        <w:fldChar w:fldCharType="begin"/>
      </w:r>
      <w:r>
        <w:rPr>
          <w:rFonts w:asciiTheme="majorHAnsi" w:hAnsiTheme="majorHAnsi"/>
        </w:rPr>
        <w:instrText xml:space="preserve"> ADDIN EN.CITE &lt;EndNote&gt;&lt;Cite&gt;&lt;Author&gt;Novellasdemunt&lt;/Author&gt;&lt;Year&gt;2015&lt;/Year&gt;&lt;IDText&gt;Targeting Wnt signaling in colorectal cancer. A Review in the Theme: Cell Signaling: Proteins, Pathways and Mechanisms&lt;/IDText&gt;&lt;DisplayText&gt;(Novellasdemunt et al., 2015)&lt;/DisplayText&gt;&lt;record&gt;&lt;dates&gt;&lt;pub-dates&gt;&lt;date&gt;Oct&lt;/date&gt;&lt;/pub-dates&gt;&lt;year&gt;2015&lt;/year&gt;&lt;/dates&gt;&lt;keywords&gt;&lt;keyword&gt;Animals&lt;/keyword&gt;&lt;keyword&gt;Antineoplastic Agents&lt;/keyword&gt;&lt;keyword&gt;Colorectal Neoplasms&lt;/keyword&gt;&lt;keyword&gt;Humans&lt;/keyword&gt;&lt;keyword&gt;Wnt Signaling Pathway&lt;/keyword&gt;&lt;/keywords&gt;&lt;urls&gt;&lt;related-urls&gt;&lt;url&gt;https://www.ncbi.nlm.nih.gov/pubmed/26289750&lt;/url&gt;&lt;/related-urls&gt;&lt;/urls&gt;&lt;isbn&gt;1522-1563&lt;/isbn&gt;&lt;custom2&gt;PMC4609654&lt;/custom2&gt;&lt;titles&gt;&lt;title&gt;Targeting Wnt signaling in colorectal cancer. A Review in the Theme: Cell Signaling: Proteins, Pathways and Mechanisms&lt;/title&gt;&lt;secondary-title&gt;Am J Physiol Cell Physiol&lt;/secondary-title&gt;&lt;/titles&gt;&lt;pages&gt;C511-21&lt;/pages&gt;&lt;number&gt;8&lt;/number&gt;&lt;contributors&gt;&lt;authors&gt;&lt;author&gt;Novellasdemunt, L.&lt;/author&gt;&lt;author&gt;Antas, P.&lt;/author&gt;&lt;author&gt;Li, V. S.&lt;/author&gt;&lt;/authors&gt;&lt;/contributors&gt;&lt;edition&gt;2015/08/19&lt;/edition&gt;&lt;language&gt;eng&lt;/language&gt;&lt;added-date format="utc"&gt;1508766319&lt;/added-date&gt;&lt;ref-type name="Journal Article"&gt;17&lt;/ref-type&gt;&lt;rec-number&gt;299&lt;/rec-number&gt;&lt;last-updated-date format="utc"&gt;1508766319&lt;/last-updated-date&gt;&lt;accession-num&gt;26289750&lt;/accession-num&gt;&lt;electronic-resource-num&gt;10.1152/ajpcell.00117.2015&lt;/electronic-resource-num&gt;&lt;volume&gt;309&lt;/volume&gt;&lt;/record&gt;&lt;/Cite&gt;&lt;/EndNote&gt;</w:instrText>
      </w:r>
      <w:r>
        <w:rPr>
          <w:rFonts w:asciiTheme="majorHAnsi" w:hAnsiTheme="majorHAnsi"/>
        </w:rPr>
        <w:fldChar w:fldCharType="separate"/>
      </w:r>
      <w:r>
        <w:rPr>
          <w:rFonts w:asciiTheme="majorHAnsi" w:hAnsiTheme="majorHAnsi"/>
          <w:noProof/>
        </w:rPr>
        <w:t>(Novellasdemunt et al., 2015)</w:t>
      </w:r>
      <w:r>
        <w:rPr>
          <w:rFonts w:asciiTheme="majorHAnsi" w:hAnsiTheme="majorHAnsi"/>
        </w:rPr>
        <w:fldChar w:fldCharType="end"/>
      </w:r>
      <w:r>
        <w:rPr>
          <w:rFonts w:asciiTheme="majorHAnsi" w:hAnsiTheme="majorHAnsi"/>
        </w:rPr>
        <w:t xml:space="preserve">. </w:t>
      </w:r>
      <w:r w:rsidR="00F22224">
        <w:rPr>
          <w:rFonts w:asciiTheme="majorHAnsi" w:hAnsiTheme="majorHAnsi"/>
        </w:rPr>
        <w:t>Given there similar roles, t</w:t>
      </w:r>
      <w:r w:rsidRPr="00F64C75">
        <w:rPr>
          <w:rFonts w:asciiTheme="majorHAnsi" w:hAnsiTheme="majorHAnsi"/>
        </w:rPr>
        <w:t>his hy</w:t>
      </w:r>
      <w:r>
        <w:rPr>
          <w:rFonts w:asciiTheme="majorHAnsi" w:hAnsiTheme="majorHAnsi"/>
        </w:rPr>
        <w:t>per-proliferative role of p400 c</w:t>
      </w:r>
      <w:r w:rsidRPr="00F64C75">
        <w:rPr>
          <w:rFonts w:asciiTheme="majorHAnsi" w:hAnsiTheme="majorHAnsi"/>
        </w:rPr>
        <w:t xml:space="preserve">ould therefore be expected to potentially </w:t>
      </w:r>
      <w:r w:rsidR="00F22224">
        <w:rPr>
          <w:rFonts w:asciiTheme="majorHAnsi" w:hAnsiTheme="majorHAnsi"/>
        </w:rPr>
        <w:t xml:space="preserve">also apply to </w:t>
      </w:r>
      <w:r w:rsidRPr="00F64C75">
        <w:rPr>
          <w:rFonts w:asciiTheme="majorHAnsi" w:hAnsiTheme="majorHAnsi"/>
        </w:rPr>
        <w:t>SRCAP</w:t>
      </w:r>
      <w:r w:rsidR="00F22224">
        <w:rPr>
          <w:rFonts w:asciiTheme="majorHAnsi" w:hAnsiTheme="majorHAnsi"/>
        </w:rPr>
        <w:t>,</w:t>
      </w:r>
      <w:r w:rsidRPr="00F64C75">
        <w:rPr>
          <w:rFonts w:asciiTheme="majorHAnsi" w:hAnsiTheme="majorHAnsi"/>
        </w:rPr>
        <w:t xml:space="preserve"> with </w:t>
      </w:r>
      <w:r w:rsidR="00642915">
        <w:rPr>
          <w:rFonts w:asciiTheme="majorHAnsi" w:hAnsiTheme="majorHAnsi"/>
        </w:rPr>
        <w:t>a possible link to the WNT</w:t>
      </w:r>
      <w:r>
        <w:rPr>
          <w:rFonts w:asciiTheme="majorHAnsi" w:hAnsiTheme="majorHAnsi"/>
        </w:rPr>
        <w:t xml:space="preserve">-pathway when SRCAP is deregulated. </w:t>
      </w:r>
    </w:p>
    <w:p w14:paraId="549341A9" w14:textId="77777777" w:rsidR="007C58EA" w:rsidRDefault="007C58EA" w:rsidP="007C58EA">
      <w:pPr>
        <w:spacing w:line="360" w:lineRule="auto"/>
        <w:jc w:val="both"/>
        <w:rPr>
          <w:rFonts w:asciiTheme="majorHAnsi" w:hAnsiTheme="majorHAnsi"/>
        </w:rPr>
      </w:pPr>
    </w:p>
    <w:p w14:paraId="304AE429" w14:textId="1D6F1397" w:rsidR="007C58EA" w:rsidRDefault="007C58EA" w:rsidP="007C58EA">
      <w:pPr>
        <w:spacing w:line="360" w:lineRule="auto"/>
        <w:jc w:val="both"/>
        <w:rPr>
          <w:rFonts w:asciiTheme="majorHAnsi" w:hAnsiTheme="majorHAnsi"/>
        </w:rPr>
      </w:pPr>
      <w:r>
        <w:rPr>
          <w:rFonts w:asciiTheme="majorHAnsi" w:hAnsiTheme="majorHAnsi"/>
        </w:rPr>
        <w:t>The Affymetrix Genechip microarray used in this c</w:t>
      </w:r>
      <w:r w:rsidR="00F22224">
        <w:rPr>
          <w:rFonts w:asciiTheme="majorHAnsi" w:hAnsiTheme="majorHAnsi"/>
        </w:rPr>
        <w:t>hapter contains oligonucleotide</w:t>
      </w:r>
      <w:r>
        <w:rPr>
          <w:rFonts w:asciiTheme="majorHAnsi" w:hAnsiTheme="majorHAnsi"/>
        </w:rPr>
        <w:t xml:space="preserve"> probes for each 3’ unique region of the genes directly synthesized onto a glass wafer; there are millions of copies of the single stranded oligonucleotides </w:t>
      </w:r>
      <w:r w:rsidR="00F22224">
        <w:rPr>
          <w:rFonts w:asciiTheme="majorHAnsi" w:hAnsiTheme="majorHAnsi"/>
        </w:rPr>
        <w:t>each</w:t>
      </w:r>
      <w:r>
        <w:rPr>
          <w:rFonts w:asciiTheme="majorHAnsi" w:hAnsiTheme="majorHAnsi"/>
        </w:rPr>
        <w:t xml:space="preserve"> around 25 base pairs</w:t>
      </w:r>
      <w:r w:rsidR="00F22224">
        <w:rPr>
          <w:rFonts w:asciiTheme="majorHAnsi" w:hAnsiTheme="majorHAnsi"/>
        </w:rPr>
        <w:t>,</w:t>
      </w:r>
      <w:r>
        <w:rPr>
          <w:rFonts w:asciiTheme="majorHAnsi" w:hAnsiTheme="majorHAnsi"/>
        </w:rPr>
        <w:t xml:space="preserve"> built up in each location, meaning </w:t>
      </w:r>
      <w:r w:rsidR="00E04A51">
        <w:rPr>
          <w:rFonts w:asciiTheme="majorHAnsi" w:hAnsiTheme="majorHAnsi"/>
        </w:rPr>
        <w:t xml:space="preserve">expression levels </w:t>
      </w:r>
      <w:r w:rsidR="00F22224">
        <w:rPr>
          <w:rFonts w:asciiTheme="majorHAnsi" w:hAnsiTheme="majorHAnsi"/>
        </w:rPr>
        <w:t xml:space="preserve">of </w:t>
      </w:r>
      <w:r>
        <w:rPr>
          <w:rFonts w:asciiTheme="majorHAnsi" w:hAnsiTheme="majorHAnsi"/>
        </w:rPr>
        <w:t>up to 47,000 transcript</w:t>
      </w:r>
      <w:r w:rsidR="00E04A51">
        <w:rPr>
          <w:rFonts w:asciiTheme="majorHAnsi" w:hAnsiTheme="majorHAnsi"/>
        </w:rPr>
        <w:t>s</w:t>
      </w:r>
      <w:r>
        <w:rPr>
          <w:rFonts w:asciiTheme="majorHAnsi" w:hAnsiTheme="majorHAnsi"/>
        </w:rPr>
        <w:t xml:space="preserve"> can be analysed. Within the regions there are perfect match probes as well as mismatch probes, which differ by a single base pair, which allows for the calculation of any background or non-specific hybridisation, as the sample injected onto the array should not bind to the mismatch probe </w:t>
      </w:r>
      <w:r>
        <w:rPr>
          <w:rFonts w:asciiTheme="majorHAnsi" w:hAnsiTheme="majorHAnsi"/>
        </w:rPr>
        <w:fldChar w:fldCharType="begin"/>
      </w:r>
      <w:r>
        <w:rPr>
          <w:rFonts w:asciiTheme="majorHAnsi" w:hAnsiTheme="majorHAnsi"/>
        </w:rPr>
        <w:instrText xml:space="preserve"> ADDIN EN.CITE &lt;EndNote&gt;&lt;Cite&gt;&lt;Author&gt;Schinke-Braun&lt;/Author&gt;&lt;Year&gt;2007&lt;/Year&gt;&lt;IDText&gt;Expression profiling using affymetrix genechip probe arrays&lt;/IDText&gt;&lt;DisplayText&gt;(Schinke-Braun and Couget, 2007)&lt;/DisplayText&gt;&lt;record&gt;&lt;keywords&gt;&lt;keyword&gt;Algorithms&lt;/keyword&gt;&lt;keyword&gt;Animals&lt;/keyword&gt;&lt;keyword&gt;Gene Expression Profiling&lt;/keyword&gt;&lt;keyword&gt;Gene Expression Regulation&lt;/keyword&gt;&lt;keyword&gt;Heart&lt;/keyword&gt;&lt;keyword&gt;Humans&lt;/keyword&gt;&lt;keyword&gt;Mice&lt;/keyword&gt;&lt;keyword&gt;Models, Genetic&lt;/keyword&gt;&lt;keyword&gt;Nucleic Acid Hybridization&lt;/keyword&gt;&lt;keyword&gt;Oligonucleotide Array Sequence Analysis&lt;/keyword&gt;&lt;keyword&gt;RNA, Messenger&lt;/keyword&gt;&lt;keyword&gt;Rats&lt;/keyword&gt;&lt;/keywords&gt;&lt;urls&gt;&lt;related-urls&gt;&lt;url&gt;https://www.ncbi.nlm.nih.gov/pubmed/17568117&lt;/url&gt;&lt;/related-urls&gt;&lt;/urls&gt;&lt;isbn&gt;1064-3745&lt;/isbn&gt;&lt;titles&gt;&lt;title&gt;Expression profiling using affymetrix genechip probe arrays&lt;/title&gt;&lt;secondary-title&gt;Methods Mol Biol&lt;/secondary-title&gt;&lt;/titles&gt;&lt;pages&gt;13-40&lt;/pages&gt;&lt;contributors&gt;&lt;authors&gt;&lt;author&gt;Schinke-Braun, M.&lt;/author&gt;&lt;author&gt;Couget, J. A.&lt;/author&gt;&lt;/authors&gt;&lt;/contributors&gt;&lt;language&gt;eng&lt;/language&gt;&lt;added-date format="utc"&gt;1508763017&lt;/added-date&gt;&lt;ref-type name="Journal Article"&gt;17&lt;/ref-type&gt;&lt;dates&gt;&lt;year&gt;2007&lt;/year&gt;&lt;/dates&gt;&lt;rec-number&gt;297&lt;/rec-number&gt;&lt;last-updated-date format="utc"&gt;1508763017&lt;/last-updated-date&gt;&lt;accession-num&gt;17568117&lt;/accession-num&gt;&lt;electronic-resource-num&gt;10.1007/978-1-59745-030-0_2&lt;/electronic-resource-num&gt;&lt;volume&gt;366&lt;/volume&gt;&lt;/record&gt;&lt;/Cite&gt;&lt;/EndNote&gt;</w:instrText>
      </w:r>
      <w:r>
        <w:rPr>
          <w:rFonts w:asciiTheme="majorHAnsi" w:hAnsiTheme="majorHAnsi"/>
        </w:rPr>
        <w:fldChar w:fldCharType="separate"/>
      </w:r>
      <w:r>
        <w:rPr>
          <w:rFonts w:asciiTheme="majorHAnsi" w:hAnsiTheme="majorHAnsi"/>
          <w:noProof/>
        </w:rPr>
        <w:t>(Schinke-Braun and Couget, 2007)</w:t>
      </w:r>
      <w:r>
        <w:rPr>
          <w:rFonts w:asciiTheme="majorHAnsi" w:hAnsiTheme="majorHAnsi"/>
        </w:rPr>
        <w:fldChar w:fldCharType="end"/>
      </w:r>
      <w:r>
        <w:rPr>
          <w:rFonts w:asciiTheme="majorHAnsi" w:hAnsiTheme="majorHAnsi"/>
        </w:rPr>
        <w:t xml:space="preserve">. The advancement of RNA microarray technology from the first microarray in 1995 </w:t>
      </w:r>
      <w:r w:rsidR="00AC3592">
        <w:rPr>
          <w:rFonts w:asciiTheme="majorHAnsi" w:hAnsiTheme="majorHAnsi"/>
        </w:rPr>
        <w:fldChar w:fldCharType="begin"/>
      </w:r>
      <w:r w:rsidR="00AC3592">
        <w:rPr>
          <w:rFonts w:asciiTheme="majorHAnsi" w:hAnsiTheme="majorHAnsi"/>
        </w:rPr>
        <w:instrText xml:space="preserve"> ADDIN EN.CITE &lt;EndNote&gt;&lt;Cite&gt;&lt;Author&gt;Schena&lt;/Author&gt;&lt;Year&gt;1995&lt;/Year&gt;&lt;IDText&gt;Quantitative monitoring of gene expression patterns with a complementary DNA microarray&lt;/IDText&gt;&lt;DisplayText&gt;(Schena et al., 1995)&lt;/DisplayText&gt;&lt;record&gt;&lt;dates&gt;&lt;pub-dates&gt;&lt;date&gt;Oct&lt;/date&gt;&lt;/pub-dates&gt;&lt;year&gt;1995&lt;/year&gt;&lt;/dates&gt;&lt;keywords&gt;&lt;keyword&gt;Arabidopsis&lt;/keyword&gt;&lt;keyword&gt;Arabidopsis Proteins&lt;/keyword&gt;&lt;keyword&gt;DNA, Complementary&lt;/keyword&gt;&lt;keyword&gt;DNA, Plant&lt;/keyword&gt;&lt;keyword&gt;DNA-Binding Proteins&lt;/keyword&gt;&lt;keyword&gt;Gene Expression&lt;/keyword&gt;&lt;keyword&gt;Genes, Plant&lt;/keyword&gt;&lt;keyword&gt;Genetic Techniques&lt;/keyword&gt;&lt;keyword&gt;Genome, Human&lt;/keyword&gt;&lt;keyword&gt;Homeodomain Proteins&lt;/keyword&gt;&lt;keyword&gt;Humans&lt;/keyword&gt;&lt;keyword&gt;Molecular Sequence Data&lt;/keyword&gt;&lt;keyword&gt;Nucleic Acid Hybridization&lt;/keyword&gt;&lt;keyword&gt;Plant Leaves&lt;/keyword&gt;&lt;keyword&gt;Plant Roots&lt;/keyword&gt;&lt;keyword&gt;Plants, Genetically Modified&lt;/keyword&gt;&lt;keyword&gt;Polymerase Chain Reaction&lt;/keyword&gt;&lt;keyword&gt;RNA Probes&lt;/keyword&gt;&lt;keyword&gt;RNA, Messenger&lt;/keyword&gt;&lt;keyword&gt;RNA, Plant&lt;/keyword&gt;&lt;keyword&gt;Transcription Factors&lt;/keyword&gt;&lt;/keywords&gt;&lt;urls&gt;&lt;related-urls&gt;&lt;url&gt;https://www.ncbi.nlm.nih.gov/pubmed/7569999&lt;/url&gt;&lt;/related-urls&gt;&lt;/urls&gt;&lt;isbn&gt;0036-8075&lt;/isbn&gt;&lt;titles&gt;&lt;title&gt;Quantitative monitoring of gene expression patterns with a complementary DNA microarray&lt;/title&gt;&lt;secondary-title&gt;Science&lt;/secondary-title&gt;&lt;/titles&gt;&lt;pages&gt;467-70&lt;/pages&gt;&lt;number&gt;5235&lt;/number&gt;&lt;contributors&gt;&lt;authors&gt;&lt;author&gt;Schena, M.&lt;/author&gt;&lt;author&gt;Shalon, D.&lt;/author&gt;&lt;author&gt;Davis, R. W.&lt;/author&gt;&lt;author&gt;Brown, P. O.&lt;/author&gt;&lt;/authors&gt;&lt;/contributors&gt;&lt;language&gt;eng&lt;/language&gt;&lt;added-date format="utc"&gt;1508762592&lt;/added-date&gt;&lt;ref-type name="Journal Article"&gt;17&lt;/ref-type&gt;&lt;rec-number&gt;295&lt;/rec-number&gt;&lt;last-updated-date format="utc"&gt;1508762592&lt;/last-updated-date&gt;&lt;accession-num&gt;7569999&lt;/accession-num&gt;&lt;volume&gt;270&lt;/volume&gt;&lt;/record&gt;&lt;/Cite&gt;&lt;/EndNote&gt;</w:instrText>
      </w:r>
      <w:r w:rsidR="00AC3592">
        <w:rPr>
          <w:rFonts w:asciiTheme="majorHAnsi" w:hAnsiTheme="majorHAnsi"/>
        </w:rPr>
        <w:fldChar w:fldCharType="separate"/>
      </w:r>
      <w:r w:rsidR="00AC3592">
        <w:rPr>
          <w:rFonts w:asciiTheme="majorHAnsi" w:hAnsiTheme="majorHAnsi"/>
          <w:noProof/>
        </w:rPr>
        <w:t>(Schena et al., 1995)</w:t>
      </w:r>
      <w:r w:rsidR="00AC3592">
        <w:rPr>
          <w:rFonts w:asciiTheme="majorHAnsi" w:hAnsiTheme="majorHAnsi"/>
        </w:rPr>
        <w:fldChar w:fldCharType="end"/>
      </w:r>
      <w:r w:rsidR="00AC3592">
        <w:rPr>
          <w:rFonts w:asciiTheme="majorHAnsi" w:hAnsiTheme="majorHAnsi"/>
        </w:rPr>
        <w:t>,</w:t>
      </w:r>
      <w:r>
        <w:rPr>
          <w:rFonts w:asciiTheme="majorHAnsi" w:hAnsiTheme="majorHAnsi"/>
        </w:rPr>
        <w:t xml:space="preserve"> has become an essential part of molecular cancer research in order to assess genome-wide transcripts for gene expression, pathways and biological mechanisms, quickly and efficiently.  For example the first classification of breast cancer subtypes was based on gene expression patterns from a RNA microarray </w:t>
      </w:r>
      <w:r>
        <w:rPr>
          <w:rFonts w:asciiTheme="majorHAnsi" w:hAnsiTheme="majorHAnsi"/>
        </w:rPr>
        <w:fldChar w:fldCharType="begin"/>
      </w:r>
      <w:r>
        <w:rPr>
          <w:rFonts w:asciiTheme="majorHAnsi" w:hAnsiTheme="majorHAnsi"/>
        </w:rPr>
        <w:instrText xml:space="preserve"> ADDIN EN.CITE &lt;EndNote&gt;&lt;Cite&gt;&lt;Author&gt;Perou&lt;/Author&gt;&lt;Year&gt;2000&lt;/Year&gt;&lt;IDText&gt;Molecular portraits of human breast tumours&lt;/IDText&gt;&lt;DisplayText&gt;(Perou et al., 2000)&lt;/DisplayText&gt;&lt;record&gt;&lt;dates&gt;&lt;pub-dates&gt;&lt;date&gt;Aug&lt;/date&gt;&lt;/pub-dates&gt;&lt;year&gt;2000&lt;/year&gt;&lt;/dates&gt;&lt;keywords&gt;&lt;keyword&gt;Breast Neoplasms&lt;/keyword&gt;&lt;keyword&gt;DNA, Neoplasm&lt;/keyword&gt;&lt;keyword&gt;Female&lt;/keyword&gt;&lt;keyword&gt;Gene Expression&lt;/keyword&gt;&lt;keyword&gt;Gene Expression Profiling&lt;/keyword&gt;&lt;keyword&gt;Genes, erbB-2&lt;/keyword&gt;&lt;keyword&gt;Humans&lt;/keyword&gt;&lt;keyword&gt;Oligonucleotide Array Sequence Analysis&lt;/keyword&gt;&lt;keyword&gt;Phenotype&lt;/keyword&gt;&lt;keyword&gt;Tumor Cells, Cultured&lt;/keyword&gt;&lt;/keywords&gt;&lt;urls&gt;&lt;related-urls&gt;&lt;url&gt;https://www.ncbi.nlm.nih.gov/pubmed/10963602&lt;/url&gt;&lt;/related-urls&gt;&lt;/urls&gt;&lt;isbn&gt;0028-0836&lt;/isbn&gt;&lt;titles&gt;&lt;title&gt;Molecular portraits of human breast tumours&lt;/title&gt;&lt;secondary-title&gt;Nature&lt;/secondary-title&gt;&lt;/titles&gt;&lt;pages&gt;747-52&lt;/pages&gt;&lt;number&gt;6797&lt;/number&gt;&lt;contributors&gt;&lt;authors&gt;&lt;author&gt;Perou, C. M.&lt;/author&gt;&lt;author&gt;Sørlie, T.&lt;/author&gt;&lt;author&gt;Eisen, M. B.&lt;/author&gt;&lt;author&gt;van de Rijn, M.&lt;/author&gt;&lt;author&gt;Jeffrey, S. S.&lt;/author&gt;&lt;author&gt;Rees, C. A.&lt;/author&gt;&lt;author&gt;Pollack, J. R.&lt;/author&gt;&lt;author&gt;Ross, D. T.&lt;/author&gt;&lt;author&gt;Johnsen, H.&lt;/author&gt;&lt;author&gt;Akslen, L. A.&lt;/author&gt;&lt;author&gt;Fluge, O.&lt;/author&gt;&lt;author&gt;Pergamenschikov, A.&lt;/author&gt;&lt;author&gt;Williams, C.&lt;/author&gt;&lt;author&gt;Zhu, S. X.&lt;/author&gt;&lt;author&gt;Lønning, P. E.&lt;/author&gt;&lt;author&gt;Børresen-Dale, A. L.&lt;/author&gt;&lt;author&gt;Brown, P. O.&lt;/author&gt;&lt;author&gt;Botstein, D.&lt;/author&gt;&lt;/authors&gt;&lt;/contributors&gt;&lt;language&gt;eng&lt;/language&gt;&lt;added-date format="utc"&gt;1508762776&lt;/added-date&gt;&lt;ref-type name="Journal Article"&gt;17&lt;/ref-type&gt;&lt;rec-number&gt;296&lt;/rec-number&gt;&lt;last-updated-date format="utc"&gt;1508762776&lt;/last-updated-date&gt;&lt;accession-num&gt;10963602&lt;/accession-num&gt;&lt;electronic-resource-num&gt;10.1038/35021093&lt;/electronic-resource-num&gt;&lt;volume&gt;406&lt;/volume&gt;&lt;/record&gt;&lt;/Cite&gt;&lt;/EndNote&gt;</w:instrText>
      </w:r>
      <w:r>
        <w:rPr>
          <w:rFonts w:asciiTheme="majorHAnsi" w:hAnsiTheme="majorHAnsi"/>
        </w:rPr>
        <w:fldChar w:fldCharType="separate"/>
      </w:r>
      <w:r>
        <w:rPr>
          <w:rFonts w:asciiTheme="majorHAnsi" w:hAnsiTheme="majorHAnsi"/>
          <w:noProof/>
        </w:rPr>
        <w:t>(Perou et al., 2000)</w:t>
      </w:r>
      <w:r>
        <w:rPr>
          <w:rFonts w:asciiTheme="majorHAnsi" w:hAnsiTheme="majorHAnsi"/>
        </w:rPr>
        <w:fldChar w:fldCharType="end"/>
      </w:r>
      <w:r>
        <w:rPr>
          <w:rFonts w:asciiTheme="majorHAnsi" w:hAnsiTheme="majorHAnsi"/>
        </w:rPr>
        <w:t xml:space="preserve">, and this research has led on to have prognostic significance for thousands of patients. It is however important to note </w:t>
      </w:r>
      <w:r w:rsidR="00F22224">
        <w:rPr>
          <w:rFonts w:asciiTheme="majorHAnsi" w:hAnsiTheme="majorHAnsi"/>
        </w:rPr>
        <w:t>that mRNA expression levels do no</w:t>
      </w:r>
      <w:r>
        <w:rPr>
          <w:rFonts w:asciiTheme="majorHAnsi" w:hAnsiTheme="majorHAnsi"/>
        </w:rPr>
        <w:t xml:space="preserve">t necessarily correlate to protein levels </w:t>
      </w:r>
      <w:r w:rsidR="00F22224">
        <w:rPr>
          <w:rFonts w:asciiTheme="majorHAnsi" w:hAnsiTheme="majorHAnsi"/>
        </w:rPr>
        <w:t>since</w:t>
      </w:r>
      <w:r>
        <w:rPr>
          <w:rFonts w:asciiTheme="majorHAnsi" w:hAnsiTheme="majorHAnsi"/>
        </w:rPr>
        <w:t xml:space="preserve"> the rate</w:t>
      </w:r>
      <w:r w:rsidR="00F22224">
        <w:rPr>
          <w:rFonts w:asciiTheme="majorHAnsi" w:hAnsiTheme="majorHAnsi"/>
        </w:rPr>
        <w:t xml:space="preserve"> of production</w:t>
      </w:r>
      <w:r>
        <w:rPr>
          <w:rFonts w:asciiTheme="majorHAnsi" w:hAnsiTheme="majorHAnsi"/>
        </w:rPr>
        <w:t>, modification a</w:t>
      </w:r>
      <w:r w:rsidR="00F22224">
        <w:rPr>
          <w:rFonts w:asciiTheme="majorHAnsi" w:hAnsiTheme="majorHAnsi"/>
        </w:rPr>
        <w:t>nd degradation of proteins play</w:t>
      </w:r>
      <w:r>
        <w:rPr>
          <w:rFonts w:asciiTheme="majorHAnsi" w:hAnsiTheme="majorHAnsi"/>
        </w:rPr>
        <w:t xml:space="preserve"> an integral role</w:t>
      </w:r>
      <w:r w:rsidR="00F22224">
        <w:rPr>
          <w:rFonts w:asciiTheme="majorHAnsi" w:hAnsiTheme="majorHAnsi"/>
        </w:rPr>
        <w:t xml:space="preserve"> in determining the final level. Therefore, this approach sough</w:t>
      </w:r>
      <w:r>
        <w:rPr>
          <w:rFonts w:asciiTheme="majorHAnsi" w:hAnsiTheme="majorHAnsi"/>
        </w:rPr>
        <w:t xml:space="preserve">t to provide an insight into global gene activity when </w:t>
      </w:r>
      <w:r w:rsidRPr="00014036">
        <w:rPr>
          <w:rFonts w:asciiTheme="majorHAnsi" w:hAnsiTheme="majorHAnsi"/>
          <w:i/>
        </w:rPr>
        <w:t>SRCAP</w:t>
      </w:r>
      <w:r>
        <w:rPr>
          <w:rFonts w:asciiTheme="majorHAnsi" w:hAnsiTheme="majorHAnsi"/>
        </w:rPr>
        <w:t xml:space="preserve"> was dysregulated. </w:t>
      </w:r>
    </w:p>
    <w:p w14:paraId="21FED8DC" w14:textId="77777777" w:rsidR="00AC3592" w:rsidRDefault="00AC3592" w:rsidP="007C58EA">
      <w:pPr>
        <w:spacing w:line="360" w:lineRule="auto"/>
        <w:jc w:val="both"/>
        <w:rPr>
          <w:rFonts w:asciiTheme="majorHAnsi" w:hAnsiTheme="majorHAnsi"/>
        </w:rPr>
      </w:pPr>
    </w:p>
    <w:p w14:paraId="441FC4B9" w14:textId="77777777" w:rsidR="007C58EA" w:rsidRDefault="007C58EA" w:rsidP="007C58EA">
      <w:pPr>
        <w:rPr>
          <w:rFonts w:asciiTheme="majorHAnsi" w:hAnsiTheme="majorHAnsi"/>
          <w:sz w:val="28"/>
          <w:szCs w:val="28"/>
          <w:u w:val="single"/>
        </w:rPr>
      </w:pPr>
      <w:r>
        <w:rPr>
          <w:rFonts w:asciiTheme="majorHAnsi" w:hAnsiTheme="majorHAnsi"/>
          <w:sz w:val="28"/>
          <w:szCs w:val="28"/>
          <w:u w:val="single"/>
        </w:rPr>
        <w:t>6.2 Collection of RNA samples and quality control</w:t>
      </w:r>
    </w:p>
    <w:p w14:paraId="11CAC028" w14:textId="77777777" w:rsidR="007C58EA" w:rsidRDefault="007C58EA" w:rsidP="007C58EA">
      <w:pPr>
        <w:rPr>
          <w:rFonts w:asciiTheme="majorHAnsi" w:hAnsiTheme="majorHAnsi"/>
          <w:sz w:val="28"/>
          <w:szCs w:val="28"/>
          <w:u w:val="single"/>
        </w:rPr>
      </w:pPr>
    </w:p>
    <w:p w14:paraId="2A3A74EE" w14:textId="48991DD3" w:rsidR="007C58EA" w:rsidRDefault="007C58EA" w:rsidP="007C58EA">
      <w:pPr>
        <w:spacing w:line="360" w:lineRule="auto"/>
        <w:jc w:val="both"/>
        <w:rPr>
          <w:rFonts w:asciiTheme="majorHAnsi" w:hAnsiTheme="majorHAnsi"/>
        </w:rPr>
      </w:pPr>
      <w:r>
        <w:rPr>
          <w:rFonts w:asciiTheme="majorHAnsi" w:hAnsiTheme="majorHAnsi"/>
        </w:rPr>
        <w:t xml:space="preserve">Previous work presented in Chapter 3 </w:t>
      </w:r>
      <w:r w:rsidR="00E04A51">
        <w:rPr>
          <w:rFonts w:asciiTheme="majorHAnsi" w:hAnsiTheme="majorHAnsi"/>
        </w:rPr>
        <w:t xml:space="preserve">that </w:t>
      </w:r>
      <w:r>
        <w:rPr>
          <w:rFonts w:asciiTheme="majorHAnsi" w:hAnsiTheme="majorHAnsi"/>
        </w:rPr>
        <w:t>focused on trying t</w:t>
      </w:r>
      <w:r w:rsidR="00F22224">
        <w:rPr>
          <w:rFonts w:asciiTheme="majorHAnsi" w:hAnsiTheme="majorHAnsi"/>
        </w:rPr>
        <w:t>o produce a cell line that over-</w:t>
      </w:r>
      <w:r>
        <w:rPr>
          <w:rFonts w:asciiTheme="majorHAnsi" w:hAnsiTheme="majorHAnsi"/>
        </w:rPr>
        <w:t xml:space="preserve">expressed </w:t>
      </w:r>
      <w:r w:rsidRPr="00BA0323">
        <w:rPr>
          <w:rFonts w:asciiTheme="majorHAnsi" w:hAnsiTheme="majorHAnsi"/>
          <w:i/>
        </w:rPr>
        <w:t>SRCAP</w:t>
      </w:r>
      <w:r>
        <w:rPr>
          <w:rFonts w:asciiTheme="majorHAnsi" w:hAnsiTheme="majorHAnsi"/>
        </w:rPr>
        <w:t xml:space="preserve"> found that transfection efficiency was below 10% and this was therefore </w:t>
      </w:r>
      <w:r w:rsidR="00F22224">
        <w:rPr>
          <w:rFonts w:asciiTheme="majorHAnsi" w:hAnsiTheme="majorHAnsi"/>
        </w:rPr>
        <w:t>resulting in a low</w:t>
      </w:r>
      <w:r>
        <w:rPr>
          <w:rFonts w:asciiTheme="majorHAnsi" w:hAnsiTheme="majorHAnsi"/>
        </w:rPr>
        <w:t xml:space="preserve"> expression level </w:t>
      </w:r>
      <w:r w:rsidR="00F22224">
        <w:rPr>
          <w:rFonts w:asciiTheme="majorHAnsi" w:hAnsiTheme="majorHAnsi"/>
        </w:rPr>
        <w:t>overall in</w:t>
      </w:r>
      <w:r>
        <w:rPr>
          <w:rFonts w:asciiTheme="majorHAnsi" w:hAnsiTheme="majorHAnsi"/>
        </w:rPr>
        <w:t xml:space="preserve"> the whole population. Therefore, in order to create a pure </w:t>
      </w:r>
      <w:r w:rsidRPr="00BA0323">
        <w:rPr>
          <w:rFonts w:asciiTheme="majorHAnsi" w:hAnsiTheme="majorHAnsi"/>
          <w:i/>
        </w:rPr>
        <w:t>SRCAP</w:t>
      </w:r>
      <w:r w:rsidR="00377382">
        <w:rPr>
          <w:rFonts w:asciiTheme="majorHAnsi" w:hAnsiTheme="majorHAnsi"/>
        </w:rPr>
        <w:t xml:space="preserve"> over-</w:t>
      </w:r>
      <w:r>
        <w:rPr>
          <w:rFonts w:asciiTheme="majorHAnsi" w:hAnsiTheme="majorHAnsi"/>
        </w:rPr>
        <w:t>expressing population, HCT116 c</w:t>
      </w:r>
      <w:r w:rsidR="00F22224">
        <w:rPr>
          <w:rFonts w:asciiTheme="majorHAnsi" w:hAnsiTheme="majorHAnsi"/>
        </w:rPr>
        <w:t>ells were transfected with the K</w:t>
      </w:r>
      <w:r>
        <w:rPr>
          <w:rFonts w:asciiTheme="majorHAnsi" w:hAnsiTheme="majorHAnsi"/>
        </w:rPr>
        <w:t xml:space="preserve">ozak mutated </w:t>
      </w:r>
      <w:r w:rsidRPr="00BA0323">
        <w:rPr>
          <w:rFonts w:asciiTheme="majorHAnsi" w:hAnsiTheme="majorHAnsi"/>
          <w:i/>
        </w:rPr>
        <w:t xml:space="preserve">YFP SRCAP </w:t>
      </w:r>
      <w:r>
        <w:rPr>
          <w:rFonts w:asciiTheme="majorHAnsi" w:hAnsiTheme="majorHAnsi"/>
        </w:rPr>
        <w:t>construct for 48hrs</w:t>
      </w:r>
      <w:r w:rsidR="00F22224">
        <w:rPr>
          <w:rFonts w:asciiTheme="majorHAnsi" w:hAnsiTheme="majorHAnsi"/>
        </w:rPr>
        <w:t>,</w:t>
      </w:r>
      <w:r>
        <w:rPr>
          <w:rFonts w:asciiTheme="majorHAnsi" w:hAnsiTheme="majorHAnsi"/>
        </w:rPr>
        <w:t xml:space="preserve"> and then sorted by fluorescent activated cell sorting (FACS) on a sterile FACS Aria machine into positive and negatively expressing YFP populations. Appendix 7 shows how the samples were gated using untransfected HCT116 cells as negative controls, and then the gating of the positive YFP SRCAP population. Again the transfection rates were low</w:t>
      </w:r>
      <w:r w:rsidR="00F22224">
        <w:rPr>
          <w:rFonts w:asciiTheme="majorHAnsi" w:hAnsiTheme="majorHAnsi"/>
        </w:rPr>
        <w:t>,</w:t>
      </w:r>
      <w:r>
        <w:rPr>
          <w:rFonts w:asciiTheme="majorHAnsi" w:hAnsiTheme="majorHAnsi"/>
        </w:rPr>
        <w:t xml:space="preserve"> at less than 10% and therefore the </w:t>
      </w:r>
      <w:r w:rsidR="00A45F1E">
        <w:rPr>
          <w:rFonts w:asciiTheme="majorHAnsi" w:hAnsiTheme="majorHAnsi"/>
        </w:rPr>
        <w:t xml:space="preserve">purified </w:t>
      </w:r>
      <w:r>
        <w:rPr>
          <w:rFonts w:asciiTheme="majorHAnsi" w:hAnsiTheme="majorHAnsi"/>
        </w:rPr>
        <w:t xml:space="preserve">cell populations were re-seeded and left for 72hrs to continue proliferating before being lysed for RNA. </w:t>
      </w:r>
      <w:r w:rsidR="00A45F1E">
        <w:rPr>
          <w:rFonts w:asciiTheme="majorHAnsi" w:hAnsiTheme="majorHAnsi"/>
        </w:rPr>
        <w:t xml:space="preserve">Cells with </w:t>
      </w:r>
      <w:r w:rsidR="00A45F1E" w:rsidRPr="00A45F1E">
        <w:rPr>
          <w:rFonts w:asciiTheme="majorHAnsi" w:hAnsiTheme="majorHAnsi"/>
          <w:i/>
        </w:rPr>
        <w:t>SRCAP</w:t>
      </w:r>
      <w:r w:rsidR="00A45F1E">
        <w:rPr>
          <w:rFonts w:asciiTheme="majorHAnsi" w:hAnsiTheme="majorHAnsi"/>
        </w:rPr>
        <w:t xml:space="preserve"> </w:t>
      </w:r>
      <w:r w:rsidR="004F4ECC">
        <w:rPr>
          <w:rFonts w:asciiTheme="majorHAnsi" w:hAnsiTheme="majorHAnsi"/>
        </w:rPr>
        <w:t xml:space="preserve">knock </w:t>
      </w:r>
      <w:r w:rsidR="00A45F1E">
        <w:rPr>
          <w:rFonts w:asciiTheme="majorHAnsi" w:hAnsiTheme="majorHAnsi"/>
        </w:rPr>
        <w:t xml:space="preserve">down were generated as described in Chapter 4 using si6. </w:t>
      </w:r>
      <w:r>
        <w:rPr>
          <w:rFonts w:asciiTheme="majorHAnsi" w:hAnsiTheme="majorHAnsi"/>
        </w:rPr>
        <w:t xml:space="preserve">Figure 6.1a shows </w:t>
      </w:r>
      <w:r w:rsidR="00A45F1E" w:rsidRPr="00A45F1E">
        <w:rPr>
          <w:rFonts w:asciiTheme="majorHAnsi" w:hAnsiTheme="majorHAnsi"/>
          <w:i/>
        </w:rPr>
        <w:t>SRCAP</w:t>
      </w:r>
      <w:r w:rsidR="00A45F1E">
        <w:rPr>
          <w:rFonts w:asciiTheme="majorHAnsi" w:hAnsiTheme="majorHAnsi"/>
        </w:rPr>
        <w:t xml:space="preserve"> mRNA levels for </w:t>
      </w:r>
      <w:r>
        <w:rPr>
          <w:rFonts w:asciiTheme="majorHAnsi" w:hAnsiTheme="majorHAnsi"/>
        </w:rPr>
        <w:t>the three se</w:t>
      </w:r>
      <w:r w:rsidR="00A45F1E">
        <w:rPr>
          <w:rFonts w:asciiTheme="majorHAnsi" w:hAnsiTheme="majorHAnsi"/>
        </w:rPr>
        <w:t>parate repeats of the FACS sorted cells</w:t>
      </w:r>
      <w:r>
        <w:rPr>
          <w:rFonts w:asciiTheme="majorHAnsi" w:hAnsiTheme="majorHAnsi"/>
        </w:rPr>
        <w:t xml:space="preserve"> plus the knockdown sample</w:t>
      </w:r>
      <w:r w:rsidR="00A45F1E">
        <w:rPr>
          <w:rFonts w:asciiTheme="majorHAnsi" w:hAnsiTheme="majorHAnsi"/>
        </w:rPr>
        <w:t>s</w:t>
      </w:r>
      <w:r>
        <w:rPr>
          <w:rFonts w:asciiTheme="majorHAnsi" w:hAnsiTheme="majorHAnsi"/>
        </w:rPr>
        <w:t xml:space="preserve">. All three </w:t>
      </w:r>
      <w:r w:rsidR="00A45F1E">
        <w:rPr>
          <w:rFonts w:asciiTheme="majorHAnsi" w:hAnsiTheme="majorHAnsi"/>
        </w:rPr>
        <w:t xml:space="preserve">repeats </w:t>
      </w:r>
      <w:r>
        <w:rPr>
          <w:rFonts w:asciiTheme="majorHAnsi" w:hAnsiTheme="majorHAnsi"/>
        </w:rPr>
        <w:t xml:space="preserve">show that the negative YFP-SRCAP population had </w:t>
      </w:r>
      <w:r w:rsidR="00A45F1E">
        <w:rPr>
          <w:rFonts w:asciiTheme="majorHAnsi" w:hAnsiTheme="majorHAnsi"/>
        </w:rPr>
        <w:t xml:space="preserve">similar </w:t>
      </w:r>
      <w:r w:rsidRPr="00BA0323">
        <w:rPr>
          <w:rFonts w:asciiTheme="majorHAnsi" w:hAnsiTheme="majorHAnsi"/>
          <w:i/>
        </w:rPr>
        <w:t>SRCAP</w:t>
      </w:r>
      <w:r>
        <w:rPr>
          <w:rFonts w:asciiTheme="majorHAnsi" w:hAnsiTheme="majorHAnsi"/>
        </w:rPr>
        <w:t xml:space="preserve"> expression as control siRNA transfecte</w:t>
      </w:r>
      <w:r w:rsidR="00AC3592">
        <w:rPr>
          <w:rFonts w:asciiTheme="majorHAnsi" w:hAnsiTheme="majorHAnsi"/>
        </w:rPr>
        <w:t>d cells, as would be expected, w</w:t>
      </w:r>
      <w:r>
        <w:rPr>
          <w:rFonts w:asciiTheme="majorHAnsi" w:hAnsiTheme="majorHAnsi"/>
        </w:rPr>
        <w:t>hereas the YFP SRCA</w:t>
      </w:r>
      <w:r w:rsidR="00A45F1E">
        <w:rPr>
          <w:rFonts w:asciiTheme="majorHAnsi" w:hAnsiTheme="majorHAnsi"/>
        </w:rPr>
        <w:t>P positive population were over-</w:t>
      </w:r>
      <w:r>
        <w:rPr>
          <w:rFonts w:asciiTheme="majorHAnsi" w:hAnsiTheme="majorHAnsi"/>
        </w:rPr>
        <w:t xml:space="preserve">expressing </w:t>
      </w:r>
      <w:r w:rsidRPr="00BA0323">
        <w:rPr>
          <w:rFonts w:asciiTheme="majorHAnsi" w:hAnsiTheme="majorHAnsi"/>
          <w:i/>
        </w:rPr>
        <w:t>SRCAP</w:t>
      </w:r>
      <w:r w:rsidR="00A45F1E">
        <w:rPr>
          <w:rFonts w:asciiTheme="majorHAnsi" w:hAnsiTheme="majorHAnsi"/>
          <w:i/>
        </w:rPr>
        <w:t>,</w:t>
      </w:r>
      <w:r>
        <w:rPr>
          <w:rFonts w:asciiTheme="majorHAnsi" w:hAnsiTheme="majorHAnsi"/>
        </w:rPr>
        <w:t xml:space="preserve"> and the si6 transfected HCT116 cells had </w:t>
      </w:r>
      <w:r w:rsidR="00A45F1E">
        <w:rPr>
          <w:rFonts w:asciiTheme="majorHAnsi" w:hAnsiTheme="majorHAnsi"/>
        </w:rPr>
        <w:t>depleted levels</w:t>
      </w:r>
      <w:r>
        <w:rPr>
          <w:rFonts w:asciiTheme="majorHAnsi" w:hAnsiTheme="majorHAnsi"/>
        </w:rPr>
        <w:t xml:space="preserve"> of </w:t>
      </w:r>
      <w:r w:rsidRPr="00BA0323">
        <w:rPr>
          <w:rFonts w:asciiTheme="majorHAnsi" w:hAnsiTheme="majorHAnsi"/>
          <w:i/>
        </w:rPr>
        <w:t>SRCAP</w:t>
      </w:r>
      <w:r>
        <w:rPr>
          <w:rFonts w:asciiTheme="majorHAnsi" w:hAnsiTheme="majorHAnsi"/>
        </w:rPr>
        <w:t xml:space="preserve">. However, all three experiments showed differing levels of mRNA </w:t>
      </w:r>
      <w:r w:rsidRPr="00BA0323">
        <w:rPr>
          <w:rFonts w:asciiTheme="majorHAnsi" w:hAnsiTheme="majorHAnsi"/>
          <w:i/>
        </w:rPr>
        <w:t>SRCAP</w:t>
      </w:r>
      <w:r w:rsidR="00377382">
        <w:rPr>
          <w:rFonts w:asciiTheme="majorHAnsi" w:hAnsiTheme="majorHAnsi"/>
        </w:rPr>
        <w:t xml:space="preserve"> over-</w:t>
      </w:r>
      <w:r>
        <w:rPr>
          <w:rFonts w:asciiTheme="majorHAnsi" w:hAnsiTheme="majorHAnsi"/>
        </w:rPr>
        <w:t xml:space="preserve">expression, with the three control and the three si6 samples having similar </w:t>
      </w:r>
      <w:r w:rsidR="00A45F1E">
        <w:rPr>
          <w:rFonts w:asciiTheme="majorHAnsi" w:hAnsiTheme="majorHAnsi"/>
        </w:rPr>
        <w:t xml:space="preserve">very low </w:t>
      </w:r>
      <w:r>
        <w:rPr>
          <w:rFonts w:asciiTheme="majorHAnsi" w:hAnsiTheme="majorHAnsi"/>
        </w:rPr>
        <w:t xml:space="preserve">expression levels as can be seen in Figure 6.1b. </w:t>
      </w:r>
    </w:p>
    <w:p w14:paraId="1FA4A35B" w14:textId="77777777" w:rsidR="007C58EA" w:rsidRDefault="007C58EA" w:rsidP="007C58EA">
      <w:pPr>
        <w:spacing w:line="360" w:lineRule="auto"/>
        <w:jc w:val="both"/>
        <w:rPr>
          <w:rFonts w:asciiTheme="majorHAnsi" w:hAnsiTheme="majorHAnsi"/>
          <w:sz w:val="28"/>
          <w:u w:val="single"/>
        </w:rPr>
      </w:pPr>
    </w:p>
    <w:p w14:paraId="0A1BAC2F" w14:textId="77777777" w:rsidR="007C58EA" w:rsidRDefault="007C58EA" w:rsidP="007C58EA">
      <w:pPr>
        <w:spacing w:line="360" w:lineRule="auto"/>
        <w:jc w:val="both"/>
        <w:rPr>
          <w:rFonts w:asciiTheme="majorHAnsi" w:hAnsiTheme="majorHAnsi"/>
          <w:sz w:val="28"/>
          <w:u w:val="single"/>
        </w:rPr>
      </w:pPr>
    </w:p>
    <w:p w14:paraId="62A93D8C" w14:textId="77777777" w:rsidR="007C58EA" w:rsidRDefault="007C58EA" w:rsidP="007C58EA">
      <w:pPr>
        <w:spacing w:line="360" w:lineRule="auto"/>
        <w:jc w:val="both"/>
        <w:rPr>
          <w:rFonts w:asciiTheme="majorHAnsi" w:hAnsiTheme="majorHAnsi"/>
          <w:sz w:val="28"/>
          <w:u w:val="single"/>
        </w:rPr>
      </w:pPr>
    </w:p>
    <w:p w14:paraId="11AAFFBA" w14:textId="77777777" w:rsidR="007C58EA" w:rsidRDefault="007C58EA" w:rsidP="007C58EA">
      <w:pPr>
        <w:spacing w:line="360" w:lineRule="auto"/>
        <w:jc w:val="both"/>
        <w:rPr>
          <w:rFonts w:asciiTheme="majorHAnsi" w:hAnsiTheme="majorHAnsi"/>
          <w:sz w:val="28"/>
          <w:u w:val="single"/>
        </w:rPr>
      </w:pPr>
      <w:r>
        <w:rPr>
          <w:noProof/>
          <w:lang w:val="en-US"/>
        </w:rPr>
        <mc:AlternateContent>
          <mc:Choice Requires="wps">
            <w:drawing>
              <wp:anchor distT="0" distB="0" distL="114300" distR="114300" simplePos="0" relativeHeight="252103680" behindDoc="0" locked="0" layoutInCell="1" allowOverlap="1" wp14:anchorId="560625EB" wp14:editId="44E9964A">
                <wp:simplePos x="0" y="0"/>
                <wp:positionH relativeFrom="column">
                  <wp:posOffset>-342900</wp:posOffset>
                </wp:positionH>
                <wp:positionV relativeFrom="paragraph">
                  <wp:posOffset>-228600</wp:posOffset>
                </wp:positionV>
                <wp:extent cx="571500" cy="342900"/>
                <wp:effectExtent l="0" t="0" r="0" b="12700"/>
                <wp:wrapSquare wrapText="bothSides"/>
                <wp:docPr id="329" name="Text Box 329"/>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6DEB7E" w14:textId="77777777" w:rsidR="00E82D3B" w:rsidRPr="00C90AE0" w:rsidRDefault="00E82D3B" w:rsidP="007C58EA">
                            <w:pPr>
                              <w:rPr>
                                <w:b/>
                              </w:rPr>
                            </w:pPr>
                            <w:proofErr w:type="gramStart"/>
                            <w:r w:rsidRPr="00C90AE0">
                              <w:rPr>
                                <w:b/>
                              </w:rPr>
                              <w:t>a</w:t>
                            </w:r>
                            <w:proofErr w:type="gramEnd"/>
                            <w:r w:rsidRPr="00C90AE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9" o:spid="_x0000_s1172" type="#_x0000_t202" style="position:absolute;left:0;text-align:left;margin-left:-26.95pt;margin-top:-17.95pt;width:45pt;height:27pt;z-index:25210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vY8tQCAAAa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" filled="f" stroked="f">
                <v:textbox>
                  <w:txbxContent>
                    <w:p w14:paraId="5E6DEB7E" w14:textId="77777777" w:rsidR="000A1E0D" w:rsidRPr="00C90AE0" w:rsidRDefault="000A1E0D" w:rsidP="007C58EA">
                      <w:pPr>
                        <w:rPr>
                          <w:b/>
                        </w:rPr>
                      </w:pPr>
                      <w:proofErr w:type="gramStart"/>
                      <w:r w:rsidRPr="00C90AE0">
                        <w:rPr>
                          <w:b/>
                        </w:rPr>
                        <w:t>a</w:t>
                      </w:r>
                      <w:proofErr w:type="gramEnd"/>
                      <w:r w:rsidRPr="00C90AE0">
                        <w:rPr>
                          <w:b/>
                        </w:rPr>
                        <w:t>.)</w:t>
                      </w:r>
                    </w:p>
                  </w:txbxContent>
                </v:textbox>
                <w10:wrap type="square"/>
              </v:shape>
            </w:pict>
          </mc:Fallback>
        </mc:AlternateContent>
      </w:r>
      <w:r>
        <w:rPr>
          <w:noProof/>
          <w:lang w:val="en-US"/>
        </w:rPr>
        <w:drawing>
          <wp:anchor distT="0" distB="0" distL="114300" distR="114300" simplePos="0" relativeHeight="252084224" behindDoc="0" locked="0" layoutInCell="1" allowOverlap="1" wp14:anchorId="503780A1" wp14:editId="18B08409">
            <wp:simplePos x="0" y="0"/>
            <wp:positionH relativeFrom="column">
              <wp:posOffset>914400</wp:posOffset>
            </wp:positionH>
            <wp:positionV relativeFrom="paragraph">
              <wp:posOffset>2171700</wp:posOffset>
            </wp:positionV>
            <wp:extent cx="3314700" cy="2171700"/>
            <wp:effectExtent l="0" t="0" r="0" b="0"/>
            <wp:wrapSquare wrapText="bothSides"/>
            <wp:docPr id="351" name="Chart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83200" behindDoc="0" locked="0" layoutInCell="1" allowOverlap="1" wp14:anchorId="6ADCECFE" wp14:editId="180E9587">
            <wp:simplePos x="0" y="0"/>
            <wp:positionH relativeFrom="column">
              <wp:posOffset>2628900</wp:posOffset>
            </wp:positionH>
            <wp:positionV relativeFrom="paragraph">
              <wp:posOffset>-114300</wp:posOffset>
            </wp:positionV>
            <wp:extent cx="3141980" cy="2120900"/>
            <wp:effectExtent l="0" t="0" r="7620" b="0"/>
            <wp:wrapSquare wrapText="bothSides"/>
            <wp:docPr id="352" name="Chart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82176" behindDoc="0" locked="0" layoutInCell="1" allowOverlap="1" wp14:anchorId="26EB3400" wp14:editId="4D73ADCC">
            <wp:simplePos x="0" y="0"/>
            <wp:positionH relativeFrom="column">
              <wp:posOffset>-342900</wp:posOffset>
            </wp:positionH>
            <wp:positionV relativeFrom="paragraph">
              <wp:posOffset>-114300</wp:posOffset>
            </wp:positionV>
            <wp:extent cx="3086100" cy="2057400"/>
            <wp:effectExtent l="0" t="0" r="0" b="0"/>
            <wp:wrapSquare wrapText="bothSides"/>
            <wp:docPr id="353" name="Chart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p>
    <w:p w14:paraId="68212A35" w14:textId="77777777" w:rsidR="007C58EA" w:rsidRDefault="007C58EA" w:rsidP="007C58EA">
      <w:pPr>
        <w:spacing w:line="360" w:lineRule="auto"/>
        <w:jc w:val="both"/>
        <w:rPr>
          <w:rFonts w:asciiTheme="majorHAnsi" w:hAnsiTheme="majorHAnsi"/>
          <w:sz w:val="28"/>
          <w:u w:val="single"/>
        </w:rPr>
      </w:pPr>
    </w:p>
    <w:p w14:paraId="5B5D1077" w14:textId="77777777" w:rsidR="007C58EA" w:rsidRDefault="007C58EA" w:rsidP="007C58EA">
      <w:pPr>
        <w:spacing w:line="360" w:lineRule="auto"/>
        <w:jc w:val="both"/>
        <w:rPr>
          <w:rFonts w:asciiTheme="majorHAnsi" w:hAnsiTheme="majorHAnsi"/>
          <w:sz w:val="28"/>
          <w:u w:val="single"/>
        </w:rPr>
      </w:pPr>
    </w:p>
    <w:p w14:paraId="1C4D7D93" w14:textId="77777777" w:rsidR="007C58EA" w:rsidRDefault="007C58EA" w:rsidP="007C58EA">
      <w:pPr>
        <w:spacing w:line="360" w:lineRule="auto"/>
        <w:jc w:val="both"/>
        <w:rPr>
          <w:rFonts w:asciiTheme="majorHAnsi" w:hAnsiTheme="majorHAnsi"/>
          <w:sz w:val="28"/>
          <w:u w:val="single"/>
        </w:rPr>
      </w:pPr>
    </w:p>
    <w:p w14:paraId="63D729CC" w14:textId="77777777" w:rsidR="007C58EA" w:rsidRDefault="007C58EA" w:rsidP="007C58EA">
      <w:pPr>
        <w:spacing w:line="360" w:lineRule="auto"/>
        <w:jc w:val="both"/>
        <w:rPr>
          <w:rFonts w:asciiTheme="majorHAnsi" w:hAnsiTheme="majorHAnsi"/>
          <w:sz w:val="28"/>
          <w:u w:val="single"/>
        </w:rPr>
      </w:pPr>
    </w:p>
    <w:p w14:paraId="506B5631" w14:textId="77777777" w:rsidR="007C58EA" w:rsidRDefault="007C58EA" w:rsidP="007C58EA">
      <w:pPr>
        <w:spacing w:line="360" w:lineRule="auto"/>
        <w:jc w:val="both"/>
        <w:rPr>
          <w:rFonts w:asciiTheme="majorHAnsi" w:hAnsiTheme="majorHAnsi"/>
          <w:sz w:val="28"/>
          <w:u w:val="single"/>
        </w:rPr>
      </w:pPr>
    </w:p>
    <w:p w14:paraId="40D682E6" w14:textId="77777777" w:rsidR="007C58EA" w:rsidRDefault="007C58EA" w:rsidP="007C58EA">
      <w:pPr>
        <w:spacing w:line="360" w:lineRule="auto"/>
        <w:jc w:val="both"/>
        <w:rPr>
          <w:rFonts w:asciiTheme="majorHAnsi" w:hAnsiTheme="majorHAnsi"/>
          <w:sz w:val="28"/>
          <w:u w:val="single"/>
        </w:rPr>
      </w:pPr>
    </w:p>
    <w:p w14:paraId="00687704" w14:textId="22DCBC64" w:rsidR="007C58EA" w:rsidRDefault="007C58EA" w:rsidP="007C58EA">
      <w:pPr>
        <w:spacing w:line="360" w:lineRule="auto"/>
        <w:jc w:val="both"/>
        <w:rPr>
          <w:rFonts w:asciiTheme="majorHAnsi" w:hAnsiTheme="majorHAnsi"/>
          <w:sz w:val="28"/>
          <w:u w:val="single"/>
        </w:rPr>
      </w:pPr>
    </w:p>
    <w:p w14:paraId="42AA968A" w14:textId="1EA02E7B" w:rsidR="007C58EA" w:rsidRDefault="004F5D1D" w:rsidP="007C58EA">
      <w:pPr>
        <w:rPr>
          <w:rFonts w:asciiTheme="majorHAnsi" w:hAnsiTheme="majorHAnsi"/>
        </w:rPr>
      </w:pPr>
      <w:r>
        <w:rPr>
          <w:rFonts w:asciiTheme="majorHAnsi" w:hAnsiTheme="majorHAnsi"/>
          <w:noProof/>
          <w:lang w:val="en-US"/>
        </w:rPr>
        <w:drawing>
          <wp:anchor distT="0" distB="0" distL="114300" distR="114300" simplePos="0" relativeHeight="252258304" behindDoc="0" locked="0" layoutInCell="1" allowOverlap="1" wp14:anchorId="4C583552" wp14:editId="139A6D5F">
            <wp:simplePos x="0" y="0"/>
            <wp:positionH relativeFrom="column">
              <wp:posOffset>800100</wp:posOffset>
            </wp:positionH>
            <wp:positionV relativeFrom="paragraph">
              <wp:posOffset>24130</wp:posOffset>
            </wp:positionV>
            <wp:extent cx="3205480" cy="2163445"/>
            <wp:effectExtent l="0" t="0" r="0" b="0"/>
            <wp:wrapSquare wrapText="bothSides"/>
            <wp:docPr id="1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05480" cy="216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4F41AE">
        <w:rPr>
          <w:rFonts w:asciiTheme="majorHAnsi" w:hAnsiTheme="majorHAnsi"/>
          <w:noProof/>
          <w:sz w:val="28"/>
          <w:u w:val="single"/>
          <w:lang w:val="en-US"/>
        </w:rPr>
        <mc:AlternateContent>
          <mc:Choice Requires="wps">
            <w:drawing>
              <wp:anchor distT="0" distB="0" distL="114300" distR="114300" simplePos="0" relativeHeight="252085248" behindDoc="0" locked="0" layoutInCell="1" allowOverlap="1" wp14:anchorId="53F5F71E" wp14:editId="706C3F36">
                <wp:simplePos x="0" y="0"/>
                <wp:positionH relativeFrom="column">
                  <wp:posOffset>-114300</wp:posOffset>
                </wp:positionH>
                <wp:positionV relativeFrom="paragraph">
                  <wp:posOffset>2310130</wp:posOffset>
                </wp:positionV>
                <wp:extent cx="5715000" cy="2057400"/>
                <wp:effectExtent l="0" t="0" r="0" b="0"/>
                <wp:wrapSquare wrapText="bothSides"/>
                <wp:docPr id="330" name="Text Box 330"/>
                <wp:cNvGraphicFramePr/>
                <a:graphic xmlns:a="http://schemas.openxmlformats.org/drawingml/2006/main">
                  <a:graphicData uri="http://schemas.microsoft.com/office/word/2010/wordprocessingShape">
                    <wps:wsp>
                      <wps:cNvSpPr txBox="1"/>
                      <wps:spPr>
                        <a:xfrm>
                          <a:off x="0" y="0"/>
                          <a:ext cx="57150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89990C" w14:textId="77777777" w:rsidR="00E82D3B" w:rsidRDefault="00E82D3B" w:rsidP="007C58EA">
                            <w:pPr>
                              <w:rPr>
                                <w:b/>
                                <w:i/>
                                <w:sz w:val="22"/>
                              </w:rPr>
                            </w:pPr>
                            <w:r w:rsidRPr="00737146">
                              <w:rPr>
                                <w:b/>
                                <w:i/>
                                <w:sz w:val="22"/>
                              </w:rPr>
                              <w:t xml:space="preserve">Figure 6.1 RNA sample </w:t>
                            </w:r>
                            <w:proofErr w:type="gramStart"/>
                            <w:r w:rsidRPr="00737146">
                              <w:rPr>
                                <w:b/>
                                <w:i/>
                                <w:sz w:val="22"/>
                              </w:rPr>
                              <w:t>collection</w:t>
                            </w:r>
                            <w:proofErr w:type="gramEnd"/>
                            <w:r w:rsidRPr="00737146">
                              <w:rPr>
                                <w:b/>
                                <w:i/>
                                <w:sz w:val="22"/>
                              </w:rPr>
                              <w:t xml:space="preserve"> shows differing SRCAP expression levels</w:t>
                            </w:r>
                          </w:p>
                          <w:p w14:paraId="6CC13128" w14:textId="7C6079F9" w:rsidR="00E82D3B" w:rsidRDefault="00E82D3B" w:rsidP="007C58EA">
                            <w:pPr>
                              <w:jc w:val="both"/>
                              <w:rPr>
                                <w:i/>
                                <w:sz w:val="22"/>
                              </w:rPr>
                            </w:pPr>
                            <w:r>
                              <w:rPr>
                                <w:i/>
                                <w:sz w:val="22"/>
                              </w:rPr>
                              <w:t>a.) HCT116 cells were either transfected with control siRNA, si6 or YFP SRCAP for 48hrs, at this point the siRNA-transfected samples were lysed for RNA and the YFP SRCAP transfected cells were FACS sorted depending on YFP fluorescence. RNA samples underwent RT-PCR and then Taqman PCR for assessment of SRCAP expression levels. In each experiment the si6 sample has SRCAP knocked down compared to control transfected and the positive YFP sorted population is over-expressing SRCAP compared to the negative YFP sorted population. Graphs show the mean 2-delta Ct value from three internal repeats of one experiment along with positive and negative error bars.</w:t>
                            </w:r>
                          </w:p>
                          <w:p w14:paraId="4A87B687" w14:textId="1DABC759" w:rsidR="00E82D3B" w:rsidRPr="00737146" w:rsidRDefault="00E82D3B" w:rsidP="007C58EA">
                            <w:pPr>
                              <w:jc w:val="both"/>
                              <w:rPr>
                                <w:i/>
                                <w:sz w:val="22"/>
                              </w:rPr>
                            </w:pPr>
                            <w:r>
                              <w:rPr>
                                <w:i/>
                                <w:sz w:val="22"/>
                              </w:rPr>
                              <w:t xml:space="preserve">b.) The relative mRNA levels of SRCAP for the three repeats combined, showing how the controls (circles) and si6 samples (triangles) are closely matched, however the YFP SRCAP over-expression samples (squares) vary.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0" o:spid="_x0000_s1173" type="#_x0000_t202" style="position:absolute;margin-left:-8.95pt;margin-top:181.9pt;width:450pt;height:162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jeJNUCAAAc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" filled="f" stroked="f">
                <v:textbox>
                  <w:txbxContent>
                    <w:p w14:paraId="4F89990C" w14:textId="77777777" w:rsidR="000A1E0D" w:rsidRDefault="000A1E0D" w:rsidP="007C58EA">
                      <w:pPr>
                        <w:rPr>
                          <w:b/>
                          <w:i/>
                          <w:sz w:val="22"/>
                        </w:rPr>
                      </w:pPr>
                      <w:r w:rsidRPr="00737146">
                        <w:rPr>
                          <w:b/>
                          <w:i/>
                          <w:sz w:val="22"/>
                        </w:rPr>
                        <w:t xml:space="preserve">Figure 6.1 RNA sample </w:t>
                      </w:r>
                      <w:proofErr w:type="gramStart"/>
                      <w:r w:rsidRPr="00737146">
                        <w:rPr>
                          <w:b/>
                          <w:i/>
                          <w:sz w:val="22"/>
                        </w:rPr>
                        <w:t>collection</w:t>
                      </w:r>
                      <w:proofErr w:type="gramEnd"/>
                      <w:r w:rsidRPr="00737146">
                        <w:rPr>
                          <w:b/>
                          <w:i/>
                          <w:sz w:val="22"/>
                        </w:rPr>
                        <w:t xml:space="preserve"> shows differing SRCAP expression levels</w:t>
                      </w:r>
                    </w:p>
                    <w:p w14:paraId="6CC13128" w14:textId="7C6079F9" w:rsidR="000A1E0D" w:rsidRDefault="000A1E0D" w:rsidP="007C58EA">
                      <w:pPr>
                        <w:jc w:val="both"/>
                        <w:rPr>
                          <w:i/>
                          <w:sz w:val="22"/>
                        </w:rPr>
                      </w:pPr>
                      <w:r>
                        <w:rPr>
                          <w:i/>
                          <w:sz w:val="22"/>
                        </w:rPr>
                        <w:t>a.) HCT116 cells were either transfected with control siRNA, si6 or YFP SRCAP for 48hrs, at this point the siRNA-transfected samples were lysed for RNA and the YFP SRCAP transfected cells were FACS sorted depending on YFP fluorescence. RNA samples underwent RT-PCR and then Taqman PCR for assessment of SRCAP expression levels. In each experiment the si6 sample has SRCAP knocked down compared to control transfected and the positive YFP sorted population is over-expressing SRCAP compared to the negative YFP sorted population. Graphs show the mean 2-delta Ct value from three internal repeats of one experiment along with positive and negative error bars.</w:t>
                      </w:r>
                    </w:p>
                    <w:p w14:paraId="4A87B687" w14:textId="1DABC759" w:rsidR="000A1E0D" w:rsidRPr="00737146" w:rsidRDefault="000A1E0D" w:rsidP="007C58EA">
                      <w:pPr>
                        <w:jc w:val="both"/>
                        <w:rPr>
                          <w:i/>
                          <w:sz w:val="22"/>
                        </w:rPr>
                      </w:pPr>
                      <w:r>
                        <w:rPr>
                          <w:i/>
                          <w:sz w:val="22"/>
                        </w:rPr>
                        <w:t xml:space="preserve">b.) The relative mRNA levels of SRCAP for the three repeats combined, showing how the controls (circles) and si6 samples (triangles) are closely matched, however the YFP SRCAP over-expression samples (squares) vary. </w:t>
                      </w:r>
                    </w:p>
                  </w:txbxContent>
                </v:textbox>
                <w10:wrap type="square"/>
              </v:shape>
            </w:pict>
          </mc:Fallback>
        </mc:AlternateContent>
      </w:r>
      <w:r w:rsidR="007C58EA">
        <w:rPr>
          <w:noProof/>
          <w:lang w:val="en-US"/>
        </w:rPr>
        <mc:AlternateContent>
          <mc:Choice Requires="wps">
            <w:drawing>
              <wp:anchor distT="0" distB="0" distL="114300" distR="114300" simplePos="0" relativeHeight="252104704" behindDoc="0" locked="0" layoutInCell="1" allowOverlap="1" wp14:anchorId="50FFDFD2" wp14:editId="0223F29D">
                <wp:simplePos x="0" y="0"/>
                <wp:positionH relativeFrom="column">
                  <wp:posOffset>342900</wp:posOffset>
                </wp:positionH>
                <wp:positionV relativeFrom="paragraph">
                  <wp:posOffset>24130</wp:posOffset>
                </wp:positionV>
                <wp:extent cx="457200" cy="342900"/>
                <wp:effectExtent l="0" t="0" r="0" b="12700"/>
                <wp:wrapSquare wrapText="bothSides"/>
                <wp:docPr id="331" name="Text Box 331"/>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4A406C" w14:textId="77777777" w:rsidR="00E82D3B" w:rsidRPr="00C90AE0" w:rsidRDefault="00E82D3B" w:rsidP="007C58EA">
                            <w:pPr>
                              <w:rPr>
                                <w:b/>
                              </w:rPr>
                            </w:pPr>
                            <w:proofErr w:type="gramStart"/>
                            <w:r>
                              <w:rPr>
                                <w:b/>
                              </w:rPr>
                              <w:t>b</w:t>
                            </w:r>
                            <w:proofErr w:type="gramEnd"/>
                            <w:r w:rsidRPr="00C90AE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1" o:spid="_x0000_s1174" type="#_x0000_t202" style="position:absolute;margin-left:27pt;margin-top:1.9pt;width:36pt;height:27pt;z-index:25210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" filled="f" stroked="f">
                <v:textbox>
                  <w:txbxContent>
                    <w:p w14:paraId="614A406C" w14:textId="77777777" w:rsidR="000A1E0D" w:rsidRPr="00C90AE0" w:rsidRDefault="000A1E0D" w:rsidP="007C58EA">
                      <w:pPr>
                        <w:rPr>
                          <w:b/>
                        </w:rPr>
                      </w:pPr>
                      <w:proofErr w:type="gramStart"/>
                      <w:r>
                        <w:rPr>
                          <w:b/>
                        </w:rPr>
                        <w:t>b</w:t>
                      </w:r>
                      <w:proofErr w:type="gramEnd"/>
                      <w:r w:rsidRPr="00C90AE0">
                        <w:rPr>
                          <w:b/>
                        </w:rPr>
                        <w:t>.)</w:t>
                      </w:r>
                    </w:p>
                  </w:txbxContent>
                </v:textbox>
                <w10:wrap type="square"/>
              </v:shape>
            </w:pict>
          </mc:Fallback>
        </mc:AlternateContent>
      </w:r>
      <w:r w:rsidRPr="004F5D1D">
        <w:rPr>
          <w:rFonts w:asciiTheme="majorHAnsi" w:hAnsiTheme="majorHAnsi"/>
        </w:rPr>
        <w:t xml:space="preserve"> </w:t>
      </w:r>
      <w:r w:rsidR="007C58EA">
        <w:rPr>
          <w:rFonts w:asciiTheme="majorHAnsi" w:hAnsiTheme="majorHAnsi"/>
        </w:rPr>
        <w:br w:type="page"/>
      </w:r>
    </w:p>
    <w:p w14:paraId="1426D1F6" w14:textId="18CC45AE" w:rsidR="007C58EA" w:rsidRDefault="0047236F" w:rsidP="007C58EA">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087296" behindDoc="0" locked="0" layoutInCell="1" allowOverlap="1" wp14:anchorId="0A848344" wp14:editId="23B95A5C">
                <wp:simplePos x="0" y="0"/>
                <wp:positionH relativeFrom="column">
                  <wp:posOffset>0</wp:posOffset>
                </wp:positionH>
                <wp:positionV relativeFrom="paragraph">
                  <wp:posOffset>6972300</wp:posOffset>
                </wp:positionV>
                <wp:extent cx="5372100" cy="1714500"/>
                <wp:effectExtent l="0" t="0" r="0" b="12700"/>
                <wp:wrapSquare wrapText="bothSides"/>
                <wp:docPr id="332" name="Text Box 332"/>
                <wp:cNvGraphicFramePr/>
                <a:graphic xmlns:a="http://schemas.openxmlformats.org/drawingml/2006/main">
                  <a:graphicData uri="http://schemas.microsoft.com/office/word/2010/wordprocessingShape">
                    <wps:wsp>
                      <wps:cNvSpPr txBox="1"/>
                      <wps:spPr>
                        <a:xfrm>
                          <a:off x="0" y="0"/>
                          <a:ext cx="53721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DC31C2" w14:textId="77777777" w:rsidR="00E82D3B" w:rsidRDefault="00E82D3B" w:rsidP="007C58EA">
                            <w:pPr>
                              <w:jc w:val="both"/>
                              <w:rPr>
                                <w:b/>
                                <w:i/>
                                <w:sz w:val="22"/>
                              </w:rPr>
                            </w:pPr>
                          </w:p>
                          <w:p w14:paraId="436DAB87" w14:textId="77777777" w:rsidR="00E82D3B" w:rsidRDefault="00E82D3B" w:rsidP="007C58EA">
                            <w:pPr>
                              <w:jc w:val="both"/>
                              <w:rPr>
                                <w:b/>
                                <w:i/>
                                <w:sz w:val="22"/>
                              </w:rPr>
                            </w:pPr>
                            <w:r w:rsidRPr="00EB55A1">
                              <w:rPr>
                                <w:b/>
                                <w:i/>
                                <w:sz w:val="22"/>
                              </w:rPr>
                              <w:t>Figure 6.2</w:t>
                            </w:r>
                            <w:r>
                              <w:rPr>
                                <w:b/>
                                <w:i/>
                                <w:sz w:val="22"/>
                              </w:rPr>
                              <w:t xml:space="preserve"> RIN </w:t>
                            </w:r>
                            <w:proofErr w:type="gramStart"/>
                            <w:r>
                              <w:rPr>
                                <w:b/>
                                <w:i/>
                                <w:sz w:val="22"/>
                              </w:rPr>
                              <w:t>analysis</w:t>
                            </w:r>
                            <w:proofErr w:type="gramEnd"/>
                            <w:r>
                              <w:rPr>
                                <w:b/>
                                <w:i/>
                                <w:sz w:val="22"/>
                              </w:rPr>
                              <w:t xml:space="preserve"> shows high quality RNA samples</w:t>
                            </w:r>
                          </w:p>
                          <w:p w14:paraId="615A41E4" w14:textId="77777777" w:rsidR="00E82D3B" w:rsidRDefault="00E82D3B" w:rsidP="007C58EA">
                            <w:pPr>
                              <w:jc w:val="both"/>
                              <w:rPr>
                                <w:i/>
                                <w:sz w:val="22"/>
                              </w:rPr>
                            </w:pPr>
                            <w:proofErr w:type="gramStart"/>
                            <w:r>
                              <w:rPr>
                                <w:i/>
                                <w:sz w:val="22"/>
                              </w:rPr>
                              <w:t>a.) Capillary electrophoresis showing how the RNA migrated through the gel in comparison to a standard ladder.</w:t>
                            </w:r>
                            <w:proofErr w:type="gramEnd"/>
                          </w:p>
                          <w:p w14:paraId="5E9EBE97" w14:textId="77777777" w:rsidR="00E82D3B" w:rsidRDefault="00E82D3B" w:rsidP="007C58EA">
                            <w:pPr>
                              <w:jc w:val="both"/>
                              <w:rPr>
                                <w:i/>
                                <w:sz w:val="22"/>
                              </w:rPr>
                            </w:pPr>
                            <w:r>
                              <w:rPr>
                                <w:i/>
                                <w:sz w:val="22"/>
                              </w:rPr>
                              <w:t xml:space="preserve">b.) Representative electropherogram of the control 1 sample showing peaks at 18S and 28S along with the observed data values of concentration, </w:t>
                            </w:r>
                            <w:proofErr w:type="spellStart"/>
                            <w:r>
                              <w:rPr>
                                <w:i/>
                                <w:sz w:val="22"/>
                              </w:rPr>
                              <w:t>rRNA</w:t>
                            </w:r>
                            <w:proofErr w:type="spellEnd"/>
                            <w:r>
                              <w:rPr>
                                <w:i/>
                                <w:sz w:val="22"/>
                              </w:rPr>
                              <w:t xml:space="preserve"> ratio, size and area of the fragments and the final RIN value</w:t>
                            </w:r>
                          </w:p>
                          <w:p w14:paraId="0B027CE0" w14:textId="77777777" w:rsidR="00E82D3B" w:rsidRPr="00EB55A1" w:rsidRDefault="00E82D3B" w:rsidP="007C58EA">
                            <w:pPr>
                              <w:jc w:val="both"/>
                              <w:rPr>
                                <w:i/>
                                <w:sz w:val="22"/>
                              </w:rPr>
                            </w:pPr>
                            <w:r>
                              <w:rPr>
                                <w:i/>
                                <w:sz w:val="22"/>
                              </w:rPr>
                              <w:t>c.) Conclusive table of all the RIN values for the samples going into the microarray, they are all between 9-10 and so show high quality RNA.</w:t>
                            </w:r>
                          </w:p>
                          <w:p w14:paraId="797D64EE" w14:textId="77777777" w:rsidR="00E82D3B" w:rsidRDefault="00E82D3B" w:rsidP="007C58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2" o:spid="_x0000_s1175" type="#_x0000_t202" style="position:absolute;left:0;text-align:left;margin-left:0;margin-top:549pt;width:423pt;height:13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0UndYCAAAc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" filled="f" stroked="f">
                <v:textbox>
                  <w:txbxContent>
                    <w:p w14:paraId="3DDC31C2" w14:textId="77777777" w:rsidR="000A1E0D" w:rsidRDefault="000A1E0D" w:rsidP="007C58EA">
                      <w:pPr>
                        <w:jc w:val="both"/>
                        <w:rPr>
                          <w:b/>
                          <w:i/>
                          <w:sz w:val="22"/>
                        </w:rPr>
                      </w:pPr>
                    </w:p>
                    <w:p w14:paraId="436DAB87" w14:textId="77777777" w:rsidR="000A1E0D" w:rsidRDefault="000A1E0D" w:rsidP="007C58EA">
                      <w:pPr>
                        <w:jc w:val="both"/>
                        <w:rPr>
                          <w:b/>
                          <w:i/>
                          <w:sz w:val="22"/>
                        </w:rPr>
                      </w:pPr>
                      <w:r w:rsidRPr="00EB55A1">
                        <w:rPr>
                          <w:b/>
                          <w:i/>
                          <w:sz w:val="22"/>
                        </w:rPr>
                        <w:t>Figure 6.2</w:t>
                      </w:r>
                      <w:r>
                        <w:rPr>
                          <w:b/>
                          <w:i/>
                          <w:sz w:val="22"/>
                        </w:rPr>
                        <w:t xml:space="preserve"> RIN </w:t>
                      </w:r>
                      <w:proofErr w:type="gramStart"/>
                      <w:r>
                        <w:rPr>
                          <w:b/>
                          <w:i/>
                          <w:sz w:val="22"/>
                        </w:rPr>
                        <w:t>analysis</w:t>
                      </w:r>
                      <w:proofErr w:type="gramEnd"/>
                      <w:r>
                        <w:rPr>
                          <w:b/>
                          <w:i/>
                          <w:sz w:val="22"/>
                        </w:rPr>
                        <w:t xml:space="preserve"> shows high quality RNA samples</w:t>
                      </w:r>
                    </w:p>
                    <w:p w14:paraId="615A41E4" w14:textId="77777777" w:rsidR="000A1E0D" w:rsidRDefault="000A1E0D" w:rsidP="007C58EA">
                      <w:pPr>
                        <w:jc w:val="both"/>
                        <w:rPr>
                          <w:i/>
                          <w:sz w:val="22"/>
                        </w:rPr>
                      </w:pPr>
                      <w:proofErr w:type="gramStart"/>
                      <w:r>
                        <w:rPr>
                          <w:i/>
                          <w:sz w:val="22"/>
                        </w:rPr>
                        <w:t>a.) Capillary electrophoresis showing how the RNA migrated through the gel in comparison to a standard ladder.</w:t>
                      </w:r>
                      <w:proofErr w:type="gramEnd"/>
                    </w:p>
                    <w:p w14:paraId="5E9EBE97" w14:textId="77777777" w:rsidR="000A1E0D" w:rsidRDefault="000A1E0D" w:rsidP="007C58EA">
                      <w:pPr>
                        <w:jc w:val="both"/>
                        <w:rPr>
                          <w:i/>
                          <w:sz w:val="22"/>
                        </w:rPr>
                      </w:pPr>
                      <w:r>
                        <w:rPr>
                          <w:i/>
                          <w:sz w:val="22"/>
                        </w:rPr>
                        <w:t xml:space="preserve">b.) Representative electropherogram of the control 1 sample showing peaks at 18S and 28S along with the observed data values of concentration, </w:t>
                      </w:r>
                      <w:proofErr w:type="spellStart"/>
                      <w:r>
                        <w:rPr>
                          <w:i/>
                          <w:sz w:val="22"/>
                        </w:rPr>
                        <w:t>rRNA</w:t>
                      </w:r>
                      <w:proofErr w:type="spellEnd"/>
                      <w:r>
                        <w:rPr>
                          <w:i/>
                          <w:sz w:val="22"/>
                        </w:rPr>
                        <w:t xml:space="preserve"> ratio, size and area of the fragments and the final RIN value</w:t>
                      </w:r>
                    </w:p>
                    <w:p w14:paraId="0B027CE0" w14:textId="77777777" w:rsidR="000A1E0D" w:rsidRPr="00EB55A1" w:rsidRDefault="000A1E0D" w:rsidP="007C58EA">
                      <w:pPr>
                        <w:jc w:val="both"/>
                        <w:rPr>
                          <w:i/>
                          <w:sz w:val="22"/>
                        </w:rPr>
                      </w:pPr>
                      <w:r>
                        <w:rPr>
                          <w:i/>
                          <w:sz w:val="22"/>
                        </w:rPr>
                        <w:t>c.) Conclusive table of all the RIN values for the samples going into the microarray, they are all between 9-10 and so show high quality RNA.</w:t>
                      </w:r>
                    </w:p>
                    <w:p w14:paraId="797D64EE" w14:textId="77777777" w:rsidR="000A1E0D" w:rsidRDefault="000A1E0D" w:rsidP="007C58EA"/>
                  </w:txbxContent>
                </v:textbox>
                <w10:wrap type="square"/>
              </v:shape>
            </w:pict>
          </mc:Fallback>
        </mc:AlternateContent>
      </w:r>
      <w:r w:rsidR="007C58EA">
        <w:rPr>
          <w:rFonts w:asciiTheme="majorHAnsi" w:hAnsiTheme="majorHAnsi"/>
          <w:noProof/>
          <w:lang w:val="en-US"/>
        </w:rPr>
        <w:drawing>
          <wp:anchor distT="0" distB="0" distL="114300" distR="114300" simplePos="0" relativeHeight="252086272" behindDoc="0" locked="0" layoutInCell="1" allowOverlap="1" wp14:anchorId="014E60BC" wp14:editId="36E1ABB1">
            <wp:simplePos x="0" y="0"/>
            <wp:positionH relativeFrom="column">
              <wp:posOffset>-342900</wp:posOffset>
            </wp:positionH>
            <wp:positionV relativeFrom="paragraph">
              <wp:posOffset>3086100</wp:posOffset>
            </wp:positionV>
            <wp:extent cx="5943600" cy="3772535"/>
            <wp:effectExtent l="0" t="0" r="0" b="12065"/>
            <wp:wrapSquare wrapText="bothSides"/>
            <wp:docPr id="355" name="Picture 355" descr="Macintosh HD:Users:ClairFellows:Desktop:Screen Shot 2017-10-12 at 09.1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10-12 at 09.14.53.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3772535"/>
                    </a:xfrm>
                    <a:prstGeom prst="rect">
                      <a:avLst/>
                    </a:prstGeom>
                    <a:noFill/>
                    <a:ln>
                      <a:noFill/>
                    </a:ln>
                  </pic:spPr>
                </pic:pic>
              </a:graphicData>
            </a:graphic>
            <wp14:sizeRelH relativeFrom="page">
              <wp14:pctWidth>0</wp14:pctWidth>
            </wp14:sizeRelH>
            <wp14:sizeRelV relativeFrom="page">
              <wp14:pctHeight>0</wp14:pctHeight>
            </wp14:sizeRelV>
          </wp:anchor>
        </w:drawing>
      </w:r>
      <w:r w:rsidR="007C58EA">
        <w:rPr>
          <w:rFonts w:asciiTheme="majorHAnsi" w:hAnsiTheme="majorHAnsi"/>
        </w:rPr>
        <w:t xml:space="preserve">Before the RNA samples could be used for microarray analysis they </w:t>
      </w:r>
      <w:r>
        <w:rPr>
          <w:rFonts w:asciiTheme="majorHAnsi" w:hAnsiTheme="majorHAnsi"/>
        </w:rPr>
        <w:t>were</w:t>
      </w:r>
      <w:r w:rsidR="007C58EA">
        <w:rPr>
          <w:rFonts w:asciiTheme="majorHAnsi" w:hAnsiTheme="majorHAnsi"/>
        </w:rPr>
        <w:t xml:space="preserve"> checked for quality using the RIN. This is the RNA integrity </w:t>
      </w:r>
      <w:r>
        <w:rPr>
          <w:rFonts w:asciiTheme="majorHAnsi" w:hAnsiTheme="majorHAnsi"/>
        </w:rPr>
        <w:t>number, which is based on an algorithm,</w:t>
      </w:r>
      <w:r w:rsidR="007C58EA">
        <w:rPr>
          <w:rFonts w:asciiTheme="majorHAnsi" w:hAnsiTheme="majorHAnsi"/>
        </w:rPr>
        <w:t xml:space="preserve"> used on electrophoretic data. The samples were </w:t>
      </w:r>
      <w:r>
        <w:rPr>
          <w:rFonts w:asciiTheme="majorHAnsi" w:hAnsiTheme="majorHAnsi"/>
        </w:rPr>
        <w:t>electrophoresed</w:t>
      </w:r>
      <w:r w:rsidR="007C58EA">
        <w:rPr>
          <w:rFonts w:asciiTheme="majorHAnsi" w:hAnsiTheme="majorHAnsi"/>
        </w:rPr>
        <w:t xml:space="preserve"> on a capillary gel</w:t>
      </w:r>
      <w:r>
        <w:rPr>
          <w:rFonts w:asciiTheme="majorHAnsi" w:hAnsiTheme="majorHAnsi"/>
        </w:rPr>
        <w:t>,</w:t>
      </w:r>
      <w:r w:rsidR="007C58EA">
        <w:rPr>
          <w:rFonts w:asciiTheme="majorHAnsi" w:hAnsiTheme="majorHAnsi"/>
        </w:rPr>
        <w:t xml:space="preserve"> and as the nucleic acids pass through a detector an electropherogram is produced showing peaks corresponding to 18S and 28S </w:t>
      </w:r>
      <w:r>
        <w:rPr>
          <w:rFonts w:asciiTheme="majorHAnsi" w:hAnsiTheme="majorHAnsi"/>
        </w:rPr>
        <w:t xml:space="preserve">ribosomal </w:t>
      </w:r>
      <w:r w:rsidR="007C58EA">
        <w:rPr>
          <w:rFonts w:asciiTheme="majorHAnsi" w:hAnsiTheme="majorHAnsi"/>
        </w:rPr>
        <w:t xml:space="preserve">RNA. The RIN corresponds to the ratio under the peaks against the total area under the graph, plus the algorithm </w:t>
      </w:r>
      <w:r>
        <w:rPr>
          <w:rFonts w:asciiTheme="majorHAnsi" w:hAnsiTheme="majorHAnsi"/>
        </w:rPr>
        <w:t>calculates</w:t>
      </w:r>
      <w:r w:rsidR="007C58EA">
        <w:rPr>
          <w:rFonts w:asciiTheme="majorHAnsi" w:hAnsiTheme="majorHAnsi"/>
        </w:rPr>
        <w:t xml:space="preserve"> the fast region, which is the area between the 5S and the 18S peak</w:t>
      </w:r>
      <w:r>
        <w:rPr>
          <w:rFonts w:asciiTheme="majorHAnsi" w:hAnsiTheme="majorHAnsi"/>
        </w:rPr>
        <w:t xml:space="preserve">, and inputs this into the algorithm. A RIN can be between 1 and </w:t>
      </w:r>
      <w:r w:rsidR="007C58EA">
        <w:rPr>
          <w:rFonts w:asciiTheme="majorHAnsi" w:hAnsiTheme="majorHAnsi"/>
        </w:rPr>
        <w:t xml:space="preserve">10, with 1 being a very degraded sample and 10 being high quality RNA. In this experiment all the samples had a RIN of between 9-10, which indicated they were of good quality and </w:t>
      </w:r>
      <w:r>
        <w:rPr>
          <w:rFonts w:asciiTheme="majorHAnsi" w:hAnsiTheme="majorHAnsi"/>
        </w:rPr>
        <w:t>suitable for</w:t>
      </w:r>
      <w:r w:rsidR="007C58EA">
        <w:rPr>
          <w:rFonts w:asciiTheme="majorHAnsi" w:hAnsiTheme="majorHAnsi"/>
        </w:rPr>
        <w:t xml:space="preserve"> microarray </w:t>
      </w:r>
      <w:r>
        <w:rPr>
          <w:rFonts w:asciiTheme="majorHAnsi" w:hAnsiTheme="majorHAnsi"/>
        </w:rPr>
        <w:t xml:space="preserve">analysis </w:t>
      </w:r>
      <w:r w:rsidR="007C58EA">
        <w:rPr>
          <w:rFonts w:asciiTheme="majorHAnsi" w:hAnsiTheme="majorHAnsi"/>
        </w:rPr>
        <w:t xml:space="preserve">(Figure 6.2). </w:t>
      </w:r>
    </w:p>
    <w:p w14:paraId="305181F7" w14:textId="31059EF6" w:rsidR="007C58EA" w:rsidRPr="00F8753E" w:rsidRDefault="007C58EA" w:rsidP="007C58EA">
      <w:pPr>
        <w:spacing w:line="360" w:lineRule="auto"/>
        <w:jc w:val="both"/>
        <w:rPr>
          <w:rFonts w:asciiTheme="majorHAnsi" w:hAnsiTheme="majorHAnsi"/>
          <w:lang w:val="en-US"/>
        </w:rPr>
      </w:pPr>
      <w:r>
        <w:rPr>
          <w:rFonts w:asciiTheme="majorHAnsi" w:hAnsiTheme="majorHAnsi"/>
        </w:rPr>
        <w:t>Catherine Gelsthorpe (</w:t>
      </w:r>
      <w:proofErr w:type="spellStart"/>
      <w:r>
        <w:rPr>
          <w:rFonts w:asciiTheme="majorHAnsi" w:hAnsiTheme="majorHAnsi"/>
        </w:rPr>
        <w:t>SITraN</w:t>
      </w:r>
      <w:proofErr w:type="spellEnd"/>
      <w:r>
        <w:rPr>
          <w:rFonts w:asciiTheme="majorHAnsi" w:hAnsiTheme="majorHAnsi"/>
        </w:rPr>
        <w:t xml:space="preserve">) then completed the microarray </w:t>
      </w:r>
      <w:r w:rsidR="0047236F">
        <w:rPr>
          <w:rFonts w:asciiTheme="majorHAnsi" w:hAnsiTheme="majorHAnsi"/>
        </w:rPr>
        <w:t xml:space="preserve">experiment </w:t>
      </w:r>
      <w:r>
        <w:rPr>
          <w:rFonts w:asciiTheme="majorHAnsi" w:hAnsiTheme="majorHAnsi"/>
        </w:rPr>
        <w:t xml:space="preserve">as per the protocol outlined in the methods chapter. Before analysing the data, various quality controls were used throughout the process in order to check labelling </w:t>
      </w:r>
      <w:r w:rsidR="0047236F">
        <w:rPr>
          <w:rFonts w:asciiTheme="majorHAnsi" w:hAnsiTheme="majorHAnsi"/>
        </w:rPr>
        <w:t xml:space="preserve">efficiency </w:t>
      </w:r>
      <w:r>
        <w:rPr>
          <w:rFonts w:asciiTheme="majorHAnsi" w:hAnsiTheme="majorHAnsi"/>
        </w:rPr>
        <w:t xml:space="preserve">and orientation of the arrays. </w:t>
      </w:r>
      <w:r>
        <w:rPr>
          <w:rFonts w:asciiTheme="majorHAnsi" w:hAnsiTheme="majorHAnsi"/>
          <w:lang w:val="en-US"/>
        </w:rPr>
        <w:t xml:space="preserve">Poly-A RNA controls were spiked into the RNA samples at different concentrations at the start of the </w:t>
      </w:r>
      <w:r w:rsidR="0047236F">
        <w:rPr>
          <w:rFonts w:asciiTheme="majorHAnsi" w:hAnsiTheme="majorHAnsi"/>
          <w:lang w:val="en-US"/>
        </w:rPr>
        <w:t>procedure as exogenous controls. T</w:t>
      </w:r>
      <w:r>
        <w:rPr>
          <w:rFonts w:asciiTheme="majorHAnsi" w:hAnsiTheme="majorHAnsi"/>
          <w:lang w:val="en-US"/>
        </w:rPr>
        <w:t xml:space="preserve">he microarray contains probe sets for the spike in RNA from </w:t>
      </w:r>
      <w:r w:rsidRPr="00F8753E">
        <w:rPr>
          <w:rFonts w:asciiTheme="majorHAnsi" w:hAnsiTheme="majorHAnsi"/>
          <w:i/>
          <w:lang w:val="en-US"/>
        </w:rPr>
        <w:t>B. subtilis</w:t>
      </w:r>
      <w:r>
        <w:rPr>
          <w:rFonts w:asciiTheme="majorHAnsi" w:hAnsiTheme="majorHAnsi"/>
          <w:lang w:val="en-US"/>
        </w:rPr>
        <w:t xml:space="preserve"> </w:t>
      </w:r>
      <w:r w:rsidR="0047236F">
        <w:rPr>
          <w:rFonts w:asciiTheme="majorHAnsi" w:hAnsiTheme="majorHAnsi"/>
          <w:lang w:val="en-US"/>
        </w:rPr>
        <w:t>genes, which are absent in eukaryotic samples-</w:t>
      </w:r>
      <w:r>
        <w:rPr>
          <w:rFonts w:asciiTheme="majorHAnsi" w:hAnsiTheme="majorHAnsi"/>
          <w:lang w:val="en-US"/>
        </w:rPr>
        <w:t xml:space="preserve"> </w:t>
      </w:r>
      <w:r w:rsidRPr="00F8753E">
        <w:rPr>
          <w:rFonts w:asciiTheme="majorHAnsi" w:hAnsiTheme="majorHAnsi"/>
          <w:i/>
          <w:lang w:val="en-US"/>
        </w:rPr>
        <w:t xml:space="preserve">dap, </w:t>
      </w:r>
      <w:proofErr w:type="spellStart"/>
      <w:proofErr w:type="gramStart"/>
      <w:r w:rsidRPr="00F8753E">
        <w:rPr>
          <w:rFonts w:asciiTheme="majorHAnsi" w:hAnsiTheme="majorHAnsi"/>
          <w:i/>
          <w:lang w:val="en-US"/>
        </w:rPr>
        <w:t>lys</w:t>
      </w:r>
      <w:proofErr w:type="spellEnd"/>
      <w:proofErr w:type="gramEnd"/>
      <w:r w:rsidRPr="00F8753E">
        <w:rPr>
          <w:rFonts w:asciiTheme="majorHAnsi" w:hAnsiTheme="majorHAnsi"/>
          <w:i/>
          <w:lang w:val="en-US"/>
        </w:rPr>
        <w:t xml:space="preserve">, </w:t>
      </w:r>
      <w:proofErr w:type="spellStart"/>
      <w:r w:rsidRPr="00F8753E">
        <w:rPr>
          <w:rFonts w:asciiTheme="majorHAnsi" w:hAnsiTheme="majorHAnsi"/>
          <w:i/>
          <w:lang w:val="en-US"/>
        </w:rPr>
        <w:t>phe</w:t>
      </w:r>
      <w:proofErr w:type="spellEnd"/>
      <w:r w:rsidRPr="00F8753E">
        <w:rPr>
          <w:rFonts w:asciiTheme="majorHAnsi" w:hAnsiTheme="majorHAnsi"/>
          <w:i/>
          <w:lang w:val="en-US"/>
        </w:rPr>
        <w:t xml:space="preserve">, </w:t>
      </w:r>
      <w:proofErr w:type="spellStart"/>
      <w:r w:rsidRPr="00F8753E">
        <w:rPr>
          <w:rFonts w:asciiTheme="majorHAnsi" w:hAnsiTheme="majorHAnsi"/>
          <w:i/>
          <w:lang w:val="en-US"/>
        </w:rPr>
        <w:t>thr</w:t>
      </w:r>
      <w:proofErr w:type="spellEnd"/>
      <w:r>
        <w:rPr>
          <w:rFonts w:asciiTheme="majorHAnsi" w:hAnsiTheme="majorHAnsi"/>
          <w:i/>
          <w:lang w:val="en-US"/>
        </w:rPr>
        <w:t xml:space="preserve"> </w:t>
      </w:r>
      <w:r w:rsidRPr="004B67EE">
        <w:rPr>
          <w:rFonts w:asciiTheme="majorHAnsi" w:hAnsiTheme="majorHAnsi"/>
          <w:lang w:val="en-US"/>
        </w:rPr>
        <w:t xml:space="preserve">(Figure 6.3a). </w:t>
      </w:r>
      <w:r>
        <w:rPr>
          <w:rFonts w:asciiTheme="majorHAnsi" w:hAnsiTheme="majorHAnsi"/>
          <w:lang w:val="en-US"/>
        </w:rPr>
        <w:t xml:space="preserve">The hybridisation intensity of </w:t>
      </w:r>
      <w:r w:rsidRPr="00D12412">
        <w:rPr>
          <w:rFonts w:asciiTheme="majorHAnsi" w:hAnsiTheme="majorHAnsi"/>
          <w:i/>
          <w:lang w:val="en-US"/>
        </w:rPr>
        <w:t>YFP SRCAP</w:t>
      </w:r>
      <w:r>
        <w:rPr>
          <w:rFonts w:asciiTheme="majorHAnsi" w:hAnsiTheme="majorHAnsi"/>
          <w:lang w:val="en-US"/>
        </w:rPr>
        <w:t xml:space="preserve"> repeat 3 wa</w:t>
      </w:r>
      <w:r w:rsidRPr="00C52F7E">
        <w:rPr>
          <w:rFonts w:asciiTheme="majorHAnsi" w:hAnsiTheme="majorHAnsi"/>
          <w:lang w:val="en-US"/>
        </w:rPr>
        <w:t>s slightly different than the others</w:t>
      </w:r>
      <w:r>
        <w:rPr>
          <w:rFonts w:asciiTheme="majorHAnsi" w:hAnsiTheme="majorHAnsi"/>
          <w:lang w:val="en-US"/>
        </w:rPr>
        <w:t xml:space="preserve"> especially </w:t>
      </w:r>
      <w:r w:rsidR="0047236F">
        <w:rPr>
          <w:rFonts w:asciiTheme="majorHAnsi" w:hAnsiTheme="majorHAnsi"/>
          <w:lang w:val="en-US"/>
        </w:rPr>
        <w:t>for</w:t>
      </w:r>
      <w:r>
        <w:rPr>
          <w:rFonts w:asciiTheme="majorHAnsi" w:hAnsiTheme="majorHAnsi"/>
          <w:lang w:val="en-US"/>
        </w:rPr>
        <w:t xml:space="preserve"> the </w:t>
      </w:r>
      <w:proofErr w:type="spellStart"/>
      <w:r w:rsidRPr="00F8753E">
        <w:rPr>
          <w:rFonts w:asciiTheme="majorHAnsi" w:hAnsiTheme="majorHAnsi"/>
          <w:i/>
          <w:lang w:val="en-US"/>
        </w:rPr>
        <w:t>thr</w:t>
      </w:r>
      <w:proofErr w:type="spellEnd"/>
      <w:r>
        <w:rPr>
          <w:rFonts w:asciiTheme="majorHAnsi" w:hAnsiTheme="majorHAnsi"/>
          <w:lang w:val="en-US"/>
        </w:rPr>
        <w:t xml:space="preserve"> RNA, however </w:t>
      </w:r>
      <w:r w:rsidR="0047236F">
        <w:rPr>
          <w:rFonts w:asciiTheme="majorHAnsi" w:hAnsiTheme="majorHAnsi"/>
          <w:lang w:val="en-US"/>
        </w:rPr>
        <w:t>since this was not consistent</w:t>
      </w:r>
      <w:r>
        <w:rPr>
          <w:rFonts w:asciiTheme="majorHAnsi" w:hAnsiTheme="majorHAnsi"/>
          <w:lang w:val="en-US"/>
        </w:rPr>
        <w:t xml:space="preserve"> for all the spike-ins it was classed as still acceptable for analysis</w:t>
      </w:r>
      <w:r w:rsidR="0047236F">
        <w:rPr>
          <w:rFonts w:asciiTheme="majorHAnsi" w:hAnsiTheme="majorHAnsi"/>
          <w:lang w:val="en-US"/>
        </w:rPr>
        <w:t xml:space="preserve"> according to QC criteria</w:t>
      </w:r>
      <w:r>
        <w:rPr>
          <w:rFonts w:asciiTheme="majorHAnsi" w:hAnsiTheme="majorHAnsi"/>
          <w:lang w:val="en-US"/>
        </w:rPr>
        <w:t>.</w:t>
      </w:r>
      <w:r w:rsidRPr="00C52F7E">
        <w:rPr>
          <w:rFonts w:asciiTheme="majorHAnsi" w:hAnsiTheme="majorHAnsi"/>
          <w:lang w:val="en-US"/>
        </w:rPr>
        <w:t xml:space="preserve"> </w:t>
      </w:r>
      <w:r w:rsidR="0047236F">
        <w:rPr>
          <w:rFonts w:asciiTheme="majorHAnsi" w:hAnsiTheme="majorHAnsi"/>
          <w:lang w:val="en-US"/>
        </w:rPr>
        <w:t xml:space="preserve">The hybridisation controls evaluate the efficiency of the hybridisation of the samples to the probe sets, </w:t>
      </w:r>
      <w:proofErr w:type="spellStart"/>
      <w:r w:rsidR="0047236F" w:rsidRPr="00A80AC1">
        <w:rPr>
          <w:rFonts w:asciiTheme="majorHAnsi" w:hAnsiTheme="majorHAnsi"/>
          <w:i/>
          <w:lang w:val="en-US"/>
        </w:rPr>
        <w:t>bioB</w:t>
      </w:r>
      <w:proofErr w:type="spellEnd"/>
      <w:r w:rsidR="0047236F" w:rsidRPr="00A80AC1">
        <w:rPr>
          <w:rFonts w:asciiTheme="majorHAnsi" w:hAnsiTheme="majorHAnsi"/>
          <w:i/>
          <w:lang w:val="en-US"/>
        </w:rPr>
        <w:t>/C/D</w:t>
      </w:r>
      <w:r w:rsidR="0047236F">
        <w:rPr>
          <w:rFonts w:asciiTheme="majorHAnsi" w:hAnsiTheme="majorHAnsi"/>
          <w:lang w:val="en-US"/>
        </w:rPr>
        <w:t xml:space="preserve"> are genes from the biotin synthesis pathway of </w:t>
      </w:r>
      <w:r w:rsidR="0047236F" w:rsidRPr="00A80AC1">
        <w:rPr>
          <w:rFonts w:asciiTheme="majorHAnsi" w:hAnsiTheme="majorHAnsi"/>
          <w:i/>
          <w:lang w:val="en-US"/>
        </w:rPr>
        <w:t>E. Coli</w:t>
      </w:r>
      <w:r w:rsidR="0047236F">
        <w:rPr>
          <w:rFonts w:asciiTheme="majorHAnsi" w:hAnsiTheme="majorHAnsi"/>
          <w:lang w:val="en-US"/>
        </w:rPr>
        <w:t xml:space="preserve"> whilst the </w:t>
      </w:r>
      <w:proofErr w:type="spellStart"/>
      <w:r w:rsidR="0047236F" w:rsidRPr="00A80AC1">
        <w:rPr>
          <w:rFonts w:asciiTheme="majorHAnsi" w:hAnsiTheme="majorHAnsi"/>
          <w:i/>
          <w:lang w:val="en-US"/>
        </w:rPr>
        <w:t>cre</w:t>
      </w:r>
      <w:proofErr w:type="spellEnd"/>
      <w:r w:rsidR="0047236F">
        <w:rPr>
          <w:rFonts w:asciiTheme="majorHAnsi" w:hAnsiTheme="majorHAnsi"/>
          <w:lang w:val="en-US"/>
        </w:rPr>
        <w:t xml:space="preserve"> gene is a recombinase found in bacteriophage P1. </w:t>
      </w:r>
      <w:r>
        <w:rPr>
          <w:rFonts w:asciiTheme="majorHAnsi" w:hAnsiTheme="majorHAnsi"/>
          <w:lang w:val="en-US"/>
        </w:rPr>
        <w:t>The hybridisation controls (</w:t>
      </w:r>
      <w:proofErr w:type="spellStart"/>
      <w:r w:rsidRPr="00D36CF2">
        <w:rPr>
          <w:rFonts w:asciiTheme="majorHAnsi" w:hAnsiTheme="majorHAnsi"/>
          <w:i/>
          <w:iCs/>
          <w:lang w:val="en-US"/>
        </w:rPr>
        <w:t>bioB</w:t>
      </w:r>
      <w:proofErr w:type="spellEnd"/>
      <w:r w:rsidRPr="00D36CF2">
        <w:rPr>
          <w:rFonts w:asciiTheme="majorHAnsi" w:hAnsiTheme="majorHAnsi"/>
          <w:i/>
          <w:iCs/>
          <w:lang w:val="en-US"/>
        </w:rPr>
        <w:t xml:space="preserve">, </w:t>
      </w:r>
      <w:proofErr w:type="spellStart"/>
      <w:r w:rsidRPr="00D36CF2">
        <w:rPr>
          <w:rFonts w:asciiTheme="majorHAnsi" w:hAnsiTheme="majorHAnsi"/>
          <w:i/>
          <w:iCs/>
          <w:lang w:val="en-US"/>
        </w:rPr>
        <w:t>bioC</w:t>
      </w:r>
      <w:proofErr w:type="spellEnd"/>
      <w:r w:rsidRPr="00D36CF2">
        <w:rPr>
          <w:rFonts w:asciiTheme="majorHAnsi" w:hAnsiTheme="majorHAnsi"/>
          <w:i/>
          <w:iCs/>
          <w:lang w:val="en-US"/>
        </w:rPr>
        <w:t xml:space="preserve">, </w:t>
      </w:r>
      <w:proofErr w:type="spellStart"/>
      <w:r w:rsidRPr="00D36CF2">
        <w:rPr>
          <w:rFonts w:asciiTheme="majorHAnsi" w:hAnsiTheme="majorHAnsi"/>
          <w:i/>
          <w:iCs/>
          <w:lang w:val="en-US"/>
        </w:rPr>
        <w:t>bioD</w:t>
      </w:r>
      <w:proofErr w:type="spellEnd"/>
      <w:r w:rsidRPr="00D36CF2">
        <w:rPr>
          <w:rFonts w:asciiTheme="majorHAnsi" w:hAnsiTheme="majorHAnsi"/>
          <w:i/>
          <w:iCs/>
          <w:lang w:val="en-US"/>
        </w:rPr>
        <w:t xml:space="preserve">, </w:t>
      </w:r>
      <w:proofErr w:type="spellStart"/>
      <w:r w:rsidRPr="00D36CF2">
        <w:rPr>
          <w:rFonts w:asciiTheme="majorHAnsi" w:hAnsiTheme="majorHAnsi"/>
          <w:i/>
          <w:iCs/>
          <w:lang w:val="en-US"/>
        </w:rPr>
        <w:t>cre</w:t>
      </w:r>
      <w:proofErr w:type="spellEnd"/>
      <w:r>
        <w:rPr>
          <w:rFonts w:asciiTheme="majorHAnsi" w:hAnsiTheme="majorHAnsi"/>
          <w:i/>
          <w:iCs/>
          <w:lang w:val="en-US"/>
        </w:rPr>
        <w:t>)</w:t>
      </w:r>
      <w:r>
        <w:rPr>
          <w:rFonts w:asciiTheme="majorHAnsi" w:hAnsiTheme="majorHAnsi"/>
          <w:lang w:val="en-US"/>
        </w:rPr>
        <w:t xml:space="preserve"> </w:t>
      </w:r>
      <w:r w:rsidR="0047236F">
        <w:rPr>
          <w:rFonts w:asciiTheme="majorHAnsi" w:hAnsiTheme="majorHAnsi"/>
          <w:lang w:val="en-US"/>
        </w:rPr>
        <w:t>were</w:t>
      </w:r>
      <w:r>
        <w:rPr>
          <w:rFonts w:asciiTheme="majorHAnsi" w:hAnsiTheme="majorHAnsi"/>
          <w:lang w:val="en-US"/>
        </w:rPr>
        <w:t xml:space="preserve"> more uniform in their intensities, with C2 and </w:t>
      </w:r>
      <w:r w:rsidRPr="00D12412">
        <w:rPr>
          <w:rFonts w:asciiTheme="majorHAnsi" w:hAnsiTheme="majorHAnsi"/>
          <w:i/>
          <w:lang w:val="en-US"/>
        </w:rPr>
        <w:t>YFP SRCAP</w:t>
      </w:r>
      <w:r>
        <w:rPr>
          <w:rFonts w:asciiTheme="majorHAnsi" w:hAnsiTheme="majorHAnsi"/>
          <w:lang w:val="en-US"/>
        </w:rPr>
        <w:t xml:space="preserve"> 3 being slightly higher but again not significant enough to discount (Figure 6.3b). Figure 6.3c shows the relative signal box plot for all the samples, this is a measure of </w:t>
      </w:r>
      <w:r w:rsidRPr="00C52F7E">
        <w:rPr>
          <w:rFonts w:asciiTheme="majorHAnsi" w:hAnsiTheme="majorHAnsi"/>
          <w:lang w:val="en-US"/>
        </w:rPr>
        <w:t>the distribution of the ratio of signal for each probe set to the median probe set signal across all the selected arrays</w:t>
      </w:r>
      <w:r>
        <w:rPr>
          <w:rFonts w:asciiTheme="majorHAnsi" w:hAnsiTheme="majorHAnsi"/>
          <w:lang w:val="en-US"/>
        </w:rPr>
        <w:t>. Therefore it is easy to compare each array’s signal to the median array for the group and identify any divergence.</w:t>
      </w:r>
      <w:r w:rsidRPr="00C52F7E">
        <w:rPr>
          <w:rFonts w:asciiTheme="majorHAnsi" w:hAnsiTheme="majorHAnsi"/>
          <w:lang w:val="en-US"/>
        </w:rPr>
        <w:t xml:space="preserve"> </w:t>
      </w:r>
      <w:r>
        <w:rPr>
          <w:rFonts w:asciiTheme="majorHAnsi" w:hAnsiTheme="majorHAnsi"/>
          <w:lang w:val="en-US"/>
        </w:rPr>
        <w:t>Th</w:t>
      </w:r>
      <w:r w:rsidR="0047236F">
        <w:rPr>
          <w:rFonts w:asciiTheme="majorHAnsi" w:hAnsiTheme="majorHAnsi"/>
          <w:lang w:val="en-US"/>
        </w:rPr>
        <w:t>e set of arrays have comparable</w:t>
      </w:r>
      <w:r>
        <w:rPr>
          <w:rFonts w:asciiTheme="majorHAnsi" w:hAnsiTheme="majorHAnsi"/>
          <w:lang w:val="en-US"/>
        </w:rPr>
        <w:t xml:space="preserve"> </w:t>
      </w:r>
      <w:r w:rsidRPr="00C52F7E">
        <w:rPr>
          <w:rFonts w:asciiTheme="majorHAnsi" w:hAnsiTheme="majorHAnsi"/>
          <w:lang w:val="en-US"/>
        </w:rPr>
        <w:t>relative log expression signal</w:t>
      </w:r>
      <w:r>
        <w:rPr>
          <w:rFonts w:asciiTheme="majorHAnsi" w:hAnsiTheme="majorHAnsi"/>
          <w:lang w:val="en-US"/>
        </w:rPr>
        <w:t>, however,</w:t>
      </w:r>
      <w:r w:rsidRPr="00C52F7E">
        <w:rPr>
          <w:rFonts w:asciiTheme="majorHAnsi" w:hAnsiTheme="majorHAnsi"/>
          <w:lang w:val="en-US"/>
        </w:rPr>
        <w:t xml:space="preserve"> </w:t>
      </w:r>
      <w:r w:rsidRPr="00D12412">
        <w:rPr>
          <w:rFonts w:asciiTheme="majorHAnsi" w:hAnsiTheme="majorHAnsi"/>
          <w:i/>
          <w:lang w:val="en-US"/>
        </w:rPr>
        <w:t>YFP SRCAP</w:t>
      </w:r>
      <w:r>
        <w:rPr>
          <w:rFonts w:asciiTheme="majorHAnsi" w:hAnsiTheme="majorHAnsi"/>
          <w:lang w:val="en-US"/>
        </w:rPr>
        <w:t xml:space="preserve"> 3 </w:t>
      </w:r>
      <w:r w:rsidRPr="00C52F7E">
        <w:rPr>
          <w:rFonts w:asciiTheme="majorHAnsi" w:hAnsiTheme="majorHAnsi"/>
          <w:lang w:val="en-US"/>
        </w:rPr>
        <w:t>show</w:t>
      </w:r>
      <w:r>
        <w:rPr>
          <w:rFonts w:asciiTheme="majorHAnsi" w:hAnsiTheme="majorHAnsi"/>
          <w:lang w:val="en-US"/>
        </w:rPr>
        <w:t>ed</w:t>
      </w:r>
      <w:r w:rsidRPr="00C52F7E">
        <w:rPr>
          <w:rFonts w:asciiTheme="majorHAnsi" w:hAnsiTheme="majorHAnsi"/>
          <w:lang w:val="en-US"/>
        </w:rPr>
        <w:t xml:space="preserve"> a more </w:t>
      </w:r>
      <w:r w:rsidR="0047236F">
        <w:rPr>
          <w:rFonts w:asciiTheme="majorHAnsi" w:hAnsiTheme="majorHAnsi"/>
          <w:lang w:val="en-US"/>
        </w:rPr>
        <w:t>variable</w:t>
      </w:r>
      <w:r w:rsidRPr="00C52F7E">
        <w:rPr>
          <w:rFonts w:asciiTheme="majorHAnsi" w:hAnsiTheme="majorHAnsi"/>
          <w:lang w:val="en-US"/>
        </w:rPr>
        <w:t xml:space="preserve"> box and whisker plot</w:t>
      </w:r>
      <w:r>
        <w:rPr>
          <w:rFonts w:asciiTheme="majorHAnsi" w:hAnsiTheme="majorHAnsi"/>
          <w:lang w:val="en-US"/>
        </w:rPr>
        <w:t xml:space="preserve"> </w:t>
      </w:r>
      <w:r w:rsidR="0047236F">
        <w:rPr>
          <w:rFonts w:asciiTheme="majorHAnsi" w:hAnsiTheme="majorHAnsi"/>
          <w:lang w:val="en-US"/>
        </w:rPr>
        <w:t>which</w:t>
      </w:r>
      <w:r>
        <w:rPr>
          <w:rFonts w:asciiTheme="majorHAnsi" w:hAnsiTheme="majorHAnsi"/>
          <w:lang w:val="en-US"/>
        </w:rPr>
        <w:t xml:space="preserve"> could suggest that</w:t>
      </w:r>
      <w:r w:rsidRPr="00C52F7E">
        <w:rPr>
          <w:rFonts w:asciiTheme="majorHAnsi" w:hAnsiTheme="majorHAnsi"/>
          <w:lang w:val="en-US"/>
        </w:rPr>
        <w:t xml:space="preserve"> </w:t>
      </w:r>
      <w:r>
        <w:rPr>
          <w:rFonts w:asciiTheme="majorHAnsi" w:hAnsiTheme="majorHAnsi"/>
          <w:lang w:val="en-US"/>
        </w:rPr>
        <w:t xml:space="preserve">repeat 3 had a divergent signal. However, following technical advice from the </w:t>
      </w:r>
      <w:proofErr w:type="spellStart"/>
      <w:r>
        <w:rPr>
          <w:rFonts w:asciiTheme="majorHAnsi" w:hAnsiTheme="majorHAnsi"/>
          <w:lang w:val="en-US"/>
        </w:rPr>
        <w:t>SITraN</w:t>
      </w:r>
      <w:proofErr w:type="spellEnd"/>
      <w:r>
        <w:rPr>
          <w:rFonts w:asciiTheme="majorHAnsi" w:hAnsiTheme="majorHAnsi"/>
          <w:lang w:val="en-US"/>
        </w:rPr>
        <w:t xml:space="preserve"> </w:t>
      </w:r>
      <w:r w:rsidR="0047236F">
        <w:rPr>
          <w:rFonts w:asciiTheme="majorHAnsi" w:hAnsiTheme="majorHAnsi"/>
          <w:lang w:val="en-US"/>
        </w:rPr>
        <w:t xml:space="preserve">microarray </w:t>
      </w:r>
      <w:r>
        <w:rPr>
          <w:rFonts w:asciiTheme="majorHAnsi" w:hAnsiTheme="majorHAnsi"/>
          <w:lang w:val="en-US"/>
        </w:rPr>
        <w:t xml:space="preserve">team, it was still carried forward for </w:t>
      </w:r>
      <w:r w:rsidR="0047236F">
        <w:rPr>
          <w:rFonts w:asciiTheme="majorHAnsi" w:hAnsiTheme="majorHAnsi"/>
          <w:lang w:val="en-US"/>
        </w:rPr>
        <w:t xml:space="preserve">further </w:t>
      </w:r>
      <w:r>
        <w:rPr>
          <w:rFonts w:asciiTheme="majorHAnsi" w:hAnsiTheme="majorHAnsi"/>
          <w:lang w:val="en-US"/>
        </w:rPr>
        <w:t xml:space="preserve">analysis in order to check whether the fold changes </w:t>
      </w:r>
      <w:r w:rsidR="0047236F">
        <w:rPr>
          <w:rFonts w:asciiTheme="majorHAnsi" w:hAnsiTheme="majorHAnsi"/>
          <w:lang w:val="en-US"/>
        </w:rPr>
        <w:t>were consistent with</w:t>
      </w:r>
      <w:r>
        <w:rPr>
          <w:rFonts w:asciiTheme="majorHAnsi" w:hAnsiTheme="majorHAnsi"/>
          <w:lang w:val="en-US"/>
        </w:rPr>
        <w:t xml:space="preserve"> the other two repeats. </w:t>
      </w:r>
    </w:p>
    <w:p w14:paraId="41F3B207" w14:textId="77777777" w:rsidR="007C58EA" w:rsidRDefault="007C58EA" w:rsidP="007C58EA">
      <w:pPr>
        <w:spacing w:line="360" w:lineRule="auto"/>
        <w:jc w:val="both"/>
        <w:rPr>
          <w:rFonts w:asciiTheme="majorHAnsi" w:hAnsiTheme="majorHAnsi"/>
          <w:sz w:val="28"/>
          <w:u w:val="single"/>
        </w:rPr>
      </w:pPr>
    </w:p>
    <w:p w14:paraId="3D019374" w14:textId="77777777" w:rsidR="007C58EA" w:rsidRDefault="007C58EA" w:rsidP="007C58EA">
      <w:pPr>
        <w:spacing w:line="360" w:lineRule="auto"/>
        <w:jc w:val="both"/>
        <w:rPr>
          <w:rFonts w:asciiTheme="majorHAnsi" w:hAnsiTheme="majorHAnsi"/>
          <w:sz w:val="28"/>
          <w:u w:val="single"/>
        </w:rPr>
      </w:pPr>
    </w:p>
    <w:p w14:paraId="0082ABFA" w14:textId="77777777" w:rsidR="007C58EA" w:rsidRDefault="007C58EA" w:rsidP="007C58EA">
      <w:pPr>
        <w:rPr>
          <w:rFonts w:asciiTheme="majorHAnsi" w:hAnsiTheme="majorHAnsi"/>
          <w:sz w:val="28"/>
          <w:u w:val="single"/>
        </w:rPr>
      </w:pPr>
      <w:r>
        <w:rPr>
          <w:rFonts w:asciiTheme="majorHAnsi" w:hAnsiTheme="majorHAnsi"/>
          <w:sz w:val="28"/>
          <w:u w:val="single"/>
        </w:rPr>
        <w:br w:type="page"/>
      </w:r>
    </w:p>
    <w:p w14:paraId="300C3956" w14:textId="77777777" w:rsidR="007C58EA" w:rsidRDefault="007C58EA" w:rsidP="007C58EA">
      <w:pPr>
        <w:rPr>
          <w:rFonts w:asciiTheme="majorHAnsi" w:hAnsiTheme="majorHAnsi"/>
          <w:sz w:val="28"/>
          <w:u w:val="single"/>
        </w:rPr>
      </w:pPr>
      <w:r>
        <w:rPr>
          <w:rFonts w:asciiTheme="majorHAnsi" w:hAnsiTheme="majorHAnsi"/>
          <w:b/>
          <w:i/>
          <w:noProof/>
          <w:lang w:val="en-US"/>
        </w:rPr>
        <mc:AlternateContent>
          <mc:Choice Requires="wps">
            <w:drawing>
              <wp:anchor distT="0" distB="0" distL="114300" distR="114300" simplePos="0" relativeHeight="252118016" behindDoc="0" locked="0" layoutInCell="1" allowOverlap="1" wp14:anchorId="2C6E8057" wp14:editId="263E5BBB">
                <wp:simplePos x="0" y="0"/>
                <wp:positionH relativeFrom="column">
                  <wp:posOffset>0</wp:posOffset>
                </wp:positionH>
                <wp:positionV relativeFrom="paragraph">
                  <wp:posOffset>6286500</wp:posOffset>
                </wp:positionV>
                <wp:extent cx="5486400" cy="1600200"/>
                <wp:effectExtent l="0" t="0" r="0" b="0"/>
                <wp:wrapSquare wrapText="bothSides"/>
                <wp:docPr id="333" name="Text Box 333"/>
                <wp:cNvGraphicFramePr/>
                <a:graphic xmlns:a="http://schemas.openxmlformats.org/drawingml/2006/main">
                  <a:graphicData uri="http://schemas.microsoft.com/office/word/2010/wordprocessingShape">
                    <wps:wsp>
                      <wps:cNvSpPr txBox="1"/>
                      <wps:spPr>
                        <a:xfrm>
                          <a:off x="0" y="0"/>
                          <a:ext cx="54864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46D4E3" w14:textId="77777777" w:rsidR="00E82D3B" w:rsidRDefault="00E82D3B" w:rsidP="007C58EA">
                            <w:pPr>
                              <w:jc w:val="both"/>
                              <w:rPr>
                                <w:b/>
                                <w:i/>
                                <w:sz w:val="22"/>
                              </w:rPr>
                            </w:pPr>
                            <w:r w:rsidRPr="00981BC7">
                              <w:rPr>
                                <w:b/>
                                <w:i/>
                                <w:sz w:val="22"/>
                              </w:rPr>
                              <w:t>Figure 6.3 Microarray quality controls show inconsistency in YFP SRCAP repeat 3</w:t>
                            </w:r>
                          </w:p>
                          <w:p w14:paraId="6C61D5F0" w14:textId="77777777" w:rsidR="00E82D3B" w:rsidRDefault="00E82D3B" w:rsidP="007C58EA">
                            <w:pPr>
                              <w:jc w:val="both"/>
                              <w:rPr>
                                <w:i/>
                                <w:sz w:val="22"/>
                              </w:rPr>
                            </w:pPr>
                            <w:r w:rsidRPr="00DB3533">
                              <w:rPr>
                                <w:i/>
                                <w:sz w:val="22"/>
                              </w:rPr>
                              <w:t>a.)</w:t>
                            </w:r>
                            <w:r>
                              <w:rPr>
                                <w:i/>
                                <w:sz w:val="22"/>
                              </w:rPr>
                              <w:t xml:space="preserve"> Line diagram showing the different poly-A B. subtilis RNA spike-in exogenous control hybridisation intensities at the differing concentrations. Each line colour represents a different gene as stated on the figure.</w:t>
                            </w:r>
                          </w:p>
                          <w:p w14:paraId="0059515A" w14:textId="77777777" w:rsidR="00E82D3B" w:rsidRDefault="00E82D3B" w:rsidP="007C58EA">
                            <w:pPr>
                              <w:jc w:val="both"/>
                              <w:rPr>
                                <w:i/>
                                <w:sz w:val="22"/>
                              </w:rPr>
                            </w:pPr>
                            <w:r>
                              <w:rPr>
                                <w:i/>
                                <w:sz w:val="22"/>
                              </w:rPr>
                              <w:t xml:space="preserve">b.) Line diagram showing the four hybridisation control spike-ins at differing concentrations with each coloured line representing a different gene as outlined in the figure. </w:t>
                            </w:r>
                          </w:p>
                          <w:p w14:paraId="7D92923A" w14:textId="77777777" w:rsidR="00E82D3B" w:rsidRPr="00DB3533" w:rsidRDefault="00E82D3B" w:rsidP="007C58EA">
                            <w:pPr>
                              <w:jc w:val="both"/>
                              <w:rPr>
                                <w:i/>
                                <w:sz w:val="22"/>
                              </w:rPr>
                            </w:pPr>
                            <w:r>
                              <w:rPr>
                                <w:i/>
                                <w:sz w:val="22"/>
                              </w:rPr>
                              <w:t xml:space="preserve">c.) Box and whisker plots for the relative log expression signal for each array, showing the spread of signal from the median expression of the probe set across all the arrays.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3" o:spid="_x0000_s1176" type="#_x0000_t202" style="position:absolute;margin-left:0;margin-top:495pt;width:6in;height:126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" filled="f" stroked="f">
                <v:textbox>
                  <w:txbxContent>
                    <w:p w14:paraId="4446D4E3" w14:textId="77777777" w:rsidR="000A1E0D" w:rsidRDefault="000A1E0D" w:rsidP="007C58EA">
                      <w:pPr>
                        <w:jc w:val="both"/>
                        <w:rPr>
                          <w:b/>
                          <w:i/>
                          <w:sz w:val="22"/>
                        </w:rPr>
                      </w:pPr>
                      <w:r w:rsidRPr="00981BC7">
                        <w:rPr>
                          <w:b/>
                          <w:i/>
                          <w:sz w:val="22"/>
                        </w:rPr>
                        <w:t>Figure 6.3 Microarray quality controls show inconsistency in YFP SRCAP repeat 3</w:t>
                      </w:r>
                    </w:p>
                    <w:p w14:paraId="6C61D5F0" w14:textId="77777777" w:rsidR="000A1E0D" w:rsidRDefault="000A1E0D" w:rsidP="007C58EA">
                      <w:pPr>
                        <w:jc w:val="both"/>
                        <w:rPr>
                          <w:i/>
                          <w:sz w:val="22"/>
                        </w:rPr>
                      </w:pPr>
                      <w:r w:rsidRPr="00DB3533">
                        <w:rPr>
                          <w:i/>
                          <w:sz w:val="22"/>
                        </w:rPr>
                        <w:t>a.)</w:t>
                      </w:r>
                      <w:r>
                        <w:rPr>
                          <w:i/>
                          <w:sz w:val="22"/>
                        </w:rPr>
                        <w:t xml:space="preserve"> Line diagram showing the different poly-A B. subtilis RNA spike-in exogenous control hybridisation intensities at the differing concentrations. Each line colour represents a different gene as stated on the figure.</w:t>
                      </w:r>
                    </w:p>
                    <w:p w14:paraId="0059515A" w14:textId="77777777" w:rsidR="000A1E0D" w:rsidRDefault="000A1E0D" w:rsidP="007C58EA">
                      <w:pPr>
                        <w:jc w:val="both"/>
                        <w:rPr>
                          <w:i/>
                          <w:sz w:val="22"/>
                        </w:rPr>
                      </w:pPr>
                      <w:r>
                        <w:rPr>
                          <w:i/>
                          <w:sz w:val="22"/>
                        </w:rPr>
                        <w:t xml:space="preserve">b.) Line diagram showing the four hybridisation control spike-ins at differing concentrations with each coloured line representing a different gene as outlined in the figure. </w:t>
                      </w:r>
                    </w:p>
                    <w:p w14:paraId="7D92923A" w14:textId="77777777" w:rsidR="000A1E0D" w:rsidRPr="00DB3533" w:rsidRDefault="000A1E0D" w:rsidP="007C58EA">
                      <w:pPr>
                        <w:jc w:val="both"/>
                        <w:rPr>
                          <w:i/>
                          <w:sz w:val="22"/>
                        </w:rPr>
                      </w:pPr>
                      <w:r>
                        <w:rPr>
                          <w:i/>
                          <w:sz w:val="22"/>
                        </w:rPr>
                        <w:t xml:space="preserve">c.) Box and whisker plots for the relative log expression signal for each array, showing the spread of signal from the median expression of the probe set across all the arrays. </w:t>
                      </w:r>
                    </w:p>
                  </w:txbxContent>
                </v:textbox>
                <w10:wrap type="square"/>
              </v:shape>
            </w:pict>
          </mc:Fallback>
        </mc:AlternateContent>
      </w:r>
      <w:r>
        <w:rPr>
          <w:rFonts w:asciiTheme="majorHAnsi" w:hAnsiTheme="majorHAnsi"/>
          <w:b/>
          <w:i/>
          <w:noProof/>
          <w:lang w:val="en-US"/>
        </w:rPr>
        <w:drawing>
          <wp:anchor distT="0" distB="0" distL="114300" distR="114300" simplePos="0" relativeHeight="252113920" behindDoc="0" locked="0" layoutInCell="1" allowOverlap="1" wp14:anchorId="4151CB68" wp14:editId="79F530A4">
            <wp:simplePos x="0" y="0"/>
            <wp:positionH relativeFrom="column">
              <wp:posOffset>0</wp:posOffset>
            </wp:positionH>
            <wp:positionV relativeFrom="paragraph">
              <wp:posOffset>4356735</wp:posOffset>
            </wp:positionV>
            <wp:extent cx="5372100" cy="1815465"/>
            <wp:effectExtent l="0" t="0" r="12700" b="0"/>
            <wp:wrapSquare wrapText="bothSides"/>
            <wp:docPr id="356" name="Picture 356" descr="Macintosh HD:Users:ClairFellows:Desktop:Screen Shot 2017-10-20 at 11.5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irFellows:Desktop:Screen Shot 2017-10-20 at 11.50.27.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72100" cy="18154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u w:val="single"/>
          <w:lang w:val="en-US"/>
        </w:rPr>
        <w:drawing>
          <wp:anchor distT="0" distB="0" distL="114300" distR="114300" simplePos="0" relativeHeight="252111872" behindDoc="0" locked="0" layoutInCell="1" allowOverlap="1" wp14:anchorId="4E57F7F1" wp14:editId="1FCFB5D7">
            <wp:simplePos x="0" y="0"/>
            <wp:positionH relativeFrom="column">
              <wp:posOffset>-20320</wp:posOffset>
            </wp:positionH>
            <wp:positionV relativeFrom="paragraph">
              <wp:posOffset>1943100</wp:posOffset>
            </wp:positionV>
            <wp:extent cx="5392420" cy="2420620"/>
            <wp:effectExtent l="0" t="0" r="0" b="0"/>
            <wp:wrapSquare wrapText="bothSides"/>
            <wp:docPr id="357" name="Picture 357" descr="Macintosh HD:Users:ClairFellows:Desktop:Screen Shot 2017-10-20 at 11.5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10-20 at 11.55.50.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92420" cy="2420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b/>
          <w:i/>
          <w:noProof/>
          <w:lang w:val="en-US"/>
        </w:rPr>
        <mc:AlternateContent>
          <mc:Choice Requires="wps">
            <w:drawing>
              <wp:anchor distT="0" distB="0" distL="114300" distR="114300" simplePos="0" relativeHeight="252114944" behindDoc="0" locked="0" layoutInCell="1" allowOverlap="1" wp14:anchorId="7E7FB20C" wp14:editId="03DE785D">
                <wp:simplePos x="0" y="0"/>
                <wp:positionH relativeFrom="column">
                  <wp:posOffset>-342900</wp:posOffset>
                </wp:positionH>
                <wp:positionV relativeFrom="paragraph">
                  <wp:posOffset>-114300</wp:posOffset>
                </wp:positionV>
                <wp:extent cx="457200" cy="571500"/>
                <wp:effectExtent l="0" t="0" r="0" b="12700"/>
                <wp:wrapSquare wrapText="bothSides"/>
                <wp:docPr id="334" name="Text Box 334"/>
                <wp:cNvGraphicFramePr/>
                <a:graphic xmlns:a="http://schemas.openxmlformats.org/drawingml/2006/main">
                  <a:graphicData uri="http://schemas.microsoft.com/office/word/2010/wordprocessingShape">
                    <wps:wsp>
                      <wps:cNvSpPr txBox="1"/>
                      <wps:spPr>
                        <a:xfrm>
                          <a:off x="0" y="0"/>
                          <a:ext cx="457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A71AC5" w14:textId="77777777" w:rsidR="00E82D3B" w:rsidRPr="00981BC7" w:rsidRDefault="00E82D3B" w:rsidP="007C58EA">
                            <w:pPr>
                              <w:rPr>
                                <w:b/>
                              </w:rPr>
                            </w:pPr>
                            <w:proofErr w:type="gramStart"/>
                            <w:r w:rsidRPr="00981BC7">
                              <w:rPr>
                                <w:b/>
                              </w:rPr>
                              <w:t>a</w:t>
                            </w:r>
                            <w:proofErr w:type="gramEnd"/>
                            <w:r w:rsidRPr="00981BC7">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4" o:spid="_x0000_s1177" type="#_x0000_t202" style="position:absolute;margin-left:-26.95pt;margin-top:-8.95pt;width:36pt;height:45pt;z-index:25211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" filled="f" stroked="f">
                <v:textbox>
                  <w:txbxContent>
                    <w:p w14:paraId="67A71AC5" w14:textId="77777777" w:rsidR="000A1E0D" w:rsidRPr="00981BC7" w:rsidRDefault="000A1E0D" w:rsidP="007C58EA">
                      <w:pPr>
                        <w:rPr>
                          <w:b/>
                        </w:rPr>
                      </w:pPr>
                      <w:proofErr w:type="gramStart"/>
                      <w:r w:rsidRPr="00981BC7">
                        <w:rPr>
                          <w:b/>
                        </w:rPr>
                        <w:t>a</w:t>
                      </w:r>
                      <w:proofErr w:type="gramEnd"/>
                      <w:r w:rsidRPr="00981BC7">
                        <w:rPr>
                          <w:b/>
                        </w:rPr>
                        <w:t>.)</w:t>
                      </w:r>
                    </w:p>
                  </w:txbxContent>
                </v:textbox>
                <w10:wrap type="square"/>
              </v:shape>
            </w:pict>
          </mc:Fallback>
        </mc:AlternateContent>
      </w:r>
      <w:r>
        <w:rPr>
          <w:rFonts w:asciiTheme="majorHAnsi" w:hAnsiTheme="majorHAnsi"/>
          <w:noProof/>
          <w:sz w:val="28"/>
          <w:u w:val="single"/>
          <w:lang w:val="en-US"/>
        </w:rPr>
        <w:drawing>
          <wp:anchor distT="0" distB="0" distL="114300" distR="114300" simplePos="0" relativeHeight="252112896" behindDoc="0" locked="0" layoutInCell="1" allowOverlap="1" wp14:anchorId="08BC40F6" wp14:editId="3914C12F">
            <wp:simplePos x="0" y="0"/>
            <wp:positionH relativeFrom="column">
              <wp:posOffset>-114300</wp:posOffset>
            </wp:positionH>
            <wp:positionV relativeFrom="paragraph">
              <wp:posOffset>-114300</wp:posOffset>
            </wp:positionV>
            <wp:extent cx="5532120" cy="2057400"/>
            <wp:effectExtent l="0" t="0" r="5080" b="0"/>
            <wp:wrapSquare wrapText="bothSides"/>
            <wp:docPr id="358" name="Picture 358" descr="Macintosh HD:Users:ClairFellows:Desktop:Screen Shot 2017-10-20 at 11.4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10-20 at 11.47.38.png"/>
                    <pic:cNvPicPr>
                      <a:picLocks noChangeAspect="1" noChangeArrowheads="1"/>
                    </pic:cNvPicPr>
                  </pic:nvPicPr>
                  <pic:blipFill rotWithShape="1">
                    <a:blip r:embed="rId160">
                      <a:extLst>
                        <a:ext uri="{28A0092B-C50C-407E-A947-70E740481C1C}">
                          <a14:useLocalDpi xmlns:a14="http://schemas.microsoft.com/office/drawing/2010/main" val="0"/>
                        </a:ext>
                      </a:extLst>
                    </a:blip>
                    <a:srcRect l="1" r="763"/>
                    <a:stretch/>
                  </pic:blipFill>
                  <pic:spPr bwMode="auto">
                    <a:xfrm>
                      <a:off x="0" y="0"/>
                      <a:ext cx="5532120"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b/>
          <w:i/>
          <w:noProof/>
          <w:lang w:val="en-US"/>
        </w:rPr>
        <mc:AlternateContent>
          <mc:Choice Requires="wps">
            <w:drawing>
              <wp:anchor distT="0" distB="0" distL="114300" distR="114300" simplePos="0" relativeHeight="252115968" behindDoc="0" locked="0" layoutInCell="1" allowOverlap="1" wp14:anchorId="6C43FB2B" wp14:editId="07078B53">
                <wp:simplePos x="0" y="0"/>
                <wp:positionH relativeFrom="column">
                  <wp:posOffset>-342900</wp:posOffset>
                </wp:positionH>
                <wp:positionV relativeFrom="paragraph">
                  <wp:posOffset>2171700</wp:posOffset>
                </wp:positionV>
                <wp:extent cx="457200" cy="571500"/>
                <wp:effectExtent l="0" t="0" r="0" b="12700"/>
                <wp:wrapSquare wrapText="bothSides"/>
                <wp:docPr id="335" name="Text Box 335"/>
                <wp:cNvGraphicFramePr/>
                <a:graphic xmlns:a="http://schemas.openxmlformats.org/drawingml/2006/main">
                  <a:graphicData uri="http://schemas.microsoft.com/office/word/2010/wordprocessingShape">
                    <wps:wsp>
                      <wps:cNvSpPr txBox="1"/>
                      <wps:spPr>
                        <a:xfrm>
                          <a:off x="0" y="0"/>
                          <a:ext cx="457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DACA9F" w14:textId="77777777" w:rsidR="00E82D3B" w:rsidRPr="00981BC7" w:rsidRDefault="00E82D3B" w:rsidP="007C58EA">
                            <w:pPr>
                              <w:rPr>
                                <w:b/>
                              </w:rPr>
                            </w:pPr>
                            <w:proofErr w:type="gramStart"/>
                            <w:r>
                              <w:rPr>
                                <w:b/>
                              </w:rPr>
                              <w:t>b</w:t>
                            </w:r>
                            <w:proofErr w:type="gramEnd"/>
                            <w:r w:rsidRPr="00981BC7">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5" o:spid="_x0000_s1178" type="#_x0000_t202" style="position:absolute;margin-left:-26.95pt;margin-top:171pt;width:36pt;height:45pt;z-index:25211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" filled="f" stroked="f">
                <v:textbox>
                  <w:txbxContent>
                    <w:p w14:paraId="6ADACA9F" w14:textId="77777777" w:rsidR="000A1E0D" w:rsidRPr="00981BC7" w:rsidRDefault="000A1E0D" w:rsidP="007C58EA">
                      <w:pPr>
                        <w:rPr>
                          <w:b/>
                        </w:rPr>
                      </w:pPr>
                      <w:proofErr w:type="gramStart"/>
                      <w:r>
                        <w:rPr>
                          <w:b/>
                        </w:rPr>
                        <w:t>b</w:t>
                      </w:r>
                      <w:proofErr w:type="gramEnd"/>
                      <w:r w:rsidRPr="00981BC7">
                        <w:rPr>
                          <w:b/>
                        </w:rPr>
                        <w:t>.)</w:t>
                      </w:r>
                    </w:p>
                  </w:txbxContent>
                </v:textbox>
                <w10:wrap type="square"/>
              </v:shape>
            </w:pict>
          </mc:Fallback>
        </mc:AlternateContent>
      </w:r>
      <w:r>
        <w:rPr>
          <w:rFonts w:asciiTheme="majorHAnsi" w:hAnsiTheme="majorHAnsi"/>
          <w:b/>
          <w:i/>
          <w:noProof/>
          <w:lang w:val="en-US"/>
        </w:rPr>
        <mc:AlternateContent>
          <mc:Choice Requires="wps">
            <w:drawing>
              <wp:anchor distT="0" distB="0" distL="114300" distR="114300" simplePos="0" relativeHeight="252116992" behindDoc="0" locked="0" layoutInCell="1" allowOverlap="1" wp14:anchorId="47789571" wp14:editId="7809E2EB">
                <wp:simplePos x="0" y="0"/>
                <wp:positionH relativeFrom="column">
                  <wp:posOffset>-342900</wp:posOffset>
                </wp:positionH>
                <wp:positionV relativeFrom="paragraph">
                  <wp:posOffset>4343400</wp:posOffset>
                </wp:positionV>
                <wp:extent cx="457200" cy="381000"/>
                <wp:effectExtent l="0" t="0" r="0" b="0"/>
                <wp:wrapSquare wrapText="bothSides"/>
                <wp:docPr id="336" name="Text Box 336"/>
                <wp:cNvGraphicFramePr/>
                <a:graphic xmlns:a="http://schemas.openxmlformats.org/drawingml/2006/main">
                  <a:graphicData uri="http://schemas.microsoft.com/office/word/2010/wordprocessingShape">
                    <wps:wsp>
                      <wps:cNvSpPr txBox="1"/>
                      <wps:spPr>
                        <a:xfrm>
                          <a:off x="0" y="0"/>
                          <a:ext cx="457200" cy="38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CC621F" w14:textId="77777777" w:rsidR="00E82D3B" w:rsidRPr="00981BC7" w:rsidRDefault="00E82D3B" w:rsidP="007C58EA">
                            <w:pPr>
                              <w:rPr>
                                <w:b/>
                              </w:rPr>
                            </w:pPr>
                            <w:proofErr w:type="gramStart"/>
                            <w:r>
                              <w:rPr>
                                <w:b/>
                              </w:rPr>
                              <w:t>c</w:t>
                            </w:r>
                            <w:proofErr w:type="gramEnd"/>
                            <w:r w:rsidRPr="00981BC7">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6" o:spid="_x0000_s1179" type="#_x0000_t202" style="position:absolute;margin-left:-26.95pt;margin-top:342pt;width:36pt;height:30pt;z-index:2521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" filled="f" stroked="f">
                <v:textbox>
                  <w:txbxContent>
                    <w:p w14:paraId="10CC621F" w14:textId="77777777" w:rsidR="000A1E0D" w:rsidRPr="00981BC7" w:rsidRDefault="000A1E0D" w:rsidP="007C58EA">
                      <w:pPr>
                        <w:rPr>
                          <w:b/>
                        </w:rPr>
                      </w:pPr>
                      <w:proofErr w:type="gramStart"/>
                      <w:r>
                        <w:rPr>
                          <w:b/>
                        </w:rPr>
                        <w:t>c</w:t>
                      </w:r>
                      <w:proofErr w:type="gramEnd"/>
                      <w:r w:rsidRPr="00981BC7">
                        <w:rPr>
                          <w:b/>
                        </w:rPr>
                        <w:t>.)</w:t>
                      </w:r>
                    </w:p>
                  </w:txbxContent>
                </v:textbox>
                <w10:wrap type="square"/>
              </v:shape>
            </w:pict>
          </mc:Fallback>
        </mc:AlternateContent>
      </w:r>
      <w:r>
        <w:rPr>
          <w:rFonts w:asciiTheme="majorHAnsi" w:hAnsiTheme="majorHAnsi"/>
          <w:sz w:val="28"/>
          <w:u w:val="single"/>
        </w:rPr>
        <w:br w:type="page"/>
      </w:r>
    </w:p>
    <w:p w14:paraId="600075D4" w14:textId="77777777" w:rsidR="007C58EA" w:rsidRDefault="007C58EA" w:rsidP="007C58EA">
      <w:pPr>
        <w:rPr>
          <w:rFonts w:asciiTheme="majorHAnsi" w:hAnsiTheme="majorHAnsi"/>
          <w:sz w:val="28"/>
          <w:u w:val="single"/>
        </w:rPr>
      </w:pPr>
      <w:r>
        <w:rPr>
          <w:rFonts w:asciiTheme="majorHAnsi" w:hAnsiTheme="majorHAnsi"/>
          <w:sz w:val="28"/>
          <w:u w:val="single"/>
        </w:rPr>
        <w:t>6.3 Data Analysis</w:t>
      </w:r>
    </w:p>
    <w:p w14:paraId="0CB52657" w14:textId="77777777" w:rsidR="007C58EA" w:rsidRDefault="007C58EA" w:rsidP="007C58EA">
      <w:pPr>
        <w:spacing w:line="360" w:lineRule="auto"/>
        <w:jc w:val="both"/>
        <w:rPr>
          <w:rFonts w:asciiTheme="majorHAnsi" w:hAnsiTheme="majorHAnsi"/>
          <w:b/>
          <w:i/>
        </w:rPr>
      </w:pPr>
    </w:p>
    <w:p w14:paraId="1C8C8B02" w14:textId="4B10F691" w:rsidR="007C58EA" w:rsidRPr="00D02A1F" w:rsidRDefault="007C58EA" w:rsidP="002F41C6">
      <w:pPr>
        <w:pStyle w:val="ListParagraph"/>
        <w:numPr>
          <w:ilvl w:val="0"/>
          <w:numId w:val="26"/>
        </w:numPr>
        <w:spacing w:line="360" w:lineRule="auto"/>
        <w:jc w:val="both"/>
        <w:rPr>
          <w:rFonts w:asciiTheme="majorHAnsi" w:hAnsiTheme="majorHAnsi"/>
          <w:b/>
          <w:i/>
        </w:rPr>
      </w:pPr>
      <w:r w:rsidRPr="00D02A1F">
        <w:rPr>
          <w:rFonts w:asciiTheme="majorHAnsi" w:hAnsiTheme="majorHAnsi"/>
          <w:b/>
          <w:i/>
        </w:rPr>
        <w:t>Control vs si6</w:t>
      </w:r>
      <w:r w:rsidR="002C2E2A">
        <w:rPr>
          <w:rFonts w:asciiTheme="majorHAnsi" w:hAnsiTheme="majorHAnsi"/>
          <w:b/>
          <w:i/>
        </w:rPr>
        <w:t xml:space="preserve"> SRCAP knock</w:t>
      </w:r>
      <w:r w:rsidR="00E03EA8">
        <w:rPr>
          <w:rFonts w:asciiTheme="majorHAnsi" w:hAnsiTheme="majorHAnsi"/>
          <w:b/>
          <w:i/>
        </w:rPr>
        <w:t>down</w:t>
      </w:r>
    </w:p>
    <w:p w14:paraId="56BD966E" w14:textId="566D7E4A" w:rsidR="007C58EA" w:rsidRDefault="007C58EA" w:rsidP="007C58EA">
      <w:pPr>
        <w:spacing w:line="360" w:lineRule="auto"/>
        <w:jc w:val="both"/>
        <w:rPr>
          <w:rFonts w:asciiTheme="majorHAnsi" w:hAnsiTheme="majorHAnsi"/>
        </w:rPr>
      </w:pPr>
      <w:r>
        <w:rPr>
          <w:rFonts w:asciiTheme="majorHAnsi" w:hAnsiTheme="majorHAnsi"/>
        </w:rPr>
        <w:t>Figure 6.4 shows the fold changes when all three controls and knockdown si6 experiments were combined. On the scatter plot the red dots correspond to genes that had a positive fold change</w:t>
      </w:r>
      <w:r w:rsidR="00210BBD">
        <w:rPr>
          <w:rFonts w:asciiTheme="majorHAnsi" w:hAnsiTheme="majorHAnsi"/>
        </w:rPr>
        <w:t xml:space="preserve"> (genes which have a differing expression level to the control)</w:t>
      </w:r>
      <w:r>
        <w:rPr>
          <w:rFonts w:asciiTheme="majorHAnsi" w:hAnsiTheme="majorHAnsi"/>
        </w:rPr>
        <w:t xml:space="preserve"> and these were genes that had a decreased expression when </w:t>
      </w:r>
      <w:r w:rsidRPr="00D12412">
        <w:rPr>
          <w:rFonts w:asciiTheme="majorHAnsi" w:hAnsiTheme="majorHAnsi"/>
          <w:i/>
        </w:rPr>
        <w:t>SRCAP</w:t>
      </w:r>
      <w:r>
        <w:rPr>
          <w:rFonts w:asciiTheme="majorHAnsi" w:hAnsiTheme="majorHAnsi"/>
        </w:rPr>
        <w:t xml:space="preserve"> was knocked down compared to control samples</w:t>
      </w:r>
      <w:r w:rsidR="00E03EA8">
        <w:rPr>
          <w:rFonts w:asciiTheme="majorHAnsi" w:hAnsiTheme="majorHAnsi"/>
        </w:rPr>
        <w:t>,</w:t>
      </w:r>
      <w:r>
        <w:rPr>
          <w:rFonts w:asciiTheme="majorHAnsi" w:hAnsiTheme="majorHAnsi"/>
        </w:rPr>
        <w:t xml:space="preserve"> and the green dots represent negative fold changes and these are genes which were</w:t>
      </w:r>
      <w:r w:rsidR="00377382">
        <w:rPr>
          <w:rFonts w:asciiTheme="majorHAnsi" w:hAnsiTheme="majorHAnsi"/>
        </w:rPr>
        <w:t xml:space="preserve"> over-</w:t>
      </w:r>
      <w:r>
        <w:rPr>
          <w:rFonts w:asciiTheme="majorHAnsi" w:hAnsiTheme="majorHAnsi"/>
        </w:rPr>
        <w:t xml:space="preserve">expressed when </w:t>
      </w:r>
      <w:r w:rsidRPr="00D12412">
        <w:rPr>
          <w:rFonts w:asciiTheme="majorHAnsi" w:hAnsiTheme="majorHAnsi"/>
          <w:i/>
        </w:rPr>
        <w:t>SRCAP</w:t>
      </w:r>
      <w:r>
        <w:rPr>
          <w:rFonts w:asciiTheme="majorHAnsi" w:hAnsiTheme="majorHAnsi"/>
        </w:rPr>
        <w:t xml:space="preserve"> was knocked down (Figure 6.4a). These fold changes were also mapped to their chromosomal location, as can be seen in Appendix 8. Each individual experiment was then paired up with its control so that the fold changes and correlation could be </w:t>
      </w:r>
      <w:r w:rsidRPr="00E83A72">
        <w:rPr>
          <w:rFonts w:asciiTheme="majorHAnsi" w:hAnsiTheme="majorHAnsi"/>
        </w:rPr>
        <w:t xml:space="preserve">assessed between the repeats. Figure 6.4b&amp;d shows that </w:t>
      </w:r>
      <w:proofErr w:type="gramStart"/>
      <w:r w:rsidRPr="00E83A72">
        <w:rPr>
          <w:rFonts w:asciiTheme="majorHAnsi" w:hAnsiTheme="majorHAnsi"/>
        </w:rPr>
        <w:t>all the</w:t>
      </w:r>
      <w:proofErr w:type="gramEnd"/>
      <w:r w:rsidRPr="00E83A72">
        <w:rPr>
          <w:rFonts w:asciiTheme="majorHAnsi" w:hAnsiTheme="majorHAnsi"/>
        </w:rPr>
        <w:t xml:space="preserve"> fold changes between control vs. si6 had good correlation between the three repeats</w:t>
      </w:r>
      <w:r w:rsidR="008C59AE" w:rsidRPr="00E83A72">
        <w:rPr>
          <w:rFonts w:asciiTheme="majorHAnsi" w:hAnsiTheme="majorHAnsi"/>
        </w:rPr>
        <w:t xml:space="preserve">. There were similar mean and median values between the repeats </w:t>
      </w:r>
      <w:r w:rsidRPr="00E83A72">
        <w:rPr>
          <w:rFonts w:asciiTheme="majorHAnsi" w:hAnsiTheme="majorHAnsi"/>
        </w:rPr>
        <w:t xml:space="preserve">and Spearman’s Rank correlation </w:t>
      </w:r>
      <w:r w:rsidR="008C59AE" w:rsidRPr="00E83A72">
        <w:rPr>
          <w:rFonts w:asciiTheme="majorHAnsi" w:hAnsiTheme="majorHAnsi"/>
        </w:rPr>
        <w:t>R-values</w:t>
      </w:r>
      <w:r w:rsidRPr="00E83A72">
        <w:rPr>
          <w:rFonts w:asciiTheme="majorHAnsi" w:hAnsiTheme="majorHAnsi"/>
        </w:rPr>
        <w:t xml:space="preserve"> of approximately 0.7. Using a box and whiskers plot of all the fold changes per repeat, there were several outliers in the fold</w:t>
      </w:r>
      <w:r>
        <w:rPr>
          <w:rFonts w:asciiTheme="majorHAnsi" w:hAnsiTheme="majorHAnsi"/>
        </w:rPr>
        <w:t xml:space="preserve"> changes, especially in repeats 2 and 3 (Figure 6.4c). </w:t>
      </w:r>
    </w:p>
    <w:p w14:paraId="4240D779" w14:textId="77777777" w:rsidR="007C58EA" w:rsidRDefault="007C58EA" w:rsidP="007C58EA">
      <w:pPr>
        <w:spacing w:line="360" w:lineRule="auto"/>
        <w:jc w:val="both"/>
        <w:rPr>
          <w:rFonts w:asciiTheme="majorHAnsi" w:hAnsiTheme="majorHAnsi"/>
        </w:rPr>
      </w:pPr>
    </w:p>
    <w:p w14:paraId="4C970ACF" w14:textId="77777777" w:rsidR="007C58EA" w:rsidRDefault="007C58EA" w:rsidP="007C58EA">
      <w:pPr>
        <w:rPr>
          <w:rFonts w:asciiTheme="majorHAnsi" w:hAnsiTheme="majorHAnsi"/>
        </w:rPr>
      </w:pPr>
      <w:r>
        <w:rPr>
          <w:rFonts w:asciiTheme="majorHAnsi" w:hAnsiTheme="majorHAnsi"/>
        </w:rPr>
        <w:br w:type="page"/>
      </w:r>
    </w:p>
    <w:p w14:paraId="59867679" w14:textId="77777777" w:rsidR="007C58EA" w:rsidRDefault="007C58EA" w:rsidP="007C58EA">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089344" behindDoc="0" locked="0" layoutInCell="1" allowOverlap="1" wp14:anchorId="2E534D87" wp14:editId="6686B1F4">
                <wp:simplePos x="0" y="0"/>
                <wp:positionH relativeFrom="column">
                  <wp:posOffset>-114300</wp:posOffset>
                </wp:positionH>
                <wp:positionV relativeFrom="paragraph">
                  <wp:posOffset>4572000</wp:posOffset>
                </wp:positionV>
                <wp:extent cx="5486400" cy="3200400"/>
                <wp:effectExtent l="0" t="0" r="0" b="0"/>
                <wp:wrapSquare wrapText="bothSides"/>
                <wp:docPr id="337" name="Text Box 337"/>
                <wp:cNvGraphicFramePr/>
                <a:graphic xmlns:a="http://schemas.openxmlformats.org/drawingml/2006/main">
                  <a:graphicData uri="http://schemas.microsoft.com/office/word/2010/wordprocessingShape">
                    <wps:wsp>
                      <wps:cNvSpPr txBox="1"/>
                      <wps:spPr>
                        <a:xfrm>
                          <a:off x="0" y="0"/>
                          <a:ext cx="5486400" cy="3200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6A7911" w14:textId="77777777" w:rsidR="00E82D3B" w:rsidRDefault="00E82D3B" w:rsidP="007C58EA">
                            <w:pPr>
                              <w:jc w:val="both"/>
                              <w:rPr>
                                <w:b/>
                                <w:i/>
                                <w:sz w:val="22"/>
                              </w:rPr>
                            </w:pPr>
                            <w:r w:rsidRPr="003C7A55">
                              <w:rPr>
                                <w:b/>
                                <w:i/>
                                <w:sz w:val="22"/>
                              </w:rPr>
                              <w:t>F</w:t>
                            </w:r>
                            <w:r>
                              <w:rPr>
                                <w:b/>
                                <w:i/>
                                <w:sz w:val="22"/>
                              </w:rPr>
                              <w:t>igure 6.4</w:t>
                            </w:r>
                            <w:r w:rsidRPr="003C7A55">
                              <w:rPr>
                                <w:b/>
                                <w:i/>
                                <w:sz w:val="22"/>
                              </w:rPr>
                              <w:t xml:space="preserve"> Control vs. si6 data shows good correlation </w:t>
                            </w:r>
                            <w:r>
                              <w:rPr>
                                <w:b/>
                                <w:i/>
                                <w:sz w:val="22"/>
                              </w:rPr>
                              <w:t xml:space="preserve">in fold changes </w:t>
                            </w:r>
                            <w:r w:rsidRPr="003C7A55">
                              <w:rPr>
                                <w:b/>
                                <w:i/>
                                <w:sz w:val="22"/>
                              </w:rPr>
                              <w:t xml:space="preserve">between the separate repeats </w:t>
                            </w:r>
                          </w:p>
                          <w:p w14:paraId="50B35758" w14:textId="175871FC" w:rsidR="00E82D3B" w:rsidRDefault="00E82D3B" w:rsidP="007C58EA">
                            <w:pPr>
                              <w:jc w:val="both"/>
                              <w:rPr>
                                <w:i/>
                                <w:sz w:val="22"/>
                              </w:rPr>
                            </w:pPr>
                            <w:r>
                              <w:rPr>
                                <w:i/>
                                <w:sz w:val="22"/>
                              </w:rPr>
                              <w:t xml:space="preserve">a.) Dot plot of all three repeats combined of control vs si6, with the red dots being positive fold changes, the green dot being negative fold changes and the grey showing genes which have not changed in expression between control and SRCAP knockdown samples. </w:t>
                            </w:r>
                          </w:p>
                          <w:p w14:paraId="0B2AA077" w14:textId="77777777" w:rsidR="00E82D3B" w:rsidRDefault="00E82D3B" w:rsidP="007C58EA">
                            <w:pPr>
                              <w:jc w:val="both"/>
                              <w:rPr>
                                <w:i/>
                                <w:sz w:val="22"/>
                              </w:rPr>
                            </w:pPr>
                            <w:r>
                              <w:rPr>
                                <w:i/>
                                <w:sz w:val="22"/>
                              </w:rPr>
                              <w:t xml:space="preserve">b.) Table of values for the separate fold changes in each repeat, highlighting how many fold changes overall there were, taking into account both positive and negative, and displaying the means, medians and ranges. </w:t>
                            </w:r>
                          </w:p>
                          <w:p w14:paraId="7D5AB25E" w14:textId="77777777" w:rsidR="00E82D3B" w:rsidRDefault="00E82D3B" w:rsidP="007C58EA">
                            <w:pPr>
                              <w:jc w:val="both"/>
                              <w:rPr>
                                <w:i/>
                                <w:sz w:val="22"/>
                              </w:rPr>
                            </w:pPr>
                            <w:r>
                              <w:rPr>
                                <w:i/>
                                <w:sz w:val="22"/>
                              </w:rPr>
                              <w:t xml:space="preserve">c.) </w:t>
                            </w:r>
                            <w:proofErr w:type="gramStart"/>
                            <w:r>
                              <w:rPr>
                                <w:i/>
                                <w:sz w:val="22"/>
                              </w:rPr>
                              <w:t>A</w:t>
                            </w:r>
                            <w:proofErr w:type="gramEnd"/>
                            <w:r>
                              <w:rPr>
                                <w:i/>
                                <w:sz w:val="22"/>
                              </w:rPr>
                              <w:t xml:space="preserve"> graphical boxplot representation of the summary of the fold changes across the three repeats using the Tukey method. Here the interquartile range (IQR) is calculated (difference between the 25</w:t>
                            </w:r>
                            <w:r w:rsidRPr="00CE69D9">
                              <w:rPr>
                                <w:i/>
                                <w:sz w:val="22"/>
                                <w:vertAlign w:val="superscript"/>
                              </w:rPr>
                              <w:t>th</w:t>
                            </w:r>
                            <w:r>
                              <w:rPr>
                                <w:i/>
                                <w:sz w:val="22"/>
                              </w:rPr>
                              <w:t xml:space="preserve"> and 75</w:t>
                            </w:r>
                            <w:r w:rsidRPr="00CE69D9">
                              <w:rPr>
                                <w:i/>
                                <w:sz w:val="22"/>
                                <w:vertAlign w:val="superscript"/>
                              </w:rPr>
                              <w:t>th</w:t>
                            </w:r>
                            <w:r>
                              <w:rPr>
                                <w:i/>
                                <w:sz w:val="22"/>
                              </w:rPr>
                              <w:t xml:space="preserve"> percentile) and drawn as the box, with the whiskers representing the 75</w:t>
                            </w:r>
                            <w:r w:rsidRPr="00CE69D9">
                              <w:rPr>
                                <w:i/>
                                <w:sz w:val="22"/>
                                <w:vertAlign w:val="superscript"/>
                              </w:rPr>
                              <w:t>th</w:t>
                            </w:r>
                            <w:r>
                              <w:rPr>
                                <w:i/>
                                <w:sz w:val="22"/>
                              </w:rPr>
                              <w:t xml:space="preserve"> percentile plus 1.5X the IQR and the 25</w:t>
                            </w:r>
                            <w:r w:rsidRPr="00CE69D9">
                              <w:rPr>
                                <w:i/>
                                <w:sz w:val="22"/>
                                <w:vertAlign w:val="superscript"/>
                              </w:rPr>
                              <w:t>th</w:t>
                            </w:r>
                            <w:r>
                              <w:rPr>
                                <w:i/>
                                <w:sz w:val="22"/>
                              </w:rPr>
                              <w:t xml:space="preserve"> percentile minus 1.5X the IQR. If the highest or lowest value is inside of this value then the whisker stops at this point, however any values that were greater were considered to be outliers and so were plotted separately, as can be seen from the individual symbols. Repeats 2 and 3 had more outliers than repeat one at both negative and positive fold changes.</w:t>
                            </w:r>
                          </w:p>
                          <w:p w14:paraId="1B79C8BF" w14:textId="77777777" w:rsidR="00E82D3B" w:rsidRPr="003C7A55" w:rsidRDefault="00E82D3B" w:rsidP="007C58EA">
                            <w:pPr>
                              <w:jc w:val="both"/>
                              <w:rPr>
                                <w:i/>
                                <w:sz w:val="22"/>
                              </w:rPr>
                            </w:pPr>
                            <w:r>
                              <w:rPr>
                                <w:i/>
                                <w:sz w:val="22"/>
                              </w:rPr>
                              <w:t xml:space="preserve">d.) A non-parametric Spearman’s correlation test was conducted on the three separate repeats to assess correlation, there was a R value of 0.7 for each pairing and all had a strongly significant p value.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7" o:spid="_x0000_s1180" type="#_x0000_t202" style="position:absolute;margin-left:-8.95pt;margin-top:5in;width:6in;height:252pt;z-index:25208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1RUdQCAAAc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" filled="f" stroked="f">
                <v:textbox>
                  <w:txbxContent>
                    <w:p w14:paraId="356A7911" w14:textId="77777777" w:rsidR="000A1E0D" w:rsidRDefault="000A1E0D" w:rsidP="007C58EA">
                      <w:pPr>
                        <w:jc w:val="both"/>
                        <w:rPr>
                          <w:b/>
                          <w:i/>
                          <w:sz w:val="22"/>
                        </w:rPr>
                      </w:pPr>
                      <w:r w:rsidRPr="003C7A55">
                        <w:rPr>
                          <w:b/>
                          <w:i/>
                          <w:sz w:val="22"/>
                        </w:rPr>
                        <w:t>F</w:t>
                      </w:r>
                      <w:r>
                        <w:rPr>
                          <w:b/>
                          <w:i/>
                          <w:sz w:val="22"/>
                        </w:rPr>
                        <w:t>igure 6.4</w:t>
                      </w:r>
                      <w:r w:rsidRPr="003C7A55">
                        <w:rPr>
                          <w:b/>
                          <w:i/>
                          <w:sz w:val="22"/>
                        </w:rPr>
                        <w:t xml:space="preserve"> Control vs. si6 data shows good correlation </w:t>
                      </w:r>
                      <w:r>
                        <w:rPr>
                          <w:b/>
                          <w:i/>
                          <w:sz w:val="22"/>
                        </w:rPr>
                        <w:t xml:space="preserve">in fold changes </w:t>
                      </w:r>
                      <w:r w:rsidRPr="003C7A55">
                        <w:rPr>
                          <w:b/>
                          <w:i/>
                          <w:sz w:val="22"/>
                        </w:rPr>
                        <w:t xml:space="preserve">between the separate repeats </w:t>
                      </w:r>
                    </w:p>
                    <w:p w14:paraId="50B35758" w14:textId="175871FC" w:rsidR="000A1E0D" w:rsidRDefault="000A1E0D" w:rsidP="007C58EA">
                      <w:pPr>
                        <w:jc w:val="both"/>
                        <w:rPr>
                          <w:i/>
                          <w:sz w:val="22"/>
                        </w:rPr>
                      </w:pPr>
                      <w:r>
                        <w:rPr>
                          <w:i/>
                          <w:sz w:val="22"/>
                        </w:rPr>
                        <w:t xml:space="preserve">a.) Dot plot of all three repeats combined of control vs si6, with the red dots being positive fold changes, the green dot being negative fold changes and the grey showing genes which have not changed in expression between control and SRCAP knockdown samples. </w:t>
                      </w:r>
                    </w:p>
                    <w:p w14:paraId="0B2AA077" w14:textId="77777777" w:rsidR="000A1E0D" w:rsidRDefault="000A1E0D" w:rsidP="007C58EA">
                      <w:pPr>
                        <w:jc w:val="both"/>
                        <w:rPr>
                          <w:i/>
                          <w:sz w:val="22"/>
                        </w:rPr>
                      </w:pPr>
                      <w:r>
                        <w:rPr>
                          <w:i/>
                          <w:sz w:val="22"/>
                        </w:rPr>
                        <w:t xml:space="preserve">b.) Table of values for the separate fold changes in each repeat, highlighting how many fold changes overall there were, taking into account both positive and negative, and displaying the means, medians and ranges. </w:t>
                      </w:r>
                    </w:p>
                    <w:p w14:paraId="7D5AB25E" w14:textId="77777777" w:rsidR="000A1E0D" w:rsidRDefault="000A1E0D" w:rsidP="007C58EA">
                      <w:pPr>
                        <w:jc w:val="both"/>
                        <w:rPr>
                          <w:i/>
                          <w:sz w:val="22"/>
                        </w:rPr>
                      </w:pPr>
                      <w:r>
                        <w:rPr>
                          <w:i/>
                          <w:sz w:val="22"/>
                        </w:rPr>
                        <w:t xml:space="preserve">c.) </w:t>
                      </w:r>
                      <w:proofErr w:type="gramStart"/>
                      <w:r>
                        <w:rPr>
                          <w:i/>
                          <w:sz w:val="22"/>
                        </w:rPr>
                        <w:t>A</w:t>
                      </w:r>
                      <w:proofErr w:type="gramEnd"/>
                      <w:r>
                        <w:rPr>
                          <w:i/>
                          <w:sz w:val="22"/>
                        </w:rPr>
                        <w:t xml:space="preserve"> graphical boxplot representation of the summary of the fold changes across the three repeats using the Tukey method. Here the interquartile range (IQR) is calculated (difference between the 25</w:t>
                      </w:r>
                      <w:r w:rsidRPr="00CE69D9">
                        <w:rPr>
                          <w:i/>
                          <w:sz w:val="22"/>
                          <w:vertAlign w:val="superscript"/>
                        </w:rPr>
                        <w:t>th</w:t>
                      </w:r>
                      <w:r>
                        <w:rPr>
                          <w:i/>
                          <w:sz w:val="22"/>
                        </w:rPr>
                        <w:t xml:space="preserve"> and 75</w:t>
                      </w:r>
                      <w:r w:rsidRPr="00CE69D9">
                        <w:rPr>
                          <w:i/>
                          <w:sz w:val="22"/>
                          <w:vertAlign w:val="superscript"/>
                        </w:rPr>
                        <w:t>th</w:t>
                      </w:r>
                      <w:r>
                        <w:rPr>
                          <w:i/>
                          <w:sz w:val="22"/>
                        </w:rPr>
                        <w:t xml:space="preserve"> percentile) and drawn as the box, with the whiskers representing the 75</w:t>
                      </w:r>
                      <w:r w:rsidRPr="00CE69D9">
                        <w:rPr>
                          <w:i/>
                          <w:sz w:val="22"/>
                          <w:vertAlign w:val="superscript"/>
                        </w:rPr>
                        <w:t>th</w:t>
                      </w:r>
                      <w:r>
                        <w:rPr>
                          <w:i/>
                          <w:sz w:val="22"/>
                        </w:rPr>
                        <w:t xml:space="preserve"> percentile plus 1.5X the IQR and the 25</w:t>
                      </w:r>
                      <w:r w:rsidRPr="00CE69D9">
                        <w:rPr>
                          <w:i/>
                          <w:sz w:val="22"/>
                          <w:vertAlign w:val="superscript"/>
                        </w:rPr>
                        <w:t>th</w:t>
                      </w:r>
                      <w:r>
                        <w:rPr>
                          <w:i/>
                          <w:sz w:val="22"/>
                        </w:rPr>
                        <w:t xml:space="preserve"> percentile minus 1.5X the IQR. If the highest or lowest value is inside of this value then the whisker stops at this point, however any values that were greater were considered to be outliers and so were plotted separately, as can be seen from the individual symbols. Repeats 2 and 3 had more outliers than repeat one at both negative and positive fold changes.</w:t>
                      </w:r>
                    </w:p>
                    <w:p w14:paraId="1B79C8BF" w14:textId="77777777" w:rsidR="000A1E0D" w:rsidRPr="003C7A55" w:rsidRDefault="000A1E0D" w:rsidP="007C58EA">
                      <w:pPr>
                        <w:jc w:val="both"/>
                        <w:rPr>
                          <w:i/>
                          <w:sz w:val="22"/>
                        </w:rPr>
                      </w:pPr>
                      <w:r>
                        <w:rPr>
                          <w:i/>
                          <w:sz w:val="22"/>
                        </w:rPr>
                        <w:t xml:space="preserve">d.) A non-parametric Spearman’s correlation test was conducted on the three separate repeats to assess correlation, there was a R value of 0.7 for each pairing and all had a strongly significant p value. </w:t>
                      </w:r>
                    </w:p>
                  </w:txbxContent>
                </v:textbox>
                <w10:wrap type="square"/>
              </v:shape>
            </w:pict>
          </mc:Fallback>
        </mc:AlternateContent>
      </w:r>
      <w:r>
        <w:rPr>
          <w:rFonts w:asciiTheme="majorHAnsi" w:hAnsiTheme="majorHAnsi"/>
          <w:noProof/>
          <w:lang w:val="en-US"/>
        </w:rPr>
        <w:drawing>
          <wp:anchor distT="0" distB="0" distL="114300" distR="114300" simplePos="0" relativeHeight="252088320" behindDoc="0" locked="0" layoutInCell="1" allowOverlap="1" wp14:anchorId="314EAA11" wp14:editId="31DF2A6A">
            <wp:simplePos x="0" y="0"/>
            <wp:positionH relativeFrom="column">
              <wp:posOffset>-342900</wp:posOffset>
            </wp:positionH>
            <wp:positionV relativeFrom="paragraph">
              <wp:posOffset>114300</wp:posOffset>
            </wp:positionV>
            <wp:extent cx="5814060" cy="4343400"/>
            <wp:effectExtent l="0" t="0" r="2540" b="0"/>
            <wp:wrapSquare wrapText="bothSides"/>
            <wp:docPr id="359" name="Picture 359" descr="Macintosh HD:Users:ClairFellows:Desktop:Screen Shot 2017-10-12 at 09.3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creen Shot 2017-10-12 at 09.35.48.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14060" cy="4343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rPr>
        <w:br w:type="page"/>
      </w:r>
    </w:p>
    <w:p w14:paraId="167BE08B" w14:textId="264D57A1" w:rsidR="007C58EA" w:rsidRDefault="007C58EA" w:rsidP="007C58EA">
      <w:pPr>
        <w:spacing w:line="360" w:lineRule="auto"/>
        <w:jc w:val="both"/>
        <w:rPr>
          <w:rFonts w:asciiTheme="majorHAnsi" w:hAnsiTheme="majorHAnsi"/>
        </w:rPr>
      </w:pPr>
      <w:r>
        <w:rPr>
          <w:rFonts w:asciiTheme="majorHAnsi" w:hAnsiTheme="majorHAnsi"/>
        </w:rPr>
        <w:t xml:space="preserve">The top 20 fold changes, both positive and negative, were then taken from each repeat and cross-referenced to identify genes that showed altered expression in all three independent experiments. Figure 6.5a shows six genes that had a positive fold change in all three </w:t>
      </w:r>
      <w:proofErr w:type="gramStart"/>
      <w:r>
        <w:rPr>
          <w:rFonts w:asciiTheme="majorHAnsi" w:hAnsiTheme="majorHAnsi"/>
        </w:rPr>
        <w:t>repeats</w:t>
      </w:r>
      <w:proofErr w:type="gramEnd"/>
      <w:r>
        <w:rPr>
          <w:rFonts w:asciiTheme="majorHAnsi" w:hAnsiTheme="majorHAnsi"/>
        </w:rPr>
        <w:t xml:space="preserve"> and so had a decrease in expression when </w:t>
      </w:r>
      <w:r w:rsidRPr="00D12412">
        <w:rPr>
          <w:rFonts w:asciiTheme="majorHAnsi" w:hAnsiTheme="majorHAnsi"/>
          <w:i/>
        </w:rPr>
        <w:t>SRCAP</w:t>
      </w:r>
      <w:r>
        <w:rPr>
          <w:rFonts w:asciiTheme="majorHAnsi" w:hAnsiTheme="majorHAnsi"/>
        </w:rPr>
        <w:t xml:space="preserve"> was knocked down compared to the control. Interestingly the </w:t>
      </w:r>
      <w:r w:rsidRPr="00D12412">
        <w:rPr>
          <w:rFonts w:asciiTheme="majorHAnsi" w:hAnsiTheme="majorHAnsi"/>
          <w:i/>
        </w:rPr>
        <w:t>HIST3H2BB</w:t>
      </w:r>
      <w:r>
        <w:rPr>
          <w:rFonts w:asciiTheme="majorHAnsi" w:hAnsiTheme="majorHAnsi"/>
        </w:rPr>
        <w:t xml:space="preserve"> gene was one of these genes, which is a member of the histone H2B family and therefore is a g</w:t>
      </w:r>
      <w:r w:rsidR="002C2E2A">
        <w:rPr>
          <w:rFonts w:asciiTheme="majorHAnsi" w:hAnsiTheme="majorHAnsi"/>
        </w:rPr>
        <w:t>ood proof of concept that knock</w:t>
      </w:r>
      <w:r>
        <w:rPr>
          <w:rFonts w:asciiTheme="majorHAnsi" w:hAnsiTheme="majorHAnsi"/>
        </w:rPr>
        <w:t xml:space="preserve">down of </w:t>
      </w:r>
      <w:r w:rsidRPr="00D12412">
        <w:rPr>
          <w:rFonts w:asciiTheme="majorHAnsi" w:hAnsiTheme="majorHAnsi"/>
          <w:i/>
        </w:rPr>
        <w:t>SRCAP</w:t>
      </w:r>
      <w:r w:rsidR="009233B7">
        <w:rPr>
          <w:rFonts w:asciiTheme="majorHAnsi" w:hAnsiTheme="majorHAnsi"/>
        </w:rPr>
        <w:t xml:space="preserve"> </w:t>
      </w:r>
      <w:r w:rsidR="009233B7" w:rsidRPr="00E83A72">
        <w:rPr>
          <w:rFonts w:asciiTheme="majorHAnsi" w:hAnsiTheme="majorHAnsi"/>
        </w:rPr>
        <w:t>seems to affect</w:t>
      </w:r>
      <w:r w:rsidRPr="00E83A72">
        <w:rPr>
          <w:rFonts w:asciiTheme="majorHAnsi" w:hAnsiTheme="majorHAnsi"/>
        </w:rPr>
        <w:t xml:space="preserve"> histone</w:t>
      </w:r>
      <w:r>
        <w:rPr>
          <w:rFonts w:asciiTheme="majorHAnsi" w:hAnsiTheme="majorHAnsi"/>
        </w:rPr>
        <w:t xml:space="preserve"> expression. There was also </w:t>
      </w:r>
      <w:r w:rsidRPr="00D12412">
        <w:rPr>
          <w:rFonts w:asciiTheme="majorHAnsi" w:hAnsiTheme="majorHAnsi"/>
          <w:i/>
        </w:rPr>
        <w:t>PHLDA2</w:t>
      </w:r>
      <w:r>
        <w:rPr>
          <w:rFonts w:asciiTheme="majorHAnsi" w:hAnsiTheme="majorHAnsi"/>
        </w:rPr>
        <w:t xml:space="preserve">, which plays a role in the regulation of placenta growth, however it is also situated on an important tumour suppressor region and differential expression has been linked to various cancers including lung and breast. </w:t>
      </w:r>
      <w:r w:rsidRPr="00D12412">
        <w:rPr>
          <w:rFonts w:asciiTheme="majorHAnsi" w:hAnsiTheme="majorHAnsi"/>
          <w:i/>
        </w:rPr>
        <w:t>ELK3</w:t>
      </w:r>
      <w:r>
        <w:rPr>
          <w:rFonts w:asciiTheme="majorHAnsi" w:hAnsiTheme="majorHAnsi"/>
        </w:rPr>
        <w:t xml:space="preserve"> is a transcriptional regulator, linked to ERK signalling and has close associations with RAS, where it inhibits transcription when RAS is absent, but promotes transcription upon RAS activation. Two other genes identified were the transcriptional regulator </w:t>
      </w:r>
      <w:r w:rsidRPr="00D12412">
        <w:rPr>
          <w:rFonts w:asciiTheme="majorHAnsi" w:hAnsiTheme="majorHAnsi"/>
          <w:i/>
        </w:rPr>
        <w:t>MYB</w:t>
      </w:r>
      <w:r>
        <w:rPr>
          <w:rFonts w:asciiTheme="majorHAnsi" w:hAnsiTheme="majorHAnsi"/>
        </w:rPr>
        <w:t xml:space="preserve">, which functions in the haematopoiesis pathway, and </w:t>
      </w:r>
      <w:r w:rsidRPr="00D12412">
        <w:rPr>
          <w:rFonts w:asciiTheme="majorHAnsi" w:hAnsiTheme="majorHAnsi"/>
          <w:i/>
        </w:rPr>
        <w:t>SH3BP4</w:t>
      </w:r>
      <w:r>
        <w:rPr>
          <w:rFonts w:asciiTheme="majorHAnsi" w:hAnsiTheme="majorHAnsi"/>
        </w:rPr>
        <w:t xml:space="preserve">, which plays a role in the control of clathrin mediated endocytosis. Finally </w:t>
      </w:r>
      <w:r w:rsidRPr="00D12412">
        <w:rPr>
          <w:rFonts w:asciiTheme="majorHAnsi" w:hAnsiTheme="majorHAnsi"/>
          <w:i/>
        </w:rPr>
        <w:t>CCDC34</w:t>
      </w:r>
      <w:r>
        <w:rPr>
          <w:rFonts w:asciiTheme="majorHAnsi" w:hAnsiTheme="majorHAnsi"/>
        </w:rPr>
        <w:t xml:space="preserve">, which is a coil-coil domain protein of unknown </w:t>
      </w:r>
      <w:proofErr w:type="gramStart"/>
      <w:r>
        <w:rPr>
          <w:rFonts w:asciiTheme="majorHAnsi" w:hAnsiTheme="majorHAnsi"/>
        </w:rPr>
        <w:t>function</w:t>
      </w:r>
      <w:proofErr w:type="gramEnd"/>
      <w:r>
        <w:rPr>
          <w:rFonts w:asciiTheme="majorHAnsi" w:hAnsiTheme="majorHAnsi"/>
        </w:rPr>
        <w:t xml:space="preserve"> was also identified in these analyses (All the gene information was found on GeneCards, a free online human gene database- </w:t>
      </w:r>
      <w:r w:rsidRPr="00710802">
        <w:rPr>
          <w:rFonts w:asciiTheme="majorHAnsi" w:hAnsiTheme="majorHAnsi"/>
        </w:rPr>
        <w:t>http://www.genecards.org/</w:t>
      </w:r>
      <w:r>
        <w:rPr>
          <w:rFonts w:asciiTheme="majorHAnsi" w:hAnsiTheme="majorHAnsi"/>
        </w:rPr>
        <w:t xml:space="preserve">). Putting all the top 20 genes with positive fold changes in all three repeats into the STRING database (functional protein associations network) produced Figure 6.5b. This showed that there was enrichment for genes associated with the nucleosome and protein-DNA complexes, </w:t>
      </w:r>
      <w:r w:rsidR="00E03EA8">
        <w:rPr>
          <w:rFonts w:asciiTheme="majorHAnsi" w:hAnsiTheme="majorHAnsi"/>
        </w:rPr>
        <w:t>consistent with the idea</w:t>
      </w:r>
      <w:r>
        <w:rPr>
          <w:rFonts w:asciiTheme="majorHAnsi" w:hAnsiTheme="majorHAnsi"/>
        </w:rPr>
        <w:t xml:space="preserve"> that </w:t>
      </w:r>
      <w:r w:rsidRPr="00D12412">
        <w:rPr>
          <w:rFonts w:asciiTheme="majorHAnsi" w:hAnsiTheme="majorHAnsi"/>
          <w:i/>
        </w:rPr>
        <w:t>SRCAP</w:t>
      </w:r>
      <w:r>
        <w:rPr>
          <w:rFonts w:asciiTheme="majorHAnsi" w:hAnsiTheme="majorHAnsi"/>
        </w:rPr>
        <w:t xml:space="preserve"> depletion affects the nucleosomal structure by also inhibiting the expression of other </w:t>
      </w:r>
      <w:r w:rsidR="00E03EA8">
        <w:rPr>
          <w:rFonts w:asciiTheme="majorHAnsi" w:hAnsiTheme="majorHAnsi"/>
        </w:rPr>
        <w:t>related</w:t>
      </w:r>
      <w:r>
        <w:rPr>
          <w:rFonts w:asciiTheme="majorHAnsi" w:hAnsiTheme="majorHAnsi"/>
        </w:rPr>
        <w:t xml:space="preserve"> genes. When </w:t>
      </w:r>
      <w:r w:rsidRPr="00D12412">
        <w:rPr>
          <w:rFonts w:asciiTheme="majorHAnsi" w:hAnsiTheme="majorHAnsi"/>
          <w:i/>
        </w:rPr>
        <w:t>SRCAP</w:t>
      </w:r>
      <w:r>
        <w:rPr>
          <w:rFonts w:asciiTheme="majorHAnsi" w:hAnsiTheme="majorHAnsi"/>
        </w:rPr>
        <w:t xml:space="preserve"> was knocked down it also decreased the expression of genes associated with the negative regulation of gene expression and transcriptio</w:t>
      </w:r>
      <w:r w:rsidR="00851E13">
        <w:rPr>
          <w:rFonts w:asciiTheme="majorHAnsi" w:hAnsiTheme="majorHAnsi"/>
        </w:rPr>
        <w:t>n</w:t>
      </w:r>
      <w:r>
        <w:rPr>
          <w:rFonts w:asciiTheme="majorHAnsi" w:hAnsiTheme="majorHAnsi"/>
        </w:rPr>
        <w:t xml:space="preserve">. </w:t>
      </w:r>
    </w:p>
    <w:p w14:paraId="2961ED25" w14:textId="77777777" w:rsidR="007C58EA" w:rsidRDefault="007C58EA" w:rsidP="007C58EA">
      <w:pPr>
        <w:spacing w:line="360" w:lineRule="auto"/>
        <w:jc w:val="both"/>
        <w:rPr>
          <w:rFonts w:asciiTheme="majorHAnsi" w:hAnsiTheme="majorHAnsi"/>
        </w:rPr>
      </w:pPr>
    </w:p>
    <w:p w14:paraId="2CD36435" w14:textId="77777777" w:rsidR="007C58EA" w:rsidRDefault="007C58EA" w:rsidP="007C58EA">
      <w:pPr>
        <w:rPr>
          <w:rFonts w:asciiTheme="majorHAnsi" w:hAnsiTheme="majorHAnsi"/>
        </w:rPr>
      </w:pPr>
      <w:r>
        <w:rPr>
          <w:rFonts w:asciiTheme="majorHAnsi" w:hAnsiTheme="majorHAnsi"/>
        </w:rPr>
        <w:br w:type="page"/>
      </w:r>
    </w:p>
    <w:tbl>
      <w:tblPr>
        <w:tblpPr w:leftFromText="180" w:rightFromText="180" w:vertAnchor="text" w:horzAnchor="page" w:tblpX="2289" w:tblpY="367"/>
        <w:tblW w:w="3929" w:type="dxa"/>
        <w:tblCellMar>
          <w:left w:w="0" w:type="dxa"/>
          <w:right w:w="0" w:type="dxa"/>
        </w:tblCellMar>
        <w:tblLook w:val="0600" w:firstRow="0" w:lastRow="0" w:firstColumn="0" w:lastColumn="0" w:noHBand="1" w:noVBand="1"/>
      </w:tblPr>
      <w:tblGrid>
        <w:gridCol w:w="768"/>
        <w:gridCol w:w="525"/>
        <w:gridCol w:w="768"/>
        <w:gridCol w:w="525"/>
        <w:gridCol w:w="818"/>
        <w:gridCol w:w="525"/>
      </w:tblGrid>
      <w:tr w:rsidR="007C58EA" w:rsidRPr="00C86D98" w14:paraId="7B289B11" w14:textId="77777777" w:rsidTr="002C01B6">
        <w:trPr>
          <w:trHeight w:val="235"/>
        </w:trPr>
        <w:tc>
          <w:tcPr>
            <w:tcW w:w="1293"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44B80ED5"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1</w:t>
            </w:r>
          </w:p>
        </w:tc>
        <w:tc>
          <w:tcPr>
            <w:tcW w:w="1293"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641DE974"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2</w:t>
            </w:r>
          </w:p>
        </w:tc>
        <w:tc>
          <w:tcPr>
            <w:tcW w:w="1343"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6A91EC71"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3</w:t>
            </w:r>
          </w:p>
        </w:tc>
      </w:tr>
      <w:tr w:rsidR="007C58EA" w:rsidRPr="00C86D98" w14:paraId="347B30EC"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5FD1CA3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Gene</w:t>
            </w:r>
          </w:p>
        </w:tc>
        <w:tc>
          <w:tcPr>
            <w:tcW w:w="525"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0E47A7AE"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Fold Change</w:t>
            </w:r>
          </w:p>
        </w:tc>
        <w:tc>
          <w:tcPr>
            <w:tcW w:w="768"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6DF86FD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Gene</w:t>
            </w:r>
          </w:p>
        </w:tc>
        <w:tc>
          <w:tcPr>
            <w:tcW w:w="525"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6EE661D7"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Fold Change</w:t>
            </w:r>
          </w:p>
        </w:tc>
        <w:tc>
          <w:tcPr>
            <w:tcW w:w="818"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174468D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Gene</w:t>
            </w:r>
          </w:p>
        </w:tc>
        <w:tc>
          <w:tcPr>
            <w:tcW w:w="525"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3677FEEA"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Fold Change</w:t>
            </w:r>
          </w:p>
        </w:tc>
      </w:tr>
      <w:tr w:rsidR="007C58EA" w:rsidRPr="00C86D98" w14:paraId="31F261BD"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510A65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JUND</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ACB8625"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6.99</w:t>
            </w:r>
          </w:p>
        </w:tc>
        <w:tc>
          <w:tcPr>
            <w:tcW w:w="768"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0CE6083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CCDC34</w:t>
            </w:r>
          </w:p>
        </w:tc>
        <w:tc>
          <w:tcPr>
            <w:tcW w:w="525"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6FD515F7"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8.35</w:t>
            </w:r>
          </w:p>
        </w:tc>
        <w:tc>
          <w:tcPr>
            <w:tcW w:w="818"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5CB8A096"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CCDC34</w:t>
            </w:r>
          </w:p>
        </w:tc>
        <w:tc>
          <w:tcPr>
            <w:tcW w:w="525"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31F57E13"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13.89</w:t>
            </w:r>
          </w:p>
        </w:tc>
      </w:tr>
      <w:tr w:rsidR="007C58EA" w:rsidRPr="00C86D98" w14:paraId="0F4A579A"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3A9C6A66"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HIST3H2BB</w:t>
            </w:r>
          </w:p>
        </w:tc>
        <w:tc>
          <w:tcPr>
            <w:tcW w:w="525"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1DAAA39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6.91</w:t>
            </w:r>
          </w:p>
        </w:tc>
        <w:tc>
          <w:tcPr>
            <w:tcW w:w="768" w:type="dxa"/>
            <w:tcBorders>
              <w:top w:val="single" w:sz="4" w:space="0" w:color="000000"/>
              <w:left w:val="single" w:sz="4" w:space="0" w:color="000000"/>
              <w:bottom w:val="single" w:sz="4" w:space="0" w:color="000000"/>
              <w:right w:val="single" w:sz="4" w:space="0" w:color="000000"/>
            </w:tcBorders>
            <w:shd w:val="clear" w:color="auto" w:fill="92CDDC"/>
            <w:tcMar>
              <w:top w:w="20" w:type="dxa"/>
              <w:left w:w="20" w:type="dxa"/>
              <w:bottom w:w="0" w:type="dxa"/>
              <w:right w:w="20" w:type="dxa"/>
            </w:tcMar>
            <w:vAlign w:val="bottom"/>
            <w:hideMark/>
          </w:tcPr>
          <w:p w14:paraId="3653D91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ELK3</w:t>
            </w:r>
          </w:p>
        </w:tc>
        <w:tc>
          <w:tcPr>
            <w:tcW w:w="525" w:type="dxa"/>
            <w:tcBorders>
              <w:top w:val="single" w:sz="4" w:space="0" w:color="000000"/>
              <w:left w:val="single" w:sz="4" w:space="0" w:color="000000"/>
              <w:bottom w:val="single" w:sz="4" w:space="0" w:color="000000"/>
              <w:right w:val="single" w:sz="4" w:space="0" w:color="000000"/>
            </w:tcBorders>
            <w:shd w:val="clear" w:color="auto" w:fill="92CDDC"/>
            <w:tcMar>
              <w:top w:w="20" w:type="dxa"/>
              <w:left w:w="20" w:type="dxa"/>
              <w:bottom w:w="0" w:type="dxa"/>
              <w:right w:w="20" w:type="dxa"/>
            </w:tcMar>
            <w:vAlign w:val="bottom"/>
            <w:hideMark/>
          </w:tcPr>
          <w:p w14:paraId="49BB0D8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5.77</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80308A1"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HIST1H2BM</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76EC36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7.24</w:t>
            </w:r>
          </w:p>
        </w:tc>
      </w:tr>
      <w:tr w:rsidR="007C58EA" w:rsidRPr="00C86D98" w14:paraId="4A85B90C"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320F6FF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PHLDA2</w:t>
            </w:r>
          </w:p>
        </w:tc>
        <w:tc>
          <w:tcPr>
            <w:tcW w:w="525"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1547E38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6.25</w:t>
            </w:r>
          </w:p>
        </w:tc>
        <w:tc>
          <w:tcPr>
            <w:tcW w:w="768"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01EF6DE3"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PHLDA2</w:t>
            </w:r>
          </w:p>
        </w:tc>
        <w:tc>
          <w:tcPr>
            <w:tcW w:w="525"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59573C6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5.16</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2B562AA"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HCFC1R1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396C81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7.22</w:t>
            </w:r>
          </w:p>
        </w:tc>
      </w:tr>
      <w:tr w:rsidR="007C58EA" w:rsidRPr="00C86D98" w14:paraId="4B2C0F3E"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0718EAC7"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CCDC34</w:t>
            </w:r>
          </w:p>
        </w:tc>
        <w:tc>
          <w:tcPr>
            <w:tcW w:w="525"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61F38E4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5.8</w:t>
            </w:r>
          </w:p>
        </w:tc>
        <w:tc>
          <w:tcPr>
            <w:tcW w:w="768"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57A676F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HIST3H2BB</w:t>
            </w:r>
          </w:p>
        </w:tc>
        <w:tc>
          <w:tcPr>
            <w:tcW w:w="525"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282F940A"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4.85</w:t>
            </w:r>
          </w:p>
        </w:tc>
        <w:tc>
          <w:tcPr>
            <w:tcW w:w="818"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444F0C17"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HIST3H2BB</w:t>
            </w:r>
          </w:p>
        </w:tc>
        <w:tc>
          <w:tcPr>
            <w:tcW w:w="525"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278F9AA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7.03</w:t>
            </w:r>
          </w:p>
        </w:tc>
      </w:tr>
      <w:tr w:rsidR="007C58EA" w:rsidRPr="00C86D98" w14:paraId="5CEE6A08"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451A7E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GATAD2A</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BA3DFD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5.55</w:t>
            </w:r>
          </w:p>
        </w:tc>
        <w:tc>
          <w:tcPr>
            <w:tcW w:w="768"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58D077CE"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MYB</w:t>
            </w:r>
          </w:p>
        </w:tc>
        <w:tc>
          <w:tcPr>
            <w:tcW w:w="525"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5090F52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4.66</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41A82EE"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HIST1H4C</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81DDE84"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7</w:t>
            </w:r>
          </w:p>
        </w:tc>
      </w:tr>
      <w:tr w:rsidR="007C58EA" w:rsidRPr="00C86D98" w14:paraId="691F6810"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166AD51"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TRAK2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B13D24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5.32</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277673A"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RFXAP</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9C0101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4.61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834F02E"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LRRCC1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1EF01A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6.95</w:t>
            </w:r>
          </w:p>
        </w:tc>
      </w:tr>
      <w:tr w:rsidR="007C58EA" w:rsidRPr="00C86D98" w14:paraId="41E3DAC4"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74E82C7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SH3BP4</w:t>
            </w:r>
          </w:p>
        </w:tc>
        <w:tc>
          <w:tcPr>
            <w:tcW w:w="525"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09FDC3D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5.28</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74EF26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SPICE1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AB58D4A"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4.54</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1FA3B1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HIST1H4A</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7BA51D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6.86</w:t>
            </w:r>
          </w:p>
        </w:tc>
      </w:tr>
      <w:tr w:rsidR="007C58EA" w:rsidRPr="00C86D98" w14:paraId="0DD149BA"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5D4C5A4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MYB</w:t>
            </w:r>
          </w:p>
        </w:tc>
        <w:tc>
          <w:tcPr>
            <w:tcW w:w="525"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552F73A3"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5.24</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8741001"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ICMT</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796BD65"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4.39</w:t>
            </w:r>
          </w:p>
        </w:tc>
        <w:tc>
          <w:tcPr>
            <w:tcW w:w="818" w:type="dxa"/>
            <w:tcBorders>
              <w:top w:val="single" w:sz="4" w:space="0" w:color="000000"/>
              <w:left w:val="single" w:sz="4" w:space="0" w:color="000000"/>
              <w:bottom w:val="single" w:sz="4" w:space="0" w:color="000000"/>
              <w:right w:val="single" w:sz="4" w:space="0" w:color="000000"/>
            </w:tcBorders>
            <w:shd w:val="clear" w:color="auto" w:fill="92CDDC"/>
            <w:tcMar>
              <w:top w:w="20" w:type="dxa"/>
              <w:left w:w="20" w:type="dxa"/>
              <w:bottom w:w="0" w:type="dxa"/>
              <w:right w:w="20" w:type="dxa"/>
            </w:tcMar>
            <w:vAlign w:val="bottom"/>
            <w:hideMark/>
          </w:tcPr>
          <w:p w14:paraId="2CECAD06"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ELK3</w:t>
            </w:r>
          </w:p>
        </w:tc>
        <w:tc>
          <w:tcPr>
            <w:tcW w:w="525" w:type="dxa"/>
            <w:tcBorders>
              <w:top w:val="single" w:sz="4" w:space="0" w:color="000000"/>
              <w:left w:val="single" w:sz="4" w:space="0" w:color="000000"/>
              <w:bottom w:val="single" w:sz="4" w:space="0" w:color="000000"/>
              <w:right w:val="single" w:sz="4" w:space="0" w:color="000000"/>
            </w:tcBorders>
            <w:shd w:val="clear" w:color="auto" w:fill="92CDDC"/>
            <w:tcMar>
              <w:top w:w="20" w:type="dxa"/>
              <w:left w:w="20" w:type="dxa"/>
              <w:bottom w:w="0" w:type="dxa"/>
              <w:right w:w="20" w:type="dxa"/>
            </w:tcMar>
            <w:vAlign w:val="bottom"/>
            <w:hideMark/>
          </w:tcPr>
          <w:p w14:paraId="0EB69726"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5.83</w:t>
            </w:r>
          </w:p>
        </w:tc>
      </w:tr>
      <w:tr w:rsidR="007C58EA" w:rsidRPr="00C86D98" w14:paraId="2CA7C7B3"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1060B8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EPN1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FF54BA1"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5.22</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063368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PANX1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930C1F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4.29</w:t>
            </w:r>
          </w:p>
        </w:tc>
        <w:tc>
          <w:tcPr>
            <w:tcW w:w="818"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6E8E45D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SH3BP4</w:t>
            </w:r>
          </w:p>
        </w:tc>
        <w:tc>
          <w:tcPr>
            <w:tcW w:w="525"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631B62BD"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5.81</w:t>
            </w:r>
          </w:p>
        </w:tc>
      </w:tr>
      <w:tr w:rsidR="007C58EA" w:rsidRPr="00C86D98" w14:paraId="3AEFC4AD"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BA4EC1A"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FAM69B</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10285A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4.99</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8CD1F5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NEMP1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038531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4.24</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BD8E80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CHAC1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B496D3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5.53</w:t>
            </w:r>
          </w:p>
        </w:tc>
      </w:tr>
      <w:tr w:rsidR="007C58EA" w:rsidRPr="00C86D98" w14:paraId="65647D41"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B58F7B1"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SFXN2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F2308C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4.89</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E14C56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TMED8</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DE718ED"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4.21</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5B421A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FAM129A</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A7AD5A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5.47</w:t>
            </w:r>
          </w:p>
        </w:tc>
      </w:tr>
      <w:tr w:rsidR="007C58EA" w:rsidRPr="00C86D98" w14:paraId="73542506"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B2608E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HCFC1R1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D31053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4.78</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CA1499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SLC7A11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29144C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4.17</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A086A1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LRRIQ1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FDB18D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5.47</w:t>
            </w:r>
          </w:p>
        </w:tc>
      </w:tr>
      <w:tr w:rsidR="007C58EA" w:rsidRPr="00C86D98" w14:paraId="2A77CAC9"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E1D573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BRCC3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6A85C9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4.75</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3F58EF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ANAPC13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E7B29D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4.15</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6021F1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JDP2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A6E747D"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5.32</w:t>
            </w:r>
          </w:p>
        </w:tc>
      </w:tr>
      <w:tr w:rsidR="007C58EA" w:rsidRPr="00C86D98" w14:paraId="44412FBD"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0AB3FA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PHF21A</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4B60A8A"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4.71</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6BF294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BLOC1S5</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EA0284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4.08</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1369D5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MNS1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73FC3A3"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5.31</w:t>
            </w:r>
          </w:p>
        </w:tc>
      </w:tr>
      <w:tr w:rsidR="007C58EA" w:rsidRPr="00C86D98" w14:paraId="0673D8B5"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3D1323D"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LIG1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B811A1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4.67</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2D1B1B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ZHX1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19C0536"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4.04</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980BDE4"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ZHX1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B01931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5.18</w:t>
            </w:r>
          </w:p>
        </w:tc>
      </w:tr>
      <w:tr w:rsidR="007C58EA" w:rsidRPr="00C86D98" w14:paraId="7C565AE4"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54D5007"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XPNPEP1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203DFD5"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4.58</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9AEA634"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GRB10</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C2AD8B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4.01</w:t>
            </w:r>
          </w:p>
        </w:tc>
        <w:tc>
          <w:tcPr>
            <w:tcW w:w="818"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62C94E7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MYB</w:t>
            </w:r>
          </w:p>
        </w:tc>
        <w:tc>
          <w:tcPr>
            <w:tcW w:w="525"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5FD4A8A3"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5.16</w:t>
            </w:r>
          </w:p>
        </w:tc>
      </w:tr>
      <w:tr w:rsidR="007C58EA" w:rsidRPr="00C86D98" w14:paraId="4EAF55CF"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7E9C954"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SLC2A4RG</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EDD4F96"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4.32</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B4336EA"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BRCA1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C9E6795"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3.89</w:t>
            </w:r>
          </w:p>
        </w:tc>
        <w:tc>
          <w:tcPr>
            <w:tcW w:w="818"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53F877EC"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PHLDA2</w:t>
            </w:r>
          </w:p>
        </w:tc>
        <w:tc>
          <w:tcPr>
            <w:tcW w:w="525"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7E1D8CC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5.09</w:t>
            </w:r>
          </w:p>
        </w:tc>
      </w:tr>
      <w:tr w:rsidR="007C58EA" w:rsidRPr="00C86D98" w14:paraId="085BE7FD"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92CDDC"/>
            <w:tcMar>
              <w:top w:w="20" w:type="dxa"/>
              <w:left w:w="20" w:type="dxa"/>
              <w:bottom w:w="0" w:type="dxa"/>
              <w:right w:w="20" w:type="dxa"/>
            </w:tcMar>
            <w:vAlign w:val="bottom"/>
            <w:hideMark/>
          </w:tcPr>
          <w:p w14:paraId="377BCF06"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ELK3</w:t>
            </w:r>
          </w:p>
        </w:tc>
        <w:tc>
          <w:tcPr>
            <w:tcW w:w="525" w:type="dxa"/>
            <w:tcBorders>
              <w:top w:val="single" w:sz="4" w:space="0" w:color="000000"/>
              <w:left w:val="single" w:sz="4" w:space="0" w:color="000000"/>
              <w:bottom w:val="single" w:sz="4" w:space="0" w:color="000000"/>
              <w:right w:val="single" w:sz="4" w:space="0" w:color="000000"/>
            </w:tcBorders>
            <w:shd w:val="clear" w:color="auto" w:fill="92CDDC"/>
            <w:tcMar>
              <w:top w:w="20" w:type="dxa"/>
              <w:left w:w="20" w:type="dxa"/>
              <w:bottom w:w="0" w:type="dxa"/>
              <w:right w:w="20" w:type="dxa"/>
            </w:tcMar>
            <w:vAlign w:val="bottom"/>
            <w:hideMark/>
          </w:tcPr>
          <w:p w14:paraId="23C1F771"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4.27</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33E70D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C10orf12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D7C745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3.88</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A885EA9"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DNAJA3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CA45BA0"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4.81</w:t>
            </w:r>
          </w:p>
        </w:tc>
      </w:tr>
      <w:tr w:rsidR="007C58EA" w:rsidRPr="00C86D98" w14:paraId="141E4685"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8DF86BD"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EFCAB14</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240D27B"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4.23</w:t>
            </w:r>
          </w:p>
        </w:tc>
        <w:tc>
          <w:tcPr>
            <w:tcW w:w="768"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4BD7A002"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SH3BP4</w:t>
            </w:r>
          </w:p>
        </w:tc>
        <w:tc>
          <w:tcPr>
            <w:tcW w:w="525"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2A225913"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3.8</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2BFFA6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BRCC3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9F62CB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4.74</w:t>
            </w:r>
          </w:p>
        </w:tc>
      </w:tr>
      <w:tr w:rsidR="007C58EA" w:rsidRPr="00C86D98" w14:paraId="27332F3F" w14:textId="77777777" w:rsidTr="002C01B6">
        <w:trPr>
          <w:trHeight w:val="235"/>
        </w:trPr>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8842538"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ARHGEF39</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094CB6F"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4.19</w:t>
            </w:r>
          </w:p>
        </w:tc>
        <w:tc>
          <w:tcPr>
            <w:tcW w:w="76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74D1EFD"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FBXO33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4AABC8E"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3.79</w:t>
            </w:r>
          </w:p>
        </w:tc>
        <w:tc>
          <w:tcPr>
            <w:tcW w:w="81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5107BF6"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NRP1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470672E" w14:textId="77777777" w:rsidR="007C58EA" w:rsidRPr="00AD63FE" w:rsidRDefault="007C58EA" w:rsidP="002C01B6">
            <w:pPr>
              <w:jc w:val="center"/>
              <w:rPr>
                <w:rFonts w:asciiTheme="majorHAnsi" w:hAnsiTheme="majorHAnsi"/>
                <w:sz w:val="16"/>
              </w:rPr>
            </w:pPr>
            <w:r w:rsidRPr="00AD63FE">
              <w:rPr>
                <w:rFonts w:asciiTheme="majorHAnsi" w:hAnsiTheme="majorHAnsi"/>
                <w:sz w:val="16"/>
                <w:lang w:val="en-US"/>
              </w:rPr>
              <w:t>4.64</w:t>
            </w:r>
          </w:p>
        </w:tc>
      </w:tr>
    </w:tbl>
    <w:p w14:paraId="71A84E10" w14:textId="77777777" w:rsidR="007C58EA" w:rsidRDefault="007C58EA" w:rsidP="007C58EA">
      <w:pPr>
        <w:rPr>
          <w:rFonts w:asciiTheme="majorHAnsi" w:hAnsiTheme="majorHAnsi"/>
        </w:rPr>
      </w:pPr>
      <w:r>
        <w:rPr>
          <w:rFonts w:asciiTheme="majorHAnsi" w:hAnsiTheme="majorHAnsi"/>
          <w:noProof/>
          <w:lang w:val="en-US"/>
        </w:rPr>
        <w:drawing>
          <wp:anchor distT="0" distB="0" distL="114300" distR="114300" simplePos="0" relativeHeight="252095488" behindDoc="0" locked="0" layoutInCell="1" allowOverlap="1" wp14:anchorId="596AEEFC" wp14:editId="765F2883">
            <wp:simplePos x="0" y="0"/>
            <wp:positionH relativeFrom="column">
              <wp:posOffset>2628900</wp:posOffset>
            </wp:positionH>
            <wp:positionV relativeFrom="paragraph">
              <wp:posOffset>228600</wp:posOffset>
            </wp:positionV>
            <wp:extent cx="2917825" cy="3200400"/>
            <wp:effectExtent l="0" t="0" r="3175" b="0"/>
            <wp:wrapSquare wrapText="bothSides"/>
            <wp:docPr id="360" name="Picture 360" descr="Macintosh HD:Users:ClairFellows:Desktop:Screen Shot 2017-10-12 at 10.3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airFellows:Desktop:Screen Shot 2017-10-12 at 10.37.56.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1782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lang w:val="en-US"/>
        </w:rPr>
        <mc:AlternateContent>
          <mc:Choice Requires="wps">
            <w:drawing>
              <wp:anchor distT="0" distB="0" distL="114300" distR="114300" simplePos="0" relativeHeight="252093440" behindDoc="0" locked="0" layoutInCell="1" allowOverlap="1" wp14:anchorId="3BA22A2B" wp14:editId="573881C5">
                <wp:simplePos x="0" y="0"/>
                <wp:positionH relativeFrom="column">
                  <wp:posOffset>-114300</wp:posOffset>
                </wp:positionH>
                <wp:positionV relativeFrom="paragraph">
                  <wp:posOffset>-114300</wp:posOffset>
                </wp:positionV>
                <wp:extent cx="571500" cy="457200"/>
                <wp:effectExtent l="0" t="0" r="0" b="0"/>
                <wp:wrapSquare wrapText="bothSides"/>
                <wp:docPr id="338" name="Text Box 338"/>
                <wp:cNvGraphicFramePr/>
                <a:graphic xmlns:a="http://schemas.openxmlformats.org/drawingml/2006/main">
                  <a:graphicData uri="http://schemas.microsoft.com/office/word/2010/wordprocessingShape">
                    <wps:wsp>
                      <wps:cNvSpPr txBox="1"/>
                      <wps:spPr>
                        <a:xfrm>
                          <a:off x="0" y="0"/>
                          <a:ext cx="571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66392A" w14:textId="77777777" w:rsidR="00E82D3B" w:rsidRPr="00AD63FE" w:rsidRDefault="00E82D3B" w:rsidP="007C58EA">
                            <w:pPr>
                              <w:rPr>
                                <w:b/>
                              </w:rPr>
                            </w:pPr>
                            <w:proofErr w:type="gramStart"/>
                            <w:r w:rsidRPr="00AD63FE">
                              <w:rPr>
                                <w:b/>
                              </w:rPr>
                              <w:t>a</w:t>
                            </w:r>
                            <w:proofErr w:type="gramEnd"/>
                            <w:r w:rsidRPr="00AD63FE">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8" o:spid="_x0000_s1181" type="#_x0000_t202" style="position:absolute;margin-left:-8.95pt;margin-top:-8.95pt;width:45pt;height:36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" filled="f" stroked="f">
                <v:textbox>
                  <w:txbxContent>
                    <w:p w14:paraId="4F66392A" w14:textId="77777777" w:rsidR="000A1E0D" w:rsidRPr="00AD63FE" w:rsidRDefault="000A1E0D" w:rsidP="007C58EA">
                      <w:pPr>
                        <w:rPr>
                          <w:b/>
                        </w:rPr>
                      </w:pPr>
                      <w:proofErr w:type="gramStart"/>
                      <w:r w:rsidRPr="00AD63FE">
                        <w:rPr>
                          <w:b/>
                        </w:rPr>
                        <w:t>a</w:t>
                      </w:r>
                      <w:proofErr w:type="gramEnd"/>
                      <w:r w:rsidRPr="00AD63FE">
                        <w:rPr>
                          <w:b/>
                        </w:rPr>
                        <w:t>.)</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2094464" behindDoc="0" locked="0" layoutInCell="1" allowOverlap="1" wp14:anchorId="2DD74DB7" wp14:editId="37CD3594">
                <wp:simplePos x="0" y="0"/>
                <wp:positionH relativeFrom="column">
                  <wp:posOffset>2628900</wp:posOffset>
                </wp:positionH>
                <wp:positionV relativeFrom="paragraph">
                  <wp:posOffset>-114300</wp:posOffset>
                </wp:positionV>
                <wp:extent cx="571500" cy="457200"/>
                <wp:effectExtent l="0" t="0" r="0" b="0"/>
                <wp:wrapSquare wrapText="bothSides"/>
                <wp:docPr id="339" name="Text Box 339"/>
                <wp:cNvGraphicFramePr/>
                <a:graphic xmlns:a="http://schemas.openxmlformats.org/drawingml/2006/main">
                  <a:graphicData uri="http://schemas.microsoft.com/office/word/2010/wordprocessingShape">
                    <wps:wsp>
                      <wps:cNvSpPr txBox="1"/>
                      <wps:spPr>
                        <a:xfrm>
                          <a:off x="0" y="0"/>
                          <a:ext cx="571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0917B5" w14:textId="77777777" w:rsidR="00E82D3B" w:rsidRPr="00AD63FE" w:rsidRDefault="00E82D3B" w:rsidP="007C58EA">
                            <w:pPr>
                              <w:rPr>
                                <w:b/>
                              </w:rPr>
                            </w:pPr>
                            <w:proofErr w:type="gramStart"/>
                            <w:r>
                              <w:rPr>
                                <w:b/>
                              </w:rPr>
                              <w:t>b</w:t>
                            </w:r>
                            <w:proofErr w:type="gramEnd"/>
                            <w:r w:rsidRPr="00AD63FE">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9" o:spid="_x0000_s1182" type="#_x0000_t202" style="position:absolute;margin-left:207pt;margin-top:-8.95pt;width:4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" filled="f" stroked="f">
                <v:textbox>
                  <w:txbxContent>
                    <w:p w14:paraId="1D0917B5" w14:textId="77777777" w:rsidR="000A1E0D" w:rsidRPr="00AD63FE" w:rsidRDefault="000A1E0D" w:rsidP="007C58EA">
                      <w:pPr>
                        <w:rPr>
                          <w:b/>
                        </w:rPr>
                      </w:pPr>
                      <w:proofErr w:type="gramStart"/>
                      <w:r>
                        <w:rPr>
                          <w:b/>
                        </w:rPr>
                        <w:t>b</w:t>
                      </w:r>
                      <w:proofErr w:type="gramEnd"/>
                      <w:r w:rsidRPr="00AD63FE">
                        <w:rPr>
                          <w:b/>
                        </w:rPr>
                        <w:t>.)</w:t>
                      </w:r>
                    </w:p>
                  </w:txbxContent>
                </v:textbox>
                <w10:wrap type="square"/>
              </v:shape>
            </w:pict>
          </mc:Fallback>
        </mc:AlternateContent>
      </w:r>
    </w:p>
    <w:p w14:paraId="60C7B545" w14:textId="77777777" w:rsidR="007C58EA" w:rsidRDefault="007C58EA" w:rsidP="007C58EA">
      <w:pPr>
        <w:rPr>
          <w:rFonts w:asciiTheme="majorHAnsi" w:hAnsiTheme="majorHAnsi"/>
        </w:rPr>
      </w:pPr>
    </w:p>
    <w:p w14:paraId="688202D6" w14:textId="77777777" w:rsidR="007C58EA" w:rsidRDefault="007C58EA" w:rsidP="007C58EA">
      <w:pPr>
        <w:rPr>
          <w:rFonts w:asciiTheme="majorHAnsi" w:hAnsiTheme="majorHAnsi"/>
        </w:rPr>
      </w:pPr>
    </w:p>
    <w:p w14:paraId="5EB3C5B9" w14:textId="77777777" w:rsidR="007C58EA" w:rsidRDefault="007C58EA" w:rsidP="007C58EA">
      <w:pPr>
        <w:rPr>
          <w:rFonts w:asciiTheme="majorHAnsi" w:hAnsiTheme="majorHAnsi"/>
        </w:rPr>
      </w:pPr>
    </w:p>
    <w:p w14:paraId="31B53F52" w14:textId="77777777" w:rsidR="007C58EA" w:rsidRDefault="007C58EA" w:rsidP="007C58EA">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092416" behindDoc="0" locked="0" layoutInCell="1" allowOverlap="1" wp14:anchorId="568D4F46" wp14:editId="06270879">
                <wp:simplePos x="0" y="0"/>
                <wp:positionH relativeFrom="column">
                  <wp:posOffset>-2612390</wp:posOffset>
                </wp:positionH>
                <wp:positionV relativeFrom="paragraph">
                  <wp:posOffset>241935</wp:posOffset>
                </wp:positionV>
                <wp:extent cx="5486400" cy="1371600"/>
                <wp:effectExtent l="0" t="0" r="0" b="0"/>
                <wp:wrapSquare wrapText="bothSides"/>
                <wp:docPr id="340" name="Text Box 340"/>
                <wp:cNvGraphicFramePr/>
                <a:graphic xmlns:a="http://schemas.openxmlformats.org/drawingml/2006/main">
                  <a:graphicData uri="http://schemas.microsoft.com/office/word/2010/wordprocessingShape">
                    <wps:wsp>
                      <wps:cNvSpPr txBox="1"/>
                      <wps:spPr>
                        <a:xfrm>
                          <a:off x="0" y="0"/>
                          <a:ext cx="54864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3C453E" w14:textId="77777777" w:rsidR="00E82D3B" w:rsidRDefault="00E82D3B" w:rsidP="007C58EA">
                            <w:pPr>
                              <w:jc w:val="both"/>
                              <w:rPr>
                                <w:b/>
                                <w:i/>
                                <w:sz w:val="22"/>
                              </w:rPr>
                            </w:pPr>
                            <w:r w:rsidRPr="00B0574C">
                              <w:rPr>
                                <w:b/>
                                <w:i/>
                                <w:sz w:val="22"/>
                              </w:rPr>
                              <w:t>F</w:t>
                            </w:r>
                            <w:r>
                              <w:rPr>
                                <w:b/>
                                <w:i/>
                                <w:sz w:val="22"/>
                              </w:rPr>
                              <w:t>igure 6.5</w:t>
                            </w:r>
                            <w:r w:rsidRPr="00B0574C">
                              <w:rPr>
                                <w:b/>
                                <w:i/>
                                <w:sz w:val="22"/>
                              </w:rPr>
                              <w:t xml:space="preserve"> Genes with a decrease in expression when SRCAP was knocked down show enrichment for nucleosomal components</w:t>
                            </w:r>
                            <w:r>
                              <w:rPr>
                                <w:b/>
                                <w:i/>
                                <w:sz w:val="22"/>
                              </w:rPr>
                              <w:t xml:space="preserve"> and gene expression regulators</w:t>
                            </w:r>
                            <w:r w:rsidRPr="00B0574C">
                              <w:rPr>
                                <w:b/>
                                <w:i/>
                                <w:sz w:val="22"/>
                              </w:rPr>
                              <w:t>.</w:t>
                            </w:r>
                          </w:p>
                          <w:p w14:paraId="16392256" w14:textId="77777777" w:rsidR="00E82D3B" w:rsidRDefault="00E82D3B" w:rsidP="007C58EA">
                            <w:pPr>
                              <w:jc w:val="both"/>
                              <w:rPr>
                                <w:i/>
                                <w:sz w:val="22"/>
                              </w:rPr>
                            </w:pPr>
                            <w:r>
                              <w:rPr>
                                <w:i/>
                                <w:sz w:val="22"/>
                              </w:rPr>
                              <w:t>a.) Table of the top 20 positive fold changes in control vs si6 data for each repeat. The genes highlighted were found across all three repeats.</w:t>
                            </w:r>
                          </w:p>
                          <w:p w14:paraId="28E6EECF" w14:textId="77777777" w:rsidR="00E82D3B" w:rsidRPr="00AD63FE" w:rsidRDefault="00E82D3B" w:rsidP="007C58EA">
                            <w:pPr>
                              <w:jc w:val="both"/>
                              <w:rPr>
                                <w:i/>
                                <w:sz w:val="22"/>
                              </w:rPr>
                            </w:pPr>
                            <w:r>
                              <w:rPr>
                                <w:i/>
                                <w:sz w:val="22"/>
                              </w:rPr>
                              <w:t xml:space="preserve">b.) </w:t>
                            </w:r>
                            <w:proofErr w:type="gramStart"/>
                            <w:r>
                              <w:rPr>
                                <w:i/>
                                <w:sz w:val="22"/>
                              </w:rPr>
                              <w:t>The</w:t>
                            </w:r>
                            <w:proofErr w:type="gramEnd"/>
                            <w:r>
                              <w:rPr>
                                <w:i/>
                                <w:sz w:val="22"/>
                              </w:rPr>
                              <w:t xml:space="preserve"> three top 20 lists were put into the STRING database and the above network image was generated. The blue dots represent the genes associated with the nucleoplasm and the red are genes associated with the negative regulation of gene expression.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0" o:spid="_x0000_s1183" type="#_x0000_t202" style="position:absolute;margin-left:-205.65pt;margin-top:19.05pt;width:6in;height:10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" filled="f" stroked="f">
                <v:textbox>
                  <w:txbxContent>
                    <w:p w14:paraId="0F3C453E" w14:textId="77777777" w:rsidR="000A1E0D" w:rsidRDefault="000A1E0D" w:rsidP="007C58EA">
                      <w:pPr>
                        <w:jc w:val="both"/>
                        <w:rPr>
                          <w:b/>
                          <w:i/>
                          <w:sz w:val="22"/>
                        </w:rPr>
                      </w:pPr>
                      <w:r w:rsidRPr="00B0574C">
                        <w:rPr>
                          <w:b/>
                          <w:i/>
                          <w:sz w:val="22"/>
                        </w:rPr>
                        <w:t>F</w:t>
                      </w:r>
                      <w:r>
                        <w:rPr>
                          <w:b/>
                          <w:i/>
                          <w:sz w:val="22"/>
                        </w:rPr>
                        <w:t>igure 6.5</w:t>
                      </w:r>
                      <w:r w:rsidRPr="00B0574C">
                        <w:rPr>
                          <w:b/>
                          <w:i/>
                          <w:sz w:val="22"/>
                        </w:rPr>
                        <w:t xml:space="preserve"> Genes with a decrease in expression when SRCAP was knocked down show enrichment for nucleosomal components</w:t>
                      </w:r>
                      <w:r>
                        <w:rPr>
                          <w:b/>
                          <w:i/>
                          <w:sz w:val="22"/>
                        </w:rPr>
                        <w:t xml:space="preserve"> and gene expression regulators</w:t>
                      </w:r>
                      <w:r w:rsidRPr="00B0574C">
                        <w:rPr>
                          <w:b/>
                          <w:i/>
                          <w:sz w:val="22"/>
                        </w:rPr>
                        <w:t>.</w:t>
                      </w:r>
                    </w:p>
                    <w:p w14:paraId="16392256" w14:textId="77777777" w:rsidR="000A1E0D" w:rsidRDefault="000A1E0D" w:rsidP="007C58EA">
                      <w:pPr>
                        <w:jc w:val="both"/>
                        <w:rPr>
                          <w:i/>
                          <w:sz w:val="22"/>
                        </w:rPr>
                      </w:pPr>
                      <w:r>
                        <w:rPr>
                          <w:i/>
                          <w:sz w:val="22"/>
                        </w:rPr>
                        <w:t>a.) Table of the top 20 positive fold changes in control vs si6 data for each repeat. The genes highlighted were found across all three repeats.</w:t>
                      </w:r>
                    </w:p>
                    <w:p w14:paraId="28E6EECF" w14:textId="77777777" w:rsidR="000A1E0D" w:rsidRPr="00AD63FE" w:rsidRDefault="000A1E0D" w:rsidP="007C58EA">
                      <w:pPr>
                        <w:jc w:val="both"/>
                        <w:rPr>
                          <w:i/>
                          <w:sz w:val="22"/>
                        </w:rPr>
                      </w:pPr>
                      <w:r>
                        <w:rPr>
                          <w:i/>
                          <w:sz w:val="22"/>
                        </w:rPr>
                        <w:t xml:space="preserve">b.) </w:t>
                      </w:r>
                      <w:proofErr w:type="gramStart"/>
                      <w:r>
                        <w:rPr>
                          <w:i/>
                          <w:sz w:val="22"/>
                        </w:rPr>
                        <w:t>The</w:t>
                      </w:r>
                      <w:proofErr w:type="gramEnd"/>
                      <w:r>
                        <w:rPr>
                          <w:i/>
                          <w:sz w:val="22"/>
                        </w:rPr>
                        <w:t xml:space="preserve"> three top 20 lists were put into the STRING database and the above network image was generated. The blue dots represent the genes associated with the nucleoplasm and the red are genes associated with the negative regulation of gene expression. </w:t>
                      </w:r>
                    </w:p>
                  </w:txbxContent>
                </v:textbox>
                <w10:wrap type="square"/>
              </v:shape>
            </w:pict>
          </mc:Fallback>
        </mc:AlternateContent>
      </w:r>
    </w:p>
    <w:p w14:paraId="114B02F6" w14:textId="77777777" w:rsidR="007C58EA" w:rsidRDefault="007C58EA" w:rsidP="007C58EA">
      <w:pPr>
        <w:spacing w:line="360" w:lineRule="auto"/>
        <w:jc w:val="both"/>
        <w:rPr>
          <w:rFonts w:asciiTheme="majorHAnsi" w:hAnsiTheme="majorHAnsi"/>
        </w:rPr>
      </w:pPr>
    </w:p>
    <w:p w14:paraId="05BD4680" w14:textId="1D72FD54" w:rsidR="007C58EA" w:rsidRDefault="007C58EA" w:rsidP="007C58EA">
      <w:pPr>
        <w:spacing w:line="360" w:lineRule="auto"/>
        <w:jc w:val="both"/>
        <w:rPr>
          <w:rFonts w:asciiTheme="majorHAnsi" w:hAnsiTheme="majorHAnsi"/>
        </w:rPr>
      </w:pPr>
      <w:r>
        <w:rPr>
          <w:rFonts w:asciiTheme="majorHAnsi" w:hAnsiTheme="majorHAnsi"/>
        </w:rPr>
        <w:t xml:space="preserve">Analysis of the top 20 genes with </w:t>
      </w:r>
      <w:r w:rsidR="00851E13">
        <w:rPr>
          <w:rFonts w:asciiTheme="majorHAnsi" w:hAnsiTheme="majorHAnsi"/>
        </w:rPr>
        <w:t xml:space="preserve">the </w:t>
      </w:r>
      <w:r w:rsidR="00E03EA8">
        <w:rPr>
          <w:rFonts w:asciiTheme="majorHAnsi" w:hAnsiTheme="majorHAnsi"/>
        </w:rPr>
        <w:t xml:space="preserve">largest </w:t>
      </w:r>
      <w:r>
        <w:rPr>
          <w:rFonts w:asciiTheme="majorHAnsi" w:hAnsiTheme="majorHAnsi"/>
        </w:rPr>
        <w:t>negative fold changes (those over</w:t>
      </w:r>
      <w:r w:rsidR="00377382">
        <w:rPr>
          <w:rFonts w:asciiTheme="majorHAnsi" w:hAnsiTheme="majorHAnsi"/>
        </w:rPr>
        <w:t>-</w:t>
      </w:r>
      <w:r>
        <w:rPr>
          <w:rFonts w:asciiTheme="majorHAnsi" w:hAnsiTheme="majorHAnsi"/>
        </w:rPr>
        <w:t xml:space="preserve">expressed when </w:t>
      </w:r>
      <w:r w:rsidRPr="00155E27">
        <w:rPr>
          <w:rFonts w:asciiTheme="majorHAnsi" w:hAnsiTheme="majorHAnsi"/>
          <w:i/>
        </w:rPr>
        <w:t>SRCAP</w:t>
      </w:r>
      <w:r>
        <w:rPr>
          <w:rFonts w:asciiTheme="majorHAnsi" w:hAnsiTheme="majorHAnsi"/>
        </w:rPr>
        <w:t xml:space="preserve"> is knocked down) in each of the three repeats uncovered nine genes that were present across the experiments (Figure 6.6a). These included </w:t>
      </w:r>
      <w:r w:rsidRPr="00155E27">
        <w:rPr>
          <w:rFonts w:asciiTheme="majorHAnsi" w:hAnsiTheme="majorHAnsi"/>
          <w:i/>
        </w:rPr>
        <w:t>GPR3</w:t>
      </w:r>
      <w:r>
        <w:rPr>
          <w:rFonts w:asciiTheme="majorHAnsi" w:hAnsiTheme="majorHAnsi"/>
        </w:rPr>
        <w:t xml:space="preserve"> a G protein coupled receptor, </w:t>
      </w:r>
      <w:r w:rsidRPr="00155E27">
        <w:rPr>
          <w:rFonts w:asciiTheme="majorHAnsi" w:hAnsiTheme="majorHAnsi"/>
          <w:i/>
        </w:rPr>
        <w:t>SLC2A14</w:t>
      </w:r>
      <w:r>
        <w:rPr>
          <w:rFonts w:asciiTheme="majorHAnsi" w:hAnsiTheme="majorHAnsi"/>
        </w:rPr>
        <w:t xml:space="preserve"> and </w:t>
      </w:r>
      <w:r w:rsidRPr="00155E27">
        <w:rPr>
          <w:rFonts w:asciiTheme="majorHAnsi" w:hAnsiTheme="majorHAnsi"/>
          <w:i/>
        </w:rPr>
        <w:t>SLCA3</w:t>
      </w:r>
      <w:r>
        <w:rPr>
          <w:rFonts w:asciiTheme="majorHAnsi" w:hAnsiTheme="majorHAnsi"/>
        </w:rPr>
        <w:t xml:space="preserve"> members of the glucose transporter family and </w:t>
      </w:r>
      <w:r w:rsidRPr="00155E27">
        <w:rPr>
          <w:rFonts w:asciiTheme="majorHAnsi" w:hAnsiTheme="majorHAnsi"/>
          <w:i/>
        </w:rPr>
        <w:t>MSX1</w:t>
      </w:r>
      <w:r>
        <w:rPr>
          <w:rFonts w:asciiTheme="majorHAnsi" w:hAnsiTheme="majorHAnsi"/>
        </w:rPr>
        <w:t xml:space="preserve">, which is a transcriptional repressor during embryogenesis. There were also four members of the </w:t>
      </w:r>
      <w:r w:rsidRPr="00155E27">
        <w:rPr>
          <w:rFonts w:asciiTheme="majorHAnsi" w:hAnsiTheme="majorHAnsi"/>
          <w:i/>
        </w:rPr>
        <w:t>KRTAP</w:t>
      </w:r>
      <w:r>
        <w:rPr>
          <w:rFonts w:asciiTheme="majorHAnsi" w:hAnsiTheme="majorHAnsi"/>
        </w:rPr>
        <w:t xml:space="preserve"> family and these are keratin-associated protein, which contribute to the structure of hair fibres. However, although it is interesting that four of these are highly expressed when </w:t>
      </w:r>
      <w:r w:rsidRPr="00155E27">
        <w:rPr>
          <w:rFonts w:asciiTheme="majorHAnsi" w:hAnsiTheme="majorHAnsi"/>
          <w:i/>
        </w:rPr>
        <w:t>SRCAP</w:t>
      </w:r>
      <w:r>
        <w:rPr>
          <w:rFonts w:asciiTheme="majorHAnsi" w:hAnsiTheme="majorHAnsi"/>
        </w:rPr>
        <w:t xml:space="preserve"> is knocked down it could also be because they are on the same chromosomal region </w:t>
      </w:r>
      <w:r w:rsidR="00851E13">
        <w:rPr>
          <w:rFonts w:asciiTheme="majorHAnsi" w:hAnsiTheme="majorHAnsi"/>
        </w:rPr>
        <w:t xml:space="preserve">(17q21.2) </w:t>
      </w:r>
      <w:r>
        <w:rPr>
          <w:rFonts w:asciiTheme="majorHAnsi" w:hAnsiTheme="majorHAnsi"/>
        </w:rPr>
        <w:t xml:space="preserve">and so exhibit linked transcriptional changes. Finally </w:t>
      </w:r>
      <w:r w:rsidRPr="00155E27">
        <w:rPr>
          <w:rFonts w:asciiTheme="majorHAnsi" w:hAnsiTheme="majorHAnsi"/>
          <w:i/>
        </w:rPr>
        <w:t>FGFBP1</w:t>
      </w:r>
      <w:r>
        <w:rPr>
          <w:rFonts w:asciiTheme="majorHAnsi" w:hAnsiTheme="majorHAnsi"/>
        </w:rPr>
        <w:t xml:space="preserve"> which is a fibroblast growth protein with a role in cell proliferation, it has also been implicated in CRC as an angiogenesis switch factor for tumourigenesis </w:t>
      </w:r>
      <w:r>
        <w:rPr>
          <w:rFonts w:asciiTheme="majorHAnsi" w:hAnsiTheme="majorHAnsi"/>
        </w:rPr>
        <w:fldChar w:fldCharType="begin"/>
      </w:r>
      <w:r>
        <w:rPr>
          <w:rFonts w:asciiTheme="majorHAnsi" w:hAnsiTheme="majorHAnsi"/>
        </w:rPr>
        <w:instrText xml:space="preserve"> ADDIN EN.CITE &lt;EndNote&gt;&lt;Cite&gt;&lt;Author&gt;Tassi&lt;/Author&gt;&lt;Year&gt;2006&lt;/Year&gt;&lt;IDText&gt;The angiogenic switch molecule, secreted FGF-binding protein, an indicator of early stages of pancreatic and colorectal adenocarcinoma&lt;/IDText&gt;&lt;DisplayText&gt;(Tassi and Wellstein, 2006)&lt;/DisplayText&gt;&lt;record&gt;&lt;dates&gt;&lt;pub-dates&gt;&lt;date&gt;Dec&lt;/date&gt;&lt;/pub-dates&gt;&lt;year&gt;2006&lt;/year&gt;&lt;/dates&gt;&lt;keywords&gt;&lt;keyword&gt;Adenocarcinoma&lt;/keyword&gt;&lt;keyword&gt;Biomarkers, Tumor&lt;/keyword&gt;&lt;keyword&gt;Carrier Proteins&lt;/keyword&gt;&lt;keyword&gt;Colorectal Neoplasms&lt;/keyword&gt;&lt;keyword&gt;Humans&lt;/keyword&gt;&lt;keyword&gt;Intercellular Signaling Peptides and Proteins&lt;/keyword&gt;&lt;keyword&gt;Neovascularization, Pathologic&lt;/keyword&gt;&lt;keyword&gt;Pancreatic Neoplasms&lt;/keyword&gt;&lt;/keywords&gt;&lt;urls&gt;&lt;related-urls&gt;&lt;url&gt;https://www.ncbi.nlm.nih.gov/pubmed/17178288&lt;/url&gt;&lt;/related-urls&gt;&lt;/urls&gt;&lt;isbn&gt;0093-7754&lt;/isbn&gt;&lt;custom2&gt;PMC1781498&lt;/custom2&gt;&lt;titles&gt;&lt;title&gt;The angiogenic switch molecule, secreted FGF-binding protein, an indicator of early stages of pancreatic and colorectal adenocarcinoma&lt;/title&gt;&lt;secondary-title&gt;Semin Oncol&lt;/secondary-title&gt;&lt;/titles&gt;&lt;pages&gt;S50-6&lt;/pages&gt;&lt;number&gt;6 Suppl 11&lt;/number&gt;&lt;contributors&gt;&lt;authors&gt;&lt;author&gt;Tassi, E.&lt;/author&gt;&lt;author&gt;Wellstein, A.&lt;/author&gt;&lt;/authors&gt;&lt;/contributors&gt;&lt;language&gt;eng&lt;/language&gt;&lt;added-date format="utc"&gt;1510831520&lt;/added-date&gt;&lt;ref-type name="Journal Article"&gt;17&lt;/ref-type&gt;&lt;rec-number&gt;371&lt;/rec-number&gt;&lt;last-updated-date format="utc"&gt;1510831520&lt;/last-updated-date&gt;&lt;accession-num&gt;17178288&lt;/accession-num&gt;&lt;electronic-resource-num&gt;10.1053/j.seminoncol.2006.10.014&lt;/electronic-resource-num&gt;&lt;volume&gt;33&lt;/volume&gt;&lt;/record&gt;&lt;/Cite&gt;&lt;/EndNote&gt;</w:instrText>
      </w:r>
      <w:r>
        <w:rPr>
          <w:rFonts w:asciiTheme="majorHAnsi" w:hAnsiTheme="majorHAnsi"/>
        </w:rPr>
        <w:fldChar w:fldCharType="separate"/>
      </w:r>
      <w:r>
        <w:rPr>
          <w:rFonts w:asciiTheme="majorHAnsi" w:hAnsiTheme="majorHAnsi"/>
          <w:noProof/>
        </w:rPr>
        <w:t>(Tassi and Wellstein, 2006)</w:t>
      </w:r>
      <w:r>
        <w:rPr>
          <w:rFonts w:asciiTheme="majorHAnsi" w:hAnsiTheme="majorHAnsi"/>
        </w:rPr>
        <w:fldChar w:fldCharType="end"/>
      </w:r>
      <w:r>
        <w:rPr>
          <w:rFonts w:asciiTheme="majorHAnsi" w:hAnsiTheme="majorHAnsi"/>
        </w:rPr>
        <w:t xml:space="preserve"> (All the gene information was found on GeneCards, a free online human gene database- </w:t>
      </w:r>
      <w:r w:rsidRPr="00710802">
        <w:rPr>
          <w:rFonts w:asciiTheme="majorHAnsi" w:hAnsiTheme="majorHAnsi"/>
        </w:rPr>
        <w:t>http://www.genecards.org/</w:t>
      </w:r>
      <w:r>
        <w:rPr>
          <w:rFonts w:asciiTheme="majorHAnsi" w:hAnsiTheme="majorHAnsi"/>
        </w:rPr>
        <w:t xml:space="preserve">). STRING database analysis of this gene list revealed enrichment for those involved in the regulation of cell proliferation (Figure 6.6b). Thus, when </w:t>
      </w:r>
      <w:r w:rsidRPr="00155E27">
        <w:rPr>
          <w:rFonts w:asciiTheme="majorHAnsi" w:hAnsiTheme="majorHAnsi"/>
          <w:i/>
        </w:rPr>
        <w:t>SRCAP</w:t>
      </w:r>
      <w:r>
        <w:rPr>
          <w:rFonts w:asciiTheme="majorHAnsi" w:hAnsiTheme="majorHAnsi"/>
        </w:rPr>
        <w:t xml:space="preserve"> is knocked down genes associated with cell p</w:t>
      </w:r>
      <w:r w:rsidR="00377382">
        <w:rPr>
          <w:rFonts w:asciiTheme="majorHAnsi" w:hAnsiTheme="majorHAnsi"/>
        </w:rPr>
        <w:t>roliferation are over-</w:t>
      </w:r>
      <w:r w:rsidR="00851E13">
        <w:rPr>
          <w:rFonts w:asciiTheme="majorHAnsi" w:hAnsiTheme="majorHAnsi"/>
        </w:rPr>
        <w:t>expressed</w:t>
      </w:r>
      <w:r>
        <w:rPr>
          <w:rFonts w:asciiTheme="majorHAnsi" w:hAnsiTheme="majorHAnsi"/>
        </w:rPr>
        <w:t xml:space="preserve">. </w:t>
      </w:r>
      <w:r w:rsidR="00851E13">
        <w:rPr>
          <w:rFonts w:asciiTheme="majorHAnsi" w:hAnsiTheme="majorHAnsi"/>
        </w:rPr>
        <w:t xml:space="preserve">Previous </w:t>
      </w:r>
      <w:r>
        <w:rPr>
          <w:rFonts w:asciiTheme="majorHAnsi" w:hAnsiTheme="majorHAnsi"/>
        </w:rPr>
        <w:t xml:space="preserve">work within this thesis has shown that when </w:t>
      </w:r>
      <w:r w:rsidRPr="00155E27">
        <w:rPr>
          <w:rFonts w:asciiTheme="majorHAnsi" w:hAnsiTheme="majorHAnsi"/>
          <w:i/>
        </w:rPr>
        <w:t>SRCAP</w:t>
      </w:r>
      <w:r>
        <w:rPr>
          <w:rFonts w:asciiTheme="majorHAnsi" w:hAnsiTheme="majorHAnsi"/>
        </w:rPr>
        <w:t xml:space="preserve"> is depleted there is a significant decrease in cell growth over time</w:t>
      </w:r>
      <w:r w:rsidR="002C2E2A">
        <w:rPr>
          <w:rFonts w:asciiTheme="majorHAnsi" w:hAnsiTheme="majorHAnsi"/>
        </w:rPr>
        <w:t>; hence highlighting that knock</w:t>
      </w:r>
      <w:r>
        <w:rPr>
          <w:rFonts w:asciiTheme="majorHAnsi" w:hAnsiTheme="majorHAnsi"/>
        </w:rPr>
        <w:t xml:space="preserve">down of </w:t>
      </w:r>
      <w:r w:rsidRPr="00155E27">
        <w:rPr>
          <w:rFonts w:asciiTheme="majorHAnsi" w:hAnsiTheme="majorHAnsi"/>
          <w:i/>
        </w:rPr>
        <w:t>SRCAP</w:t>
      </w:r>
      <w:r>
        <w:rPr>
          <w:rFonts w:asciiTheme="majorHAnsi" w:hAnsiTheme="majorHAnsi"/>
        </w:rPr>
        <w:t xml:space="preserve"> does have some affect on cell growth. </w:t>
      </w:r>
    </w:p>
    <w:p w14:paraId="494659A4" w14:textId="611845F7" w:rsidR="007C58EA" w:rsidRDefault="00851E13" w:rsidP="007C58EA">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097536" behindDoc="0" locked="0" layoutInCell="1" allowOverlap="1" wp14:anchorId="227CCDD8" wp14:editId="16807D31">
                <wp:simplePos x="0" y="0"/>
                <wp:positionH relativeFrom="column">
                  <wp:posOffset>2514600</wp:posOffset>
                </wp:positionH>
                <wp:positionV relativeFrom="paragraph">
                  <wp:posOffset>167640</wp:posOffset>
                </wp:positionV>
                <wp:extent cx="457200" cy="457200"/>
                <wp:effectExtent l="0" t="0" r="0" b="0"/>
                <wp:wrapSquare wrapText="bothSides"/>
                <wp:docPr id="341" name="Text Box 341"/>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23D922" w14:textId="77777777" w:rsidR="00E82D3B" w:rsidRPr="003B5AC0" w:rsidRDefault="00E82D3B" w:rsidP="007C58EA">
                            <w:pPr>
                              <w:rPr>
                                <w:b/>
                              </w:rPr>
                            </w:pPr>
                            <w:proofErr w:type="gramStart"/>
                            <w:r>
                              <w:rPr>
                                <w:b/>
                              </w:rPr>
                              <w:t>b</w:t>
                            </w:r>
                            <w:proofErr w:type="gramEnd"/>
                            <w:r w:rsidRPr="003B5AC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1" o:spid="_x0000_s1184" type="#_x0000_t202" style="position:absolute;margin-left:198pt;margin-top:13.2pt;width:36pt;height:36pt;z-index:25209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" filled="f" stroked="f">
                <v:textbox>
                  <w:txbxContent>
                    <w:p w14:paraId="2823D922" w14:textId="77777777" w:rsidR="000A1E0D" w:rsidRPr="003B5AC0" w:rsidRDefault="000A1E0D" w:rsidP="007C58EA">
                      <w:pPr>
                        <w:rPr>
                          <w:b/>
                        </w:rPr>
                      </w:pPr>
                      <w:proofErr w:type="gramStart"/>
                      <w:r>
                        <w:rPr>
                          <w:b/>
                        </w:rPr>
                        <w:t>b</w:t>
                      </w:r>
                      <w:proofErr w:type="gramEnd"/>
                      <w:r w:rsidRPr="003B5AC0">
                        <w:rPr>
                          <w:b/>
                        </w:rPr>
                        <w:t>.)</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2096512" behindDoc="0" locked="0" layoutInCell="1" allowOverlap="1" wp14:anchorId="58ADD215" wp14:editId="7B41098A">
                <wp:simplePos x="0" y="0"/>
                <wp:positionH relativeFrom="column">
                  <wp:posOffset>-114300</wp:posOffset>
                </wp:positionH>
                <wp:positionV relativeFrom="paragraph">
                  <wp:posOffset>167640</wp:posOffset>
                </wp:positionV>
                <wp:extent cx="457200" cy="457200"/>
                <wp:effectExtent l="0" t="0" r="0" b="0"/>
                <wp:wrapSquare wrapText="bothSides"/>
                <wp:docPr id="342" name="Text Box 342"/>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B1F912" w14:textId="77777777" w:rsidR="00E82D3B" w:rsidRPr="003B5AC0" w:rsidRDefault="00E82D3B" w:rsidP="007C58EA">
                            <w:pPr>
                              <w:rPr>
                                <w:b/>
                              </w:rPr>
                            </w:pPr>
                            <w:proofErr w:type="gramStart"/>
                            <w:r w:rsidRPr="003B5AC0">
                              <w:rPr>
                                <w:b/>
                              </w:rPr>
                              <w:t>a</w:t>
                            </w:r>
                            <w:proofErr w:type="gramEnd"/>
                            <w:r w:rsidRPr="003B5AC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2" o:spid="_x0000_s1185" type="#_x0000_t202" style="position:absolute;margin-left:-8.95pt;margin-top:13.2pt;width:36pt;height:36pt;z-index:25209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e7VM8CAAAa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" filled="f" stroked="f">
                <v:textbox>
                  <w:txbxContent>
                    <w:p w14:paraId="79B1F912" w14:textId="77777777" w:rsidR="000A1E0D" w:rsidRPr="003B5AC0" w:rsidRDefault="000A1E0D" w:rsidP="007C58EA">
                      <w:pPr>
                        <w:rPr>
                          <w:b/>
                        </w:rPr>
                      </w:pPr>
                      <w:proofErr w:type="gramStart"/>
                      <w:r w:rsidRPr="003B5AC0">
                        <w:rPr>
                          <w:b/>
                        </w:rPr>
                        <w:t>a</w:t>
                      </w:r>
                      <w:proofErr w:type="gramEnd"/>
                      <w:r w:rsidRPr="003B5AC0">
                        <w:rPr>
                          <w:b/>
                        </w:rPr>
                        <w:t>.)</w:t>
                      </w:r>
                    </w:p>
                  </w:txbxContent>
                </v:textbox>
                <w10:wrap type="square"/>
              </v:shape>
            </w:pict>
          </mc:Fallback>
        </mc:AlternateContent>
      </w:r>
    </w:p>
    <w:tbl>
      <w:tblPr>
        <w:tblpPr w:leftFromText="180" w:rightFromText="180" w:vertAnchor="page" w:horzAnchor="page" w:tblpX="2289" w:tblpY="5941"/>
        <w:tblW w:w="3798" w:type="dxa"/>
        <w:tblCellMar>
          <w:left w:w="0" w:type="dxa"/>
          <w:right w:w="0" w:type="dxa"/>
        </w:tblCellMar>
        <w:tblLook w:val="0600" w:firstRow="0" w:lastRow="0" w:firstColumn="0" w:lastColumn="0" w:noHBand="1" w:noVBand="1"/>
      </w:tblPr>
      <w:tblGrid>
        <w:gridCol w:w="706"/>
        <w:gridCol w:w="552"/>
        <w:gridCol w:w="728"/>
        <w:gridCol w:w="552"/>
        <w:gridCol w:w="708"/>
        <w:gridCol w:w="552"/>
      </w:tblGrid>
      <w:tr w:rsidR="007C58EA" w:rsidRPr="003B5AC0" w14:paraId="0035B667" w14:textId="77777777" w:rsidTr="002C01B6">
        <w:trPr>
          <w:trHeight w:val="276"/>
        </w:trPr>
        <w:tc>
          <w:tcPr>
            <w:tcW w:w="1258"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2AE9CAD0"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1</w:t>
            </w:r>
          </w:p>
        </w:tc>
        <w:tc>
          <w:tcPr>
            <w:tcW w:w="1280"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6616460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2</w:t>
            </w:r>
          </w:p>
        </w:tc>
        <w:tc>
          <w:tcPr>
            <w:tcW w:w="1260"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7F8A85A3"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w:t>
            </w:r>
          </w:p>
        </w:tc>
      </w:tr>
      <w:tr w:rsidR="007C58EA" w:rsidRPr="003B5AC0" w14:paraId="65B01142"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27A34E6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Gene</w:t>
            </w:r>
          </w:p>
        </w:tc>
        <w:tc>
          <w:tcPr>
            <w:tcW w:w="552"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3F02CB9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Fold Change</w:t>
            </w:r>
          </w:p>
        </w:tc>
        <w:tc>
          <w:tcPr>
            <w:tcW w:w="728"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69491461"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Gene</w:t>
            </w:r>
          </w:p>
        </w:tc>
        <w:tc>
          <w:tcPr>
            <w:tcW w:w="552"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339FB3B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Fold Change</w:t>
            </w:r>
          </w:p>
        </w:tc>
        <w:tc>
          <w:tcPr>
            <w:tcW w:w="708"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10BF461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Gene</w:t>
            </w:r>
          </w:p>
        </w:tc>
        <w:tc>
          <w:tcPr>
            <w:tcW w:w="552"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14F0671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Fold Change</w:t>
            </w:r>
          </w:p>
        </w:tc>
      </w:tr>
      <w:tr w:rsidR="007C58EA" w:rsidRPr="003B5AC0" w14:paraId="63C2F9F7"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2E92EF63"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SLC2A3</w:t>
            </w:r>
          </w:p>
        </w:tc>
        <w:tc>
          <w:tcPr>
            <w:tcW w:w="552"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55F67DB5"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-7.79</w:t>
            </w:r>
          </w:p>
        </w:tc>
        <w:tc>
          <w:tcPr>
            <w:tcW w:w="728"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6C41734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KRTAP2-1</w:t>
            </w:r>
          </w:p>
        </w:tc>
        <w:tc>
          <w:tcPr>
            <w:tcW w:w="552"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25F1360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-11.59</w:t>
            </w:r>
          </w:p>
        </w:tc>
        <w:tc>
          <w:tcPr>
            <w:tcW w:w="708"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31B36BE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SLC2A3</w:t>
            </w:r>
          </w:p>
        </w:tc>
        <w:tc>
          <w:tcPr>
            <w:tcW w:w="552"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4B3FA5A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-11.82</w:t>
            </w:r>
          </w:p>
        </w:tc>
      </w:tr>
      <w:tr w:rsidR="007C58EA" w:rsidRPr="003B5AC0" w14:paraId="0FA33D8D"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49FC7410"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KRTAP2-1</w:t>
            </w:r>
          </w:p>
        </w:tc>
        <w:tc>
          <w:tcPr>
            <w:tcW w:w="552"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74FD62E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-6.73</w:t>
            </w:r>
          </w:p>
        </w:tc>
        <w:tc>
          <w:tcPr>
            <w:tcW w:w="728" w:type="dxa"/>
            <w:tcBorders>
              <w:top w:val="single" w:sz="4" w:space="0" w:color="000000"/>
              <w:left w:val="single" w:sz="4" w:space="0" w:color="000000"/>
              <w:bottom w:val="single" w:sz="4" w:space="0" w:color="000000"/>
              <w:right w:val="single" w:sz="4" w:space="0" w:color="000000"/>
            </w:tcBorders>
            <w:shd w:val="clear" w:color="auto" w:fill="F2DCDB"/>
            <w:tcMar>
              <w:top w:w="20" w:type="dxa"/>
              <w:left w:w="20" w:type="dxa"/>
              <w:bottom w:w="0" w:type="dxa"/>
              <w:right w:w="20" w:type="dxa"/>
            </w:tcMar>
            <w:vAlign w:val="bottom"/>
            <w:hideMark/>
          </w:tcPr>
          <w:p w14:paraId="37C810A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KRTAP2-2</w:t>
            </w:r>
          </w:p>
        </w:tc>
        <w:tc>
          <w:tcPr>
            <w:tcW w:w="552" w:type="dxa"/>
            <w:tcBorders>
              <w:top w:val="single" w:sz="4" w:space="0" w:color="000000"/>
              <w:left w:val="single" w:sz="4" w:space="0" w:color="000000"/>
              <w:bottom w:val="single" w:sz="4" w:space="0" w:color="000000"/>
              <w:right w:val="single" w:sz="4" w:space="0" w:color="000000"/>
            </w:tcBorders>
            <w:shd w:val="clear" w:color="auto" w:fill="F2DCDB"/>
            <w:tcMar>
              <w:top w:w="20" w:type="dxa"/>
              <w:left w:w="20" w:type="dxa"/>
              <w:bottom w:w="0" w:type="dxa"/>
              <w:right w:w="20" w:type="dxa"/>
            </w:tcMar>
            <w:vAlign w:val="bottom"/>
            <w:hideMark/>
          </w:tcPr>
          <w:p w14:paraId="1132F317"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-10.21</w:t>
            </w:r>
          </w:p>
        </w:tc>
        <w:tc>
          <w:tcPr>
            <w:tcW w:w="708"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6AA483D5"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KRTAP2-3</w:t>
            </w:r>
          </w:p>
        </w:tc>
        <w:tc>
          <w:tcPr>
            <w:tcW w:w="552"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4462715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-7.69</w:t>
            </w:r>
          </w:p>
        </w:tc>
      </w:tr>
      <w:tr w:rsidR="007C58EA" w:rsidRPr="003B5AC0" w14:paraId="1B8326A2"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047CF203"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KRTAP2-3</w:t>
            </w:r>
          </w:p>
        </w:tc>
        <w:tc>
          <w:tcPr>
            <w:tcW w:w="552"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485D21E0"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-5.27</w:t>
            </w:r>
          </w:p>
        </w:tc>
        <w:tc>
          <w:tcPr>
            <w:tcW w:w="728"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37E95E7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KRTAP2-3</w:t>
            </w:r>
          </w:p>
        </w:tc>
        <w:tc>
          <w:tcPr>
            <w:tcW w:w="552" w:type="dxa"/>
            <w:tcBorders>
              <w:top w:val="single" w:sz="4" w:space="0" w:color="000000"/>
              <w:left w:val="single" w:sz="4" w:space="0" w:color="000000"/>
              <w:bottom w:val="single" w:sz="4" w:space="0" w:color="000000"/>
              <w:right w:val="single" w:sz="4" w:space="0" w:color="000000"/>
            </w:tcBorders>
            <w:shd w:val="clear" w:color="auto" w:fill="DDD9C4"/>
            <w:tcMar>
              <w:top w:w="20" w:type="dxa"/>
              <w:left w:w="20" w:type="dxa"/>
              <w:bottom w:w="0" w:type="dxa"/>
              <w:right w:w="20" w:type="dxa"/>
            </w:tcMar>
            <w:vAlign w:val="bottom"/>
            <w:hideMark/>
          </w:tcPr>
          <w:p w14:paraId="0EDA287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-9.36</w:t>
            </w:r>
          </w:p>
        </w:tc>
        <w:tc>
          <w:tcPr>
            <w:tcW w:w="708" w:type="dxa"/>
            <w:tcBorders>
              <w:top w:val="single" w:sz="4" w:space="0" w:color="000000"/>
              <w:left w:val="single" w:sz="4" w:space="0" w:color="000000"/>
              <w:bottom w:val="single" w:sz="4" w:space="0" w:color="000000"/>
              <w:right w:val="single" w:sz="4" w:space="0" w:color="000000"/>
            </w:tcBorders>
            <w:shd w:val="clear" w:color="auto" w:fill="DA9694"/>
            <w:tcMar>
              <w:top w:w="20" w:type="dxa"/>
              <w:left w:w="20" w:type="dxa"/>
              <w:bottom w:w="0" w:type="dxa"/>
              <w:right w:w="20" w:type="dxa"/>
            </w:tcMar>
            <w:vAlign w:val="bottom"/>
            <w:hideMark/>
          </w:tcPr>
          <w:p w14:paraId="624F3545"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SLC2A14</w:t>
            </w:r>
          </w:p>
        </w:tc>
        <w:tc>
          <w:tcPr>
            <w:tcW w:w="552" w:type="dxa"/>
            <w:tcBorders>
              <w:top w:val="single" w:sz="4" w:space="0" w:color="000000"/>
              <w:left w:val="single" w:sz="4" w:space="0" w:color="000000"/>
              <w:bottom w:val="single" w:sz="4" w:space="0" w:color="000000"/>
              <w:right w:val="single" w:sz="4" w:space="0" w:color="000000"/>
            </w:tcBorders>
            <w:shd w:val="clear" w:color="auto" w:fill="DA9694"/>
            <w:tcMar>
              <w:top w:w="20" w:type="dxa"/>
              <w:left w:w="20" w:type="dxa"/>
              <w:bottom w:w="0" w:type="dxa"/>
              <w:right w:w="20" w:type="dxa"/>
            </w:tcMar>
            <w:vAlign w:val="bottom"/>
            <w:hideMark/>
          </w:tcPr>
          <w:p w14:paraId="13BB8251"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-6.5</w:t>
            </w:r>
          </w:p>
        </w:tc>
      </w:tr>
      <w:tr w:rsidR="007C58EA" w:rsidRPr="003B5AC0" w14:paraId="0829BD0F"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116DDA17"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KRTAP3-1</w:t>
            </w:r>
          </w:p>
        </w:tc>
        <w:tc>
          <w:tcPr>
            <w:tcW w:w="552"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3E54518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-5.16</w:t>
            </w:r>
          </w:p>
        </w:tc>
        <w:tc>
          <w:tcPr>
            <w:tcW w:w="728"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43C8E2E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SLC2A3</w:t>
            </w:r>
          </w:p>
        </w:tc>
        <w:tc>
          <w:tcPr>
            <w:tcW w:w="552" w:type="dxa"/>
            <w:tcBorders>
              <w:top w:val="single" w:sz="4" w:space="0" w:color="000000"/>
              <w:left w:val="single" w:sz="4" w:space="0" w:color="000000"/>
              <w:bottom w:val="single" w:sz="4" w:space="0" w:color="000000"/>
              <w:right w:val="single" w:sz="4" w:space="0" w:color="000000"/>
            </w:tcBorders>
            <w:shd w:val="clear" w:color="auto" w:fill="EBF1DE"/>
            <w:tcMar>
              <w:top w:w="20" w:type="dxa"/>
              <w:left w:w="20" w:type="dxa"/>
              <w:bottom w:w="0" w:type="dxa"/>
              <w:right w:w="20" w:type="dxa"/>
            </w:tcMar>
            <w:vAlign w:val="bottom"/>
            <w:hideMark/>
          </w:tcPr>
          <w:p w14:paraId="0CB6054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-8.99</w:t>
            </w:r>
          </w:p>
        </w:tc>
        <w:tc>
          <w:tcPr>
            <w:tcW w:w="708" w:type="dxa"/>
            <w:tcBorders>
              <w:top w:val="single" w:sz="4" w:space="0" w:color="000000"/>
              <w:left w:val="single" w:sz="4" w:space="0" w:color="000000"/>
              <w:bottom w:val="single" w:sz="4" w:space="0" w:color="000000"/>
              <w:right w:val="single" w:sz="4" w:space="0" w:color="000000"/>
            </w:tcBorders>
            <w:shd w:val="clear" w:color="auto" w:fill="D9D9D9"/>
            <w:tcMar>
              <w:top w:w="20" w:type="dxa"/>
              <w:left w:w="20" w:type="dxa"/>
              <w:bottom w:w="0" w:type="dxa"/>
              <w:right w:w="20" w:type="dxa"/>
            </w:tcMar>
            <w:vAlign w:val="bottom"/>
            <w:hideMark/>
          </w:tcPr>
          <w:p w14:paraId="3DF609B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MSX1</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Mar>
              <w:top w:w="20" w:type="dxa"/>
              <w:left w:w="20" w:type="dxa"/>
              <w:bottom w:w="0" w:type="dxa"/>
              <w:right w:w="20" w:type="dxa"/>
            </w:tcMar>
            <w:vAlign w:val="bottom"/>
            <w:hideMark/>
          </w:tcPr>
          <w:p w14:paraId="22E00B9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-6.32</w:t>
            </w:r>
          </w:p>
        </w:tc>
      </w:tr>
      <w:tr w:rsidR="007C58EA" w:rsidRPr="003B5AC0" w14:paraId="44F16741"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F2DCDB"/>
            <w:tcMar>
              <w:top w:w="20" w:type="dxa"/>
              <w:left w:w="20" w:type="dxa"/>
              <w:bottom w:w="0" w:type="dxa"/>
              <w:right w:w="20" w:type="dxa"/>
            </w:tcMar>
            <w:vAlign w:val="bottom"/>
            <w:hideMark/>
          </w:tcPr>
          <w:p w14:paraId="44469F1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KRTAP2-2</w:t>
            </w:r>
          </w:p>
        </w:tc>
        <w:tc>
          <w:tcPr>
            <w:tcW w:w="552" w:type="dxa"/>
            <w:tcBorders>
              <w:top w:val="single" w:sz="4" w:space="0" w:color="000000"/>
              <w:left w:val="single" w:sz="4" w:space="0" w:color="000000"/>
              <w:bottom w:val="single" w:sz="4" w:space="0" w:color="000000"/>
              <w:right w:val="single" w:sz="4" w:space="0" w:color="000000"/>
            </w:tcBorders>
            <w:shd w:val="clear" w:color="auto" w:fill="F2DCDB"/>
            <w:tcMar>
              <w:top w:w="20" w:type="dxa"/>
              <w:left w:w="20" w:type="dxa"/>
              <w:bottom w:w="0" w:type="dxa"/>
              <w:right w:w="20" w:type="dxa"/>
            </w:tcMar>
            <w:vAlign w:val="bottom"/>
            <w:hideMark/>
          </w:tcPr>
          <w:p w14:paraId="64515F5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-5.16</w:t>
            </w:r>
          </w:p>
        </w:tc>
        <w:tc>
          <w:tcPr>
            <w:tcW w:w="728" w:type="dxa"/>
            <w:tcBorders>
              <w:top w:val="single" w:sz="4" w:space="0" w:color="000000"/>
              <w:left w:val="single" w:sz="4" w:space="0" w:color="000000"/>
              <w:bottom w:val="single" w:sz="4" w:space="0" w:color="000000"/>
              <w:right w:val="single" w:sz="4" w:space="0" w:color="000000"/>
            </w:tcBorders>
            <w:shd w:val="clear" w:color="auto" w:fill="D9D9D9"/>
            <w:tcMar>
              <w:top w:w="20" w:type="dxa"/>
              <w:left w:w="20" w:type="dxa"/>
              <w:bottom w:w="0" w:type="dxa"/>
              <w:right w:w="20" w:type="dxa"/>
            </w:tcMar>
            <w:vAlign w:val="bottom"/>
            <w:hideMark/>
          </w:tcPr>
          <w:p w14:paraId="20C3525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MSX1</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Mar>
              <w:top w:w="20" w:type="dxa"/>
              <w:left w:w="20" w:type="dxa"/>
              <w:bottom w:w="0" w:type="dxa"/>
              <w:right w:w="20" w:type="dxa"/>
            </w:tcMar>
            <w:vAlign w:val="bottom"/>
            <w:hideMark/>
          </w:tcPr>
          <w:p w14:paraId="003B97C0"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-5.98</w:t>
            </w:r>
          </w:p>
        </w:tc>
        <w:tc>
          <w:tcPr>
            <w:tcW w:w="708"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09394BB0"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KRTAP3-1</w:t>
            </w:r>
          </w:p>
        </w:tc>
        <w:tc>
          <w:tcPr>
            <w:tcW w:w="552"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7619557C"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-6.25</w:t>
            </w:r>
          </w:p>
        </w:tc>
      </w:tr>
      <w:tr w:rsidR="007C58EA" w:rsidRPr="003B5AC0" w14:paraId="01070748"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7C1304D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FGFBP1</w:t>
            </w:r>
          </w:p>
        </w:tc>
        <w:tc>
          <w:tcPr>
            <w:tcW w:w="552"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00ADE9A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-4.77</w:t>
            </w:r>
          </w:p>
        </w:tc>
        <w:tc>
          <w:tcPr>
            <w:tcW w:w="728"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2AEA5A9B"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FGFBP1</w:t>
            </w:r>
          </w:p>
        </w:tc>
        <w:tc>
          <w:tcPr>
            <w:tcW w:w="552"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7BA2AE1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-5.76</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AFDC67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ITGB8</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4B4A411"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-5.8</w:t>
            </w:r>
          </w:p>
        </w:tc>
      </w:tr>
      <w:tr w:rsidR="007C58EA" w:rsidRPr="003B5AC0" w14:paraId="7BCBCC8F"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D9D9D9"/>
            <w:tcMar>
              <w:top w:w="20" w:type="dxa"/>
              <w:left w:w="20" w:type="dxa"/>
              <w:bottom w:w="0" w:type="dxa"/>
              <w:right w:w="20" w:type="dxa"/>
            </w:tcMar>
            <w:vAlign w:val="bottom"/>
            <w:hideMark/>
          </w:tcPr>
          <w:p w14:paraId="05AF063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MSX1</w:t>
            </w:r>
          </w:p>
        </w:tc>
        <w:tc>
          <w:tcPr>
            <w:tcW w:w="552" w:type="dxa"/>
            <w:tcBorders>
              <w:top w:val="single" w:sz="4" w:space="0" w:color="000000"/>
              <w:left w:val="single" w:sz="4" w:space="0" w:color="000000"/>
              <w:bottom w:val="single" w:sz="4" w:space="0" w:color="000000"/>
              <w:right w:val="single" w:sz="4" w:space="0" w:color="000000"/>
            </w:tcBorders>
            <w:shd w:val="clear" w:color="auto" w:fill="D9D9D9"/>
            <w:tcMar>
              <w:top w:w="20" w:type="dxa"/>
              <w:left w:w="20" w:type="dxa"/>
              <w:bottom w:w="0" w:type="dxa"/>
              <w:right w:w="20" w:type="dxa"/>
            </w:tcMar>
            <w:vAlign w:val="bottom"/>
            <w:hideMark/>
          </w:tcPr>
          <w:p w14:paraId="268F04A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-4.56</w:t>
            </w:r>
          </w:p>
        </w:tc>
        <w:tc>
          <w:tcPr>
            <w:tcW w:w="728"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57B2BD10"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KRTAP3-1</w:t>
            </w:r>
          </w:p>
        </w:tc>
        <w:tc>
          <w:tcPr>
            <w:tcW w:w="552" w:type="dxa"/>
            <w:tcBorders>
              <w:top w:val="single" w:sz="4" w:space="0" w:color="000000"/>
              <w:left w:val="single" w:sz="4" w:space="0" w:color="000000"/>
              <w:bottom w:val="single" w:sz="4" w:space="0" w:color="000000"/>
              <w:right w:val="single" w:sz="4" w:space="0" w:color="000000"/>
            </w:tcBorders>
            <w:shd w:val="clear" w:color="auto" w:fill="E4DFEC"/>
            <w:tcMar>
              <w:top w:w="20" w:type="dxa"/>
              <w:left w:w="20" w:type="dxa"/>
              <w:bottom w:w="0" w:type="dxa"/>
              <w:right w:w="20" w:type="dxa"/>
            </w:tcMar>
            <w:vAlign w:val="bottom"/>
            <w:hideMark/>
          </w:tcPr>
          <w:p w14:paraId="7F0BFE6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A2C2AB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TGFBR3</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B703C7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-5.46</w:t>
            </w:r>
          </w:p>
        </w:tc>
      </w:tr>
      <w:tr w:rsidR="007C58EA" w:rsidRPr="003B5AC0" w14:paraId="6D7AE4E1"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473806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ITGB8</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E121CB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-4.34</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7E4EA9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PTAFR</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40815E5"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-4.76</w:t>
            </w:r>
          </w:p>
        </w:tc>
        <w:tc>
          <w:tcPr>
            <w:tcW w:w="708"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353CBBC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FGFBP1</w:t>
            </w:r>
          </w:p>
        </w:tc>
        <w:tc>
          <w:tcPr>
            <w:tcW w:w="552" w:type="dxa"/>
            <w:tcBorders>
              <w:top w:val="single" w:sz="4" w:space="0" w:color="000000"/>
              <w:left w:val="single" w:sz="4" w:space="0" w:color="000000"/>
              <w:bottom w:val="single" w:sz="4" w:space="0" w:color="000000"/>
              <w:right w:val="single" w:sz="4" w:space="0" w:color="000000"/>
            </w:tcBorders>
            <w:shd w:val="clear" w:color="auto" w:fill="FDE9D9"/>
            <w:tcMar>
              <w:top w:w="20" w:type="dxa"/>
              <w:left w:w="20" w:type="dxa"/>
              <w:bottom w:w="0" w:type="dxa"/>
              <w:right w:w="20" w:type="dxa"/>
            </w:tcMar>
            <w:vAlign w:val="bottom"/>
            <w:hideMark/>
          </w:tcPr>
          <w:p w14:paraId="75FC5CA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-5.06</w:t>
            </w:r>
          </w:p>
        </w:tc>
      </w:tr>
      <w:tr w:rsidR="007C58EA" w:rsidRPr="003B5AC0" w14:paraId="3B60A453"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EAB7BC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PLK2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3B78A3C"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-3.95</w:t>
            </w:r>
          </w:p>
        </w:tc>
        <w:tc>
          <w:tcPr>
            <w:tcW w:w="728" w:type="dxa"/>
            <w:tcBorders>
              <w:top w:val="single" w:sz="4" w:space="0" w:color="000000"/>
              <w:left w:val="single" w:sz="4" w:space="0" w:color="000000"/>
              <w:bottom w:val="single" w:sz="4" w:space="0" w:color="000000"/>
              <w:right w:val="single" w:sz="4" w:space="0" w:color="000000"/>
            </w:tcBorders>
            <w:shd w:val="clear" w:color="auto" w:fill="B1A0C7"/>
            <w:tcMar>
              <w:top w:w="20" w:type="dxa"/>
              <w:left w:w="20" w:type="dxa"/>
              <w:bottom w:w="0" w:type="dxa"/>
              <w:right w:w="20" w:type="dxa"/>
            </w:tcMar>
            <w:vAlign w:val="bottom"/>
            <w:hideMark/>
          </w:tcPr>
          <w:p w14:paraId="233EE19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GPR3</w:t>
            </w:r>
          </w:p>
        </w:tc>
        <w:tc>
          <w:tcPr>
            <w:tcW w:w="552" w:type="dxa"/>
            <w:tcBorders>
              <w:top w:val="single" w:sz="4" w:space="0" w:color="000000"/>
              <w:left w:val="single" w:sz="4" w:space="0" w:color="000000"/>
              <w:bottom w:val="single" w:sz="4" w:space="0" w:color="000000"/>
              <w:right w:val="single" w:sz="4" w:space="0" w:color="000000"/>
            </w:tcBorders>
            <w:shd w:val="clear" w:color="auto" w:fill="B1A0C7"/>
            <w:tcMar>
              <w:top w:w="20" w:type="dxa"/>
              <w:left w:w="20" w:type="dxa"/>
              <w:bottom w:w="0" w:type="dxa"/>
              <w:right w:w="20" w:type="dxa"/>
            </w:tcMar>
            <w:vAlign w:val="bottom"/>
            <w:hideMark/>
          </w:tcPr>
          <w:p w14:paraId="3E60FD67"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-4.58</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9E61DF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PNRC1</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C17E2B1"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-4.89</w:t>
            </w:r>
          </w:p>
        </w:tc>
      </w:tr>
      <w:tr w:rsidR="007C58EA" w:rsidRPr="003B5AC0" w14:paraId="5E2E1A60"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58CE01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AP1M1</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87DA75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-3.82</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788F43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SESN1</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C0EC73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-4.57</w:t>
            </w:r>
          </w:p>
        </w:tc>
        <w:tc>
          <w:tcPr>
            <w:tcW w:w="708" w:type="dxa"/>
            <w:tcBorders>
              <w:top w:val="single" w:sz="4" w:space="0" w:color="000000"/>
              <w:left w:val="single" w:sz="4" w:space="0" w:color="000000"/>
              <w:bottom w:val="single" w:sz="4" w:space="0" w:color="000000"/>
              <w:right w:val="single" w:sz="4" w:space="0" w:color="000000"/>
            </w:tcBorders>
            <w:shd w:val="clear" w:color="auto" w:fill="B1A0C7"/>
            <w:tcMar>
              <w:top w:w="20" w:type="dxa"/>
              <w:left w:w="20" w:type="dxa"/>
              <w:bottom w:w="0" w:type="dxa"/>
              <w:right w:w="20" w:type="dxa"/>
            </w:tcMar>
            <w:vAlign w:val="bottom"/>
            <w:hideMark/>
          </w:tcPr>
          <w:p w14:paraId="1DFE4B6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GPR3</w:t>
            </w:r>
          </w:p>
        </w:tc>
        <w:tc>
          <w:tcPr>
            <w:tcW w:w="552" w:type="dxa"/>
            <w:tcBorders>
              <w:top w:val="single" w:sz="4" w:space="0" w:color="000000"/>
              <w:left w:val="single" w:sz="4" w:space="0" w:color="000000"/>
              <w:bottom w:val="single" w:sz="4" w:space="0" w:color="000000"/>
              <w:right w:val="single" w:sz="4" w:space="0" w:color="000000"/>
            </w:tcBorders>
            <w:shd w:val="clear" w:color="auto" w:fill="B1A0C7"/>
            <w:tcMar>
              <w:top w:w="20" w:type="dxa"/>
              <w:left w:w="20" w:type="dxa"/>
              <w:bottom w:w="0" w:type="dxa"/>
              <w:right w:w="20" w:type="dxa"/>
            </w:tcMar>
            <w:vAlign w:val="bottom"/>
            <w:hideMark/>
          </w:tcPr>
          <w:p w14:paraId="3F9F528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-4.72</w:t>
            </w:r>
          </w:p>
        </w:tc>
      </w:tr>
      <w:tr w:rsidR="007C58EA" w:rsidRPr="003B5AC0" w14:paraId="2D1988E4"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9B6AF17"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KRAS</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067D381"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-3.71</w:t>
            </w:r>
          </w:p>
        </w:tc>
        <w:tc>
          <w:tcPr>
            <w:tcW w:w="728" w:type="dxa"/>
            <w:tcBorders>
              <w:top w:val="single" w:sz="4" w:space="0" w:color="000000"/>
              <w:left w:val="single" w:sz="4" w:space="0" w:color="000000"/>
              <w:bottom w:val="single" w:sz="4" w:space="0" w:color="000000"/>
              <w:right w:val="single" w:sz="4" w:space="0" w:color="000000"/>
            </w:tcBorders>
            <w:shd w:val="clear" w:color="auto" w:fill="DA9694"/>
            <w:tcMar>
              <w:top w:w="20" w:type="dxa"/>
              <w:left w:w="20" w:type="dxa"/>
              <w:bottom w:w="0" w:type="dxa"/>
              <w:right w:w="20" w:type="dxa"/>
            </w:tcMar>
            <w:vAlign w:val="bottom"/>
            <w:hideMark/>
          </w:tcPr>
          <w:p w14:paraId="0A29E70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SLC2A14</w:t>
            </w:r>
          </w:p>
        </w:tc>
        <w:tc>
          <w:tcPr>
            <w:tcW w:w="552" w:type="dxa"/>
            <w:tcBorders>
              <w:top w:val="single" w:sz="4" w:space="0" w:color="000000"/>
              <w:left w:val="single" w:sz="4" w:space="0" w:color="000000"/>
              <w:bottom w:val="single" w:sz="4" w:space="0" w:color="000000"/>
              <w:right w:val="single" w:sz="4" w:space="0" w:color="000000"/>
            </w:tcBorders>
            <w:shd w:val="clear" w:color="auto" w:fill="DA9694"/>
            <w:tcMar>
              <w:top w:w="20" w:type="dxa"/>
              <w:left w:w="20" w:type="dxa"/>
              <w:bottom w:w="0" w:type="dxa"/>
              <w:right w:w="20" w:type="dxa"/>
            </w:tcMar>
            <w:vAlign w:val="bottom"/>
            <w:hideMark/>
          </w:tcPr>
          <w:p w14:paraId="04902E31"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-4.55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A48C7F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SERTAD1</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52B66F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-4.72</w:t>
            </w:r>
          </w:p>
        </w:tc>
      </w:tr>
      <w:tr w:rsidR="007C58EA" w:rsidRPr="003B5AC0" w14:paraId="11D72EC5"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DA9694"/>
            <w:tcMar>
              <w:top w:w="20" w:type="dxa"/>
              <w:left w:w="20" w:type="dxa"/>
              <w:bottom w:w="0" w:type="dxa"/>
              <w:right w:w="20" w:type="dxa"/>
            </w:tcMar>
            <w:vAlign w:val="bottom"/>
            <w:hideMark/>
          </w:tcPr>
          <w:p w14:paraId="47A55C0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SLC2A14</w:t>
            </w:r>
          </w:p>
        </w:tc>
        <w:tc>
          <w:tcPr>
            <w:tcW w:w="552" w:type="dxa"/>
            <w:tcBorders>
              <w:top w:val="single" w:sz="4" w:space="0" w:color="000000"/>
              <w:left w:val="single" w:sz="4" w:space="0" w:color="000000"/>
              <w:bottom w:val="single" w:sz="4" w:space="0" w:color="000000"/>
              <w:right w:val="single" w:sz="4" w:space="0" w:color="000000"/>
            </w:tcBorders>
            <w:shd w:val="clear" w:color="auto" w:fill="DA9694"/>
            <w:tcMar>
              <w:top w:w="20" w:type="dxa"/>
              <w:left w:w="20" w:type="dxa"/>
              <w:bottom w:w="0" w:type="dxa"/>
              <w:right w:w="20" w:type="dxa"/>
            </w:tcMar>
            <w:vAlign w:val="bottom"/>
            <w:hideMark/>
          </w:tcPr>
          <w:p w14:paraId="2DC88A81"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-3.71</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1764A6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CDKN1A</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21165E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-4.44</w:t>
            </w:r>
          </w:p>
        </w:tc>
        <w:tc>
          <w:tcPr>
            <w:tcW w:w="708"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60800F63"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KRTAP2-1</w:t>
            </w:r>
          </w:p>
        </w:tc>
        <w:tc>
          <w:tcPr>
            <w:tcW w:w="552" w:type="dxa"/>
            <w:tcBorders>
              <w:top w:val="single" w:sz="4" w:space="0" w:color="000000"/>
              <w:left w:val="single" w:sz="4" w:space="0" w:color="000000"/>
              <w:bottom w:val="single" w:sz="4" w:space="0" w:color="000000"/>
              <w:right w:val="single" w:sz="4" w:space="0" w:color="000000"/>
            </w:tcBorders>
            <w:shd w:val="clear" w:color="auto" w:fill="C5D9F1"/>
            <w:tcMar>
              <w:top w:w="20" w:type="dxa"/>
              <w:left w:w="20" w:type="dxa"/>
              <w:bottom w:w="0" w:type="dxa"/>
              <w:right w:w="20" w:type="dxa"/>
            </w:tcMar>
            <w:vAlign w:val="bottom"/>
            <w:hideMark/>
          </w:tcPr>
          <w:p w14:paraId="2BDB299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-4.61</w:t>
            </w:r>
          </w:p>
        </w:tc>
      </w:tr>
      <w:tr w:rsidR="007C58EA" w:rsidRPr="003B5AC0" w14:paraId="2E78EE2B"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729F5C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MUC12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FC6FF07"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-3.68</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03295AC"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CEACAM1</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FA4B123"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-4.44</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C2C7AC3"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CDKN1A</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16E45C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-4.57</w:t>
            </w:r>
          </w:p>
        </w:tc>
      </w:tr>
      <w:tr w:rsidR="007C58EA" w:rsidRPr="003B5AC0" w14:paraId="49D24032"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B1A0C7"/>
            <w:tcMar>
              <w:top w:w="20" w:type="dxa"/>
              <w:left w:w="20" w:type="dxa"/>
              <w:bottom w:w="0" w:type="dxa"/>
              <w:right w:w="20" w:type="dxa"/>
            </w:tcMar>
            <w:vAlign w:val="bottom"/>
            <w:hideMark/>
          </w:tcPr>
          <w:p w14:paraId="7055A4AF"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GPR3</w:t>
            </w:r>
          </w:p>
        </w:tc>
        <w:tc>
          <w:tcPr>
            <w:tcW w:w="552" w:type="dxa"/>
            <w:tcBorders>
              <w:top w:val="single" w:sz="4" w:space="0" w:color="000000"/>
              <w:left w:val="single" w:sz="4" w:space="0" w:color="000000"/>
              <w:bottom w:val="single" w:sz="4" w:space="0" w:color="000000"/>
              <w:right w:val="single" w:sz="4" w:space="0" w:color="000000"/>
            </w:tcBorders>
            <w:shd w:val="clear" w:color="auto" w:fill="B1A0C7"/>
            <w:tcMar>
              <w:top w:w="20" w:type="dxa"/>
              <w:left w:w="20" w:type="dxa"/>
              <w:bottom w:w="0" w:type="dxa"/>
              <w:right w:w="20" w:type="dxa"/>
            </w:tcMar>
            <w:vAlign w:val="bottom"/>
            <w:hideMark/>
          </w:tcPr>
          <w:p w14:paraId="209BCF3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-3.64</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468BAA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HMG20A</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0CDA4C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-4.27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C37801F"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ACER2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83AFB9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-4.38</w:t>
            </w:r>
          </w:p>
        </w:tc>
      </w:tr>
      <w:tr w:rsidR="007C58EA" w:rsidRPr="003B5AC0" w14:paraId="5DA83D0A"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1F5996E"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TP53INP1</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60BCD93"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-3.64</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DDA7E9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F3</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236EF7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-4.15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08DCA9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SESN1</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AA2411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-4.31</w:t>
            </w:r>
          </w:p>
        </w:tc>
      </w:tr>
      <w:tr w:rsidR="007C58EA" w:rsidRPr="003B5AC0" w14:paraId="0E319977"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A3A841F"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SEMA6A</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1EB6AC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-3.57</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F6C6C7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PLK2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D8A346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-4.12</w:t>
            </w:r>
          </w:p>
        </w:tc>
        <w:tc>
          <w:tcPr>
            <w:tcW w:w="708" w:type="dxa"/>
            <w:tcBorders>
              <w:top w:val="single" w:sz="4" w:space="0" w:color="000000"/>
              <w:left w:val="single" w:sz="4" w:space="0" w:color="000000"/>
              <w:bottom w:val="single" w:sz="4" w:space="0" w:color="000000"/>
              <w:right w:val="single" w:sz="4" w:space="0" w:color="000000"/>
            </w:tcBorders>
            <w:shd w:val="clear" w:color="auto" w:fill="F2DCDB"/>
            <w:tcMar>
              <w:top w:w="20" w:type="dxa"/>
              <w:left w:w="20" w:type="dxa"/>
              <w:bottom w:w="0" w:type="dxa"/>
              <w:right w:w="20" w:type="dxa"/>
            </w:tcMar>
            <w:vAlign w:val="bottom"/>
            <w:hideMark/>
          </w:tcPr>
          <w:p w14:paraId="0A0A049B"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KRTAP2-2</w:t>
            </w:r>
          </w:p>
        </w:tc>
        <w:tc>
          <w:tcPr>
            <w:tcW w:w="552" w:type="dxa"/>
            <w:tcBorders>
              <w:top w:val="single" w:sz="4" w:space="0" w:color="000000"/>
              <w:left w:val="single" w:sz="4" w:space="0" w:color="000000"/>
              <w:bottom w:val="single" w:sz="4" w:space="0" w:color="000000"/>
              <w:right w:val="single" w:sz="4" w:space="0" w:color="000000"/>
            </w:tcBorders>
            <w:shd w:val="clear" w:color="auto" w:fill="F2DCDB"/>
            <w:tcMar>
              <w:top w:w="20" w:type="dxa"/>
              <w:left w:w="20" w:type="dxa"/>
              <w:bottom w:w="0" w:type="dxa"/>
              <w:right w:w="20" w:type="dxa"/>
            </w:tcMar>
            <w:vAlign w:val="bottom"/>
            <w:hideMark/>
          </w:tcPr>
          <w:p w14:paraId="3D5F5AF7"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-4.25</w:t>
            </w:r>
          </w:p>
        </w:tc>
      </w:tr>
      <w:tr w:rsidR="007C58EA" w:rsidRPr="003B5AC0" w14:paraId="2E69EBFA"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FD914A4"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BAMBI</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5F9AA1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-3.52</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5FE743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C12orf76</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DBD4F9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-3.82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2A396D1"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ABCA12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8DDC20B"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-3.98</w:t>
            </w:r>
          </w:p>
        </w:tc>
      </w:tr>
      <w:tr w:rsidR="007C58EA" w:rsidRPr="003B5AC0" w14:paraId="4F66BF30"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08E9057"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ZNF217</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8442E1F"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-3.51</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AAA5745"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FAM43A</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3E2BD2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-3.81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C7F0E6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KRTAP2-4</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159719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-3.96</w:t>
            </w:r>
          </w:p>
        </w:tc>
      </w:tr>
      <w:tr w:rsidR="007C58EA" w:rsidRPr="003B5AC0" w14:paraId="79B910AC"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3C1636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ACTA2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D0F9E3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-3.49</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B35937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KRTAP2-4</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1676D96"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-3.8</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7E3EB3D"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SERPINB5</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DC42B2C"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-3.81</w:t>
            </w:r>
          </w:p>
        </w:tc>
      </w:tr>
      <w:tr w:rsidR="007C58EA" w:rsidRPr="003B5AC0" w14:paraId="10B051DF" w14:textId="77777777" w:rsidTr="002C01B6">
        <w:trPr>
          <w:trHeight w:val="276"/>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BC18095"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ANK1</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96EB5C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-3.47</w:t>
            </w:r>
          </w:p>
        </w:tc>
        <w:tc>
          <w:tcPr>
            <w:tcW w:w="72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73FC752"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CCDC92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4CE4139"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-3.75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7A8F688"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SCG2</w:t>
            </w:r>
          </w:p>
        </w:tc>
        <w:tc>
          <w:tcPr>
            <w:tcW w:w="55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8069C8A" w14:textId="77777777" w:rsidR="007C58EA" w:rsidRPr="003B5AC0" w:rsidRDefault="007C58EA" w:rsidP="002C01B6">
            <w:pPr>
              <w:jc w:val="center"/>
              <w:rPr>
                <w:rFonts w:asciiTheme="majorHAnsi" w:hAnsiTheme="majorHAnsi"/>
                <w:sz w:val="16"/>
                <w:szCs w:val="16"/>
              </w:rPr>
            </w:pPr>
            <w:r w:rsidRPr="003B5AC0">
              <w:rPr>
                <w:rFonts w:asciiTheme="majorHAnsi" w:hAnsiTheme="majorHAnsi"/>
                <w:sz w:val="16"/>
                <w:szCs w:val="16"/>
                <w:lang w:val="en-US"/>
              </w:rPr>
              <w:t>-3.8</w:t>
            </w:r>
          </w:p>
        </w:tc>
      </w:tr>
    </w:tbl>
    <w:p w14:paraId="57419587" w14:textId="0F7A2643" w:rsidR="007C58EA" w:rsidRDefault="00851E13" w:rsidP="007C58EA">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099584" behindDoc="0" locked="0" layoutInCell="1" allowOverlap="1" wp14:anchorId="715ADD20" wp14:editId="04442224">
                <wp:simplePos x="0" y="0"/>
                <wp:positionH relativeFrom="column">
                  <wp:posOffset>-571500</wp:posOffset>
                </wp:positionH>
                <wp:positionV relativeFrom="paragraph">
                  <wp:posOffset>4896485</wp:posOffset>
                </wp:positionV>
                <wp:extent cx="5600700" cy="1371600"/>
                <wp:effectExtent l="0" t="0" r="0" b="0"/>
                <wp:wrapSquare wrapText="bothSides"/>
                <wp:docPr id="343" name="Text Box 343"/>
                <wp:cNvGraphicFramePr/>
                <a:graphic xmlns:a="http://schemas.openxmlformats.org/drawingml/2006/main">
                  <a:graphicData uri="http://schemas.microsoft.com/office/word/2010/wordprocessingShape">
                    <wps:wsp>
                      <wps:cNvSpPr txBox="1"/>
                      <wps:spPr>
                        <a:xfrm>
                          <a:off x="0" y="0"/>
                          <a:ext cx="56007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56D540" w14:textId="77777777" w:rsidR="00E82D3B" w:rsidRDefault="00E82D3B" w:rsidP="007C58EA">
                            <w:pPr>
                              <w:jc w:val="both"/>
                              <w:rPr>
                                <w:b/>
                                <w:i/>
                                <w:sz w:val="22"/>
                              </w:rPr>
                            </w:pPr>
                            <w:r>
                              <w:rPr>
                                <w:b/>
                                <w:i/>
                                <w:sz w:val="22"/>
                              </w:rPr>
                              <w:t>Figure 6.6</w:t>
                            </w:r>
                            <w:r w:rsidRPr="00B0574C">
                              <w:rPr>
                                <w:b/>
                                <w:i/>
                                <w:sz w:val="22"/>
                              </w:rPr>
                              <w:t xml:space="preserve"> Genes with a</w:t>
                            </w:r>
                            <w:r>
                              <w:rPr>
                                <w:b/>
                                <w:i/>
                                <w:sz w:val="22"/>
                              </w:rPr>
                              <w:t>n in</w:t>
                            </w:r>
                            <w:r w:rsidRPr="00B0574C">
                              <w:rPr>
                                <w:b/>
                                <w:i/>
                                <w:sz w:val="22"/>
                              </w:rPr>
                              <w:t>crease in expression when SRCAP was knocked down show enrichment for</w:t>
                            </w:r>
                            <w:r>
                              <w:rPr>
                                <w:b/>
                                <w:i/>
                                <w:sz w:val="22"/>
                              </w:rPr>
                              <w:t xml:space="preserve"> regulators of cell proliferation</w:t>
                            </w:r>
                            <w:r w:rsidRPr="00B0574C">
                              <w:rPr>
                                <w:b/>
                                <w:i/>
                                <w:sz w:val="22"/>
                              </w:rPr>
                              <w:t>.</w:t>
                            </w:r>
                          </w:p>
                          <w:p w14:paraId="133FE772" w14:textId="77777777" w:rsidR="00E82D3B" w:rsidRDefault="00E82D3B" w:rsidP="007C58EA">
                            <w:pPr>
                              <w:jc w:val="both"/>
                              <w:rPr>
                                <w:i/>
                                <w:sz w:val="22"/>
                              </w:rPr>
                            </w:pPr>
                            <w:r>
                              <w:rPr>
                                <w:i/>
                                <w:sz w:val="22"/>
                              </w:rPr>
                              <w:t>a.) Table of the top 20 negative fold changes in control vs si6 data for each repeat. The genes highlighted were found across all three repeats.</w:t>
                            </w:r>
                          </w:p>
                          <w:p w14:paraId="159EC92C" w14:textId="77777777" w:rsidR="00E82D3B" w:rsidRPr="00AD63FE" w:rsidRDefault="00E82D3B" w:rsidP="007C58EA">
                            <w:pPr>
                              <w:jc w:val="both"/>
                              <w:rPr>
                                <w:i/>
                                <w:sz w:val="22"/>
                              </w:rPr>
                            </w:pPr>
                            <w:r>
                              <w:rPr>
                                <w:i/>
                                <w:sz w:val="22"/>
                              </w:rPr>
                              <w:t xml:space="preserve">b.) </w:t>
                            </w:r>
                            <w:proofErr w:type="gramStart"/>
                            <w:r>
                              <w:rPr>
                                <w:i/>
                                <w:sz w:val="22"/>
                              </w:rPr>
                              <w:t>The</w:t>
                            </w:r>
                            <w:proofErr w:type="gramEnd"/>
                            <w:r>
                              <w:rPr>
                                <w:i/>
                                <w:sz w:val="22"/>
                              </w:rPr>
                              <w:t xml:space="preserve"> three top 20 lists were put into the STRING database and the above network image was generated. The red dots represent genes associated with the regulation of cell proliferation.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186" type="#_x0000_t202" style="position:absolute;margin-left:-44.95pt;margin-top:385.55pt;width:441pt;height:108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" filled="f" stroked="f">
                <v:textbox>
                  <w:txbxContent>
                    <w:p w14:paraId="7956D540" w14:textId="77777777" w:rsidR="000A1E0D" w:rsidRDefault="000A1E0D" w:rsidP="007C58EA">
                      <w:pPr>
                        <w:jc w:val="both"/>
                        <w:rPr>
                          <w:b/>
                          <w:i/>
                          <w:sz w:val="22"/>
                        </w:rPr>
                      </w:pPr>
                      <w:r>
                        <w:rPr>
                          <w:b/>
                          <w:i/>
                          <w:sz w:val="22"/>
                        </w:rPr>
                        <w:t>Figure 6.6</w:t>
                      </w:r>
                      <w:r w:rsidRPr="00B0574C">
                        <w:rPr>
                          <w:b/>
                          <w:i/>
                          <w:sz w:val="22"/>
                        </w:rPr>
                        <w:t xml:space="preserve"> Genes with a</w:t>
                      </w:r>
                      <w:r>
                        <w:rPr>
                          <w:b/>
                          <w:i/>
                          <w:sz w:val="22"/>
                        </w:rPr>
                        <w:t>n in</w:t>
                      </w:r>
                      <w:r w:rsidRPr="00B0574C">
                        <w:rPr>
                          <w:b/>
                          <w:i/>
                          <w:sz w:val="22"/>
                        </w:rPr>
                        <w:t>crease in expression when SRCAP was knocked down show enrichment for</w:t>
                      </w:r>
                      <w:r>
                        <w:rPr>
                          <w:b/>
                          <w:i/>
                          <w:sz w:val="22"/>
                        </w:rPr>
                        <w:t xml:space="preserve"> regulators of cell proliferation</w:t>
                      </w:r>
                      <w:r w:rsidRPr="00B0574C">
                        <w:rPr>
                          <w:b/>
                          <w:i/>
                          <w:sz w:val="22"/>
                        </w:rPr>
                        <w:t>.</w:t>
                      </w:r>
                    </w:p>
                    <w:p w14:paraId="133FE772" w14:textId="77777777" w:rsidR="000A1E0D" w:rsidRDefault="000A1E0D" w:rsidP="007C58EA">
                      <w:pPr>
                        <w:jc w:val="both"/>
                        <w:rPr>
                          <w:i/>
                          <w:sz w:val="22"/>
                        </w:rPr>
                      </w:pPr>
                      <w:r>
                        <w:rPr>
                          <w:i/>
                          <w:sz w:val="22"/>
                        </w:rPr>
                        <w:t>a.) Table of the top 20 negative fold changes in control vs si6 data for each repeat. The genes highlighted were found across all three repeats.</w:t>
                      </w:r>
                    </w:p>
                    <w:p w14:paraId="159EC92C" w14:textId="77777777" w:rsidR="000A1E0D" w:rsidRPr="00AD63FE" w:rsidRDefault="000A1E0D" w:rsidP="007C58EA">
                      <w:pPr>
                        <w:jc w:val="both"/>
                        <w:rPr>
                          <w:i/>
                          <w:sz w:val="22"/>
                        </w:rPr>
                      </w:pPr>
                      <w:r>
                        <w:rPr>
                          <w:i/>
                          <w:sz w:val="22"/>
                        </w:rPr>
                        <w:t xml:space="preserve">b.) </w:t>
                      </w:r>
                      <w:proofErr w:type="gramStart"/>
                      <w:r>
                        <w:rPr>
                          <w:i/>
                          <w:sz w:val="22"/>
                        </w:rPr>
                        <w:t>The</w:t>
                      </w:r>
                      <w:proofErr w:type="gramEnd"/>
                      <w:r>
                        <w:rPr>
                          <w:i/>
                          <w:sz w:val="22"/>
                        </w:rPr>
                        <w:t xml:space="preserve"> three top 20 lists were put into the STRING database and the above network image was generated. The red dots represent genes associated with the regulation of cell proliferation. </w:t>
                      </w:r>
                    </w:p>
                  </w:txbxContent>
                </v:textbox>
                <w10:wrap type="square"/>
              </v:shape>
            </w:pict>
          </mc:Fallback>
        </mc:AlternateContent>
      </w:r>
      <w:r>
        <w:rPr>
          <w:rFonts w:asciiTheme="majorHAnsi" w:hAnsiTheme="majorHAnsi"/>
          <w:noProof/>
          <w:lang w:val="en-US"/>
        </w:rPr>
        <w:drawing>
          <wp:anchor distT="0" distB="0" distL="114300" distR="114300" simplePos="0" relativeHeight="252098560" behindDoc="0" locked="0" layoutInCell="1" allowOverlap="1" wp14:anchorId="0D5719FD" wp14:editId="5C1A9E9F">
            <wp:simplePos x="0" y="0"/>
            <wp:positionH relativeFrom="column">
              <wp:posOffset>2171700</wp:posOffset>
            </wp:positionH>
            <wp:positionV relativeFrom="paragraph">
              <wp:posOffset>438785</wp:posOffset>
            </wp:positionV>
            <wp:extent cx="2857500" cy="2640330"/>
            <wp:effectExtent l="0" t="0" r="12700" b="1270"/>
            <wp:wrapSquare wrapText="bothSides"/>
            <wp:docPr id="361" name="Picture 361" descr="Macintosh HD:Users:ClairFellows:Desktop:Screen Shot 2017-10-12 at 10.4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airFellows:Desktop:Screen Shot 2017-10-12 at 10.48.05.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57500" cy="26403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58EA">
        <w:rPr>
          <w:rFonts w:asciiTheme="majorHAnsi" w:hAnsiTheme="majorHAnsi"/>
        </w:rPr>
        <w:br w:type="page"/>
      </w:r>
    </w:p>
    <w:p w14:paraId="0A123AC2" w14:textId="7C4CC04D" w:rsidR="007C58EA" w:rsidRDefault="007C58EA" w:rsidP="007C58EA">
      <w:pPr>
        <w:spacing w:line="360" w:lineRule="auto"/>
        <w:jc w:val="both"/>
        <w:rPr>
          <w:rFonts w:asciiTheme="majorHAnsi" w:hAnsiTheme="majorHAnsi"/>
        </w:rPr>
      </w:pPr>
      <w:r>
        <w:rPr>
          <w:rFonts w:asciiTheme="majorHAnsi" w:hAnsiTheme="majorHAnsi"/>
        </w:rPr>
        <w:t xml:space="preserve">All the genes that had a positive or negative two fold increase or more across all three repeats were then assessed. There were 115 genes that showed positive fold changes (genes which decrease in expression when </w:t>
      </w:r>
      <w:r w:rsidRPr="00155E27">
        <w:rPr>
          <w:rFonts w:asciiTheme="majorHAnsi" w:hAnsiTheme="majorHAnsi"/>
          <w:i/>
        </w:rPr>
        <w:t>SRCAP</w:t>
      </w:r>
      <w:r>
        <w:rPr>
          <w:rFonts w:asciiTheme="majorHAnsi" w:hAnsiTheme="majorHAnsi"/>
        </w:rPr>
        <w:t xml:space="preserve"> is knocked down) </w:t>
      </w:r>
      <w:r w:rsidR="00E03EA8">
        <w:rPr>
          <w:rFonts w:asciiTheme="majorHAnsi" w:hAnsiTheme="majorHAnsi"/>
        </w:rPr>
        <w:t>from</w:t>
      </w:r>
      <w:r>
        <w:rPr>
          <w:rFonts w:asciiTheme="majorHAnsi" w:hAnsiTheme="majorHAnsi"/>
        </w:rPr>
        <w:t xml:space="preserve"> 2 to 13.89, and when these were put into the STRING </w:t>
      </w:r>
      <w:r w:rsidR="00E03EA8">
        <w:rPr>
          <w:rFonts w:asciiTheme="majorHAnsi" w:hAnsiTheme="majorHAnsi"/>
        </w:rPr>
        <w:t>database</w:t>
      </w:r>
      <w:r>
        <w:rPr>
          <w:rFonts w:asciiTheme="majorHAnsi" w:hAnsiTheme="majorHAnsi"/>
        </w:rPr>
        <w:t xml:space="preserve"> they showed enrichment for pathways associated with the cell cycle, especially mitosis. Thus there is a decrease in gene expression associated with </w:t>
      </w:r>
      <w:r w:rsidR="00E03EA8">
        <w:rPr>
          <w:rFonts w:asciiTheme="majorHAnsi" w:hAnsiTheme="majorHAnsi"/>
        </w:rPr>
        <w:t xml:space="preserve">effects on </w:t>
      </w:r>
      <w:r>
        <w:rPr>
          <w:rFonts w:asciiTheme="majorHAnsi" w:hAnsiTheme="majorHAnsi"/>
        </w:rPr>
        <w:t>cellular cycling</w:t>
      </w:r>
      <w:r w:rsidR="00E03EA8">
        <w:rPr>
          <w:rFonts w:asciiTheme="majorHAnsi" w:hAnsiTheme="majorHAnsi"/>
        </w:rPr>
        <w:t xml:space="preserve"> when SRCAP is knocked down</w:t>
      </w:r>
      <w:r w:rsidR="00E03EA8" w:rsidRPr="00FB709C">
        <w:rPr>
          <w:rFonts w:asciiTheme="majorHAnsi" w:hAnsiTheme="majorHAnsi"/>
        </w:rPr>
        <w:t>. I</w:t>
      </w:r>
      <w:r w:rsidRPr="00FB709C">
        <w:rPr>
          <w:rFonts w:asciiTheme="majorHAnsi" w:hAnsiTheme="majorHAnsi"/>
        </w:rPr>
        <w:t xml:space="preserve">ndeed from previous experimental work when </w:t>
      </w:r>
      <w:r w:rsidRPr="00FB709C">
        <w:rPr>
          <w:rFonts w:asciiTheme="majorHAnsi" w:hAnsiTheme="majorHAnsi"/>
          <w:i/>
        </w:rPr>
        <w:t>SRCAP</w:t>
      </w:r>
      <w:r w:rsidRPr="00FB709C">
        <w:rPr>
          <w:rFonts w:asciiTheme="majorHAnsi" w:hAnsiTheme="majorHAnsi"/>
        </w:rPr>
        <w:t xml:space="preserve"> was knocked down there were cell cycle changes and a corresponding decrease in mitotic cells</w:t>
      </w:r>
      <w:r w:rsidR="00E03EA8" w:rsidRPr="00FB709C">
        <w:rPr>
          <w:rFonts w:asciiTheme="majorHAnsi" w:hAnsiTheme="majorHAnsi"/>
        </w:rPr>
        <w:t xml:space="preserve"> (see Chapter 4</w:t>
      </w:r>
      <w:r w:rsidR="00FB709C" w:rsidRPr="00FB709C">
        <w:rPr>
          <w:rFonts w:asciiTheme="majorHAnsi" w:hAnsiTheme="majorHAnsi"/>
        </w:rPr>
        <w:t>.5</w:t>
      </w:r>
      <w:r w:rsidR="00E03EA8" w:rsidRPr="00FB709C">
        <w:rPr>
          <w:rFonts w:asciiTheme="majorHAnsi" w:hAnsiTheme="majorHAnsi"/>
        </w:rPr>
        <w:t>)</w:t>
      </w:r>
      <w:r w:rsidRPr="00FB709C">
        <w:rPr>
          <w:rFonts w:asciiTheme="majorHAnsi" w:hAnsiTheme="majorHAnsi"/>
        </w:rPr>
        <w:t>.</w:t>
      </w:r>
      <w:r>
        <w:rPr>
          <w:rFonts w:asciiTheme="majorHAnsi" w:hAnsiTheme="majorHAnsi"/>
        </w:rPr>
        <w:t xml:space="preserve"> There was also enrichment for positive regulation of metabolic and cellular processes, thus meaning these genes were decreased in expression. There were 55 genes with negative fold changes of -2 </w:t>
      </w:r>
      <w:r w:rsidR="00377382">
        <w:rPr>
          <w:rFonts w:asciiTheme="majorHAnsi" w:hAnsiTheme="majorHAnsi"/>
        </w:rPr>
        <w:t>to -11.82 (genes which are over-</w:t>
      </w:r>
      <w:r>
        <w:rPr>
          <w:rFonts w:asciiTheme="majorHAnsi" w:hAnsiTheme="majorHAnsi"/>
        </w:rPr>
        <w:t xml:space="preserve">expressed when </w:t>
      </w:r>
      <w:r w:rsidRPr="00C47C79">
        <w:rPr>
          <w:rFonts w:asciiTheme="majorHAnsi" w:hAnsiTheme="majorHAnsi"/>
          <w:i/>
        </w:rPr>
        <w:t>SRCAP</w:t>
      </w:r>
      <w:r>
        <w:rPr>
          <w:rFonts w:asciiTheme="majorHAnsi" w:hAnsiTheme="majorHAnsi"/>
        </w:rPr>
        <w:t xml:space="preserve"> is knocked down). This list was enriched for genes associated with the regulation of apoptotic processes; therefore indicating that knockdown of </w:t>
      </w:r>
      <w:r w:rsidRPr="00C47C79">
        <w:rPr>
          <w:rFonts w:asciiTheme="majorHAnsi" w:hAnsiTheme="majorHAnsi"/>
          <w:i/>
        </w:rPr>
        <w:t>SRCAP</w:t>
      </w:r>
      <w:r>
        <w:rPr>
          <w:rFonts w:asciiTheme="majorHAnsi" w:hAnsiTheme="majorHAnsi"/>
        </w:rPr>
        <w:t xml:space="preserve"> increases the expression of genes associated with apoptosis, whether this </w:t>
      </w:r>
      <w:r w:rsidR="00E03EA8">
        <w:rPr>
          <w:rFonts w:asciiTheme="majorHAnsi" w:hAnsiTheme="majorHAnsi"/>
        </w:rPr>
        <w:t>results in</w:t>
      </w:r>
      <w:r>
        <w:rPr>
          <w:rFonts w:asciiTheme="majorHAnsi" w:hAnsiTheme="majorHAnsi"/>
        </w:rPr>
        <w:t xml:space="preserve"> a negative or positive regulation</w:t>
      </w:r>
      <w:r w:rsidR="00E03EA8">
        <w:rPr>
          <w:rFonts w:asciiTheme="majorHAnsi" w:hAnsiTheme="majorHAnsi"/>
        </w:rPr>
        <w:t xml:space="preserve"> of apoptosis</w:t>
      </w:r>
      <w:r>
        <w:rPr>
          <w:rFonts w:asciiTheme="majorHAnsi" w:hAnsiTheme="majorHAnsi"/>
        </w:rPr>
        <w:t xml:space="preserve"> is not known. Differences in apoptosis however, weren’t seen during an apoptotic assay conducted on </w:t>
      </w:r>
      <w:r w:rsidRPr="00C47C79">
        <w:rPr>
          <w:rFonts w:asciiTheme="majorHAnsi" w:hAnsiTheme="majorHAnsi"/>
          <w:i/>
        </w:rPr>
        <w:t>SRCAP</w:t>
      </w:r>
      <w:r w:rsidR="002C2E2A">
        <w:rPr>
          <w:rFonts w:asciiTheme="majorHAnsi" w:hAnsiTheme="majorHAnsi"/>
        </w:rPr>
        <w:t xml:space="preserve"> knock</w:t>
      </w:r>
      <w:r>
        <w:rPr>
          <w:rFonts w:asciiTheme="majorHAnsi" w:hAnsiTheme="majorHAnsi"/>
        </w:rPr>
        <w:t>down samples as previously described</w:t>
      </w:r>
      <w:r w:rsidR="00E03EA8">
        <w:rPr>
          <w:rFonts w:asciiTheme="majorHAnsi" w:hAnsiTheme="majorHAnsi"/>
        </w:rPr>
        <w:t xml:space="preserve"> in Chapter 4</w:t>
      </w:r>
      <w:r w:rsidR="00FB709C">
        <w:rPr>
          <w:rFonts w:asciiTheme="majorHAnsi" w:hAnsiTheme="majorHAnsi"/>
        </w:rPr>
        <w:t>.5</w:t>
      </w:r>
      <w:r>
        <w:rPr>
          <w:rFonts w:asciiTheme="majorHAnsi" w:hAnsiTheme="majorHAnsi"/>
        </w:rPr>
        <w:t xml:space="preserve"> (These lists and STRING diagrams can be found in Appendix 9 to 12).</w:t>
      </w:r>
    </w:p>
    <w:p w14:paraId="7864C85D" w14:textId="77777777" w:rsidR="007C58EA" w:rsidRDefault="007C58EA" w:rsidP="007C58EA">
      <w:pPr>
        <w:spacing w:line="360" w:lineRule="auto"/>
        <w:jc w:val="both"/>
        <w:rPr>
          <w:rFonts w:asciiTheme="majorHAnsi" w:hAnsiTheme="majorHAnsi"/>
        </w:rPr>
      </w:pPr>
    </w:p>
    <w:p w14:paraId="4D679836" w14:textId="5BB12C12" w:rsidR="007C58EA" w:rsidRDefault="007C58EA" w:rsidP="007C58EA">
      <w:pPr>
        <w:spacing w:line="360" w:lineRule="auto"/>
        <w:jc w:val="both"/>
        <w:rPr>
          <w:rFonts w:asciiTheme="majorHAnsi" w:hAnsiTheme="majorHAnsi"/>
        </w:rPr>
      </w:pPr>
      <w:r>
        <w:rPr>
          <w:rFonts w:asciiTheme="majorHAnsi" w:hAnsiTheme="majorHAnsi"/>
        </w:rPr>
        <w:t xml:space="preserve">From this data analysis the genes </w:t>
      </w:r>
      <w:r w:rsidRPr="00C47C79">
        <w:rPr>
          <w:rFonts w:asciiTheme="majorHAnsi" w:hAnsiTheme="majorHAnsi"/>
          <w:i/>
        </w:rPr>
        <w:t>HIST3H2BB</w:t>
      </w:r>
      <w:r>
        <w:rPr>
          <w:rFonts w:asciiTheme="majorHAnsi" w:hAnsiTheme="majorHAnsi"/>
        </w:rPr>
        <w:t xml:space="preserve">, </w:t>
      </w:r>
      <w:r w:rsidRPr="00C47C79">
        <w:rPr>
          <w:rFonts w:asciiTheme="majorHAnsi" w:hAnsiTheme="majorHAnsi"/>
          <w:i/>
        </w:rPr>
        <w:t>PHLDA2</w:t>
      </w:r>
      <w:r>
        <w:rPr>
          <w:rFonts w:asciiTheme="majorHAnsi" w:hAnsiTheme="majorHAnsi"/>
        </w:rPr>
        <w:t xml:space="preserve"> and </w:t>
      </w:r>
      <w:r w:rsidRPr="00C47C79">
        <w:rPr>
          <w:rFonts w:asciiTheme="majorHAnsi" w:hAnsiTheme="majorHAnsi"/>
          <w:i/>
        </w:rPr>
        <w:t>ELK3</w:t>
      </w:r>
      <w:r>
        <w:rPr>
          <w:rFonts w:asciiTheme="majorHAnsi" w:hAnsiTheme="majorHAnsi"/>
        </w:rPr>
        <w:t xml:space="preserve"> were taken for further validation from the positive fold change data set and </w:t>
      </w:r>
      <w:r w:rsidRPr="00C47C79">
        <w:rPr>
          <w:rFonts w:asciiTheme="majorHAnsi" w:hAnsiTheme="majorHAnsi"/>
          <w:i/>
        </w:rPr>
        <w:t>FGFBP1</w:t>
      </w:r>
      <w:r>
        <w:rPr>
          <w:rFonts w:asciiTheme="majorHAnsi" w:hAnsiTheme="majorHAnsi"/>
        </w:rPr>
        <w:t xml:space="preserve"> from the negative fold change data set</w:t>
      </w:r>
      <w:r w:rsidR="00FA1353">
        <w:rPr>
          <w:rFonts w:asciiTheme="majorHAnsi" w:hAnsiTheme="majorHAnsi"/>
        </w:rPr>
        <w:t>, as discussed</w:t>
      </w:r>
      <w:r w:rsidR="00FB709C">
        <w:rPr>
          <w:rFonts w:asciiTheme="majorHAnsi" w:hAnsiTheme="majorHAnsi"/>
        </w:rPr>
        <w:t xml:space="preserve"> later</w:t>
      </w:r>
      <w:r w:rsidR="00FA1353">
        <w:rPr>
          <w:rFonts w:asciiTheme="majorHAnsi" w:hAnsiTheme="majorHAnsi"/>
        </w:rPr>
        <w:t xml:space="preserve"> in section 6.4</w:t>
      </w:r>
      <w:r>
        <w:rPr>
          <w:rFonts w:asciiTheme="majorHAnsi" w:hAnsiTheme="majorHAnsi"/>
        </w:rPr>
        <w:t>.</w:t>
      </w:r>
    </w:p>
    <w:p w14:paraId="1A473659" w14:textId="77777777" w:rsidR="007C58EA" w:rsidRDefault="007C58EA" w:rsidP="007C58EA">
      <w:pPr>
        <w:spacing w:line="360" w:lineRule="auto"/>
        <w:jc w:val="both"/>
        <w:rPr>
          <w:rFonts w:asciiTheme="majorHAnsi" w:hAnsiTheme="majorHAnsi"/>
        </w:rPr>
      </w:pPr>
    </w:p>
    <w:p w14:paraId="38FCA8EF" w14:textId="1B53DCE3" w:rsidR="007C58EA" w:rsidRDefault="007C58EA" w:rsidP="007C58EA">
      <w:pPr>
        <w:spacing w:line="360" w:lineRule="auto"/>
        <w:jc w:val="both"/>
        <w:rPr>
          <w:rFonts w:asciiTheme="majorHAnsi" w:hAnsiTheme="majorHAnsi"/>
        </w:rPr>
      </w:pPr>
      <w:r>
        <w:rPr>
          <w:rFonts w:asciiTheme="majorHAnsi" w:hAnsiTheme="majorHAnsi"/>
        </w:rPr>
        <w:t xml:space="preserve">There were also several genes that were </w:t>
      </w:r>
      <w:r w:rsidR="00E03EA8">
        <w:rPr>
          <w:rFonts w:asciiTheme="majorHAnsi" w:hAnsiTheme="majorHAnsi"/>
        </w:rPr>
        <w:t>of interest but showed slightly less convincing evidence of expression changes</w:t>
      </w:r>
      <w:r w:rsidR="007F4DFE">
        <w:rPr>
          <w:rFonts w:asciiTheme="majorHAnsi" w:hAnsiTheme="majorHAnsi"/>
        </w:rPr>
        <w:t>. Fo</w:t>
      </w:r>
      <w:r>
        <w:rPr>
          <w:rFonts w:asciiTheme="majorHAnsi" w:hAnsiTheme="majorHAnsi"/>
        </w:rPr>
        <w:t xml:space="preserve">r example </w:t>
      </w:r>
      <w:r w:rsidRPr="00C47C79">
        <w:rPr>
          <w:rFonts w:asciiTheme="majorHAnsi" w:hAnsiTheme="majorHAnsi"/>
          <w:i/>
        </w:rPr>
        <w:t>BRCC3</w:t>
      </w:r>
      <w:r>
        <w:rPr>
          <w:rFonts w:asciiTheme="majorHAnsi" w:hAnsiTheme="majorHAnsi"/>
        </w:rPr>
        <w:t xml:space="preserve">, which plays a role in the DNA damage response by stabilising BRCA1 accumulation at DNA breaks, was found in the top 20 genes in two repeats for having a positive fold change (4.75 and 4.74) and so was down regulated when </w:t>
      </w:r>
      <w:r w:rsidRPr="00C47C79">
        <w:rPr>
          <w:rFonts w:asciiTheme="majorHAnsi" w:hAnsiTheme="majorHAnsi"/>
          <w:i/>
        </w:rPr>
        <w:t>SRCAP</w:t>
      </w:r>
      <w:r>
        <w:rPr>
          <w:rFonts w:asciiTheme="majorHAnsi" w:hAnsiTheme="majorHAnsi"/>
        </w:rPr>
        <w:t xml:space="preserve"> was depleted. Further investigation showed that</w:t>
      </w:r>
      <w:r w:rsidR="002F71D9">
        <w:rPr>
          <w:rFonts w:asciiTheme="majorHAnsi" w:hAnsiTheme="majorHAnsi"/>
        </w:rPr>
        <w:t>,</w:t>
      </w:r>
      <w:r>
        <w:rPr>
          <w:rFonts w:asciiTheme="majorHAnsi" w:hAnsiTheme="majorHAnsi"/>
        </w:rPr>
        <w:t xml:space="preserve"> even though it wasn’t in the top 20</w:t>
      </w:r>
      <w:r w:rsidR="002F71D9">
        <w:rPr>
          <w:rFonts w:asciiTheme="majorHAnsi" w:hAnsiTheme="majorHAnsi"/>
        </w:rPr>
        <w:t xml:space="preserve"> in the second repeat,</w:t>
      </w:r>
      <w:r>
        <w:rPr>
          <w:rFonts w:asciiTheme="majorHAnsi" w:hAnsiTheme="majorHAnsi"/>
        </w:rPr>
        <w:t xml:space="preserve"> it still had a high positive fold change of 3.45 and could therefore also be an interesting gene to further investigate. This was similar for </w:t>
      </w:r>
      <w:r w:rsidRPr="00C47C79">
        <w:rPr>
          <w:rFonts w:asciiTheme="majorHAnsi" w:hAnsiTheme="majorHAnsi"/>
          <w:i/>
        </w:rPr>
        <w:t>CDKN1A</w:t>
      </w:r>
      <w:r>
        <w:rPr>
          <w:rFonts w:asciiTheme="majorHAnsi" w:hAnsiTheme="majorHAnsi"/>
        </w:rPr>
        <w:t xml:space="preserve">, which had high negative fold changes in two repeats (-4.44 and -4.57) and although not in the top 20 of repeat one did have a fold change of -2.67, and so could be a good candidate for further investigation. Especially </w:t>
      </w:r>
      <w:r w:rsidR="002F71D9">
        <w:rPr>
          <w:rFonts w:asciiTheme="majorHAnsi" w:hAnsiTheme="majorHAnsi"/>
        </w:rPr>
        <w:t xml:space="preserve">so, </w:t>
      </w:r>
      <w:r>
        <w:rPr>
          <w:rFonts w:asciiTheme="majorHAnsi" w:hAnsiTheme="majorHAnsi"/>
        </w:rPr>
        <w:t>as this gene functions as a negative regulator of cell cycle progression at G1, a</w:t>
      </w:r>
      <w:r w:rsidR="00377382">
        <w:rPr>
          <w:rFonts w:asciiTheme="majorHAnsi" w:hAnsiTheme="majorHAnsi"/>
        </w:rPr>
        <w:t>nd therefore if it becomes over-</w:t>
      </w:r>
      <w:r>
        <w:rPr>
          <w:rFonts w:asciiTheme="majorHAnsi" w:hAnsiTheme="majorHAnsi"/>
        </w:rPr>
        <w:t xml:space="preserve">expressed when </w:t>
      </w:r>
      <w:r w:rsidRPr="00C47C79">
        <w:rPr>
          <w:rFonts w:asciiTheme="majorHAnsi" w:hAnsiTheme="majorHAnsi"/>
          <w:i/>
        </w:rPr>
        <w:t>SRCAP</w:t>
      </w:r>
      <w:r>
        <w:rPr>
          <w:rFonts w:asciiTheme="majorHAnsi" w:hAnsiTheme="majorHAnsi"/>
        </w:rPr>
        <w:t xml:space="preserve"> is knocked down it can lead to the increased phosphorylation of CDK substrates and block cell cycle progression (All the gene information was found on GeneCards, a free online human gene database- </w:t>
      </w:r>
      <w:r w:rsidRPr="00710802">
        <w:rPr>
          <w:rFonts w:asciiTheme="majorHAnsi" w:hAnsiTheme="majorHAnsi"/>
        </w:rPr>
        <w:t>http://www.genecards.org/</w:t>
      </w:r>
      <w:r>
        <w:rPr>
          <w:rFonts w:asciiTheme="majorHAnsi" w:hAnsiTheme="majorHAnsi"/>
        </w:rPr>
        <w:t xml:space="preserve">). </w:t>
      </w:r>
    </w:p>
    <w:p w14:paraId="4FE99FEE" w14:textId="77777777" w:rsidR="007C58EA" w:rsidRDefault="007C58EA" w:rsidP="007C58EA">
      <w:pPr>
        <w:spacing w:line="360" w:lineRule="auto"/>
        <w:jc w:val="both"/>
        <w:rPr>
          <w:rFonts w:asciiTheme="majorHAnsi" w:hAnsiTheme="majorHAnsi"/>
        </w:rPr>
      </w:pPr>
    </w:p>
    <w:p w14:paraId="50A955C3" w14:textId="0C59B39A" w:rsidR="007C58EA" w:rsidRPr="00D02A1F" w:rsidRDefault="007C58EA" w:rsidP="002F41C6">
      <w:pPr>
        <w:pStyle w:val="ListParagraph"/>
        <w:numPr>
          <w:ilvl w:val="0"/>
          <w:numId w:val="26"/>
        </w:numPr>
        <w:spacing w:line="360" w:lineRule="auto"/>
        <w:jc w:val="both"/>
        <w:rPr>
          <w:rFonts w:asciiTheme="majorHAnsi" w:hAnsiTheme="majorHAnsi"/>
          <w:b/>
          <w:i/>
        </w:rPr>
      </w:pPr>
      <w:r w:rsidRPr="00D02A1F">
        <w:rPr>
          <w:rFonts w:asciiTheme="majorHAnsi" w:hAnsiTheme="majorHAnsi"/>
          <w:b/>
          <w:i/>
        </w:rPr>
        <w:t>Control vs YFP SRCAP</w:t>
      </w:r>
      <w:r w:rsidR="002F71D9">
        <w:rPr>
          <w:rFonts w:asciiTheme="majorHAnsi" w:hAnsiTheme="majorHAnsi"/>
          <w:b/>
          <w:i/>
        </w:rPr>
        <w:t xml:space="preserve"> over-expression</w:t>
      </w:r>
    </w:p>
    <w:p w14:paraId="0B4BEDB0" w14:textId="220E67BC" w:rsidR="007C58EA" w:rsidRDefault="007C58EA" w:rsidP="007C58EA">
      <w:pPr>
        <w:spacing w:line="360" w:lineRule="auto"/>
        <w:jc w:val="both"/>
        <w:rPr>
          <w:rFonts w:asciiTheme="majorHAnsi" w:hAnsiTheme="majorHAnsi"/>
        </w:rPr>
      </w:pPr>
      <w:r>
        <w:rPr>
          <w:rFonts w:asciiTheme="majorHAnsi" w:hAnsiTheme="majorHAnsi"/>
        </w:rPr>
        <w:t xml:space="preserve">Analysis of the control vs. </w:t>
      </w:r>
      <w:r w:rsidRPr="00C47C79">
        <w:rPr>
          <w:rFonts w:asciiTheme="majorHAnsi" w:hAnsiTheme="majorHAnsi"/>
          <w:i/>
        </w:rPr>
        <w:t>YFP SRCAP</w:t>
      </w:r>
      <w:r>
        <w:rPr>
          <w:rFonts w:asciiTheme="majorHAnsi" w:hAnsiTheme="majorHAnsi"/>
        </w:rPr>
        <w:t xml:space="preserve"> data revealed a difference to the siRNA data. When all the repeats were combined, the dot plot of all the fold changes (Figure 6.7a) showed much less variation compared to the dot plot in Figure 6.4a for control vs. si6. Here the red dots indicate the positive fold changes and these are all the genes which are decreased in expression when </w:t>
      </w:r>
      <w:r w:rsidRPr="00C47C79">
        <w:rPr>
          <w:rFonts w:asciiTheme="majorHAnsi" w:hAnsiTheme="majorHAnsi"/>
          <w:i/>
        </w:rPr>
        <w:t>SRCAP</w:t>
      </w:r>
      <w:r w:rsidR="002F71D9">
        <w:rPr>
          <w:rFonts w:asciiTheme="majorHAnsi" w:hAnsiTheme="majorHAnsi"/>
        </w:rPr>
        <w:t xml:space="preserve"> is up-</w:t>
      </w:r>
      <w:r>
        <w:rPr>
          <w:rFonts w:asciiTheme="majorHAnsi" w:hAnsiTheme="majorHAnsi"/>
        </w:rPr>
        <w:t>regulated and the green dots indicate negative fold changes and so sh</w:t>
      </w:r>
      <w:r w:rsidR="00377382">
        <w:rPr>
          <w:rFonts w:asciiTheme="majorHAnsi" w:hAnsiTheme="majorHAnsi"/>
        </w:rPr>
        <w:t>ow all the genes which are over-</w:t>
      </w:r>
      <w:r>
        <w:rPr>
          <w:rFonts w:asciiTheme="majorHAnsi" w:hAnsiTheme="majorHAnsi"/>
        </w:rPr>
        <w:t xml:space="preserve">expressed when </w:t>
      </w:r>
      <w:r w:rsidRPr="00C47C79">
        <w:rPr>
          <w:rFonts w:asciiTheme="majorHAnsi" w:hAnsiTheme="majorHAnsi"/>
          <w:i/>
        </w:rPr>
        <w:t>SRCAP</w:t>
      </w:r>
      <w:r w:rsidR="00377382">
        <w:rPr>
          <w:rFonts w:asciiTheme="majorHAnsi" w:hAnsiTheme="majorHAnsi"/>
        </w:rPr>
        <w:t xml:space="preserve"> is over-</w:t>
      </w:r>
      <w:r>
        <w:rPr>
          <w:rFonts w:asciiTheme="majorHAnsi" w:hAnsiTheme="majorHAnsi"/>
        </w:rPr>
        <w:t>expressed. Again</w:t>
      </w:r>
      <w:r w:rsidR="002F71D9">
        <w:rPr>
          <w:rFonts w:asciiTheme="majorHAnsi" w:hAnsiTheme="majorHAnsi"/>
        </w:rPr>
        <w:t xml:space="preserve"> the locations</w:t>
      </w:r>
      <w:r>
        <w:rPr>
          <w:rFonts w:asciiTheme="majorHAnsi" w:hAnsiTheme="majorHAnsi"/>
        </w:rPr>
        <w:t xml:space="preserve"> where these changes map to on the chromosomes can be found in Appendix 8. The individual repeats showed </w:t>
      </w:r>
      <w:r w:rsidR="002F71D9">
        <w:rPr>
          <w:rFonts w:asciiTheme="majorHAnsi" w:hAnsiTheme="majorHAnsi"/>
        </w:rPr>
        <w:t>consistent</w:t>
      </w:r>
      <w:r>
        <w:rPr>
          <w:rFonts w:asciiTheme="majorHAnsi" w:hAnsiTheme="majorHAnsi"/>
        </w:rPr>
        <w:t xml:space="preserve"> medians for the fold change summary, however the mean for repeat 3 was increased and as was the </w:t>
      </w:r>
      <w:r w:rsidR="00F460FC">
        <w:rPr>
          <w:rFonts w:asciiTheme="majorHAnsi" w:hAnsiTheme="majorHAnsi"/>
        </w:rPr>
        <w:t>number</w:t>
      </w:r>
      <w:r>
        <w:rPr>
          <w:rFonts w:asciiTheme="majorHAnsi" w:hAnsiTheme="majorHAnsi"/>
        </w:rPr>
        <w:t xml:space="preserve"> of fold changes overall</w:t>
      </w:r>
      <w:r w:rsidR="00F460FC">
        <w:rPr>
          <w:rFonts w:asciiTheme="majorHAnsi" w:hAnsiTheme="majorHAnsi"/>
        </w:rPr>
        <w:t xml:space="preserve"> (6201 in test 3, compared to 2922 and 2084 in test 1 and 2 respectively)</w:t>
      </w:r>
      <w:r>
        <w:rPr>
          <w:rFonts w:asciiTheme="majorHAnsi" w:hAnsiTheme="majorHAnsi"/>
        </w:rPr>
        <w:t xml:space="preserve">, with more than double being detected in this third repeat (Figure 6.7b). Test three therefore also had </w:t>
      </w:r>
      <w:r w:rsidR="003E2325">
        <w:rPr>
          <w:rFonts w:asciiTheme="majorHAnsi" w:hAnsiTheme="majorHAnsi"/>
        </w:rPr>
        <w:t>many</w:t>
      </w:r>
      <w:r>
        <w:rPr>
          <w:rFonts w:asciiTheme="majorHAnsi" w:hAnsiTheme="majorHAnsi"/>
        </w:rPr>
        <w:t xml:space="preserve"> outliers</w:t>
      </w:r>
      <w:r w:rsidR="003E2325">
        <w:rPr>
          <w:rFonts w:asciiTheme="majorHAnsi" w:hAnsiTheme="majorHAnsi"/>
        </w:rPr>
        <w:t>, whereas the other two did no</w:t>
      </w:r>
      <w:r>
        <w:rPr>
          <w:rFonts w:asciiTheme="majorHAnsi" w:hAnsiTheme="majorHAnsi"/>
        </w:rPr>
        <w:t>t (Figure 6.7c). This made the correlation between the repeats much lower at around 0.4-0.5, and as little as 0.08 between tests 2 and 3 (Figure 6.7d). This is possibly due to t</w:t>
      </w:r>
      <w:r w:rsidR="00377382">
        <w:rPr>
          <w:rFonts w:asciiTheme="majorHAnsi" w:hAnsiTheme="majorHAnsi"/>
        </w:rPr>
        <w:t>he much higher over-</w:t>
      </w:r>
      <w:r>
        <w:rPr>
          <w:rFonts w:asciiTheme="majorHAnsi" w:hAnsiTheme="majorHAnsi"/>
        </w:rPr>
        <w:t xml:space="preserve">expression of </w:t>
      </w:r>
      <w:r w:rsidRPr="00C47C79">
        <w:rPr>
          <w:rFonts w:asciiTheme="majorHAnsi" w:hAnsiTheme="majorHAnsi"/>
          <w:i/>
        </w:rPr>
        <w:t>SRCAP</w:t>
      </w:r>
      <w:r>
        <w:rPr>
          <w:rFonts w:asciiTheme="majorHAnsi" w:hAnsiTheme="majorHAnsi"/>
        </w:rPr>
        <w:t xml:space="preserve"> in test 3, but the fact that the relative signal was increased in the microarray quality controls could also mean that an intrinsic factor affected this array cassette. </w:t>
      </w:r>
    </w:p>
    <w:p w14:paraId="7AEA363A" w14:textId="77777777" w:rsidR="007C58EA" w:rsidRDefault="007C58EA" w:rsidP="007C58EA">
      <w:pPr>
        <w:spacing w:line="360" w:lineRule="auto"/>
        <w:jc w:val="both"/>
        <w:rPr>
          <w:rFonts w:asciiTheme="majorHAnsi" w:hAnsiTheme="majorHAnsi"/>
        </w:rPr>
      </w:pPr>
    </w:p>
    <w:p w14:paraId="062F3F3E" w14:textId="77777777" w:rsidR="007C58EA" w:rsidRDefault="007C58EA" w:rsidP="007C58EA">
      <w:pPr>
        <w:rPr>
          <w:rFonts w:asciiTheme="majorHAnsi" w:hAnsiTheme="majorHAnsi"/>
        </w:rPr>
      </w:pPr>
      <w:r>
        <w:rPr>
          <w:rFonts w:asciiTheme="majorHAnsi" w:hAnsiTheme="majorHAnsi"/>
        </w:rPr>
        <w:br w:type="page"/>
      </w:r>
    </w:p>
    <w:p w14:paraId="5D99DDDA" w14:textId="77777777" w:rsidR="007C58EA" w:rsidRDefault="007C58EA" w:rsidP="007C58EA">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091392" behindDoc="0" locked="0" layoutInCell="1" allowOverlap="1" wp14:anchorId="70A98ED8" wp14:editId="3AEF7781">
                <wp:simplePos x="0" y="0"/>
                <wp:positionH relativeFrom="column">
                  <wp:posOffset>-114300</wp:posOffset>
                </wp:positionH>
                <wp:positionV relativeFrom="paragraph">
                  <wp:posOffset>4686300</wp:posOffset>
                </wp:positionV>
                <wp:extent cx="5486400" cy="2514600"/>
                <wp:effectExtent l="0" t="0" r="0" b="0"/>
                <wp:wrapSquare wrapText="bothSides"/>
                <wp:docPr id="344" name="Text Box 344"/>
                <wp:cNvGraphicFramePr/>
                <a:graphic xmlns:a="http://schemas.openxmlformats.org/drawingml/2006/main">
                  <a:graphicData uri="http://schemas.microsoft.com/office/word/2010/wordprocessingShape">
                    <wps:wsp>
                      <wps:cNvSpPr txBox="1"/>
                      <wps:spPr>
                        <a:xfrm>
                          <a:off x="0" y="0"/>
                          <a:ext cx="548640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7897D6" w14:textId="77777777" w:rsidR="00E82D3B" w:rsidRDefault="00E82D3B" w:rsidP="007C58EA">
                            <w:pPr>
                              <w:jc w:val="both"/>
                              <w:rPr>
                                <w:b/>
                                <w:i/>
                                <w:sz w:val="22"/>
                              </w:rPr>
                            </w:pPr>
                            <w:r>
                              <w:rPr>
                                <w:b/>
                                <w:i/>
                                <w:sz w:val="22"/>
                              </w:rPr>
                              <w:t>Figure 6.7 Control vs. YFP SRCAP</w:t>
                            </w:r>
                            <w:r w:rsidRPr="003C7A55">
                              <w:rPr>
                                <w:b/>
                                <w:i/>
                                <w:sz w:val="22"/>
                              </w:rPr>
                              <w:t xml:space="preserve"> data shows </w:t>
                            </w:r>
                            <w:r>
                              <w:rPr>
                                <w:b/>
                                <w:i/>
                                <w:sz w:val="22"/>
                              </w:rPr>
                              <w:t xml:space="preserve">lower </w:t>
                            </w:r>
                            <w:r w:rsidRPr="003C7A55">
                              <w:rPr>
                                <w:b/>
                                <w:i/>
                                <w:sz w:val="22"/>
                              </w:rPr>
                              <w:t>correlation</w:t>
                            </w:r>
                            <w:r>
                              <w:rPr>
                                <w:b/>
                                <w:i/>
                                <w:sz w:val="22"/>
                              </w:rPr>
                              <w:t xml:space="preserve"> rates</w:t>
                            </w:r>
                            <w:r w:rsidRPr="003C7A55">
                              <w:rPr>
                                <w:b/>
                                <w:i/>
                                <w:sz w:val="22"/>
                              </w:rPr>
                              <w:t xml:space="preserve"> </w:t>
                            </w:r>
                            <w:r>
                              <w:rPr>
                                <w:b/>
                                <w:i/>
                                <w:sz w:val="22"/>
                              </w:rPr>
                              <w:t xml:space="preserve">in fold changes </w:t>
                            </w:r>
                            <w:r w:rsidRPr="003C7A55">
                              <w:rPr>
                                <w:b/>
                                <w:i/>
                                <w:sz w:val="22"/>
                              </w:rPr>
                              <w:t xml:space="preserve">between the separate repeats </w:t>
                            </w:r>
                          </w:p>
                          <w:p w14:paraId="5C65D8A3" w14:textId="47C142B0" w:rsidR="00E82D3B" w:rsidRDefault="00E82D3B" w:rsidP="007C58EA">
                            <w:pPr>
                              <w:jc w:val="both"/>
                              <w:rPr>
                                <w:i/>
                                <w:sz w:val="22"/>
                              </w:rPr>
                            </w:pPr>
                            <w:r>
                              <w:rPr>
                                <w:i/>
                                <w:sz w:val="22"/>
                              </w:rPr>
                              <w:t xml:space="preserve">a.) Dot plot of all three repeats combined of control vs YFP SRCAP, with the red dots being positive fold changes, the green dot being negative fold changes and the grey showing genes which have not changed in expression between control and SRCAP over-expression samples. </w:t>
                            </w:r>
                          </w:p>
                          <w:p w14:paraId="4A34D4A2" w14:textId="77777777" w:rsidR="00E82D3B" w:rsidRDefault="00E82D3B" w:rsidP="007C58EA">
                            <w:pPr>
                              <w:jc w:val="both"/>
                              <w:rPr>
                                <w:i/>
                                <w:sz w:val="22"/>
                              </w:rPr>
                            </w:pPr>
                            <w:r>
                              <w:rPr>
                                <w:i/>
                                <w:sz w:val="22"/>
                              </w:rPr>
                              <w:t xml:space="preserve">b.) Table of values for the separate fold changes in each repeat, highlighting how many fold changes overall there were, taking into account both positive and negative, and displaying the means, medians and ranges. </w:t>
                            </w:r>
                          </w:p>
                          <w:p w14:paraId="67CE2883" w14:textId="627B0079" w:rsidR="00E82D3B" w:rsidRDefault="00E82D3B" w:rsidP="007C58EA">
                            <w:pPr>
                              <w:jc w:val="both"/>
                              <w:rPr>
                                <w:i/>
                                <w:sz w:val="22"/>
                              </w:rPr>
                            </w:pPr>
                            <w:r>
                              <w:rPr>
                                <w:i/>
                                <w:sz w:val="22"/>
                              </w:rPr>
                              <w:t xml:space="preserve">c.) </w:t>
                            </w:r>
                            <w:proofErr w:type="gramStart"/>
                            <w:r>
                              <w:rPr>
                                <w:i/>
                                <w:sz w:val="22"/>
                              </w:rPr>
                              <w:t>A</w:t>
                            </w:r>
                            <w:proofErr w:type="gramEnd"/>
                            <w:r>
                              <w:rPr>
                                <w:i/>
                                <w:sz w:val="22"/>
                              </w:rPr>
                              <w:t xml:space="preserve"> graphical boxplot representation of the summary of the fold changes across the three repeats using the Tukey method as outlined in Figure 6.4c. Here only repeat 3 has outliers.</w:t>
                            </w:r>
                          </w:p>
                          <w:p w14:paraId="6AF50560" w14:textId="77777777" w:rsidR="00E82D3B" w:rsidRPr="003C7A55" w:rsidRDefault="00E82D3B" w:rsidP="007C58EA">
                            <w:pPr>
                              <w:jc w:val="both"/>
                              <w:rPr>
                                <w:i/>
                                <w:sz w:val="22"/>
                              </w:rPr>
                            </w:pPr>
                            <w:r>
                              <w:rPr>
                                <w:i/>
                                <w:sz w:val="22"/>
                              </w:rPr>
                              <w:t>d.) A non-parametric Spearman’s correlation test was conducted on the three separate repeats to assess correlation, there were much lower R values for each pairing then in the control vs si6 data, especially 2 vs 3 with an R value of 0.08 and a less significant p value.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4" o:spid="_x0000_s1187" type="#_x0000_t202" style="position:absolute;margin-left:-8.95pt;margin-top:369pt;width:6in;height:198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" filled="f" stroked="f">
                <v:textbox>
                  <w:txbxContent>
                    <w:p w14:paraId="7B7897D6" w14:textId="77777777" w:rsidR="000A1E0D" w:rsidRDefault="000A1E0D" w:rsidP="007C58EA">
                      <w:pPr>
                        <w:jc w:val="both"/>
                        <w:rPr>
                          <w:b/>
                          <w:i/>
                          <w:sz w:val="22"/>
                        </w:rPr>
                      </w:pPr>
                      <w:r>
                        <w:rPr>
                          <w:b/>
                          <w:i/>
                          <w:sz w:val="22"/>
                        </w:rPr>
                        <w:t>Figure 6.7 Control vs. YFP SRCAP</w:t>
                      </w:r>
                      <w:r w:rsidRPr="003C7A55">
                        <w:rPr>
                          <w:b/>
                          <w:i/>
                          <w:sz w:val="22"/>
                        </w:rPr>
                        <w:t xml:space="preserve"> data shows </w:t>
                      </w:r>
                      <w:r>
                        <w:rPr>
                          <w:b/>
                          <w:i/>
                          <w:sz w:val="22"/>
                        </w:rPr>
                        <w:t xml:space="preserve">lower </w:t>
                      </w:r>
                      <w:r w:rsidRPr="003C7A55">
                        <w:rPr>
                          <w:b/>
                          <w:i/>
                          <w:sz w:val="22"/>
                        </w:rPr>
                        <w:t>correlation</w:t>
                      </w:r>
                      <w:r>
                        <w:rPr>
                          <w:b/>
                          <w:i/>
                          <w:sz w:val="22"/>
                        </w:rPr>
                        <w:t xml:space="preserve"> rates</w:t>
                      </w:r>
                      <w:r w:rsidRPr="003C7A55">
                        <w:rPr>
                          <w:b/>
                          <w:i/>
                          <w:sz w:val="22"/>
                        </w:rPr>
                        <w:t xml:space="preserve"> </w:t>
                      </w:r>
                      <w:r>
                        <w:rPr>
                          <w:b/>
                          <w:i/>
                          <w:sz w:val="22"/>
                        </w:rPr>
                        <w:t xml:space="preserve">in fold changes </w:t>
                      </w:r>
                      <w:r w:rsidRPr="003C7A55">
                        <w:rPr>
                          <w:b/>
                          <w:i/>
                          <w:sz w:val="22"/>
                        </w:rPr>
                        <w:t xml:space="preserve">between the separate repeats </w:t>
                      </w:r>
                    </w:p>
                    <w:p w14:paraId="5C65D8A3" w14:textId="47C142B0" w:rsidR="000A1E0D" w:rsidRDefault="000A1E0D" w:rsidP="007C58EA">
                      <w:pPr>
                        <w:jc w:val="both"/>
                        <w:rPr>
                          <w:i/>
                          <w:sz w:val="22"/>
                        </w:rPr>
                      </w:pPr>
                      <w:r>
                        <w:rPr>
                          <w:i/>
                          <w:sz w:val="22"/>
                        </w:rPr>
                        <w:t xml:space="preserve">a.) Dot plot of all three repeats combined of control vs YFP SRCAP, with the red dots being positive fold changes, the green dot being negative fold changes and the grey showing genes which have not changed in expression between control and SRCAP over-expression samples. </w:t>
                      </w:r>
                    </w:p>
                    <w:p w14:paraId="4A34D4A2" w14:textId="77777777" w:rsidR="000A1E0D" w:rsidRDefault="000A1E0D" w:rsidP="007C58EA">
                      <w:pPr>
                        <w:jc w:val="both"/>
                        <w:rPr>
                          <w:i/>
                          <w:sz w:val="22"/>
                        </w:rPr>
                      </w:pPr>
                      <w:r>
                        <w:rPr>
                          <w:i/>
                          <w:sz w:val="22"/>
                        </w:rPr>
                        <w:t xml:space="preserve">b.) Table of values for the separate fold changes in each repeat, highlighting how many fold changes overall there were, taking into account both positive and negative, and displaying the means, medians and ranges. </w:t>
                      </w:r>
                    </w:p>
                    <w:p w14:paraId="67CE2883" w14:textId="627B0079" w:rsidR="000A1E0D" w:rsidRDefault="000A1E0D" w:rsidP="007C58EA">
                      <w:pPr>
                        <w:jc w:val="both"/>
                        <w:rPr>
                          <w:i/>
                          <w:sz w:val="22"/>
                        </w:rPr>
                      </w:pPr>
                      <w:r>
                        <w:rPr>
                          <w:i/>
                          <w:sz w:val="22"/>
                        </w:rPr>
                        <w:t xml:space="preserve">c.) </w:t>
                      </w:r>
                      <w:proofErr w:type="gramStart"/>
                      <w:r>
                        <w:rPr>
                          <w:i/>
                          <w:sz w:val="22"/>
                        </w:rPr>
                        <w:t>A</w:t>
                      </w:r>
                      <w:proofErr w:type="gramEnd"/>
                      <w:r>
                        <w:rPr>
                          <w:i/>
                          <w:sz w:val="22"/>
                        </w:rPr>
                        <w:t xml:space="preserve"> graphical boxplot representation of the summary of the fold changes across the three repeats using the Tukey method as outlined in Figure 6.4c. Here only repeat 3 has outliers.</w:t>
                      </w:r>
                    </w:p>
                    <w:p w14:paraId="6AF50560" w14:textId="77777777" w:rsidR="000A1E0D" w:rsidRPr="003C7A55" w:rsidRDefault="000A1E0D" w:rsidP="007C58EA">
                      <w:pPr>
                        <w:jc w:val="both"/>
                        <w:rPr>
                          <w:i/>
                          <w:sz w:val="22"/>
                        </w:rPr>
                      </w:pPr>
                      <w:r>
                        <w:rPr>
                          <w:i/>
                          <w:sz w:val="22"/>
                        </w:rPr>
                        <w:t>d.) A non-parametric Spearman’s correlation test was conducted on the three separate repeats to assess correlation, there were much lower R values for each pairing then in the control vs si6 data, especially 2 vs 3 with an R value of 0.08 and a less significant p value.</w:t>
                      </w:r>
                    </w:p>
                  </w:txbxContent>
                </v:textbox>
                <w10:wrap type="square"/>
              </v:shape>
            </w:pict>
          </mc:Fallback>
        </mc:AlternateContent>
      </w:r>
      <w:r>
        <w:rPr>
          <w:rFonts w:asciiTheme="majorHAnsi" w:hAnsiTheme="majorHAnsi"/>
          <w:noProof/>
          <w:lang w:val="en-US"/>
        </w:rPr>
        <w:drawing>
          <wp:anchor distT="0" distB="0" distL="114300" distR="114300" simplePos="0" relativeHeight="252090368" behindDoc="0" locked="0" layoutInCell="1" allowOverlap="1" wp14:anchorId="4C13563A" wp14:editId="1CDFD487">
            <wp:simplePos x="0" y="0"/>
            <wp:positionH relativeFrom="column">
              <wp:posOffset>-457200</wp:posOffset>
            </wp:positionH>
            <wp:positionV relativeFrom="paragraph">
              <wp:posOffset>114300</wp:posOffset>
            </wp:positionV>
            <wp:extent cx="5994400" cy="4572000"/>
            <wp:effectExtent l="0" t="0" r="0" b="0"/>
            <wp:wrapSquare wrapText="bothSides"/>
            <wp:docPr id="362" name="Picture 362" descr="Macintosh HD:Users:ClairFellows:Desktop:Screen Shot 2017-10-12 at 10.0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airFellows:Desktop:Screen Shot 2017-10-12 at 10.00.44.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94400"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rPr>
        <w:br w:type="page"/>
      </w:r>
    </w:p>
    <w:p w14:paraId="72E0D41A" w14:textId="2359AF3F" w:rsidR="007C58EA" w:rsidRDefault="007C58EA" w:rsidP="007C58EA">
      <w:pPr>
        <w:spacing w:line="360" w:lineRule="auto"/>
        <w:jc w:val="both"/>
        <w:rPr>
          <w:rFonts w:asciiTheme="majorHAnsi" w:hAnsiTheme="majorHAnsi"/>
        </w:rPr>
      </w:pPr>
      <w:r>
        <w:rPr>
          <w:rFonts w:asciiTheme="majorHAnsi" w:hAnsiTheme="majorHAnsi"/>
        </w:rPr>
        <w:t xml:space="preserve">Initial analysis aimed to identify if any genes were found across all the repeats when taking the top 20 positive and negative fold changes. In the positive fold change cohort there were no genes that were down regulated across all three repeats when </w:t>
      </w:r>
      <w:r w:rsidRPr="00C47C79">
        <w:rPr>
          <w:rFonts w:asciiTheme="majorHAnsi" w:hAnsiTheme="majorHAnsi"/>
          <w:i/>
        </w:rPr>
        <w:t>SRCAP</w:t>
      </w:r>
      <w:r w:rsidR="00377382">
        <w:rPr>
          <w:rFonts w:asciiTheme="majorHAnsi" w:hAnsiTheme="majorHAnsi"/>
        </w:rPr>
        <w:t xml:space="preserve"> was over-</w:t>
      </w:r>
      <w:r>
        <w:rPr>
          <w:rFonts w:asciiTheme="majorHAnsi" w:hAnsiTheme="majorHAnsi"/>
        </w:rPr>
        <w:t xml:space="preserve">expressed (Figure 6.8a). However, </w:t>
      </w:r>
      <w:r w:rsidRPr="00C47C79">
        <w:rPr>
          <w:rFonts w:asciiTheme="majorHAnsi" w:hAnsiTheme="majorHAnsi"/>
          <w:i/>
        </w:rPr>
        <w:t>SOX4</w:t>
      </w:r>
      <w:r>
        <w:rPr>
          <w:rFonts w:asciiTheme="majorHAnsi" w:hAnsiTheme="majorHAnsi"/>
        </w:rPr>
        <w:t xml:space="preserve"> was down regulated in repeat 1 and 2. And with the non-correlation of test three, it could be that this is a real hit. </w:t>
      </w:r>
      <w:r w:rsidRPr="00C47C79">
        <w:rPr>
          <w:rFonts w:asciiTheme="majorHAnsi" w:hAnsiTheme="majorHAnsi"/>
          <w:i/>
        </w:rPr>
        <w:t>SOX4</w:t>
      </w:r>
      <w:r>
        <w:rPr>
          <w:rFonts w:asciiTheme="majorHAnsi" w:hAnsiTheme="majorHAnsi"/>
        </w:rPr>
        <w:t xml:space="preserve"> is a transcriptional regulator that does have implications in tumourigenesis </w:t>
      </w:r>
      <w:r>
        <w:rPr>
          <w:rFonts w:asciiTheme="majorHAnsi" w:hAnsiTheme="majorHAnsi"/>
        </w:rPr>
        <w:fldChar w:fldCharType="begin">
          <w:fldData xml:space="preserve">PEVuZE5vdGU+PENpdGU+PEF1dGhvcj5DaGVuZzwvQXV0aG9yPjxZZWFyPjIwMTc8L1llYXI+PElE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PEVuZE5vdGU+PENpdGU+PEF1dGhvcj5DaGVuZzwvQXV0aG9yPjxZZWFyPjIwMTc8L1llYXI+PElE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(Cheng et al., 2017, Ruan et al., 2017)</w:t>
      </w:r>
      <w:r>
        <w:rPr>
          <w:rFonts w:asciiTheme="majorHAnsi" w:hAnsiTheme="majorHAnsi"/>
        </w:rPr>
        <w:fldChar w:fldCharType="end"/>
      </w:r>
      <w:r>
        <w:rPr>
          <w:rFonts w:asciiTheme="majorHAnsi" w:hAnsiTheme="majorHAnsi"/>
        </w:rPr>
        <w:t xml:space="preserve">. Putting all these genes into the STRING database came up with pathway enrichment for the negative regulation of cellular processes (Figure 6.8b), this would mean that negative regulators of cellular processes would have decreased expression when </w:t>
      </w:r>
      <w:r w:rsidRPr="00C47C79">
        <w:rPr>
          <w:rFonts w:asciiTheme="majorHAnsi" w:hAnsiTheme="majorHAnsi"/>
          <w:i/>
        </w:rPr>
        <w:t>SRCAP</w:t>
      </w:r>
      <w:r w:rsidR="00377382">
        <w:rPr>
          <w:rFonts w:asciiTheme="majorHAnsi" w:hAnsiTheme="majorHAnsi"/>
        </w:rPr>
        <w:t xml:space="preserve"> was over-</w:t>
      </w:r>
      <w:r>
        <w:rPr>
          <w:rFonts w:asciiTheme="majorHAnsi" w:hAnsiTheme="majorHAnsi"/>
        </w:rPr>
        <w:t xml:space="preserve">expressed, therefore resulting in a positive regulation. However, ‘cellular processes’ is a vague and broad term and could therefore include </w:t>
      </w:r>
      <w:r w:rsidR="006860E1">
        <w:rPr>
          <w:rFonts w:asciiTheme="majorHAnsi" w:hAnsiTheme="majorHAnsi"/>
        </w:rPr>
        <w:t>many</w:t>
      </w:r>
      <w:r>
        <w:rPr>
          <w:rFonts w:asciiTheme="majorHAnsi" w:hAnsiTheme="majorHAnsi"/>
        </w:rPr>
        <w:t xml:space="preserve"> different genes</w:t>
      </w:r>
      <w:r w:rsidR="006860E1">
        <w:rPr>
          <w:rFonts w:asciiTheme="majorHAnsi" w:hAnsiTheme="majorHAnsi"/>
        </w:rPr>
        <w:t xml:space="preserve"> and pathways</w:t>
      </w:r>
      <w:r>
        <w:rPr>
          <w:rFonts w:asciiTheme="majorHAnsi" w:hAnsiTheme="majorHAnsi"/>
        </w:rPr>
        <w:t>. As can be seen from Figure 6.8b the dots in red indicating these negative regul</w:t>
      </w:r>
      <w:r w:rsidR="006860E1">
        <w:rPr>
          <w:rFonts w:asciiTheme="majorHAnsi" w:hAnsiTheme="majorHAnsi"/>
        </w:rPr>
        <w:t>ators of cellular processes do no</w:t>
      </w:r>
      <w:r>
        <w:rPr>
          <w:rFonts w:asciiTheme="majorHAnsi" w:hAnsiTheme="majorHAnsi"/>
        </w:rPr>
        <w:t>t appear to be connected into networks a</w:t>
      </w:r>
      <w:r w:rsidR="00F460FC">
        <w:rPr>
          <w:rFonts w:asciiTheme="majorHAnsi" w:hAnsiTheme="majorHAnsi"/>
        </w:rPr>
        <w:t>nd so it appears that there is no</w:t>
      </w:r>
      <w:r>
        <w:rPr>
          <w:rFonts w:asciiTheme="majorHAnsi" w:hAnsiTheme="majorHAnsi"/>
        </w:rPr>
        <w:t>t a confident enrichment for a particular pathway.</w:t>
      </w:r>
    </w:p>
    <w:p w14:paraId="3635D678" w14:textId="77777777" w:rsidR="007C58EA" w:rsidRDefault="007C58EA" w:rsidP="007C58EA">
      <w:pPr>
        <w:spacing w:line="360" w:lineRule="auto"/>
        <w:jc w:val="both"/>
        <w:rPr>
          <w:rFonts w:asciiTheme="majorHAnsi" w:hAnsiTheme="majorHAnsi"/>
        </w:rPr>
      </w:pPr>
    </w:p>
    <w:p w14:paraId="4A717829" w14:textId="0433C287" w:rsidR="007C58EA" w:rsidRDefault="007C58EA" w:rsidP="007C58EA">
      <w:pPr>
        <w:spacing w:line="360" w:lineRule="auto"/>
        <w:jc w:val="both"/>
        <w:rPr>
          <w:rFonts w:asciiTheme="majorHAnsi" w:hAnsiTheme="majorHAnsi"/>
        </w:rPr>
      </w:pPr>
      <w:r>
        <w:rPr>
          <w:rFonts w:asciiTheme="majorHAnsi" w:hAnsiTheme="majorHAnsi"/>
        </w:rPr>
        <w:t>In the negative fold cohort t</w:t>
      </w:r>
      <w:r w:rsidR="006860E1">
        <w:rPr>
          <w:rFonts w:asciiTheme="majorHAnsi" w:hAnsiTheme="majorHAnsi"/>
        </w:rPr>
        <w:t>here was one gene that was over-</w:t>
      </w:r>
      <w:r>
        <w:rPr>
          <w:rFonts w:asciiTheme="majorHAnsi" w:hAnsiTheme="majorHAnsi"/>
        </w:rPr>
        <w:t xml:space="preserve">expressed across all three repeats when </w:t>
      </w:r>
      <w:r w:rsidRPr="00C47C79">
        <w:rPr>
          <w:rFonts w:asciiTheme="majorHAnsi" w:hAnsiTheme="majorHAnsi"/>
          <w:i/>
        </w:rPr>
        <w:t>SRCAP</w:t>
      </w:r>
      <w:r w:rsidR="006860E1">
        <w:rPr>
          <w:rFonts w:asciiTheme="majorHAnsi" w:hAnsiTheme="majorHAnsi"/>
        </w:rPr>
        <w:t xml:space="preserve"> was over-</w:t>
      </w:r>
      <w:r>
        <w:rPr>
          <w:rFonts w:asciiTheme="majorHAnsi" w:hAnsiTheme="majorHAnsi"/>
        </w:rPr>
        <w:t xml:space="preserve">expressed (Figure 6.9a). This was </w:t>
      </w:r>
      <w:r w:rsidRPr="00C47C79">
        <w:rPr>
          <w:rFonts w:asciiTheme="majorHAnsi" w:hAnsiTheme="majorHAnsi"/>
          <w:i/>
        </w:rPr>
        <w:t>CPA4</w:t>
      </w:r>
      <w:proofErr w:type="gramStart"/>
      <w:r>
        <w:rPr>
          <w:rFonts w:asciiTheme="majorHAnsi" w:hAnsiTheme="majorHAnsi"/>
        </w:rPr>
        <w:t>;</w:t>
      </w:r>
      <w:proofErr w:type="gramEnd"/>
      <w:r>
        <w:rPr>
          <w:rFonts w:asciiTheme="majorHAnsi" w:hAnsiTheme="majorHAnsi"/>
        </w:rPr>
        <w:t xml:space="preserve"> this gene catalyses the release of carboxy terminal amino acids as its primary function. However, it has been implicated in histone acetylation and prostate cancer aggressiveness </w:t>
      </w:r>
      <w:r>
        <w:rPr>
          <w:rFonts w:asciiTheme="majorHAnsi" w:hAnsiTheme="majorHAnsi"/>
        </w:rPr>
        <w:fldChar w:fldCharType="begin"/>
      </w:r>
      <w:r>
        <w:rPr>
          <w:rFonts w:asciiTheme="majorHAnsi" w:hAnsiTheme="majorHAnsi"/>
        </w:rPr>
        <w:instrText xml:space="preserve"> ADDIN EN.CITE &lt;EndNote&gt;&lt;Cite&gt;&lt;Author&gt;Ross&lt;/Author&gt;&lt;Year&gt;2009&lt;/Year&gt;&lt;IDText&gt;Carboxypeptidase 4 gene variants and early-onset intermediate-to-high risk prostate cancer&lt;/IDText&gt;&lt;DisplayText&gt;(Ross et al., 2009)&lt;/DisplayText&gt;&lt;record&gt;&lt;dates&gt;&lt;pub-dates&gt;&lt;date&gt;Feb&lt;/date&gt;&lt;/pub-dates&gt;&lt;year&gt;2009&lt;/year&gt;&lt;/dates&gt;&lt;keywords&gt;&lt;keyword&gt;African Americans&lt;/keyword&gt;&lt;keyword&gt;Age Factors&lt;/keyword&gt;&lt;keyword&gt;Aged&lt;/keyword&gt;&lt;keyword&gt;Carboxypeptidases&lt;/keyword&gt;&lt;keyword&gt;Carboxypeptidases A&lt;/keyword&gt;&lt;keyword&gt;Early Diagnosis&lt;/keyword&gt;&lt;keyword&gt;European Continental Ancestry Group&lt;/keyword&gt;&lt;keyword&gt;Gene Frequency&lt;/keyword&gt;&lt;keyword&gt;Genetic Predisposition to Disease&lt;/keyword&gt;&lt;keyword&gt;Humans&lt;/keyword&gt;&lt;keyword&gt;Introns&lt;/keyword&gt;&lt;keyword&gt;Male&lt;/keyword&gt;&lt;keyword&gt;Middle Aged&lt;/keyword&gt;&lt;keyword&gt;Neoplasm Staging&lt;/keyword&gt;&lt;keyword&gt;Polymorphism, Single Nucleotide&lt;/keyword&gt;&lt;keyword&gt;Prostatic Neoplasms&lt;/keyword&gt;&lt;/keywords&gt;&lt;urls&gt;&lt;related-urls&gt;&lt;url&gt;https://www.ncbi.nlm.nih.gov/pubmed/19245716&lt;/url&gt;&lt;/related-urls&gt;&lt;/urls&gt;&lt;isbn&gt;1471-2407&lt;/isbn&gt;&lt;custom2&gt;PMC2657151&lt;/custom2&gt;&lt;titles&gt;&lt;title&gt;Carboxypeptidase 4 gene variants and early-onset intermediate-to-high risk prostate cancer&lt;/title&gt;&lt;secondary-title&gt;BMC Cancer&lt;/secondary-title&gt;&lt;/titles&gt;&lt;pages&gt;69&lt;/pages&gt;&lt;contributors&gt;&lt;authors&gt;&lt;author&gt;Ross, P. L.&lt;/author&gt;&lt;author&gt;Cheng, I.&lt;/author&gt;&lt;author&gt;Liu, X.&lt;/author&gt;&lt;author&gt;Cicek, M. S.&lt;/author&gt;&lt;author&gt;Carroll, P. R.&lt;/author&gt;&lt;author&gt;Casey, G.&lt;/author&gt;&lt;author&gt;Witte, J. S.&lt;/author&gt;&lt;/authors&gt;&lt;/contributors&gt;&lt;edition&gt;2009/02/26&lt;/edition&gt;&lt;language&gt;eng&lt;/language&gt;&lt;added-date format="utc"&gt;1510831035&lt;/added-date&gt;&lt;ref-type name="Journal Article"&gt;17&lt;/ref-type&gt;&lt;rec-number&gt;368&lt;/rec-number&gt;&lt;last-updated-date format="utc"&gt;1510831035&lt;/last-updated-date&gt;&lt;accession-num&gt;19245716&lt;/accession-num&gt;&lt;electronic-resource-num&gt;10.1186/1471-2407-9-69&lt;/electronic-resource-num&gt;&lt;volume&gt;9&lt;/volume&gt;&lt;/record&gt;&lt;/Cite&gt;&lt;/EndNote&gt;</w:instrText>
      </w:r>
      <w:r>
        <w:rPr>
          <w:rFonts w:asciiTheme="majorHAnsi" w:hAnsiTheme="majorHAnsi"/>
        </w:rPr>
        <w:fldChar w:fldCharType="separate"/>
      </w:r>
      <w:r>
        <w:rPr>
          <w:rFonts w:asciiTheme="majorHAnsi" w:hAnsiTheme="majorHAnsi"/>
          <w:noProof/>
        </w:rPr>
        <w:t>(Ross et al., 2009)</w:t>
      </w:r>
      <w:r>
        <w:rPr>
          <w:rFonts w:asciiTheme="majorHAnsi" w:hAnsiTheme="majorHAnsi"/>
        </w:rPr>
        <w:fldChar w:fldCharType="end"/>
      </w:r>
      <w:r>
        <w:rPr>
          <w:rFonts w:asciiTheme="majorHAnsi" w:hAnsiTheme="majorHAnsi"/>
        </w:rPr>
        <w:t xml:space="preserve">. Therefore, the fact that </w:t>
      </w:r>
      <w:r w:rsidRPr="00C47C79">
        <w:rPr>
          <w:rFonts w:asciiTheme="majorHAnsi" w:hAnsiTheme="majorHAnsi"/>
          <w:i/>
        </w:rPr>
        <w:t>CPA4</w:t>
      </w:r>
      <w:r w:rsidR="006860E1">
        <w:rPr>
          <w:rFonts w:asciiTheme="majorHAnsi" w:hAnsiTheme="majorHAnsi"/>
        </w:rPr>
        <w:t xml:space="preserve"> is over-</w:t>
      </w:r>
      <w:r>
        <w:rPr>
          <w:rFonts w:asciiTheme="majorHAnsi" w:hAnsiTheme="majorHAnsi"/>
        </w:rPr>
        <w:t xml:space="preserve">expressed in conjunction with </w:t>
      </w:r>
      <w:r w:rsidRPr="00C47C79">
        <w:rPr>
          <w:rFonts w:asciiTheme="majorHAnsi" w:hAnsiTheme="majorHAnsi"/>
          <w:i/>
        </w:rPr>
        <w:t>SRCAP</w:t>
      </w:r>
      <w:r>
        <w:rPr>
          <w:rFonts w:asciiTheme="majorHAnsi" w:hAnsiTheme="majorHAnsi"/>
        </w:rPr>
        <w:t xml:space="preserve"> over</w:t>
      </w:r>
      <w:r w:rsidR="006860E1">
        <w:rPr>
          <w:rFonts w:asciiTheme="majorHAnsi" w:hAnsiTheme="majorHAnsi"/>
        </w:rPr>
        <w:t>-</w:t>
      </w:r>
      <w:r>
        <w:rPr>
          <w:rFonts w:asciiTheme="majorHAnsi" w:hAnsiTheme="majorHAnsi"/>
        </w:rPr>
        <w:t xml:space="preserve">expression could prove interesting, also of note was that the fold change in </w:t>
      </w:r>
      <w:r w:rsidRPr="00C47C79">
        <w:rPr>
          <w:rFonts w:asciiTheme="majorHAnsi" w:hAnsiTheme="majorHAnsi"/>
          <w:i/>
        </w:rPr>
        <w:t>CPA4</w:t>
      </w:r>
      <w:r>
        <w:rPr>
          <w:rFonts w:asciiTheme="majorHAnsi" w:hAnsiTheme="majorHAnsi"/>
        </w:rPr>
        <w:t xml:space="preserve"> increased as the </w:t>
      </w:r>
      <w:r w:rsidRPr="00C47C79">
        <w:rPr>
          <w:rFonts w:asciiTheme="majorHAnsi" w:hAnsiTheme="majorHAnsi"/>
          <w:i/>
        </w:rPr>
        <w:t>SRCAP</w:t>
      </w:r>
      <w:r w:rsidR="006860E1">
        <w:rPr>
          <w:rFonts w:asciiTheme="majorHAnsi" w:hAnsiTheme="majorHAnsi"/>
        </w:rPr>
        <w:t xml:space="preserve"> over-expression increased. T</w:t>
      </w:r>
      <w:r>
        <w:rPr>
          <w:rFonts w:asciiTheme="majorHAnsi" w:hAnsiTheme="majorHAnsi"/>
        </w:rPr>
        <w:t xml:space="preserve">est 1 had the lowest </w:t>
      </w:r>
      <w:r w:rsidRPr="00C47C79">
        <w:rPr>
          <w:rFonts w:asciiTheme="majorHAnsi" w:hAnsiTheme="majorHAnsi"/>
          <w:i/>
        </w:rPr>
        <w:t>SRCAP</w:t>
      </w:r>
      <w:r>
        <w:rPr>
          <w:rFonts w:asciiTheme="majorHAnsi" w:hAnsiTheme="majorHAnsi"/>
        </w:rPr>
        <w:t xml:space="preserve"> expression </w:t>
      </w:r>
      <w:r w:rsidR="006860E1">
        <w:rPr>
          <w:rFonts w:asciiTheme="majorHAnsi" w:hAnsiTheme="majorHAnsi"/>
        </w:rPr>
        <w:t>(F</w:t>
      </w:r>
      <w:r>
        <w:rPr>
          <w:rFonts w:asciiTheme="majorHAnsi" w:hAnsiTheme="majorHAnsi"/>
        </w:rPr>
        <w:t>igure 6.1b</w:t>
      </w:r>
      <w:r w:rsidR="006860E1">
        <w:rPr>
          <w:rFonts w:asciiTheme="majorHAnsi" w:hAnsiTheme="majorHAnsi"/>
        </w:rPr>
        <w:t>), a</w:t>
      </w:r>
      <w:r>
        <w:rPr>
          <w:rFonts w:asciiTheme="majorHAnsi" w:hAnsiTheme="majorHAnsi"/>
        </w:rPr>
        <w:t xml:space="preserve">nd had the lowest fold change of </w:t>
      </w:r>
      <w:r w:rsidRPr="00C47C79">
        <w:rPr>
          <w:rFonts w:asciiTheme="majorHAnsi" w:hAnsiTheme="majorHAnsi"/>
          <w:i/>
        </w:rPr>
        <w:t>CPA4</w:t>
      </w:r>
      <w:r>
        <w:rPr>
          <w:rFonts w:asciiTheme="majorHAnsi" w:hAnsiTheme="majorHAnsi"/>
        </w:rPr>
        <w:t xml:space="preserve"> at -4.07 and test three had the highest </w:t>
      </w:r>
      <w:r w:rsidRPr="00C47C79">
        <w:rPr>
          <w:rFonts w:asciiTheme="majorHAnsi" w:hAnsiTheme="majorHAnsi"/>
          <w:i/>
        </w:rPr>
        <w:t>SRCAP</w:t>
      </w:r>
      <w:r>
        <w:rPr>
          <w:rFonts w:asciiTheme="majorHAnsi" w:hAnsiTheme="majorHAnsi"/>
        </w:rPr>
        <w:t xml:space="preserve"> expression and also the highest fold change of -7.19 with repeat two sitting in </w:t>
      </w:r>
      <w:r w:rsidR="006860E1">
        <w:rPr>
          <w:rFonts w:asciiTheme="majorHAnsi" w:hAnsiTheme="majorHAnsi"/>
        </w:rPr>
        <w:t>the middle at -6.5. Putting the</w:t>
      </w:r>
      <w:r>
        <w:rPr>
          <w:rFonts w:asciiTheme="majorHAnsi" w:hAnsiTheme="majorHAnsi"/>
        </w:rPr>
        <w:t xml:space="preserve"> set of genes</w:t>
      </w:r>
      <w:r w:rsidR="006860E1">
        <w:rPr>
          <w:rFonts w:asciiTheme="majorHAnsi" w:hAnsiTheme="majorHAnsi"/>
        </w:rPr>
        <w:t xml:space="preserve"> in Figure 6.9a</w:t>
      </w:r>
      <w:r>
        <w:rPr>
          <w:rFonts w:asciiTheme="majorHAnsi" w:hAnsiTheme="majorHAnsi"/>
        </w:rPr>
        <w:t xml:space="preserve"> into STRING however, showed no enrichment for pathways or processes (Figure 6.9b). </w:t>
      </w:r>
    </w:p>
    <w:p w14:paraId="7E1B8A11" w14:textId="77777777" w:rsidR="007C58EA" w:rsidRDefault="007C58EA" w:rsidP="007C58EA">
      <w:pPr>
        <w:spacing w:line="360" w:lineRule="auto"/>
        <w:jc w:val="both"/>
        <w:rPr>
          <w:rFonts w:asciiTheme="majorHAnsi" w:hAnsiTheme="majorHAnsi"/>
        </w:rPr>
      </w:pPr>
    </w:p>
    <w:p w14:paraId="018CB1D4" w14:textId="77777777" w:rsidR="007C58EA" w:rsidRDefault="007C58EA" w:rsidP="007C58EA">
      <w:pPr>
        <w:rPr>
          <w:rFonts w:asciiTheme="majorHAnsi" w:hAnsiTheme="majorHAnsi"/>
        </w:rPr>
      </w:pPr>
      <w:r>
        <w:rPr>
          <w:rFonts w:asciiTheme="majorHAnsi" w:hAnsiTheme="majorHAnsi"/>
        </w:rPr>
        <w:br w:type="page"/>
      </w:r>
    </w:p>
    <w:tbl>
      <w:tblPr>
        <w:tblW w:w="0" w:type="auto"/>
        <w:tblInd w:w="93" w:type="dxa"/>
        <w:tblLook w:val="04A0" w:firstRow="1" w:lastRow="0" w:firstColumn="1" w:lastColumn="0" w:noHBand="0" w:noVBand="1"/>
      </w:tblPr>
      <w:tblGrid>
        <w:gridCol w:w="855"/>
        <w:gridCol w:w="1016"/>
        <w:gridCol w:w="1071"/>
        <w:gridCol w:w="1016"/>
        <w:gridCol w:w="924"/>
        <w:gridCol w:w="1016"/>
      </w:tblGrid>
      <w:tr w:rsidR="007C58EA" w:rsidRPr="002F3D7C" w14:paraId="48E3F240" w14:textId="77777777" w:rsidTr="002C01B6">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0D8ECB0A" w14:textId="77777777" w:rsidR="007C58EA" w:rsidRPr="002F3D7C" w:rsidRDefault="007C58EA" w:rsidP="002C01B6">
            <w:pPr>
              <w:jc w:val="center"/>
              <w:rPr>
                <w:rFonts w:ascii="Calibri" w:eastAsia="Times New Roman" w:hAnsi="Calibri" w:cs="Times New Roman"/>
                <w:color w:val="000000"/>
                <w:sz w:val="16"/>
                <w:szCs w:val="16"/>
              </w:rPr>
            </w:pPr>
            <w:r>
              <w:rPr>
                <w:rFonts w:asciiTheme="majorHAnsi" w:hAnsiTheme="majorHAnsi"/>
                <w:noProof/>
                <w:lang w:val="en-US"/>
              </w:rPr>
              <mc:AlternateContent>
                <mc:Choice Requires="wps">
                  <w:drawing>
                    <wp:anchor distT="0" distB="0" distL="114300" distR="114300" simplePos="0" relativeHeight="252109824" behindDoc="0" locked="0" layoutInCell="1" allowOverlap="1" wp14:anchorId="51E8F045" wp14:editId="70566DDE">
                      <wp:simplePos x="0" y="0"/>
                      <wp:positionH relativeFrom="column">
                        <wp:posOffset>-440690</wp:posOffset>
                      </wp:positionH>
                      <wp:positionV relativeFrom="paragraph">
                        <wp:posOffset>-50165</wp:posOffset>
                      </wp:positionV>
                      <wp:extent cx="388620" cy="396240"/>
                      <wp:effectExtent l="0" t="0" r="0" b="10160"/>
                      <wp:wrapNone/>
                      <wp:docPr id="345" name="Text Box 345"/>
                      <wp:cNvGraphicFramePr/>
                      <a:graphic xmlns:a="http://schemas.openxmlformats.org/drawingml/2006/main">
                        <a:graphicData uri="http://schemas.microsoft.com/office/word/2010/wordprocessingShape">
                          <wps:wsp>
                            <wps:cNvSpPr txBox="1"/>
                            <wps:spPr>
                              <a:xfrm>
                                <a:off x="0" y="0"/>
                                <a:ext cx="388620" cy="3962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F53567" w14:textId="77777777" w:rsidR="00E82D3B" w:rsidRPr="003B5AC0" w:rsidRDefault="00E82D3B" w:rsidP="007C58EA">
                                  <w:pPr>
                                    <w:rPr>
                                      <w:b/>
                                    </w:rPr>
                                  </w:pPr>
                                  <w:proofErr w:type="gramStart"/>
                                  <w:r w:rsidRPr="003B5AC0">
                                    <w:rPr>
                                      <w:b/>
                                    </w:rPr>
                                    <w:t>a</w:t>
                                  </w:r>
                                  <w:proofErr w:type="gramEnd"/>
                                  <w:r w:rsidRPr="003B5AC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5" o:spid="_x0000_s1188" type="#_x0000_t202" style="position:absolute;left:0;text-align:left;margin-left:-34.65pt;margin-top:-3.9pt;width:30.6pt;height:31.2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HL99YCAAAaBgAADgAAAGRycy9lMm9Eb2MueG1srFRNb9swDL0P2H8QdE9tp06W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" filled="f" stroked="f">
                      <v:textbox>
                        <w:txbxContent>
                          <w:p w14:paraId="1BF53567" w14:textId="77777777" w:rsidR="000A1E0D" w:rsidRPr="003B5AC0" w:rsidRDefault="000A1E0D" w:rsidP="007C58EA">
                            <w:pPr>
                              <w:rPr>
                                <w:b/>
                              </w:rPr>
                            </w:pPr>
                            <w:proofErr w:type="gramStart"/>
                            <w:r w:rsidRPr="003B5AC0">
                              <w:rPr>
                                <w:b/>
                              </w:rPr>
                              <w:t>a</w:t>
                            </w:r>
                            <w:proofErr w:type="gramEnd"/>
                            <w:r w:rsidRPr="003B5AC0">
                              <w:rPr>
                                <w:b/>
                              </w:rPr>
                              <w:t>.)</w:t>
                            </w:r>
                          </w:p>
                        </w:txbxContent>
                      </v:textbox>
                    </v:shape>
                  </w:pict>
                </mc:Fallback>
              </mc:AlternateContent>
            </w:r>
            <w:r w:rsidRPr="002F3D7C">
              <w:rPr>
                <w:rFonts w:ascii="Calibri" w:eastAsia="Times New Roman" w:hAnsi="Calibri" w:cs="Times New Roman"/>
                <w:color w:val="000000"/>
                <w:sz w:val="16"/>
                <w:szCs w:val="16"/>
              </w:rPr>
              <w:t>1</w:t>
            </w:r>
          </w:p>
        </w:tc>
        <w:tc>
          <w:tcPr>
            <w:tcW w:w="0" w:type="auto"/>
            <w:gridSpan w:val="2"/>
            <w:tcBorders>
              <w:top w:val="single" w:sz="4" w:space="0" w:color="auto"/>
              <w:left w:val="nil"/>
              <w:bottom w:val="single" w:sz="4" w:space="0" w:color="auto"/>
              <w:right w:val="single" w:sz="4" w:space="0" w:color="auto"/>
            </w:tcBorders>
            <w:shd w:val="clear" w:color="000000" w:fill="BFBFBF"/>
            <w:noWrap/>
            <w:vAlign w:val="bottom"/>
            <w:hideMark/>
          </w:tcPr>
          <w:p w14:paraId="3A0FFAE1"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w:t>
            </w:r>
          </w:p>
        </w:tc>
        <w:tc>
          <w:tcPr>
            <w:tcW w:w="0" w:type="auto"/>
            <w:gridSpan w:val="2"/>
            <w:tcBorders>
              <w:top w:val="single" w:sz="4" w:space="0" w:color="auto"/>
              <w:left w:val="nil"/>
              <w:bottom w:val="single" w:sz="4" w:space="0" w:color="auto"/>
              <w:right w:val="single" w:sz="4" w:space="0" w:color="auto"/>
            </w:tcBorders>
            <w:shd w:val="clear" w:color="000000" w:fill="BFBFBF"/>
            <w:noWrap/>
            <w:vAlign w:val="bottom"/>
            <w:hideMark/>
          </w:tcPr>
          <w:p w14:paraId="12184A3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w:t>
            </w:r>
          </w:p>
        </w:tc>
      </w:tr>
      <w:tr w:rsidR="007C58EA" w:rsidRPr="002F3D7C" w14:paraId="1C8C4067" w14:textId="77777777" w:rsidTr="002C01B6">
        <w:trPr>
          <w:trHeight w:val="264"/>
        </w:trPr>
        <w:tc>
          <w:tcPr>
            <w:tcW w:w="0" w:type="auto"/>
            <w:tcBorders>
              <w:top w:val="nil"/>
              <w:left w:val="single" w:sz="4" w:space="0" w:color="auto"/>
              <w:bottom w:val="single" w:sz="4" w:space="0" w:color="auto"/>
              <w:right w:val="single" w:sz="4" w:space="0" w:color="auto"/>
            </w:tcBorders>
            <w:shd w:val="clear" w:color="000000" w:fill="0D0D0D"/>
            <w:noWrap/>
            <w:vAlign w:val="bottom"/>
            <w:hideMark/>
          </w:tcPr>
          <w:p w14:paraId="6BD16C05" w14:textId="77777777" w:rsidR="007C58EA" w:rsidRPr="002F3D7C" w:rsidRDefault="007C58EA" w:rsidP="002C01B6">
            <w:pPr>
              <w:jc w:val="center"/>
              <w:rPr>
                <w:rFonts w:ascii="Calibri" w:eastAsia="Times New Roman" w:hAnsi="Calibri" w:cs="Times New Roman"/>
                <w:color w:val="FFFFFF"/>
                <w:sz w:val="16"/>
                <w:szCs w:val="16"/>
              </w:rPr>
            </w:pPr>
            <w:r w:rsidRPr="002F3D7C">
              <w:rPr>
                <w:rFonts w:ascii="Calibri" w:eastAsia="Times New Roman" w:hAnsi="Calibri" w:cs="Times New Roman"/>
                <w:color w:val="FFFFFF"/>
                <w:sz w:val="16"/>
                <w:szCs w:val="16"/>
              </w:rPr>
              <w:t>Gene</w:t>
            </w:r>
          </w:p>
        </w:tc>
        <w:tc>
          <w:tcPr>
            <w:tcW w:w="0" w:type="auto"/>
            <w:tcBorders>
              <w:top w:val="nil"/>
              <w:left w:val="nil"/>
              <w:bottom w:val="single" w:sz="4" w:space="0" w:color="auto"/>
              <w:right w:val="single" w:sz="4" w:space="0" w:color="auto"/>
            </w:tcBorders>
            <w:shd w:val="clear" w:color="000000" w:fill="0D0D0D"/>
            <w:noWrap/>
            <w:vAlign w:val="bottom"/>
            <w:hideMark/>
          </w:tcPr>
          <w:p w14:paraId="5C29F5CC" w14:textId="77777777" w:rsidR="007C58EA" w:rsidRPr="002F3D7C" w:rsidRDefault="007C58EA" w:rsidP="002C01B6">
            <w:pPr>
              <w:jc w:val="center"/>
              <w:rPr>
                <w:rFonts w:ascii="Calibri" w:eastAsia="Times New Roman" w:hAnsi="Calibri" w:cs="Times New Roman"/>
                <w:color w:val="FFFFFF"/>
                <w:sz w:val="16"/>
                <w:szCs w:val="16"/>
              </w:rPr>
            </w:pPr>
            <w:r w:rsidRPr="002F3D7C">
              <w:rPr>
                <w:rFonts w:ascii="Calibri" w:eastAsia="Times New Roman" w:hAnsi="Calibri" w:cs="Times New Roman"/>
                <w:color w:val="FFFFFF"/>
                <w:sz w:val="16"/>
                <w:szCs w:val="16"/>
              </w:rPr>
              <w:t>Fold Change</w:t>
            </w:r>
          </w:p>
        </w:tc>
        <w:tc>
          <w:tcPr>
            <w:tcW w:w="0" w:type="auto"/>
            <w:tcBorders>
              <w:top w:val="nil"/>
              <w:left w:val="nil"/>
              <w:bottom w:val="single" w:sz="4" w:space="0" w:color="auto"/>
              <w:right w:val="single" w:sz="4" w:space="0" w:color="auto"/>
            </w:tcBorders>
            <w:shd w:val="clear" w:color="000000" w:fill="0D0D0D"/>
            <w:noWrap/>
            <w:vAlign w:val="bottom"/>
            <w:hideMark/>
          </w:tcPr>
          <w:p w14:paraId="50C78839" w14:textId="77777777" w:rsidR="007C58EA" w:rsidRPr="002F3D7C" w:rsidRDefault="007C58EA" w:rsidP="002C01B6">
            <w:pPr>
              <w:jc w:val="center"/>
              <w:rPr>
                <w:rFonts w:ascii="Calibri" w:eastAsia="Times New Roman" w:hAnsi="Calibri" w:cs="Times New Roman"/>
                <w:color w:val="FFFFFF"/>
                <w:sz w:val="16"/>
                <w:szCs w:val="16"/>
              </w:rPr>
            </w:pPr>
            <w:r w:rsidRPr="002F3D7C">
              <w:rPr>
                <w:rFonts w:ascii="Calibri" w:eastAsia="Times New Roman" w:hAnsi="Calibri" w:cs="Times New Roman"/>
                <w:color w:val="FFFFFF"/>
                <w:sz w:val="16"/>
                <w:szCs w:val="16"/>
              </w:rPr>
              <w:t>Gene</w:t>
            </w:r>
          </w:p>
        </w:tc>
        <w:tc>
          <w:tcPr>
            <w:tcW w:w="0" w:type="auto"/>
            <w:tcBorders>
              <w:top w:val="nil"/>
              <w:left w:val="nil"/>
              <w:bottom w:val="single" w:sz="4" w:space="0" w:color="auto"/>
              <w:right w:val="single" w:sz="4" w:space="0" w:color="auto"/>
            </w:tcBorders>
            <w:shd w:val="clear" w:color="000000" w:fill="0D0D0D"/>
            <w:noWrap/>
            <w:vAlign w:val="bottom"/>
            <w:hideMark/>
          </w:tcPr>
          <w:p w14:paraId="11C1C8E1" w14:textId="77777777" w:rsidR="007C58EA" w:rsidRPr="002F3D7C" w:rsidRDefault="007C58EA" w:rsidP="002C01B6">
            <w:pPr>
              <w:jc w:val="center"/>
              <w:rPr>
                <w:rFonts w:ascii="Calibri" w:eastAsia="Times New Roman" w:hAnsi="Calibri" w:cs="Times New Roman"/>
                <w:color w:val="FFFFFF"/>
                <w:sz w:val="16"/>
                <w:szCs w:val="16"/>
              </w:rPr>
            </w:pPr>
            <w:r w:rsidRPr="002F3D7C">
              <w:rPr>
                <w:rFonts w:ascii="Calibri" w:eastAsia="Times New Roman" w:hAnsi="Calibri" w:cs="Times New Roman"/>
                <w:color w:val="FFFFFF"/>
                <w:sz w:val="16"/>
                <w:szCs w:val="16"/>
              </w:rPr>
              <w:t>Fold Change</w:t>
            </w:r>
          </w:p>
        </w:tc>
        <w:tc>
          <w:tcPr>
            <w:tcW w:w="0" w:type="auto"/>
            <w:tcBorders>
              <w:top w:val="nil"/>
              <w:left w:val="nil"/>
              <w:bottom w:val="single" w:sz="4" w:space="0" w:color="auto"/>
              <w:right w:val="single" w:sz="4" w:space="0" w:color="auto"/>
            </w:tcBorders>
            <w:shd w:val="clear" w:color="000000" w:fill="0D0D0D"/>
            <w:noWrap/>
            <w:vAlign w:val="bottom"/>
            <w:hideMark/>
          </w:tcPr>
          <w:p w14:paraId="52440EDE" w14:textId="77777777" w:rsidR="007C58EA" w:rsidRPr="002F3D7C" w:rsidRDefault="007C58EA" w:rsidP="002C01B6">
            <w:pPr>
              <w:jc w:val="center"/>
              <w:rPr>
                <w:rFonts w:ascii="Calibri" w:eastAsia="Times New Roman" w:hAnsi="Calibri" w:cs="Times New Roman"/>
                <w:color w:val="FFFFFF"/>
                <w:sz w:val="16"/>
                <w:szCs w:val="16"/>
              </w:rPr>
            </w:pPr>
            <w:r w:rsidRPr="002F3D7C">
              <w:rPr>
                <w:rFonts w:ascii="Calibri" w:eastAsia="Times New Roman" w:hAnsi="Calibri" w:cs="Times New Roman"/>
                <w:color w:val="FFFFFF"/>
                <w:sz w:val="16"/>
                <w:szCs w:val="16"/>
              </w:rPr>
              <w:t>Gene</w:t>
            </w:r>
          </w:p>
        </w:tc>
        <w:tc>
          <w:tcPr>
            <w:tcW w:w="0" w:type="auto"/>
            <w:tcBorders>
              <w:top w:val="nil"/>
              <w:left w:val="nil"/>
              <w:bottom w:val="single" w:sz="4" w:space="0" w:color="auto"/>
              <w:right w:val="single" w:sz="4" w:space="0" w:color="auto"/>
            </w:tcBorders>
            <w:shd w:val="clear" w:color="000000" w:fill="0D0D0D"/>
            <w:noWrap/>
            <w:vAlign w:val="bottom"/>
            <w:hideMark/>
          </w:tcPr>
          <w:p w14:paraId="17FB3E28" w14:textId="77777777" w:rsidR="007C58EA" w:rsidRPr="002F3D7C" w:rsidRDefault="007C58EA" w:rsidP="002C01B6">
            <w:pPr>
              <w:jc w:val="center"/>
              <w:rPr>
                <w:rFonts w:ascii="Calibri" w:eastAsia="Times New Roman" w:hAnsi="Calibri" w:cs="Times New Roman"/>
                <w:color w:val="FFFFFF"/>
                <w:sz w:val="16"/>
                <w:szCs w:val="16"/>
              </w:rPr>
            </w:pPr>
            <w:r w:rsidRPr="002F3D7C">
              <w:rPr>
                <w:rFonts w:ascii="Calibri" w:eastAsia="Times New Roman" w:hAnsi="Calibri" w:cs="Times New Roman"/>
                <w:color w:val="FFFFFF"/>
                <w:sz w:val="16"/>
                <w:szCs w:val="16"/>
              </w:rPr>
              <w:t>Fold Change</w:t>
            </w:r>
          </w:p>
        </w:tc>
      </w:tr>
      <w:tr w:rsidR="007C58EA" w:rsidRPr="002F3D7C" w14:paraId="209ACAB3"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8F67EA"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LIG1</w:t>
            </w:r>
          </w:p>
        </w:tc>
        <w:tc>
          <w:tcPr>
            <w:tcW w:w="0" w:type="auto"/>
            <w:tcBorders>
              <w:top w:val="nil"/>
              <w:left w:val="nil"/>
              <w:bottom w:val="single" w:sz="4" w:space="0" w:color="auto"/>
              <w:right w:val="single" w:sz="4" w:space="0" w:color="auto"/>
            </w:tcBorders>
            <w:shd w:val="clear" w:color="auto" w:fill="auto"/>
            <w:noWrap/>
            <w:vAlign w:val="bottom"/>
            <w:hideMark/>
          </w:tcPr>
          <w:p w14:paraId="5792543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5.56</w:t>
            </w:r>
          </w:p>
        </w:tc>
        <w:tc>
          <w:tcPr>
            <w:tcW w:w="0" w:type="auto"/>
            <w:tcBorders>
              <w:top w:val="nil"/>
              <w:left w:val="nil"/>
              <w:bottom w:val="single" w:sz="4" w:space="0" w:color="auto"/>
              <w:right w:val="single" w:sz="4" w:space="0" w:color="auto"/>
            </w:tcBorders>
            <w:shd w:val="clear" w:color="auto" w:fill="auto"/>
            <w:noWrap/>
            <w:vAlign w:val="bottom"/>
            <w:hideMark/>
          </w:tcPr>
          <w:p w14:paraId="23B4FA5A"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ELF3</w:t>
            </w:r>
          </w:p>
        </w:tc>
        <w:tc>
          <w:tcPr>
            <w:tcW w:w="0" w:type="auto"/>
            <w:tcBorders>
              <w:top w:val="nil"/>
              <w:left w:val="nil"/>
              <w:bottom w:val="single" w:sz="4" w:space="0" w:color="auto"/>
              <w:right w:val="single" w:sz="4" w:space="0" w:color="auto"/>
            </w:tcBorders>
            <w:shd w:val="clear" w:color="auto" w:fill="auto"/>
            <w:noWrap/>
            <w:vAlign w:val="bottom"/>
            <w:hideMark/>
          </w:tcPr>
          <w:p w14:paraId="70F50FA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3.86</w:t>
            </w:r>
          </w:p>
        </w:tc>
        <w:tc>
          <w:tcPr>
            <w:tcW w:w="0" w:type="auto"/>
            <w:tcBorders>
              <w:top w:val="nil"/>
              <w:left w:val="nil"/>
              <w:bottom w:val="single" w:sz="4" w:space="0" w:color="auto"/>
              <w:right w:val="single" w:sz="4" w:space="0" w:color="auto"/>
            </w:tcBorders>
            <w:shd w:val="clear" w:color="auto" w:fill="auto"/>
            <w:noWrap/>
            <w:vAlign w:val="bottom"/>
            <w:hideMark/>
          </w:tcPr>
          <w:p w14:paraId="04668C62"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DDIT4</w:t>
            </w:r>
          </w:p>
        </w:tc>
        <w:tc>
          <w:tcPr>
            <w:tcW w:w="0" w:type="auto"/>
            <w:tcBorders>
              <w:top w:val="nil"/>
              <w:left w:val="nil"/>
              <w:bottom w:val="single" w:sz="4" w:space="0" w:color="auto"/>
              <w:right w:val="single" w:sz="4" w:space="0" w:color="auto"/>
            </w:tcBorders>
            <w:shd w:val="clear" w:color="auto" w:fill="auto"/>
            <w:noWrap/>
            <w:vAlign w:val="bottom"/>
            <w:hideMark/>
          </w:tcPr>
          <w:p w14:paraId="6D2431E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15.14</w:t>
            </w:r>
          </w:p>
        </w:tc>
      </w:tr>
      <w:tr w:rsidR="007C58EA" w:rsidRPr="002F3D7C" w14:paraId="36233CBA"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5F0AF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PALM</w:t>
            </w:r>
          </w:p>
        </w:tc>
        <w:tc>
          <w:tcPr>
            <w:tcW w:w="0" w:type="auto"/>
            <w:tcBorders>
              <w:top w:val="nil"/>
              <w:left w:val="nil"/>
              <w:bottom w:val="single" w:sz="4" w:space="0" w:color="auto"/>
              <w:right w:val="single" w:sz="4" w:space="0" w:color="auto"/>
            </w:tcBorders>
            <w:shd w:val="clear" w:color="auto" w:fill="auto"/>
            <w:noWrap/>
            <w:vAlign w:val="bottom"/>
            <w:hideMark/>
          </w:tcPr>
          <w:p w14:paraId="7234B30B"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4.28</w:t>
            </w:r>
          </w:p>
        </w:tc>
        <w:tc>
          <w:tcPr>
            <w:tcW w:w="0" w:type="auto"/>
            <w:tcBorders>
              <w:top w:val="nil"/>
              <w:left w:val="nil"/>
              <w:bottom w:val="single" w:sz="4" w:space="0" w:color="auto"/>
              <w:right w:val="single" w:sz="4" w:space="0" w:color="auto"/>
            </w:tcBorders>
            <w:shd w:val="clear" w:color="auto" w:fill="auto"/>
            <w:noWrap/>
            <w:vAlign w:val="bottom"/>
            <w:hideMark/>
          </w:tcPr>
          <w:p w14:paraId="6AC59D0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BIRC6</w:t>
            </w:r>
          </w:p>
        </w:tc>
        <w:tc>
          <w:tcPr>
            <w:tcW w:w="0" w:type="auto"/>
            <w:tcBorders>
              <w:top w:val="nil"/>
              <w:left w:val="nil"/>
              <w:bottom w:val="single" w:sz="4" w:space="0" w:color="auto"/>
              <w:right w:val="single" w:sz="4" w:space="0" w:color="auto"/>
            </w:tcBorders>
            <w:shd w:val="clear" w:color="auto" w:fill="auto"/>
            <w:noWrap/>
            <w:vAlign w:val="bottom"/>
            <w:hideMark/>
          </w:tcPr>
          <w:p w14:paraId="3A256B3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3.65</w:t>
            </w:r>
          </w:p>
        </w:tc>
        <w:tc>
          <w:tcPr>
            <w:tcW w:w="0" w:type="auto"/>
            <w:tcBorders>
              <w:top w:val="nil"/>
              <w:left w:val="nil"/>
              <w:bottom w:val="single" w:sz="4" w:space="0" w:color="auto"/>
              <w:right w:val="single" w:sz="4" w:space="0" w:color="auto"/>
            </w:tcBorders>
            <w:shd w:val="clear" w:color="auto" w:fill="auto"/>
            <w:noWrap/>
            <w:vAlign w:val="bottom"/>
            <w:hideMark/>
          </w:tcPr>
          <w:p w14:paraId="488EB87B"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GPT2</w:t>
            </w:r>
          </w:p>
        </w:tc>
        <w:tc>
          <w:tcPr>
            <w:tcW w:w="0" w:type="auto"/>
            <w:tcBorders>
              <w:top w:val="nil"/>
              <w:left w:val="nil"/>
              <w:bottom w:val="single" w:sz="4" w:space="0" w:color="auto"/>
              <w:right w:val="single" w:sz="4" w:space="0" w:color="auto"/>
            </w:tcBorders>
            <w:shd w:val="clear" w:color="auto" w:fill="auto"/>
            <w:noWrap/>
            <w:vAlign w:val="bottom"/>
            <w:hideMark/>
          </w:tcPr>
          <w:p w14:paraId="26481390"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13.41</w:t>
            </w:r>
          </w:p>
        </w:tc>
      </w:tr>
      <w:tr w:rsidR="007C58EA" w:rsidRPr="002F3D7C" w14:paraId="6745CC91"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DD7501"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SMAD6</w:t>
            </w:r>
          </w:p>
        </w:tc>
        <w:tc>
          <w:tcPr>
            <w:tcW w:w="0" w:type="auto"/>
            <w:tcBorders>
              <w:top w:val="nil"/>
              <w:left w:val="nil"/>
              <w:bottom w:val="single" w:sz="4" w:space="0" w:color="auto"/>
              <w:right w:val="single" w:sz="4" w:space="0" w:color="auto"/>
            </w:tcBorders>
            <w:shd w:val="clear" w:color="auto" w:fill="auto"/>
            <w:noWrap/>
            <w:vAlign w:val="bottom"/>
            <w:hideMark/>
          </w:tcPr>
          <w:p w14:paraId="4ADE5B2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4.21</w:t>
            </w:r>
          </w:p>
        </w:tc>
        <w:tc>
          <w:tcPr>
            <w:tcW w:w="0" w:type="auto"/>
            <w:tcBorders>
              <w:top w:val="nil"/>
              <w:left w:val="nil"/>
              <w:bottom w:val="single" w:sz="4" w:space="0" w:color="auto"/>
              <w:right w:val="single" w:sz="4" w:space="0" w:color="auto"/>
            </w:tcBorders>
            <w:shd w:val="clear" w:color="auto" w:fill="auto"/>
            <w:noWrap/>
            <w:vAlign w:val="bottom"/>
            <w:hideMark/>
          </w:tcPr>
          <w:p w14:paraId="4F5B3B4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NR4A2</w:t>
            </w:r>
          </w:p>
        </w:tc>
        <w:tc>
          <w:tcPr>
            <w:tcW w:w="0" w:type="auto"/>
            <w:tcBorders>
              <w:top w:val="nil"/>
              <w:left w:val="nil"/>
              <w:bottom w:val="single" w:sz="4" w:space="0" w:color="auto"/>
              <w:right w:val="single" w:sz="4" w:space="0" w:color="auto"/>
            </w:tcBorders>
            <w:shd w:val="clear" w:color="auto" w:fill="auto"/>
            <w:noWrap/>
            <w:vAlign w:val="bottom"/>
            <w:hideMark/>
          </w:tcPr>
          <w:p w14:paraId="79FD4DB5"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3.32</w:t>
            </w:r>
          </w:p>
        </w:tc>
        <w:tc>
          <w:tcPr>
            <w:tcW w:w="0" w:type="auto"/>
            <w:tcBorders>
              <w:top w:val="nil"/>
              <w:left w:val="nil"/>
              <w:bottom w:val="single" w:sz="4" w:space="0" w:color="auto"/>
              <w:right w:val="single" w:sz="4" w:space="0" w:color="auto"/>
            </w:tcBorders>
            <w:shd w:val="clear" w:color="auto" w:fill="auto"/>
            <w:noWrap/>
            <w:vAlign w:val="bottom"/>
            <w:hideMark/>
          </w:tcPr>
          <w:p w14:paraId="059B06D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CHAC1</w:t>
            </w:r>
          </w:p>
        </w:tc>
        <w:tc>
          <w:tcPr>
            <w:tcW w:w="0" w:type="auto"/>
            <w:tcBorders>
              <w:top w:val="nil"/>
              <w:left w:val="nil"/>
              <w:bottom w:val="single" w:sz="4" w:space="0" w:color="auto"/>
              <w:right w:val="single" w:sz="4" w:space="0" w:color="auto"/>
            </w:tcBorders>
            <w:shd w:val="clear" w:color="auto" w:fill="auto"/>
            <w:noWrap/>
            <w:vAlign w:val="bottom"/>
            <w:hideMark/>
          </w:tcPr>
          <w:p w14:paraId="2761A00D"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10.74</w:t>
            </w:r>
          </w:p>
        </w:tc>
      </w:tr>
      <w:tr w:rsidR="007C58EA" w:rsidRPr="002F3D7C" w14:paraId="1C1595FF"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C5B93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OVOL1</w:t>
            </w:r>
          </w:p>
        </w:tc>
        <w:tc>
          <w:tcPr>
            <w:tcW w:w="0" w:type="auto"/>
            <w:tcBorders>
              <w:top w:val="nil"/>
              <w:left w:val="nil"/>
              <w:bottom w:val="single" w:sz="4" w:space="0" w:color="auto"/>
              <w:right w:val="single" w:sz="4" w:space="0" w:color="auto"/>
            </w:tcBorders>
            <w:shd w:val="clear" w:color="auto" w:fill="auto"/>
            <w:noWrap/>
            <w:vAlign w:val="bottom"/>
            <w:hideMark/>
          </w:tcPr>
          <w:p w14:paraId="6B5EFA9F"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3.96</w:t>
            </w:r>
          </w:p>
        </w:tc>
        <w:tc>
          <w:tcPr>
            <w:tcW w:w="0" w:type="auto"/>
            <w:tcBorders>
              <w:top w:val="nil"/>
              <w:left w:val="nil"/>
              <w:bottom w:val="single" w:sz="4" w:space="0" w:color="auto"/>
              <w:right w:val="single" w:sz="4" w:space="0" w:color="auto"/>
            </w:tcBorders>
            <w:shd w:val="clear" w:color="auto" w:fill="auto"/>
            <w:noWrap/>
            <w:vAlign w:val="bottom"/>
            <w:hideMark/>
          </w:tcPr>
          <w:p w14:paraId="35C193FB"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KLRC4-KLRK1</w:t>
            </w:r>
          </w:p>
        </w:tc>
        <w:tc>
          <w:tcPr>
            <w:tcW w:w="0" w:type="auto"/>
            <w:tcBorders>
              <w:top w:val="nil"/>
              <w:left w:val="nil"/>
              <w:bottom w:val="single" w:sz="4" w:space="0" w:color="auto"/>
              <w:right w:val="single" w:sz="4" w:space="0" w:color="auto"/>
            </w:tcBorders>
            <w:shd w:val="clear" w:color="auto" w:fill="auto"/>
            <w:noWrap/>
            <w:vAlign w:val="bottom"/>
            <w:hideMark/>
          </w:tcPr>
          <w:p w14:paraId="5E56E58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3.11</w:t>
            </w:r>
          </w:p>
        </w:tc>
        <w:tc>
          <w:tcPr>
            <w:tcW w:w="0" w:type="auto"/>
            <w:tcBorders>
              <w:top w:val="nil"/>
              <w:left w:val="nil"/>
              <w:bottom w:val="single" w:sz="4" w:space="0" w:color="auto"/>
              <w:right w:val="single" w:sz="4" w:space="0" w:color="auto"/>
            </w:tcBorders>
            <w:shd w:val="clear" w:color="auto" w:fill="auto"/>
            <w:noWrap/>
            <w:vAlign w:val="bottom"/>
            <w:hideMark/>
          </w:tcPr>
          <w:p w14:paraId="46AFD0EB"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HMGCL</w:t>
            </w:r>
          </w:p>
        </w:tc>
        <w:tc>
          <w:tcPr>
            <w:tcW w:w="0" w:type="auto"/>
            <w:tcBorders>
              <w:top w:val="nil"/>
              <w:left w:val="nil"/>
              <w:bottom w:val="single" w:sz="4" w:space="0" w:color="auto"/>
              <w:right w:val="single" w:sz="4" w:space="0" w:color="auto"/>
            </w:tcBorders>
            <w:shd w:val="clear" w:color="auto" w:fill="auto"/>
            <w:noWrap/>
            <w:vAlign w:val="bottom"/>
            <w:hideMark/>
          </w:tcPr>
          <w:p w14:paraId="61EEAAA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7.24</w:t>
            </w:r>
          </w:p>
        </w:tc>
      </w:tr>
      <w:tr w:rsidR="007C58EA" w:rsidRPr="002F3D7C" w14:paraId="6527003C" w14:textId="77777777" w:rsidTr="002C01B6">
        <w:trPr>
          <w:trHeight w:val="264"/>
        </w:trPr>
        <w:tc>
          <w:tcPr>
            <w:tcW w:w="0" w:type="auto"/>
            <w:tcBorders>
              <w:top w:val="nil"/>
              <w:left w:val="single" w:sz="4" w:space="0" w:color="auto"/>
              <w:bottom w:val="single" w:sz="4" w:space="0" w:color="auto"/>
              <w:right w:val="single" w:sz="4" w:space="0" w:color="auto"/>
            </w:tcBorders>
            <w:shd w:val="clear" w:color="000000" w:fill="E6B8B7"/>
            <w:noWrap/>
            <w:vAlign w:val="bottom"/>
            <w:hideMark/>
          </w:tcPr>
          <w:p w14:paraId="03281C80"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SOX4</w:t>
            </w:r>
          </w:p>
        </w:tc>
        <w:tc>
          <w:tcPr>
            <w:tcW w:w="0" w:type="auto"/>
            <w:tcBorders>
              <w:top w:val="nil"/>
              <w:left w:val="nil"/>
              <w:bottom w:val="single" w:sz="4" w:space="0" w:color="auto"/>
              <w:right w:val="single" w:sz="4" w:space="0" w:color="auto"/>
            </w:tcBorders>
            <w:shd w:val="clear" w:color="000000" w:fill="E6B8B7"/>
            <w:noWrap/>
            <w:vAlign w:val="bottom"/>
            <w:hideMark/>
          </w:tcPr>
          <w:p w14:paraId="34DA0B3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3.91</w:t>
            </w:r>
          </w:p>
        </w:tc>
        <w:tc>
          <w:tcPr>
            <w:tcW w:w="0" w:type="auto"/>
            <w:tcBorders>
              <w:top w:val="nil"/>
              <w:left w:val="nil"/>
              <w:bottom w:val="single" w:sz="4" w:space="0" w:color="auto"/>
              <w:right w:val="single" w:sz="4" w:space="0" w:color="auto"/>
            </w:tcBorders>
            <w:shd w:val="clear" w:color="auto" w:fill="auto"/>
            <w:noWrap/>
            <w:vAlign w:val="bottom"/>
            <w:hideMark/>
          </w:tcPr>
          <w:p w14:paraId="2BECA64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L3MBTL4</w:t>
            </w:r>
          </w:p>
        </w:tc>
        <w:tc>
          <w:tcPr>
            <w:tcW w:w="0" w:type="auto"/>
            <w:tcBorders>
              <w:top w:val="nil"/>
              <w:left w:val="nil"/>
              <w:bottom w:val="single" w:sz="4" w:space="0" w:color="auto"/>
              <w:right w:val="single" w:sz="4" w:space="0" w:color="auto"/>
            </w:tcBorders>
            <w:shd w:val="clear" w:color="auto" w:fill="auto"/>
            <w:noWrap/>
            <w:vAlign w:val="bottom"/>
            <w:hideMark/>
          </w:tcPr>
          <w:p w14:paraId="30B3E13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3.06</w:t>
            </w:r>
          </w:p>
        </w:tc>
        <w:tc>
          <w:tcPr>
            <w:tcW w:w="0" w:type="auto"/>
            <w:tcBorders>
              <w:top w:val="nil"/>
              <w:left w:val="nil"/>
              <w:bottom w:val="single" w:sz="4" w:space="0" w:color="auto"/>
              <w:right w:val="single" w:sz="4" w:space="0" w:color="auto"/>
            </w:tcBorders>
            <w:shd w:val="clear" w:color="auto" w:fill="auto"/>
            <w:noWrap/>
            <w:vAlign w:val="bottom"/>
            <w:hideMark/>
          </w:tcPr>
          <w:p w14:paraId="7FD3B24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FAM129A</w:t>
            </w:r>
          </w:p>
        </w:tc>
        <w:tc>
          <w:tcPr>
            <w:tcW w:w="0" w:type="auto"/>
            <w:tcBorders>
              <w:top w:val="nil"/>
              <w:left w:val="nil"/>
              <w:bottom w:val="single" w:sz="4" w:space="0" w:color="auto"/>
              <w:right w:val="single" w:sz="4" w:space="0" w:color="auto"/>
            </w:tcBorders>
            <w:shd w:val="clear" w:color="auto" w:fill="auto"/>
            <w:noWrap/>
            <w:vAlign w:val="bottom"/>
            <w:hideMark/>
          </w:tcPr>
          <w:p w14:paraId="776B299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6.56</w:t>
            </w:r>
          </w:p>
        </w:tc>
      </w:tr>
      <w:tr w:rsidR="007C58EA" w:rsidRPr="002F3D7C" w14:paraId="16C52522"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40E62D"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CKMT1B</w:t>
            </w:r>
          </w:p>
        </w:tc>
        <w:tc>
          <w:tcPr>
            <w:tcW w:w="0" w:type="auto"/>
            <w:tcBorders>
              <w:top w:val="nil"/>
              <w:left w:val="nil"/>
              <w:bottom w:val="single" w:sz="4" w:space="0" w:color="auto"/>
              <w:right w:val="single" w:sz="4" w:space="0" w:color="auto"/>
            </w:tcBorders>
            <w:shd w:val="clear" w:color="auto" w:fill="auto"/>
            <w:noWrap/>
            <w:vAlign w:val="bottom"/>
            <w:hideMark/>
          </w:tcPr>
          <w:p w14:paraId="68CB00CC"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3.76</w:t>
            </w:r>
          </w:p>
        </w:tc>
        <w:tc>
          <w:tcPr>
            <w:tcW w:w="0" w:type="auto"/>
            <w:tcBorders>
              <w:top w:val="nil"/>
              <w:left w:val="nil"/>
              <w:bottom w:val="single" w:sz="4" w:space="0" w:color="auto"/>
              <w:right w:val="single" w:sz="4" w:space="0" w:color="auto"/>
            </w:tcBorders>
            <w:shd w:val="clear" w:color="auto" w:fill="auto"/>
            <w:noWrap/>
            <w:vAlign w:val="bottom"/>
            <w:hideMark/>
          </w:tcPr>
          <w:p w14:paraId="4EEA71A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SLC25A29</w:t>
            </w:r>
          </w:p>
        </w:tc>
        <w:tc>
          <w:tcPr>
            <w:tcW w:w="0" w:type="auto"/>
            <w:tcBorders>
              <w:top w:val="nil"/>
              <w:left w:val="nil"/>
              <w:bottom w:val="single" w:sz="4" w:space="0" w:color="auto"/>
              <w:right w:val="single" w:sz="4" w:space="0" w:color="auto"/>
            </w:tcBorders>
            <w:shd w:val="clear" w:color="auto" w:fill="auto"/>
            <w:noWrap/>
            <w:vAlign w:val="bottom"/>
            <w:hideMark/>
          </w:tcPr>
          <w:p w14:paraId="13169120"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2.93</w:t>
            </w:r>
          </w:p>
        </w:tc>
        <w:tc>
          <w:tcPr>
            <w:tcW w:w="0" w:type="auto"/>
            <w:tcBorders>
              <w:top w:val="nil"/>
              <w:left w:val="nil"/>
              <w:bottom w:val="single" w:sz="4" w:space="0" w:color="auto"/>
              <w:right w:val="single" w:sz="4" w:space="0" w:color="auto"/>
            </w:tcBorders>
            <w:shd w:val="clear" w:color="auto" w:fill="auto"/>
            <w:noWrap/>
            <w:vAlign w:val="bottom"/>
            <w:hideMark/>
          </w:tcPr>
          <w:p w14:paraId="63CA255B"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PCK2</w:t>
            </w:r>
          </w:p>
        </w:tc>
        <w:tc>
          <w:tcPr>
            <w:tcW w:w="0" w:type="auto"/>
            <w:tcBorders>
              <w:top w:val="nil"/>
              <w:left w:val="nil"/>
              <w:bottom w:val="single" w:sz="4" w:space="0" w:color="auto"/>
              <w:right w:val="single" w:sz="4" w:space="0" w:color="auto"/>
            </w:tcBorders>
            <w:shd w:val="clear" w:color="auto" w:fill="auto"/>
            <w:noWrap/>
            <w:vAlign w:val="bottom"/>
            <w:hideMark/>
          </w:tcPr>
          <w:p w14:paraId="5D07FEC1"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6</w:t>
            </w:r>
          </w:p>
        </w:tc>
      </w:tr>
      <w:tr w:rsidR="007C58EA" w:rsidRPr="002F3D7C" w14:paraId="195D6A96"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2E35DC"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ZNF704</w:t>
            </w:r>
          </w:p>
        </w:tc>
        <w:tc>
          <w:tcPr>
            <w:tcW w:w="0" w:type="auto"/>
            <w:tcBorders>
              <w:top w:val="nil"/>
              <w:left w:val="nil"/>
              <w:bottom w:val="single" w:sz="4" w:space="0" w:color="auto"/>
              <w:right w:val="single" w:sz="4" w:space="0" w:color="auto"/>
            </w:tcBorders>
            <w:shd w:val="clear" w:color="auto" w:fill="auto"/>
            <w:noWrap/>
            <w:vAlign w:val="bottom"/>
            <w:hideMark/>
          </w:tcPr>
          <w:p w14:paraId="1BD50EB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3.73</w:t>
            </w:r>
          </w:p>
        </w:tc>
        <w:tc>
          <w:tcPr>
            <w:tcW w:w="0" w:type="auto"/>
            <w:tcBorders>
              <w:top w:val="nil"/>
              <w:left w:val="nil"/>
              <w:bottom w:val="single" w:sz="4" w:space="0" w:color="auto"/>
              <w:right w:val="single" w:sz="4" w:space="0" w:color="auto"/>
            </w:tcBorders>
            <w:shd w:val="clear" w:color="auto" w:fill="auto"/>
            <w:noWrap/>
            <w:vAlign w:val="bottom"/>
            <w:hideMark/>
          </w:tcPr>
          <w:p w14:paraId="57A25B7F"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PNPLA7</w:t>
            </w:r>
          </w:p>
        </w:tc>
        <w:tc>
          <w:tcPr>
            <w:tcW w:w="0" w:type="auto"/>
            <w:tcBorders>
              <w:top w:val="nil"/>
              <w:left w:val="nil"/>
              <w:bottom w:val="single" w:sz="4" w:space="0" w:color="auto"/>
              <w:right w:val="single" w:sz="4" w:space="0" w:color="auto"/>
            </w:tcBorders>
            <w:shd w:val="clear" w:color="auto" w:fill="auto"/>
            <w:noWrap/>
            <w:vAlign w:val="bottom"/>
            <w:hideMark/>
          </w:tcPr>
          <w:p w14:paraId="0A9CE8E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2.74</w:t>
            </w:r>
          </w:p>
        </w:tc>
        <w:tc>
          <w:tcPr>
            <w:tcW w:w="0" w:type="auto"/>
            <w:tcBorders>
              <w:top w:val="nil"/>
              <w:left w:val="nil"/>
              <w:bottom w:val="single" w:sz="4" w:space="0" w:color="auto"/>
              <w:right w:val="single" w:sz="4" w:space="0" w:color="auto"/>
            </w:tcBorders>
            <w:shd w:val="clear" w:color="auto" w:fill="auto"/>
            <w:noWrap/>
            <w:vAlign w:val="bottom"/>
            <w:hideMark/>
          </w:tcPr>
          <w:p w14:paraId="409F067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GRB10</w:t>
            </w:r>
          </w:p>
        </w:tc>
        <w:tc>
          <w:tcPr>
            <w:tcW w:w="0" w:type="auto"/>
            <w:tcBorders>
              <w:top w:val="nil"/>
              <w:left w:val="nil"/>
              <w:bottom w:val="single" w:sz="4" w:space="0" w:color="auto"/>
              <w:right w:val="single" w:sz="4" w:space="0" w:color="auto"/>
            </w:tcBorders>
            <w:shd w:val="clear" w:color="auto" w:fill="auto"/>
            <w:noWrap/>
            <w:vAlign w:val="bottom"/>
            <w:hideMark/>
          </w:tcPr>
          <w:p w14:paraId="2FC7A6F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5.62</w:t>
            </w:r>
          </w:p>
        </w:tc>
      </w:tr>
      <w:tr w:rsidR="007C58EA" w:rsidRPr="002F3D7C" w14:paraId="7085E2B6"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CEC4F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SFXN2</w:t>
            </w:r>
          </w:p>
        </w:tc>
        <w:tc>
          <w:tcPr>
            <w:tcW w:w="0" w:type="auto"/>
            <w:tcBorders>
              <w:top w:val="nil"/>
              <w:left w:val="nil"/>
              <w:bottom w:val="single" w:sz="4" w:space="0" w:color="auto"/>
              <w:right w:val="single" w:sz="4" w:space="0" w:color="auto"/>
            </w:tcBorders>
            <w:shd w:val="clear" w:color="auto" w:fill="auto"/>
            <w:noWrap/>
            <w:vAlign w:val="bottom"/>
            <w:hideMark/>
          </w:tcPr>
          <w:p w14:paraId="2A666A8E"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3.51</w:t>
            </w:r>
          </w:p>
        </w:tc>
        <w:tc>
          <w:tcPr>
            <w:tcW w:w="0" w:type="auto"/>
            <w:tcBorders>
              <w:top w:val="nil"/>
              <w:left w:val="nil"/>
              <w:bottom w:val="single" w:sz="4" w:space="0" w:color="auto"/>
              <w:right w:val="single" w:sz="4" w:space="0" w:color="auto"/>
            </w:tcBorders>
            <w:shd w:val="clear" w:color="auto" w:fill="auto"/>
            <w:noWrap/>
            <w:vAlign w:val="bottom"/>
            <w:hideMark/>
          </w:tcPr>
          <w:p w14:paraId="36129FFB"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ZNF608</w:t>
            </w:r>
          </w:p>
        </w:tc>
        <w:tc>
          <w:tcPr>
            <w:tcW w:w="0" w:type="auto"/>
            <w:tcBorders>
              <w:top w:val="nil"/>
              <w:left w:val="nil"/>
              <w:bottom w:val="single" w:sz="4" w:space="0" w:color="auto"/>
              <w:right w:val="single" w:sz="4" w:space="0" w:color="auto"/>
            </w:tcBorders>
            <w:shd w:val="clear" w:color="auto" w:fill="auto"/>
            <w:noWrap/>
            <w:vAlign w:val="bottom"/>
            <w:hideMark/>
          </w:tcPr>
          <w:p w14:paraId="0390243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2.73</w:t>
            </w:r>
          </w:p>
        </w:tc>
        <w:tc>
          <w:tcPr>
            <w:tcW w:w="0" w:type="auto"/>
            <w:tcBorders>
              <w:top w:val="nil"/>
              <w:left w:val="nil"/>
              <w:bottom w:val="single" w:sz="4" w:space="0" w:color="auto"/>
              <w:right w:val="single" w:sz="4" w:space="0" w:color="auto"/>
            </w:tcBorders>
            <w:shd w:val="clear" w:color="auto" w:fill="auto"/>
            <w:noWrap/>
            <w:vAlign w:val="bottom"/>
            <w:hideMark/>
          </w:tcPr>
          <w:p w14:paraId="4BCA4F7C"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WDR6</w:t>
            </w:r>
          </w:p>
        </w:tc>
        <w:tc>
          <w:tcPr>
            <w:tcW w:w="0" w:type="auto"/>
            <w:tcBorders>
              <w:top w:val="nil"/>
              <w:left w:val="nil"/>
              <w:bottom w:val="single" w:sz="4" w:space="0" w:color="auto"/>
              <w:right w:val="single" w:sz="4" w:space="0" w:color="auto"/>
            </w:tcBorders>
            <w:shd w:val="clear" w:color="auto" w:fill="auto"/>
            <w:noWrap/>
            <w:vAlign w:val="bottom"/>
            <w:hideMark/>
          </w:tcPr>
          <w:p w14:paraId="2B582B67"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5.45</w:t>
            </w:r>
          </w:p>
        </w:tc>
      </w:tr>
      <w:tr w:rsidR="007C58EA" w:rsidRPr="002F3D7C" w14:paraId="68109C82"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B57473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LIMCH1</w:t>
            </w:r>
          </w:p>
        </w:tc>
        <w:tc>
          <w:tcPr>
            <w:tcW w:w="0" w:type="auto"/>
            <w:tcBorders>
              <w:top w:val="nil"/>
              <w:left w:val="nil"/>
              <w:bottom w:val="single" w:sz="4" w:space="0" w:color="auto"/>
              <w:right w:val="single" w:sz="4" w:space="0" w:color="auto"/>
            </w:tcBorders>
            <w:shd w:val="clear" w:color="auto" w:fill="auto"/>
            <w:noWrap/>
            <w:vAlign w:val="bottom"/>
            <w:hideMark/>
          </w:tcPr>
          <w:p w14:paraId="3E5406C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3.5</w:t>
            </w:r>
          </w:p>
        </w:tc>
        <w:tc>
          <w:tcPr>
            <w:tcW w:w="0" w:type="auto"/>
            <w:tcBorders>
              <w:top w:val="nil"/>
              <w:left w:val="nil"/>
              <w:bottom w:val="single" w:sz="4" w:space="0" w:color="auto"/>
              <w:right w:val="single" w:sz="4" w:space="0" w:color="auto"/>
            </w:tcBorders>
            <w:shd w:val="clear" w:color="auto" w:fill="auto"/>
            <w:noWrap/>
            <w:vAlign w:val="bottom"/>
            <w:hideMark/>
          </w:tcPr>
          <w:p w14:paraId="389525E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FA2H</w:t>
            </w:r>
          </w:p>
        </w:tc>
        <w:tc>
          <w:tcPr>
            <w:tcW w:w="0" w:type="auto"/>
            <w:tcBorders>
              <w:top w:val="nil"/>
              <w:left w:val="nil"/>
              <w:bottom w:val="single" w:sz="4" w:space="0" w:color="auto"/>
              <w:right w:val="single" w:sz="4" w:space="0" w:color="auto"/>
            </w:tcBorders>
            <w:shd w:val="clear" w:color="auto" w:fill="auto"/>
            <w:noWrap/>
            <w:vAlign w:val="bottom"/>
            <w:hideMark/>
          </w:tcPr>
          <w:p w14:paraId="4CDB394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2.63</w:t>
            </w:r>
          </w:p>
        </w:tc>
        <w:tc>
          <w:tcPr>
            <w:tcW w:w="0" w:type="auto"/>
            <w:tcBorders>
              <w:top w:val="nil"/>
              <w:left w:val="nil"/>
              <w:bottom w:val="single" w:sz="4" w:space="0" w:color="auto"/>
              <w:right w:val="single" w:sz="4" w:space="0" w:color="auto"/>
            </w:tcBorders>
            <w:shd w:val="clear" w:color="auto" w:fill="auto"/>
            <w:noWrap/>
            <w:vAlign w:val="bottom"/>
            <w:hideMark/>
          </w:tcPr>
          <w:p w14:paraId="11311B0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SEC61B</w:t>
            </w:r>
          </w:p>
        </w:tc>
        <w:tc>
          <w:tcPr>
            <w:tcW w:w="0" w:type="auto"/>
            <w:tcBorders>
              <w:top w:val="nil"/>
              <w:left w:val="nil"/>
              <w:bottom w:val="single" w:sz="4" w:space="0" w:color="auto"/>
              <w:right w:val="single" w:sz="4" w:space="0" w:color="auto"/>
            </w:tcBorders>
            <w:shd w:val="clear" w:color="auto" w:fill="auto"/>
            <w:noWrap/>
            <w:vAlign w:val="bottom"/>
            <w:hideMark/>
          </w:tcPr>
          <w:p w14:paraId="23E6CB4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5.41</w:t>
            </w:r>
          </w:p>
        </w:tc>
      </w:tr>
      <w:tr w:rsidR="007C58EA" w:rsidRPr="002F3D7C" w14:paraId="6235A405"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5118E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GNAZ</w:t>
            </w:r>
          </w:p>
        </w:tc>
        <w:tc>
          <w:tcPr>
            <w:tcW w:w="0" w:type="auto"/>
            <w:tcBorders>
              <w:top w:val="nil"/>
              <w:left w:val="nil"/>
              <w:bottom w:val="single" w:sz="4" w:space="0" w:color="auto"/>
              <w:right w:val="single" w:sz="4" w:space="0" w:color="auto"/>
            </w:tcBorders>
            <w:shd w:val="clear" w:color="auto" w:fill="auto"/>
            <w:noWrap/>
            <w:vAlign w:val="bottom"/>
            <w:hideMark/>
          </w:tcPr>
          <w:p w14:paraId="2234D1B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3.45</w:t>
            </w:r>
          </w:p>
        </w:tc>
        <w:tc>
          <w:tcPr>
            <w:tcW w:w="0" w:type="auto"/>
            <w:tcBorders>
              <w:top w:val="nil"/>
              <w:left w:val="nil"/>
              <w:bottom w:val="single" w:sz="4" w:space="0" w:color="auto"/>
              <w:right w:val="single" w:sz="4" w:space="0" w:color="auto"/>
            </w:tcBorders>
            <w:shd w:val="clear" w:color="auto" w:fill="auto"/>
            <w:noWrap/>
            <w:vAlign w:val="bottom"/>
            <w:hideMark/>
          </w:tcPr>
          <w:p w14:paraId="5F5E797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AXIN2</w:t>
            </w:r>
          </w:p>
        </w:tc>
        <w:tc>
          <w:tcPr>
            <w:tcW w:w="0" w:type="auto"/>
            <w:tcBorders>
              <w:top w:val="nil"/>
              <w:left w:val="nil"/>
              <w:bottom w:val="single" w:sz="4" w:space="0" w:color="auto"/>
              <w:right w:val="single" w:sz="4" w:space="0" w:color="auto"/>
            </w:tcBorders>
            <w:shd w:val="clear" w:color="auto" w:fill="auto"/>
            <w:noWrap/>
            <w:vAlign w:val="bottom"/>
            <w:hideMark/>
          </w:tcPr>
          <w:p w14:paraId="4666296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2.62</w:t>
            </w:r>
          </w:p>
        </w:tc>
        <w:tc>
          <w:tcPr>
            <w:tcW w:w="0" w:type="auto"/>
            <w:tcBorders>
              <w:top w:val="nil"/>
              <w:left w:val="nil"/>
              <w:bottom w:val="single" w:sz="4" w:space="0" w:color="auto"/>
              <w:right w:val="single" w:sz="4" w:space="0" w:color="auto"/>
            </w:tcBorders>
            <w:shd w:val="clear" w:color="auto" w:fill="auto"/>
            <w:noWrap/>
            <w:vAlign w:val="bottom"/>
            <w:hideMark/>
          </w:tcPr>
          <w:p w14:paraId="584F8BEB"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JDP2</w:t>
            </w:r>
          </w:p>
        </w:tc>
        <w:tc>
          <w:tcPr>
            <w:tcW w:w="0" w:type="auto"/>
            <w:tcBorders>
              <w:top w:val="nil"/>
              <w:left w:val="nil"/>
              <w:bottom w:val="single" w:sz="4" w:space="0" w:color="auto"/>
              <w:right w:val="single" w:sz="4" w:space="0" w:color="auto"/>
            </w:tcBorders>
            <w:shd w:val="clear" w:color="auto" w:fill="auto"/>
            <w:noWrap/>
            <w:vAlign w:val="bottom"/>
            <w:hideMark/>
          </w:tcPr>
          <w:p w14:paraId="7EB789FD"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5.36</w:t>
            </w:r>
          </w:p>
        </w:tc>
      </w:tr>
      <w:tr w:rsidR="007C58EA" w:rsidRPr="002F3D7C" w14:paraId="42E64552"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E2506C"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SMO</w:t>
            </w:r>
          </w:p>
        </w:tc>
        <w:tc>
          <w:tcPr>
            <w:tcW w:w="0" w:type="auto"/>
            <w:tcBorders>
              <w:top w:val="nil"/>
              <w:left w:val="nil"/>
              <w:bottom w:val="single" w:sz="4" w:space="0" w:color="auto"/>
              <w:right w:val="single" w:sz="4" w:space="0" w:color="auto"/>
            </w:tcBorders>
            <w:shd w:val="clear" w:color="auto" w:fill="auto"/>
            <w:noWrap/>
            <w:vAlign w:val="bottom"/>
            <w:hideMark/>
          </w:tcPr>
          <w:p w14:paraId="0B341BB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3.38</w:t>
            </w:r>
          </w:p>
        </w:tc>
        <w:tc>
          <w:tcPr>
            <w:tcW w:w="0" w:type="auto"/>
            <w:tcBorders>
              <w:top w:val="nil"/>
              <w:left w:val="nil"/>
              <w:bottom w:val="single" w:sz="4" w:space="0" w:color="auto"/>
              <w:right w:val="single" w:sz="4" w:space="0" w:color="auto"/>
            </w:tcBorders>
            <w:shd w:val="clear" w:color="auto" w:fill="auto"/>
            <w:noWrap/>
            <w:vAlign w:val="bottom"/>
            <w:hideMark/>
          </w:tcPr>
          <w:p w14:paraId="69175B0C"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PRKD3</w:t>
            </w:r>
          </w:p>
        </w:tc>
        <w:tc>
          <w:tcPr>
            <w:tcW w:w="0" w:type="auto"/>
            <w:tcBorders>
              <w:top w:val="nil"/>
              <w:left w:val="nil"/>
              <w:bottom w:val="single" w:sz="4" w:space="0" w:color="auto"/>
              <w:right w:val="single" w:sz="4" w:space="0" w:color="auto"/>
            </w:tcBorders>
            <w:shd w:val="clear" w:color="auto" w:fill="auto"/>
            <w:noWrap/>
            <w:vAlign w:val="bottom"/>
            <w:hideMark/>
          </w:tcPr>
          <w:p w14:paraId="400CBDF7"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2.58</w:t>
            </w:r>
          </w:p>
        </w:tc>
        <w:tc>
          <w:tcPr>
            <w:tcW w:w="0" w:type="auto"/>
            <w:tcBorders>
              <w:top w:val="nil"/>
              <w:left w:val="nil"/>
              <w:bottom w:val="single" w:sz="4" w:space="0" w:color="auto"/>
              <w:right w:val="single" w:sz="4" w:space="0" w:color="auto"/>
            </w:tcBorders>
            <w:shd w:val="clear" w:color="auto" w:fill="auto"/>
            <w:noWrap/>
            <w:vAlign w:val="bottom"/>
            <w:hideMark/>
          </w:tcPr>
          <w:p w14:paraId="43E08811"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ERP29</w:t>
            </w:r>
          </w:p>
        </w:tc>
        <w:tc>
          <w:tcPr>
            <w:tcW w:w="0" w:type="auto"/>
            <w:tcBorders>
              <w:top w:val="nil"/>
              <w:left w:val="nil"/>
              <w:bottom w:val="single" w:sz="4" w:space="0" w:color="auto"/>
              <w:right w:val="single" w:sz="4" w:space="0" w:color="auto"/>
            </w:tcBorders>
            <w:shd w:val="clear" w:color="auto" w:fill="auto"/>
            <w:noWrap/>
            <w:vAlign w:val="bottom"/>
            <w:hideMark/>
          </w:tcPr>
          <w:p w14:paraId="17D0DE21"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5.18</w:t>
            </w:r>
          </w:p>
        </w:tc>
      </w:tr>
      <w:tr w:rsidR="007C58EA" w:rsidRPr="002F3D7C" w14:paraId="2798B37A"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FE308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PREX1</w:t>
            </w:r>
          </w:p>
        </w:tc>
        <w:tc>
          <w:tcPr>
            <w:tcW w:w="0" w:type="auto"/>
            <w:tcBorders>
              <w:top w:val="nil"/>
              <w:left w:val="nil"/>
              <w:bottom w:val="single" w:sz="4" w:space="0" w:color="auto"/>
              <w:right w:val="single" w:sz="4" w:space="0" w:color="auto"/>
            </w:tcBorders>
            <w:shd w:val="clear" w:color="auto" w:fill="auto"/>
            <w:noWrap/>
            <w:vAlign w:val="bottom"/>
            <w:hideMark/>
          </w:tcPr>
          <w:p w14:paraId="3097BD4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3.37</w:t>
            </w:r>
          </w:p>
        </w:tc>
        <w:tc>
          <w:tcPr>
            <w:tcW w:w="0" w:type="auto"/>
            <w:tcBorders>
              <w:top w:val="nil"/>
              <w:left w:val="nil"/>
              <w:bottom w:val="single" w:sz="4" w:space="0" w:color="auto"/>
              <w:right w:val="single" w:sz="4" w:space="0" w:color="auto"/>
            </w:tcBorders>
            <w:shd w:val="clear" w:color="auto" w:fill="auto"/>
            <w:noWrap/>
            <w:vAlign w:val="bottom"/>
            <w:hideMark/>
          </w:tcPr>
          <w:p w14:paraId="4844FC4C"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MAP2K5</w:t>
            </w:r>
          </w:p>
        </w:tc>
        <w:tc>
          <w:tcPr>
            <w:tcW w:w="0" w:type="auto"/>
            <w:tcBorders>
              <w:top w:val="nil"/>
              <w:left w:val="nil"/>
              <w:bottom w:val="single" w:sz="4" w:space="0" w:color="auto"/>
              <w:right w:val="single" w:sz="4" w:space="0" w:color="auto"/>
            </w:tcBorders>
            <w:shd w:val="clear" w:color="auto" w:fill="auto"/>
            <w:noWrap/>
            <w:vAlign w:val="bottom"/>
            <w:hideMark/>
          </w:tcPr>
          <w:p w14:paraId="198FCF9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2.58</w:t>
            </w:r>
          </w:p>
        </w:tc>
        <w:tc>
          <w:tcPr>
            <w:tcW w:w="0" w:type="auto"/>
            <w:tcBorders>
              <w:top w:val="nil"/>
              <w:left w:val="nil"/>
              <w:bottom w:val="single" w:sz="4" w:space="0" w:color="auto"/>
              <w:right w:val="single" w:sz="4" w:space="0" w:color="auto"/>
            </w:tcBorders>
            <w:shd w:val="clear" w:color="auto" w:fill="auto"/>
            <w:noWrap/>
            <w:vAlign w:val="bottom"/>
            <w:hideMark/>
          </w:tcPr>
          <w:p w14:paraId="3D1BC7D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TIMM13</w:t>
            </w:r>
          </w:p>
        </w:tc>
        <w:tc>
          <w:tcPr>
            <w:tcW w:w="0" w:type="auto"/>
            <w:tcBorders>
              <w:top w:val="nil"/>
              <w:left w:val="nil"/>
              <w:bottom w:val="single" w:sz="4" w:space="0" w:color="auto"/>
              <w:right w:val="single" w:sz="4" w:space="0" w:color="auto"/>
            </w:tcBorders>
            <w:shd w:val="clear" w:color="auto" w:fill="auto"/>
            <w:noWrap/>
            <w:vAlign w:val="bottom"/>
            <w:hideMark/>
          </w:tcPr>
          <w:p w14:paraId="6DCE8A3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5.01</w:t>
            </w:r>
          </w:p>
        </w:tc>
      </w:tr>
      <w:tr w:rsidR="007C58EA" w:rsidRPr="002F3D7C" w14:paraId="2E056705"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82A06FE"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MEIS3</w:t>
            </w:r>
          </w:p>
        </w:tc>
        <w:tc>
          <w:tcPr>
            <w:tcW w:w="0" w:type="auto"/>
            <w:tcBorders>
              <w:top w:val="nil"/>
              <w:left w:val="nil"/>
              <w:bottom w:val="single" w:sz="4" w:space="0" w:color="auto"/>
              <w:right w:val="single" w:sz="4" w:space="0" w:color="auto"/>
            </w:tcBorders>
            <w:shd w:val="clear" w:color="auto" w:fill="auto"/>
            <w:noWrap/>
            <w:vAlign w:val="bottom"/>
            <w:hideMark/>
          </w:tcPr>
          <w:p w14:paraId="6F5B168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3.3</w:t>
            </w:r>
          </w:p>
        </w:tc>
        <w:tc>
          <w:tcPr>
            <w:tcW w:w="0" w:type="auto"/>
            <w:tcBorders>
              <w:top w:val="nil"/>
              <w:left w:val="nil"/>
              <w:bottom w:val="single" w:sz="4" w:space="0" w:color="auto"/>
              <w:right w:val="single" w:sz="4" w:space="0" w:color="auto"/>
            </w:tcBorders>
            <w:shd w:val="clear" w:color="000000" w:fill="E6B8B7"/>
            <w:noWrap/>
            <w:vAlign w:val="bottom"/>
            <w:hideMark/>
          </w:tcPr>
          <w:p w14:paraId="147C84ED"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SOX4</w:t>
            </w:r>
          </w:p>
        </w:tc>
        <w:tc>
          <w:tcPr>
            <w:tcW w:w="0" w:type="auto"/>
            <w:tcBorders>
              <w:top w:val="nil"/>
              <w:left w:val="nil"/>
              <w:bottom w:val="single" w:sz="4" w:space="0" w:color="auto"/>
              <w:right w:val="single" w:sz="4" w:space="0" w:color="auto"/>
            </w:tcBorders>
            <w:shd w:val="clear" w:color="000000" w:fill="E6B8B7"/>
            <w:noWrap/>
            <w:vAlign w:val="bottom"/>
            <w:hideMark/>
          </w:tcPr>
          <w:p w14:paraId="08043505"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2.53</w:t>
            </w:r>
          </w:p>
        </w:tc>
        <w:tc>
          <w:tcPr>
            <w:tcW w:w="0" w:type="auto"/>
            <w:tcBorders>
              <w:top w:val="nil"/>
              <w:left w:val="nil"/>
              <w:bottom w:val="single" w:sz="4" w:space="0" w:color="auto"/>
              <w:right w:val="single" w:sz="4" w:space="0" w:color="auto"/>
            </w:tcBorders>
            <w:shd w:val="clear" w:color="auto" w:fill="auto"/>
            <w:noWrap/>
            <w:vAlign w:val="bottom"/>
            <w:hideMark/>
          </w:tcPr>
          <w:p w14:paraId="2472A7C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UPP1</w:t>
            </w:r>
          </w:p>
        </w:tc>
        <w:tc>
          <w:tcPr>
            <w:tcW w:w="0" w:type="auto"/>
            <w:tcBorders>
              <w:top w:val="nil"/>
              <w:left w:val="nil"/>
              <w:bottom w:val="single" w:sz="4" w:space="0" w:color="auto"/>
              <w:right w:val="single" w:sz="4" w:space="0" w:color="auto"/>
            </w:tcBorders>
            <w:shd w:val="clear" w:color="auto" w:fill="auto"/>
            <w:noWrap/>
            <w:vAlign w:val="bottom"/>
            <w:hideMark/>
          </w:tcPr>
          <w:p w14:paraId="5D9B688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4.75</w:t>
            </w:r>
          </w:p>
        </w:tc>
      </w:tr>
      <w:tr w:rsidR="007C58EA" w:rsidRPr="002F3D7C" w14:paraId="5E8FD22E"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4E0735"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TNFSF18</w:t>
            </w:r>
          </w:p>
        </w:tc>
        <w:tc>
          <w:tcPr>
            <w:tcW w:w="0" w:type="auto"/>
            <w:tcBorders>
              <w:top w:val="nil"/>
              <w:left w:val="nil"/>
              <w:bottom w:val="single" w:sz="4" w:space="0" w:color="auto"/>
              <w:right w:val="single" w:sz="4" w:space="0" w:color="auto"/>
            </w:tcBorders>
            <w:shd w:val="clear" w:color="auto" w:fill="auto"/>
            <w:noWrap/>
            <w:vAlign w:val="bottom"/>
            <w:hideMark/>
          </w:tcPr>
          <w:p w14:paraId="6C772E4E"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3.27</w:t>
            </w:r>
          </w:p>
        </w:tc>
        <w:tc>
          <w:tcPr>
            <w:tcW w:w="0" w:type="auto"/>
            <w:tcBorders>
              <w:top w:val="nil"/>
              <w:left w:val="nil"/>
              <w:bottom w:val="single" w:sz="4" w:space="0" w:color="auto"/>
              <w:right w:val="single" w:sz="4" w:space="0" w:color="auto"/>
            </w:tcBorders>
            <w:shd w:val="clear" w:color="auto" w:fill="auto"/>
            <w:noWrap/>
            <w:vAlign w:val="bottom"/>
            <w:hideMark/>
          </w:tcPr>
          <w:p w14:paraId="33384D10"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MEDAG</w:t>
            </w:r>
          </w:p>
        </w:tc>
        <w:tc>
          <w:tcPr>
            <w:tcW w:w="0" w:type="auto"/>
            <w:tcBorders>
              <w:top w:val="nil"/>
              <w:left w:val="nil"/>
              <w:bottom w:val="single" w:sz="4" w:space="0" w:color="auto"/>
              <w:right w:val="single" w:sz="4" w:space="0" w:color="auto"/>
            </w:tcBorders>
            <w:shd w:val="clear" w:color="auto" w:fill="auto"/>
            <w:noWrap/>
            <w:vAlign w:val="bottom"/>
            <w:hideMark/>
          </w:tcPr>
          <w:p w14:paraId="11F139DA"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2.51</w:t>
            </w:r>
          </w:p>
        </w:tc>
        <w:tc>
          <w:tcPr>
            <w:tcW w:w="0" w:type="auto"/>
            <w:tcBorders>
              <w:top w:val="nil"/>
              <w:left w:val="nil"/>
              <w:bottom w:val="single" w:sz="4" w:space="0" w:color="auto"/>
              <w:right w:val="single" w:sz="4" w:space="0" w:color="auto"/>
            </w:tcBorders>
            <w:shd w:val="clear" w:color="auto" w:fill="auto"/>
            <w:noWrap/>
            <w:vAlign w:val="bottom"/>
            <w:hideMark/>
          </w:tcPr>
          <w:p w14:paraId="6E452E45"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EML2</w:t>
            </w:r>
          </w:p>
        </w:tc>
        <w:tc>
          <w:tcPr>
            <w:tcW w:w="0" w:type="auto"/>
            <w:tcBorders>
              <w:top w:val="nil"/>
              <w:left w:val="nil"/>
              <w:bottom w:val="single" w:sz="4" w:space="0" w:color="auto"/>
              <w:right w:val="single" w:sz="4" w:space="0" w:color="auto"/>
            </w:tcBorders>
            <w:shd w:val="clear" w:color="auto" w:fill="auto"/>
            <w:noWrap/>
            <w:vAlign w:val="bottom"/>
            <w:hideMark/>
          </w:tcPr>
          <w:p w14:paraId="6F0CF13E"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4.56</w:t>
            </w:r>
          </w:p>
        </w:tc>
      </w:tr>
      <w:tr w:rsidR="007C58EA" w:rsidRPr="002F3D7C" w14:paraId="722859C9"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7F15E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FAM117A</w:t>
            </w:r>
          </w:p>
        </w:tc>
        <w:tc>
          <w:tcPr>
            <w:tcW w:w="0" w:type="auto"/>
            <w:tcBorders>
              <w:top w:val="nil"/>
              <w:left w:val="nil"/>
              <w:bottom w:val="single" w:sz="4" w:space="0" w:color="auto"/>
              <w:right w:val="single" w:sz="4" w:space="0" w:color="auto"/>
            </w:tcBorders>
            <w:shd w:val="clear" w:color="auto" w:fill="auto"/>
            <w:noWrap/>
            <w:vAlign w:val="bottom"/>
            <w:hideMark/>
          </w:tcPr>
          <w:p w14:paraId="7C7783DF"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3.2</w:t>
            </w:r>
          </w:p>
        </w:tc>
        <w:tc>
          <w:tcPr>
            <w:tcW w:w="0" w:type="auto"/>
            <w:tcBorders>
              <w:top w:val="nil"/>
              <w:left w:val="nil"/>
              <w:bottom w:val="single" w:sz="4" w:space="0" w:color="auto"/>
              <w:right w:val="single" w:sz="4" w:space="0" w:color="auto"/>
            </w:tcBorders>
            <w:shd w:val="clear" w:color="auto" w:fill="auto"/>
            <w:noWrap/>
            <w:vAlign w:val="bottom"/>
            <w:hideMark/>
          </w:tcPr>
          <w:p w14:paraId="100AFD1F"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PTK2</w:t>
            </w:r>
          </w:p>
        </w:tc>
        <w:tc>
          <w:tcPr>
            <w:tcW w:w="0" w:type="auto"/>
            <w:tcBorders>
              <w:top w:val="nil"/>
              <w:left w:val="nil"/>
              <w:bottom w:val="single" w:sz="4" w:space="0" w:color="auto"/>
              <w:right w:val="single" w:sz="4" w:space="0" w:color="auto"/>
            </w:tcBorders>
            <w:shd w:val="clear" w:color="auto" w:fill="auto"/>
            <w:noWrap/>
            <w:vAlign w:val="bottom"/>
            <w:hideMark/>
          </w:tcPr>
          <w:p w14:paraId="109D528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2.49</w:t>
            </w:r>
          </w:p>
        </w:tc>
        <w:tc>
          <w:tcPr>
            <w:tcW w:w="0" w:type="auto"/>
            <w:tcBorders>
              <w:top w:val="nil"/>
              <w:left w:val="nil"/>
              <w:bottom w:val="single" w:sz="4" w:space="0" w:color="auto"/>
              <w:right w:val="single" w:sz="4" w:space="0" w:color="auto"/>
            </w:tcBorders>
            <w:shd w:val="clear" w:color="auto" w:fill="auto"/>
            <w:noWrap/>
            <w:vAlign w:val="bottom"/>
            <w:hideMark/>
          </w:tcPr>
          <w:p w14:paraId="7E73A45C"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CMTM6</w:t>
            </w:r>
          </w:p>
        </w:tc>
        <w:tc>
          <w:tcPr>
            <w:tcW w:w="0" w:type="auto"/>
            <w:tcBorders>
              <w:top w:val="nil"/>
              <w:left w:val="nil"/>
              <w:bottom w:val="single" w:sz="4" w:space="0" w:color="auto"/>
              <w:right w:val="single" w:sz="4" w:space="0" w:color="auto"/>
            </w:tcBorders>
            <w:shd w:val="clear" w:color="auto" w:fill="auto"/>
            <w:noWrap/>
            <w:vAlign w:val="bottom"/>
            <w:hideMark/>
          </w:tcPr>
          <w:p w14:paraId="35755AC7"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4.44</w:t>
            </w:r>
          </w:p>
        </w:tc>
      </w:tr>
      <w:tr w:rsidR="007C58EA" w:rsidRPr="002F3D7C" w14:paraId="2DBF36A8"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095787"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MARCH9</w:t>
            </w:r>
          </w:p>
        </w:tc>
        <w:tc>
          <w:tcPr>
            <w:tcW w:w="0" w:type="auto"/>
            <w:tcBorders>
              <w:top w:val="nil"/>
              <w:left w:val="nil"/>
              <w:bottom w:val="single" w:sz="4" w:space="0" w:color="auto"/>
              <w:right w:val="single" w:sz="4" w:space="0" w:color="auto"/>
            </w:tcBorders>
            <w:shd w:val="clear" w:color="auto" w:fill="auto"/>
            <w:noWrap/>
            <w:vAlign w:val="bottom"/>
            <w:hideMark/>
          </w:tcPr>
          <w:p w14:paraId="2E6F91E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3.18</w:t>
            </w:r>
          </w:p>
        </w:tc>
        <w:tc>
          <w:tcPr>
            <w:tcW w:w="0" w:type="auto"/>
            <w:tcBorders>
              <w:top w:val="nil"/>
              <w:left w:val="nil"/>
              <w:bottom w:val="single" w:sz="4" w:space="0" w:color="auto"/>
              <w:right w:val="single" w:sz="4" w:space="0" w:color="auto"/>
            </w:tcBorders>
            <w:shd w:val="clear" w:color="auto" w:fill="auto"/>
            <w:noWrap/>
            <w:vAlign w:val="bottom"/>
            <w:hideMark/>
          </w:tcPr>
          <w:p w14:paraId="093D7682"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C1orf53</w:t>
            </w:r>
          </w:p>
        </w:tc>
        <w:tc>
          <w:tcPr>
            <w:tcW w:w="0" w:type="auto"/>
            <w:tcBorders>
              <w:top w:val="nil"/>
              <w:left w:val="nil"/>
              <w:bottom w:val="single" w:sz="4" w:space="0" w:color="auto"/>
              <w:right w:val="single" w:sz="4" w:space="0" w:color="auto"/>
            </w:tcBorders>
            <w:shd w:val="clear" w:color="auto" w:fill="auto"/>
            <w:noWrap/>
            <w:vAlign w:val="bottom"/>
            <w:hideMark/>
          </w:tcPr>
          <w:p w14:paraId="15F80B0F"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2.43</w:t>
            </w:r>
          </w:p>
        </w:tc>
        <w:tc>
          <w:tcPr>
            <w:tcW w:w="0" w:type="auto"/>
            <w:tcBorders>
              <w:top w:val="nil"/>
              <w:left w:val="nil"/>
              <w:bottom w:val="single" w:sz="4" w:space="0" w:color="auto"/>
              <w:right w:val="single" w:sz="4" w:space="0" w:color="auto"/>
            </w:tcBorders>
            <w:shd w:val="clear" w:color="auto" w:fill="auto"/>
            <w:noWrap/>
            <w:vAlign w:val="bottom"/>
            <w:hideMark/>
          </w:tcPr>
          <w:p w14:paraId="67CCE9E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DLST</w:t>
            </w:r>
          </w:p>
        </w:tc>
        <w:tc>
          <w:tcPr>
            <w:tcW w:w="0" w:type="auto"/>
            <w:tcBorders>
              <w:top w:val="nil"/>
              <w:left w:val="nil"/>
              <w:bottom w:val="single" w:sz="4" w:space="0" w:color="auto"/>
              <w:right w:val="single" w:sz="4" w:space="0" w:color="auto"/>
            </w:tcBorders>
            <w:shd w:val="clear" w:color="auto" w:fill="auto"/>
            <w:noWrap/>
            <w:vAlign w:val="bottom"/>
            <w:hideMark/>
          </w:tcPr>
          <w:p w14:paraId="3B36509C"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4.38</w:t>
            </w:r>
          </w:p>
        </w:tc>
      </w:tr>
      <w:tr w:rsidR="007C58EA" w:rsidRPr="002F3D7C" w14:paraId="2F37C67A"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A0978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MYB</w:t>
            </w:r>
          </w:p>
        </w:tc>
        <w:tc>
          <w:tcPr>
            <w:tcW w:w="0" w:type="auto"/>
            <w:tcBorders>
              <w:top w:val="nil"/>
              <w:left w:val="nil"/>
              <w:bottom w:val="single" w:sz="4" w:space="0" w:color="auto"/>
              <w:right w:val="single" w:sz="4" w:space="0" w:color="auto"/>
            </w:tcBorders>
            <w:shd w:val="clear" w:color="auto" w:fill="auto"/>
            <w:noWrap/>
            <w:vAlign w:val="bottom"/>
            <w:hideMark/>
          </w:tcPr>
          <w:p w14:paraId="7AE227B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3.07</w:t>
            </w:r>
          </w:p>
        </w:tc>
        <w:tc>
          <w:tcPr>
            <w:tcW w:w="0" w:type="auto"/>
            <w:tcBorders>
              <w:top w:val="nil"/>
              <w:left w:val="nil"/>
              <w:bottom w:val="single" w:sz="4" w:space="0" w:color="auto"/>
              <w:right w:val="single" w:sz="4" w:space="0" w:color="auto"/>
            </w:tcBorders>
            <w:shd w:val="clear" w:color="auto" w:fill="auto"/>
            <w:noWrap/>
            <w:vAlign w:val="bottom"/>
            <w:hideMark/>
          </w:tcPr>
          <w:p w14:paraId="511A026D"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GRHL2</w:t>
            </w:r>
          </w:p>
        </w:tc>
        <w:tc>
          <w:tcPr>
            <w:tcW w:w="0" w:type="auto"/>
            <w:tcBorders>
              <w:top w:val="nil"/>
              <w:left w:val="nil"/>
              <w:bottom w:val="single" w:sz="4" w:space="0" w:color="auto"/>
              <w:right w:val="single" w:sz="4" w:space="0" w:color="auto"/>
            </w:tcBorders>
            <w:shd w:val="clear" w:color="auto" w:fill="auto"/>
            <w:noWrap/>
            <w:vAlign w:val="bottom"/>
            <w:hideMark/>
          </w:tcPr>
          <w:p w14:paraId="6DDBE7F0"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2.41</w:t>
            </w:r>
          </w:p>
        </w:tc>
        <w:tc>
          <w:tcPr>
            <w:tcW w:w="0" w:type="auto"/>
            <w:tcBorders>
              <w:top w:val="nil"/>
              <w:left w:val="nil"/>
              <w:bottom w:val="single" w:sz="4" w:space="0" w:color="auto"/>
              <w:right w:val="single" w:sz="4" w:space="0" w:color="auto"/>
            </w:tcBorders>
            <w:shd w:val="clear" w:color="auto" w:fill="auto"/>
            <w:noWrap/>
            <w:vAlign w:val="bottom"/>
            <w:hideMark/>
          </w:tcPr>
          <w:p w14:paraId="285DC1F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ELFN2</w:t>
            </w:r>
          </w:p>
        </w:tc>
        <w:tc>
          <w:tcPr>
            <w:tcW w:w="0" w:type="auto"/>
            <w:tcBorders>
              <w:top w:val="nil"/>
              <w:left w:val="nil"/>
              <w:bottom w:val="single" w:sz="4" w:space="0" w:color="auto"/>
              <w:right w:val="single" w:sz="4" w:space="0" w:color="auto"/>
            </w:tcBorders>
            <w:shd w:val="clear" w:color="auto" w:fill="auto"/>
            <w:noWrap/>
            <w:vAlign w:val="bottom"/>
            <w:hideMark/>
          </w:tcPr>
          <w:p w14:paraId="2FE6402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4.28</w:t>
            </w:r>
          </w:p>
        </w:tc>
      </w:tr>
      <w:tr w:rsidR="007C58EA" w:rsidRPr="002F3D7C" w14:paraId="75A2313E"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C5F38A"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DPYSL5</w:t>
            </w:r>
          </w:p>
        </w:tc>
        <w:tc>
          <w:tcPr>
            <w:tcW w:w="0" w:type="auto"/>
            <w:tcBorders>
              <w:top w:val="nil"/>
              <w:left w:val="nil"/>
              <w:bottom w:val="single" w:sz="4" w:space="0" w:color="auto"/>
              <w:right w:val="single" w:sz="4" w:space="0" w:color="auto"/>
            </w:tcBorders>
            <w:shd w:val="clear" w:color="auto" w:fill="auto"/>
            <w:noWrap/>
            <w:vAlign w:val="bottom"/>
            <w:hideMark/>
          </w:tcPr>
          <w:p w14:paraId="0A1CB7F9"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3.06</w:t>
            </w:r>
          </w:p>
        </w:tc>
        <w:tc>
          <w:tcPr>
            <w:tcW w:w="0" w:type="auto"/>
            <w:tcBorders>
              <w:top w:val="nil"/>
              <w:left w:val="nil"/>
              <w:bottom w:val="single" w:sz="4" w:space="0" w:color="auto"/>
              <w:right w:val="single" w:sz="4" w:space="0" w:color="auto"/>
            </w:tcBorders>
            <w:shd w:val="clear" w:color="auto" w:fill="auto"/>
            <w:noWrap/>
            <w:vAlign w:val="bottom"/>
            <w:hideMark/>
          </w:tcPr>
          <w:p w14:paraId="0ACA7FD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ID3</w:t>
            </w:r>
          </w:p>
        </w:tc>
        <w:tc>
          <w:tcPr>
            <w:tcW w:w="0" w:type="auto"/>
            <w:tcBorders>
              <w:top w:val="nil"/>
              <w:left w:val="nil"/>
              <w:bottom w:val="single" w:sz="4" w:space="0" w:color="auto"/>
              <w:right w:val="single" w:sz="4" w:space="0" w:color="auto"/>
            </w:tcBorders>
            <w:shd w:val="clear" w:color="auto" w:fill="auto"/>
            <w:noWrap/>
            <w:vAlign w:val="bottom"/>
            <w:hideMark/>
          </w:tcPr>
          <w:p w14:paraId="1596E6F2"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2.4</w:t>
            </w:r>
          </w:p>
        </w:tc>
        <w:tc>
          <w:tcPr>
            <w:tcW w:w="0" w:type="auto"/>
            <w:tcBorders>
              <w:top w:val="nil"/>
              <w:left w:val="nil"/>
              <w:bottom w:val="single" w:sz="4" w:space="0" w:color="auto"/>
              <w:right w:val="single" w:sz="4" w:space="0" w:color="auto"/>
            </w:tcBorders>
            <w:shd w:val="clear" w:color="auto" w:fill="auto"/>
            <w:noWrap/>
            <w:vAlign w:val="bottom"/>
            <w:hideMark/>
          </w:tcPr>
          <w:p w14:paraId="5926A037"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RNASEH2A</w:t>
            </w:r>
          </w:p>
        </w:tc>
        <w:tc>
          <w:tcPr>
            <w:tcW w:w="0" w:type="auto"/>
            <w:tcBorders>
              <w:top w:val="nil"/>
              <w:left w:val="nil"/>
              <w:bottom w:val="single" w:sz="4" w:space="0" w:color="auto"/>
              <w:right w:val="single" w:sz="4" w:space="0" w:color="auto"/>
            </w:tcBorders>
            <w:shd w:val="clear" w:color="auto" w:fill="auto"/>
            <w:noWrap/>
            <w:vAlign w:val="bottom"/>
            <w:hideMark/>
          </w:tcPr>
          <w:p w14:paraId="39DD30B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4.25</w:t>
            </w:r>
          </w:p>
        </w:tc>
      </w:tr>
      <w:tr w:rsidR="007C58EA" w:rsidRPr="002F3D7C" w14:paraId="4A7858CF"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481F2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CRLF1</w:t>
            </w:r>
          </w:p>
        </w:tc>
        <w:tc>
          <w:tcPr>
            <w:tcW w:w="0" w:type="auto"/>
            <w:tcBorders>
              <w:top w:val="nil"/>
              <w:left w:val="nil"/>
              <w:bottom w:val="single" w:sz="4" w:space="0" w:color="auto"/>
              <w:right w:val="single" w:sz="4" w:space="0" w:color="auto"/>
            </w:tcBorders>
            <w:shd w:val="clear" w:color="auto" w:fill="auto"/>
            <w:noWrap/>
            <w:vAlign w:val="bottom"/>
            <w:hideMark/>
          </w:tcPr>
          <w:p w14:paraId="6BDF9F9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3.05</w:t>
            </w:r>
          </w:p>
        </w:tc>
        <w:tc>
          <w:tcPr>
            <w:tcW w:w="0" w:type="auto"/>
            <w:tcBorders>
              <w:top w:val="nil"/>
              <w:left w:val="nil"/>
              <w:bottom w:val="single" w:sz="4" w:space="0" w:color="auto"/>
              <w:right w:val="single" w:sz="4" w:space="0" w:color="auto"/>
            </w:tcBorders>
            <w:shd w:val="clear" w:color="auto" w:fill="auto"/>
            <w:noWrap/>
            <w:vAlign w:val="bottom"/>
            <w:hideMark/>
          </w:tcPr>
          <w:p w14:paraId="7CFA32D4"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THSD4</w:t>
            </w:r>
          </w:p>
        </w:tc>
        <w:tc>
          <w:tcPr>
            <w:tcW w:w="0" w:type="auto"/>
            <w:tcBorders>
              <w:top w:val="nil"/>
              <w:left w:val="nil"/>
              <w:bottom w:val="single" w:sz="4" w:space="0" w:color="auto"/>
              <w:right w:val="single" w:sz="4" w:space="0" w:color="auto"/>
            </w:tcBorders>
            <w:shd w:val="clear" w:color="auto" w:fill="auto"/>
            <w:noWrap/>
            <w:vAlign w:val="bottom"/>
            <w:hideMark/>
          </w:tcPr>
          <w:p w14:paraId="257CDA3D"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2.37</w:t>
            </w:r>
          </w:p>
        </w:tc>
        <w:tc>
          <w:tcPr>
            <w:tcW w:w="0" w:type="auto"/>
            <w:tcBorders>
              <w:top w:val="nil"/>
              <w:left w:val="nil"/>
              <w:bottom w:val="single" w:sz="4" w:space="0" w:color="auto"/>
              <w:right w:val="single" w:sz="4" w:space="0" w:color="auto"/>
            </w:tcBorders>
            <w:shd w:val="clear" w:color="auto" w:fill="auto"/>
            <w:noWrap/>
            <w:vAlign w:val="bottom"/>
            <w:hideMark/>
          </w:tcPr>
          <w:p w14:paraId="41CD2D4D"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C21orf33</w:t>
            </w:r>
          </w:p>
        </w:tc>
        <w:tc>
          <w:tcPr>
            <w:tcW w:w="0" w:type="auto"/>
            <w:tcBorders>
              <w:top w:val="nil"/>
              <w:left w:val="nil"/>
              <w:bottom w:val="single" w:sz="4" w:space="0" w:color="auto"/>
              <w:right w:val="single" w:sz="4" w:space="0" w:color="auto"/>
            </w:tcBorders>
            <w:shd w:val="clear" w:color="auto" w:fill="auto"/>
            <w:noWrap/>
            <w:vAlign w:val="bottom"/>
            <w:hideMark/>
          </w:tcPr>
          <w:p w14:paraId="774FC65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4.21</w:t>
            </w:r>
          </w:p>
        </w:tc>
      </w:tr>
      <w:tr w:rsidR="007C58EA" w:rsidRPr="002F3D7C" w14:paraId="274CD3A9" w14:textId="77777777" w:rsidTr="002C01B6">
        <w:trPr>
          <w:trHeight w:val="2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5F3E461"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RGS2</w:t>
            </w:r>
          </w:p>
        </w:tc>
        <w:tc>
          <w:tcPr>
            <w:tcW w:w="0" w:type="auto"/>
            <w:tcBorders>
              <w:top w:val="nil"/>
              <w:left w:val="nil"/>
              <w:bottom w:val="single" w:sz="4" w:space="0" w:color="auto"/>
              <w:right w:val="single" w:sz="4" w:space="0" w:color="auto"/>
            </w:tcBorders>
            <w:shd w:val="clear" w:color="auto" w:fill="auto"/>
            <w:noWrap/>
            <w:vAlign w:val="bottom"/>
            <w:hideMark/>
          </w:tcPr>
          <w:p w14:paraId="788D1548"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3.04</w:t>
            </w:r>
          </w:p>
        </w:tc>
        <w:tc>
          <w:tcPr>
            <w:tcW w:w="0" w:type="auto"/>
            <w:tcBorders>
              <w:top w:val="nil"/>
              <w:left w:val="nil"/>
              <w:bottom w:val="single" w:sz="4" w:space="0" w:color="auto"/>
              <w:right w:val="single" w:sz="4" w:space="0" w:color="auto"/>
            </w:tcBorders>
            <w:shd w:val="clear" w:color="auto" w:fill="auto"/>
            <w:noWrap/>
            <w:vAlign w:val="bottom"/>
            <w:hideMark/>
          </w:tcPr>
          <w:p w14:paraId="57766643"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MEIOC</w:t>
            </w:r>
          </w:p>
        </w:tc>
        <w:tc>
          <w:tcPr>
            <w:tcW w:w="0" w:type="auto"/>
            <w:tcBorders>
              <w:top w:val="nil"/>
              <w:left w:val="nil"/>
              <w:bottom w:val="single" w:sz="4" w:space="0" w:color="auto"/>
              <w:right w:val="single" w:sz="4" w:space="0" w:color="auto"/>
            </w:tcBorders>
            <w:shd w:val="clear" w:color="auto" w:fill="auto"/>
            <w:noWrap/>
            <w:vAlign w:val="bottom"/>
            <w:hideMark/>
          </w:tcPr>
          <w:p w14:paraId="743E02F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2.37</w:t>
            </w:r>
          </w:p>
        </w:tc>
        <w:tc>
          <w:tcPr>
            <w:tcW w:w="0" w:type="auto"/>
            <w:tcBorders>
              <w:top w:val="nil"/>
              <w:left w:val="nil"/>
              <w:bottom w:val="single" w:sz="4" w:space="0" w:color="auto"/>
              <w:right w:val="single" w:sz="4" w:space="0" w:color="auto"/>
            </w:tcBorders>
            <w:shd w:val="clear" w:color="auto" w:fill="auto"/>
            <w:noWrap/>
            <w:vAlign w:val="bottom"/>
            <w:hideMark/>
          </w:tcPr>
          <w:p w14:paraId="0A04836B"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SH3BP5L</w:t>
            </w:r>
          </w:p>
        </w:tc>
        <w:tc>
          <w:tcPr>
            <w:tcW w:w="0" w:type="auto"/>
            <w:tcBorders>
              <w:top w:val="nil"/>
              <w:left w:val="nil"/>
              <w:bottom w:val="single" w:sz="4" w:space="0" w:color="auto"/>
              <w:right w:val="single" w:sz="4" w:space="0" w:color="auto"/>
            </w:tcBorders>
            <w:shd w:val="clear" w:color="auto" w:fill="auto"/>
            <w:noWrap/>
            <w:vAlign w:val="bottom"/>
            <w:hideMark/>
          </w:tcPr>
          <w:p w14:paraId="6A3250A6" w14:textId="77777777" w:rsidR="007C58EA" w:rsidRPr="002F3D7C" w:rsidRDefault="007C58EA" w:rsidP="002C01B6">
            <w:pPr>
              <w:jc w:val="center"/>
              <w:rPr>
                <w:rFonts w:ascii="Calibri" w:eastAsia="Times New Roman" w:hAnsi="Calibri" w:cs="Times New Roman"/>
                <w:color w:val="000000"/>
                <w:sz w:val="16"/>
                <w:szCs w:val="16"/>
              </w:rPr>
            </w:pPr>
            <w:r w:rsidRPr="002F3D7C">
              <w:rPr>
                <w:rFonts w:ascii="Calibri" w:eastAsia="Times New Roman" w:hAnsi="Calibri" w:cs="Times New Roman"/>
                <w:color w:val="000000"/>
                <w:sz w:val="16"/>
                <w:szCs w:val="16"/>
              </w:rPr>
              <w:t>4.19</w:t>
            </w:r>
          </w:p>
        </w:tc>
      </w:tr>
    </w:tbl>
    <w:p w14:paraId="4960CEB0" w14:textId="77777777" w:rsidR="007C58EA" w:rsidRDefault="007C58EA" w:rsidP="007C58EA">
      <w:pPr>
        <w:rPr>
          <w:rFonts w:asciiTheme="majorHAnsi" w:hAnsiTheme="majorHAnsi"/>
        </w:rPr>
      </w:pPr>
      <w:r>
        <w:rPr>
          <w:rFonts w:asciiTheme="majorHAnsi" w:hAnsiTheme="majorHAnsi"/>
          <w:noProof/>
          <w:lang w:val="en-US"/>
        </w:rPr>
        <w:drawing>
          <wp:anchor distT="0" distB="0" distL="114300" distR="114300" simplePos="0" relativeHeight="252100608" behindDoc="0" locked="0" layoutInCell="1" allowOverlap="1" wp14:anchorId="3EC1BF95" wp14:editId="29DF7A31">
            <wp:simplePos x="0" y="0"/>
            <wp:positionH relativeFrom="column">
              <wp:posOffset>0</wp:posOffset>
            </wp:positionH>
            <wp:positionV relativeFrom="paragraph">
              <wp:posOffset>166370</wp:posOffset>
            </wp:positionV>
            <wp:extent cx="3771900" cy="3096260"/>
            <wp:effectExtent l="0" t="0" r="12700" b="2540"/>
            <wp:wrapSquare wrapText="bothSides"/>
            <wp:docPr id="363" name="Picture 363" descr="Macintosh HD:Users:ClairFellows:Desktop:Screen Shot 2017-10-12 at 11.2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irFellows:Desktop:Screen Shot 2017-10-12 at 11.29.11.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71900" cy="3096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lang w:val="en-US"/>
        </w:rPr>
        <mc:AlternateContent>
          <mc:Choice Requires="wps">
            <w:drawing>
              <wp:anchor distT="0" distB="0" distL="114300" distR="114300" simplePos="0" relativeHeight="252110848" behindDoc="0" locked="0" layoutInCell="1" allowOverlap="1" wp14:anchorId="7D5F7314" wp14:editId="51CEB8D5">
                <wp:simplePos x="0" y="0"/>
                <wp:positionH relativeFrom="column">
                  <wp:posOffset>-4241800</wp:posOffset>
                </wp:positionH>
                <wp:positionV relativeFrom="paragraph">
                  <wp:posOffset>113030</wp:posOffset>
                </wp:positionV>
                <wp:extent cx="388620" cy="396240"/>
                <wp:effectExtent l="0" t="0" r="0" b="10160"/>
                <wp:wrapNone/>
                <wp:docPr id="346" name="Text Box 346"/>
                <wp:cNvGraphicFramePr/>
                <a:graphic xmlns:a="http://schemas.openxmlformats.org/drawingml/2006/main">
                  <a:graphicData uri="http://schemas.microsoft.com/office/word/2010/wordprocessingShape">
                    <wps:wsp>
                      <wps:cNvSpPr txBox="1"/>
                      <wps:spPr>
                        <a:xfrm>
                          <a:off x="0" y="0"/>
                          <a:ext cx="388620" cy="3962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D33D19" w14:textId="77777777" w:rsidR="00E82D3B" w:rsidRPr="003B5AC0" w:rsidRDefault="00E82D3B" w:rsidP="007C58EA">
                            <w:pPr>
                              <w:rPr>
                                <w:b/>
                              </w:rPr>
                            </w:pPr>
                            <w:proofErr w:type="gramStart"/>
                            <w:r>
                              <w:rPr>
                                <w:b/>
                              </w:rPr>
                              <w:t>b</w:t>
                            </w:r>
                            <w:proofErr w:type="gramEnd"/>
                            <w:r w:rsidRPr="003B5AC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6" o:spid="_x0000_s1189" type="#_x0000_t202" style="position:absolute;margin-left:-333.95pt;margin-top:8.9pt;width:30.6pt;height:31.2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tT5dYCAAAaBgAADgAAAGRycy9lMm9Eb2MueG1srFRNb9swDL0P2H8QdE9tJ26W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" filled="f" stroked="f">
                <v:textbox>
                  <w:txbxContent>
                    <w:p w14:paraId="27D33D19" w14:textId="77777777" w:rsidR="000A1E0D" w:rsidRPr="003B5AC0" w:rsidRDefault="000A1E0D" w:rsidP="007C58EA">
                      <w:pPr>
                        <w:rPr>
                          <w:b/>
                        </w:rPr>
                      </w:pPr>
                      <w:proofErr w:type="gramStart"/>
                      <w:r>
                        <w:rPr>
                          <w:b/>
                        </w:rPr>
                        <w:t>b</w:t>
                      </w:r>
                      <w:proofErr w:type="gramEnd"/>
                      <w:r w:rsidRPr="003B5AC0">
                        <w:rPr>
                          <w:b/>
                        </w:rPr>
                        <w:t>.)</w:t>
                      </w:r>
                    </w:p>
                  </w:txbxContent>
                </v:textbox>
              </v:shape>
            </w:pict>
          </mc:Fallback>
        </mc:AlternateContent>
      </w:r>
      <w:r>
        <w:rPr>
          <w:rFonts w:asciiTheme="majorHAnsi" w:hAnsiTheme="majorHAnsi"/>
          <w:noProof/>
          <w:lang w:val="en-US"/>
        </w:rPr>
        <mc:AlternateContent>
          <mc:Choice Requires="wps">
            <w:drawing>
              <wp:anchor distT="0" distB="0" distL="114300" distR="114300" simplePos="0" relativeHeight="252108800" behindDoc="0" locked="0" layoutInCell="1" allowOverlap="1" wp14:anchorId="029592E2" wp14:editId="3F3090DD">
                <wp:simplePos x="0" y="0"/>
                <wp:positionH relativeFrom="column">
                  <wp:posOffset>-114300</wp:posOffset>
                </wp:positionH>
                <wp:positionV relativeFrom="paragraph">
                  <wp:posOffset>3366770</wp:posOffset>
                </wp:positionV>
                <wp:extent cx="5600700" cy="1485900"/>
                <wp:effectExtent l="0" t="0" r="0" b="12700"/>
                <wp:wrapSquare wrapText="bothSides"/>
                <wp:docPr id="347" name="Text Box 347"/>
                <wp:cNvGraphicFramePr/>
                <a:graphic xmlns:a="http://schemas.openxmlformats.org/drawingml/2006/main">
                  <a:graphicData uri="http://schemas.microsoft.com/office/word/2010/wordprocessingShape">
                    <wps:wsp>
                      <wps:cNvSpPr txBox="1"/>
                      <wps:spPr>
                        <a:xfrm>
                          <a:off x="0" y="0"/>
                          <a:ext cx="56007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CB4202" w14:textId="4529704D" w:rsidR="00E82D3B" w:rsidRDefault="00E82D3B" w:rsidP="007C58EA">
                            <w:pPr>
                              <w:jc w:val="both"/>
                              <w:rPr>
                                <w:b/>
                                <w:i/>
                                <w:sz w:val="22"/>
                              </w:rPr>
                            </w:pPr>
                            <w:r>
                              <w:rPr>
                                <w:b/>
                                <w:i/>
                                <w:sz w:val="22"/>
                              </w:rPr>
                              <w:t>Figure 6.8</w:t>
                            </w:r>
                            <w:r w:rsidRPr="00B0574C">
                              <w:rPr>
                                <w:b/>
                                <w:i/>
                                <w:sz w:val="22"/>
                              </w:rPr>
                              <w:t xml:space="preserve"> Genes with a decrease in expression when SRCAP was </w:t>
                            </w:r>
                            <w:r>
                              <w:rPr>
                                <w:b/>
                                <w:i/>
                                <w:sz w:val="22"/>
                              </w:rPr>
                              <w:t xml:space="preserve">over-expressed </w:t>
                            </w:r>
                            <w:r w:rsidRPr="00B0574C">
                              <w:rPr>
                                <w:b/>
                                <w:i/>
                                <w:sz w:val="22"/>
                              </w:rPr>
                              <w:t>show enrichment for</w:t>
                            </w:r>
                            <w:r>
                              <w:rPr>
                                <w:b/>
                                <w:i/>
                                <w:sz w:val="22"/>
                              </w:rPr>
                              <w:t xml:space="preserve"> the negative regulation of cellular processes</w:t>
                            </w:r>
                            <w:r w:rsidRPr="00B0574C">
                              <w:rPr>
                                <w:b/>
                                <w:i/>
                                <w:sz w:val="22"/>
                              </w:rPr>
                              <w:t>.</w:t>
                            </w:r>
                          </w:p>
                          <w:p w14:paraId="30AFF782" w14:textId="77777777" w:rsidR="00E82D3B" w:rsidRDefault="00E82D3B" w:rsidP="007C58EA">
                            <w:pPr>
                              <w:jc w:val="both"/>
                              <w:rPr>
                                <w:i/>
                                <w:sz w:val="22"/>
                              </w:rPr>
                            </w:pPr>
                            <w:r>
                              <w:rPr>
                                <w:i/>
                                <w:sz w:val="22"/>
                              </w:rPr>
                              <w:t>a.) Table of the top 20 positive fold changes in control vs YFP SRCAP data for each repeat. No genes were found in all three repeats in the top 20, highlighted is SOX4, which was found in repeat 1 and 2.</w:t>
                            </w:r>
                          </w:p>
                          <w:p w14:paraId="69B6F337" w14:textId="77777777" w:rsidR="00E82D3B" w:rsidRPr="00AD63FE" w:rsidRDefault="00E82D3B" w:rsidP="007C58EA">
                            <w:pPr>
                              <w:jc w:val="both"/>
                              <w:rPr>
                                <w:i/>
                                <w:sz w:val="22"/>
                              </w:rPr>
                            </w:pPr>
                            <w:r>
                              <w:rPr>
                                <w:i/>
                                <w:sz w:val="22"/>
                              </w:rPr>
                              <w:t xml:space="preserve">b.) </w:t>
                            </w:r>
                            <w:proofErr w:type="gramStart"/>
                            <w:r>
                              <w:rPr>
                                <w:i/>
                                <w:sz w:val="22"/>
                              </w:rPr>
                              <w:t>The</w:t>
                            </w:r>
                            <w:proofErr w:type="gramEnd"/>
                            <w:r>
                              <w:rPr>
                                <w:i/>
                                <w:sz w:val="22"/>
                              </w:rPr>
                              <w:t xml:space="preserve"> three top 20 lists were put into the STRING database and the above network image was generated. The red dots are genes associated with the negative regulation of cellular processes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7" o:spid="_x0000_s1190" type="#_x0000_t202" style="position:absolute;margin-left:-8.95pt;margin-top:265.1pt;width:441pt;height:117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" filled="f" stroked="f">
                <v:textbox>
                  <w:txbxContent>
                    <w:p w14:paraId="20CB4202" w14:textId="4529704D" w:rsidR="000A1E0D" w:rsidRDefault="000A1E0D" w:rsidP="007C58EA">
                      <w:pPr>
                        <w:jc w:val="both"/>
                        <w:rPr>
                          <w:b/>
                          <w:i/>
                          <w:sz w:val="22"/>
                        </w:rPr>
                      </w:pPr>
                      <w:r>
                        <w:rPr>
                          <w:b/>
                          <w:i/>
                          <w:sz w:val="22"/>
                        </w:rPr>
                        <w:t>Figure 6.8</w:t>
                      </w:r>
                      <w:r w:rsidRPr="00B0574C">
                        <w:rPr>
                          <w:b/>
                          <w:i/>
                          <w:sz w:val="22"/>
                        </w:rPr>
                        <w:t xml:space="preserve"> Genes with a decrease in expression when SRCAP was </w:t>
                      </w:r>
                      <w:r>
                        <w:rPr>
                          <w:b/>
                          <w:i/>
                          <w:sz w:val="22"/>
                        </w:rPr>
                        <w:t xml:space="preserve">over-expressed </w:t>
                      </w:r>
                      <w:r w:rsidRPr="00B0574C">
                        <w:rPr>
                          <w:b/>
                          <w:i/>
                          <w:sz w:val="22"/>
                        </w:rPr>
                        <w:t>show enrichment for</w:t>
                      </w:r>
                      <w:r>
                        <w:rPr>
                          <w:b/>
                          <w:i/>
                          <w:sz w:val="22"/>
                        </w:rPr>
                        <w:t xml:space="preserve"> the negative regulation of cellular processes</w:t>
                      </w:r>
                      <w:r w:rsidRPr="00B0574C">
                        <w:rPr>
                          <w:b/>
                          <w:i/>
                          <w:sz w:val="22"/>
                        </w:rPr>
                        <w:t>.</w:t>
                      </w:r>
                    </w:p>
                    <w:p w14:paraId="30AFF782" w14:textId="77777777" w:rsidR="000A1E0D" w:rsidRDefault="000A1E0D" w:rsidP="007C58EA">
                      <w:pPr>
                        <w:jc w:val="both"/>
                        <w:rPr>
                          <w:i/>
                          <w:sz w:val="22"/>
                        </w:rPr>
                      </w:pPr>
                      <w:r>
                        <w:rPr>
                          <w:i/>
                          <w:sz w:val="22"/>
                        </w:rPr>
                        <w:t>a.) Table of the top 20 positive fold changes in control vs YFP SRCAP data for each repeat. No genes were found in all three repeats in the top 20, highlighted is SOX4, which was found in repeat 1 and 2.</w:t>
                      </w:r>
                    </w:p>
                    <w:p w14:paraId="69B6F337" w14:textId="77777777" w:rsidR="000A1E0D" w:rsidRPr="00AD63FE" w:rsidRDefault="000A1E0D" w:rsidP="007C58EA">
                      <w:pPr>
                        <w:jc w:val="both"/>
                        <w:rPr>
                          <w:i/>
                          <w:sz w:val="22"/>
                        </w:rPr>
                      </w:pPr>
                      <w:r>
                        <w:rPr>
                          <w:i/>
                          <w:sz w:val="22"/>
                        </w:rPr>
                        <w:t xml:space="preserve">b.) </w:t>
                      </w:r>
                      <w:proofErr w:type="gramStart"/>
                      <w:r>
                        <w:rPr>
                          <w:i/>
                          <w:sz w:val="22"/>
                        </w:rPr>
                        <w:t>The</w:t>
                      </w:r>
                      <w:proofErr w:type="gramEnd"/>
                      <w:r>
                        <w:rPr>
                          <w:i/>
                          <w:sz w:val="22"/>
                        </w:rPr>
                        <w:t xml:space="preserve"> three top 20 lists were put into the STRING database and the above network image was generated. The red dots are genes associated with the negative regulation of cellular processes</w:t>
                      </w:r>
                    </w:p>
                  </w:txbxContent>
                </v:textbox>
                <w10:wrap type="square"/>
              </v:shape>
            </w:pict>
          </mc:Fallback>
        </mc:AlternateContent>
      </w:r>
      <w:r>
        <w:rPr>
          <w:rFonts w:asciiTheme="majorHAnsi" w:hAnsiTheme="majorHAnsi"/>
        </w:rPr>
        <w:br w:type="page"/>
      </w:r>
    </w:p>
    <w:tbl>
      <w:tblPr>
        <w:tblpPr w:leftFromText="180" w:rightFromText="180" w:vertAnchor="page" w:horzAnchor="page" w:tblpX="2289" w:tblpY="2161"/>
        <w:tblW w:w="3782" w:type="dxa"/>
        <w:tblCellMar>
          <w:left w:w="0" w:type="dxa"/>
          <w:right w:w="0" w:type="dxa"/>
        </w:tblCellMar>
        <w:tblLook w:val="0600" w:firstRow="0" w:lastRow="0" w:firstColumn="0" w:lastColumn="0" w:noHBand="1" w:noVBand="1"/>
      </w:tblPr>
      <w:tblGrid>
        <w:gridCol w:w="826"/>
        <w:gridCol w:w="525"/>
        <w:gridCol w:w="639"/>
        <w:gridCol w:w="525"/>
        <w:gridCol w:w="742"/>
        <w:gridCol w:w="525"/>
      </w:tblGrid>
      <w:tr w:rsidR="007C58EA" w:rsidRPr="003A23AF" w14:paraId="58C77660" w14:textId="77777777" w:rsidTr="002C01B6">
        <w:trPr>
          <w:trHeight w:val="268"/>
        </w:trPr>
        <w:tc>
          <w:tcPr>
            <w:tcW w:w="1351"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21E61D0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1</w:t>
            </w:r>
          </w:p>
        </w:tc>
        <w:tc>
          <w:tcPr>
            <w:tcW w:w="1164"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13F4E014"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2</w:t>
            </w:r>
          </w:p>
        </w:tc>
        <w:tc>
          <w:tcPr>
            <w:tcW w:w="1267" w:type="dxa"/>
            <w:gridSpan w:val="2"/>
            <w:tcBorders>
              <w:top w:val="single" w:sz="4" w:space="0" w:color="000000"/>
              <w:left w:val="single" w:sz="4" w:space="0" w:color="000000"/>
              <w:bottom w:val="single" w:sz="4" w:space="0" w:color="000000"/>
              <w:right w:val="single" w:sz="4" w:space="0" w:color="000000"/>
            </w:tcBorders>
            <w:shd w:val="clear" w:color="auto" w:fill="BFBFBF"/>
            <w:tcMar>
              <w:top w:w="20" w:type="dxa"/>
              <w:left w:w="20" w:type="dxa"/>
              <w:bottom w:w="0" w:type="dxa"/>
              <w:right w:w="20" w:type="dxa"/>
            </w:tcMar>
            <w:vAlign w:val="bottom"/>
            <w:hideMark/>
          </w:tcPr>
          <w:p w14:paraId="344511C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w:t>
            </w:r>
          </w:p>
        </w:tc>
      </w:tr>
      <w:tr w:rsidR="007C58EA" w:rsidRPr="003A23AF" w14:paraId="23B40659"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77152979"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Gene</w:t>
            </w:r>
          </w:p>
        </w:tc>
        <w:tc>
          <w:tcPr>
            <w:tcW w:w="525"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01E4F6A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Fold Change</w:t>
            </w:r>
          </w:p>
        </w:tc>
        <w:tc>
          <w:tcPr>
            <w:tcW w:w="639"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47D81E18"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Gene</w:t>
            </w:r>
          </w:p>
        </w:tc>
        <w:tc>
          <w:tcPr>
            <w:tcW w:w="525"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490750F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Fold Change</w:t>
            </w:r>
          </w:p>
        </w:tc>
        <w:tc>
          <w:tcPr>
            <w:tcW w:w="742"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38BAFBB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Gene</w:t>
            </w:r>
          </w:p>
        </w:tc>
        <w:tc>
          <w:tcPr>
            <w:tcW w:w="525" w:type="dxa"/>
            <w:tcBorders>
              <w:top w:val="single" w:sz="4" w:space="0" w:color="000000"/>
              <w:left w:val="single" w:sz="4" w:space="0" w:color="000000"/>
              <w:bottom w:val="single" w:sz="4" w:space="0" w:color="000000"/>
              <w:right w:val="single" w:sz="4" w:space="0" w:color="000000"/>
            </w:tcBorders>
            <w:shd w:val="clear" w:color="auto" w:fill="0D0D0D"/>
            <w:tcMar>
              <w:top w:w="20" w:type="dxa"/>
              <w:left w:w="20" w:type="dxa"/>
              <w:bottom w:w="0" w:type="dxa"/>
              <w:right w:w="20" w:type="dxa"/>
            </w:tcMar>
            <w:vAlign w:val="bottom"/>
            <w:hideMark/>
          </w:tcPr>
          <w:p w14:paraId="7856597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Fold Change</w:t>
            </w:r>
          </w:p>
        </w:tc>
      </w:tr>
      <w:tr w:rsidR="007C58EA" w:rsidRPr="003A23AF" w14:paraId="171BF322"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C645A93"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SF1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0F395D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-4.33</w:t>
            </w:r>
          </w:p>
        </w:tc>
        <w:tc>
          <w:tcPr>
            <w:tcW w:w="639" w:type="dxa"/>
            <w:tcBorders>
              <w:top w:val="single" w:sz="4" w:space="0" w:color="000000"/>
              <w:left w:val="single" w:sz="4" w:space="0" w:color="000000"/>
              <w:bottom w:val="single" w:sz="4" w:space="0" w:color="000000"/>
              <w:right w:val="single" w:sz="4" w:space="0" w:color="000000"/>
            </w:tcBorders>
            <w:shd w:val="clear" w:color="auto" w:fill="E6B8B7"/>
            <w:tcMar>
              <w:top w:w="20" w:type="dxa"/>
              <w:left w:w="20" w:type="dxa"/>
              <w:bottom w:w="0" w:type="dxa"/>
              <w:right w:w="20" w:type="dxa"/>
            </w:tcMar>
            <w:vAlign w:val="bottom"/>
            <w:hideMark/>
          </w:tcPr>
          <w:p w14:paraId="5BC91EA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CPA4</w:t>
            </w:r>
          </w:p>
        </w:tc>
        <w:tc>
          <w:tcPr>
            <w:tcW w:w="525" w:type="dxa"/>
            <w:tcBorders>
              <w:top w:val="single" w:sz="4" w:space="0" w:color="000000"/>
              <w:left w:val="single" w:sz="4" w:space="0" w:color="000000"/>
              <w:bottom w:val="single" w:sz="4" w:space="0" w:color="000000"/>
              <w:right w:val="single" w:sz="4" w:space="0" w:color="000000"/>
            </w:tcBorders>
            <w:shd w:val="clear" w:color="auto" w:fill="E6B8B7"/>
            <w:tcMar>
              <w:top w:w="20" w:type="dxa"/>
              <w:left w:w="20" w:type="dxa"/>
              <w:bottom w:w="0" w:type="dxa"/>
              <w:right w:w="20" w:type="dxa"/>
            </w:tcMar>
            <w:vAlign w:val="bottom"/>
            <w:hideMark/>
          </w:tcPr>
          <w:p w14:paraId="4DAA68B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-6.5</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D8082E9"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MMP25-AS1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62AE83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-13.62</w:t>
            </w:r>
          </w:p>
        </w:tc>
      </w:tr>
      <w:tr w:rsidR="007C58EA" w:rsidRPr="003A23AF" w14:paraId="2F22D674"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64B0EB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KLK15</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88007C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-4.2</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2B8195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ARRDC3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BB0FE96"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-4.46</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023B47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C20orf96</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4CFB36C"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-9.13</w:t>
            </w:r>
          </w:p>
        </w:tc>
      </w:tr>
      <w:tr w:rsidR="007C58EA" w:rsidRPr="003A23AF" w14:paraId="242FEA1A"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E6B8B7"/>
            <w:tcMar>
              <w:top w:w="20" w:type="dxa"/>
              <w:left w:w="20" w:type="dxa"/>
              <w:bottom w:w="0" w:type="dxa"/>
              <w:right w:w="20" w:type="dxa"/>
            </w:tcMar>
            <w:vAlign w:val="bottom"/>
            <w:hideMark/>
          </w:tcPr>
          <w:p w14:paraId="6689FE06"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CPA4</w:t>
            </w:r>
          </w:p>
        </w:tc>
        <w:tc>
          <w:tcPr>
            <w:tcW w:w="525" w:type="dxa"/>
            <w:tcBorders>
              <w:top w:val="single" w:sz="4" w:space="0" w:color="000000"/>
              <w:left w:val="single" w:sz="4" w:space="0" w:color="000000"/>
              <w:bottom w:val="single" w:sz="4" w:space="0" w:color="000000"/>
              <w:right w:val="single" w:sz="4" w:space="0" w:color="000000"/>
            </w:tcBorders>
            <w:shd w:val="clear" w:color="auto" w:fill="E6B8B7"/>
            <w:tcMar>
              <w:top w:w="20" w:type="dxa"/>
              <w:left w:w="20" w:type="dxa"/>
              <w:bottom w:w="0" w:type="dxa"/>
              <w:right w:w="20" w:type="dxa"/>
            </w:tcMar>
            <w:vAlign w:val="bottom"/>
            <w:hideMark/>
          </w:tcPr>
          <w:p w14:paraId="56E31CDF"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-4.07</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1D7780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F3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2252074"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-4.34</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55ACF8C"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IL18BP</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7D8D354"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-9.08</w:t>
            </w:r>
          </w:p>
        </w:tc>
      </w:tr>
      <w:tr w:rsidR="007C58EA" w:rsidRPr="003A23AF" w14:paraId="509B4652"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D349DD8"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AP1S1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6983C5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-3.99</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9508DE8"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STIM2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260DA1F"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-4.12</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89C8CC2"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KRTAP2-3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8D0E2D9"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-8.5</w:t>
            </w:r>
          </w:p>
        </w:tc>
      </w:tr>
      <w:tr w:rsidR="007C58EA" w:rsidRPr="003A23AF" w14:paraId="5069128F"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FE5871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PCDHB11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37B516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-3.96</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CEE6EC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CALB2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21C8F0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-3.87</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CA7C501"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NBEAL2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B3D7974"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-8.47</w:t>
            </w:r>
          </w:p>
        </w:tc>
      </w:tr>
      <w:tr w:rsidR="007C58EA" w:rsidRPr="003A23AF" w14:paraId="7C98D21A"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9F9D35C"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MTRNR2L6</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02E615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-3.84</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E59162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RAET1L</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AB4B8C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-3.84</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222857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CDA</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165E1E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-7.68</w:t>
            </w:r>
          </w:p>
        </w:tc>
      </w:tr>
      <w:tr w:rsidR="007C58EA" w:rsidRPr="003A23AF" w14:paraId="4B1767A6"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DC13891"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MTRNR2L9</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8A3D5B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-3.67</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04B7CF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HMG20A</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B04F5C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-3.61</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854BC8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ARL14EPL</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5D1C24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-7.55</w:t>
            </w:r>
          </w:p>
        </w:tc>
      </w:tr>
      <w:tr w:rsidR="007C58EA" w:rsidRPr="003A23AF" w14:paraId="34C853BC"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BF0322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ELF1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8C1F79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-3.6</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44500E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C1orf116</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640609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-3.47</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EC6E71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ART1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F9CFDF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-7.42</w:t>
            </w:r>
          </w:p>
        </w:tc>
      </w:tr>
      <w:tr w:rsidR="007C58EA" w:rsidRPr="003A23AF" w14:paraId="66F72082"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4412D11"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RBM26</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36A8984"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-3.57</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92A6A7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TCN1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B43251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-3.47</w:t>
            </w:r>
          </w:p>
        </w:tc>
        <w:tc>
          <w:tcPr>
            <w:tcW w:w="742" w:type="dxa"/>
            <w:tcBorders>
              <w:top w:val="single" w:sz="4" w:space="0" w:color="000000"/>
              <w:left w:val="single" w:sz="4" w:space="0" w:color="000000"/>
              <w:bottom w:val="single" w:sz="4" w:space="0" w:color="000000"/>
              <w:right w:val="single" w:sz="4" w:space="0" w:color="000000"/>
            </w:tcBorders>
            <w:shd w:val="clear" w:color="auto" w:fill="E6B8B7"/>
            <w:tcMar>
              <w:top w:w="20" w:type="dxa"/>
              <w:left w:w="20" w:type="dxa"/>
              <w:bottom w:w="0" w:type="dxa"/>
              <w:right w:w="20" w:type="dxa"/>
            </w:tcMar>
            <w:vAlign w:val="bottom"/>
            <w:hideMark/>
          </w:tcPr>
          <w:p w14:paraId="49F265E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CPA4</w:t>
            </w:r>
          </w:p>
        </w:tc>
        <w:tc>
          <w:tcPr>
            <w:tcW w:w="525" w:type="dxa"/>
            <w:tcBorders>
              <w:top w:val="single" w:sz="4" w:space="0" w:color="000000"/>
              <w:left w:val="single" w:sz="4" w:space="0" w:color="000000"/>
              <w:bottom w:val="single" w:sz="4" w:space="0" w:color="000000"/>
              <w:right w:val="single" w:sz="4" w:space="0" w:color="000000"/>
            </w:tcBorders>
            <w:shd w:val="clear" w:color="auto" w:fill="E6B8B7"/>
            <w:tcMar>
              <w:top w:w="20" w:type="dxa"/>
              <w:left w:w="20" w:type="dxa"/>
              <w:bottom w:w="0" w:type="dxa"/>
              <w:right w:w="20" w:type="dxa"/>
            </w:tcMar>
            <w:vAlign w:val="bottom"/>
            <w:hideMark/>
          </w:tcPr>
          <w:p w14:paraId="733C2F7F"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-7.19</w:t>
            </w:r>
          </w:p>
        </w:tc>
      </w:tr>
      <w:tr w:rsidR="007C58EA" w:rsidRPr="003A23AF" w14:paraId="66AB3070"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1A7015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HNRNPK</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EEBC9A3"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-3.55</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6A35A4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NT5E</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3CBAE43"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-3.4</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7E910F6"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FLYWCH1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33C984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-6.89</w:t>
            </w:r>
          </w:p>
        </w:tc>
      </w:tr>
      <w:tr w:rsidR="007C58EA" w:rsidRPr="003A23AF" w14:paraId="485A2EA9"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06E258F"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NECAB2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CA3B5D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-3.54</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F84D41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RSRP1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5C9A3B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-3.38</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39B6FA3"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SULT1A4</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D16A238"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-6.66</w:t>
            </w:r>
          </w:p>
        </w:tc>
      </w:tr>
      <w:tr w:rsidR="007C58EA" w:rsidRPr="003A23AF" w14:paraId="2BA94F32"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6BCEDF3"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CHAC1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90153F9"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-3.47</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2FF695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TACSTD2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B7958C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-3.33</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94F4473"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RFX7</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101C32C"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-6.6</w:t>
            </w:r>
          </w:p>
        </w:tc>
      </w:tr>
      <w:tr w:rsidR="007C58EA" w:rsidRPr="003A23AF" w14:paraId="4D00AE2E"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94FED56"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CHMP7</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A50AA4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-3.45</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3A020F4"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LIF</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11D2A53"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-3.31</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6ED8B6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SYNGAP1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20961F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-6.33</w:t>
            </w:r>
          </w:p>
        </w:tc>
      </w:tr>
      <w:tr w:rsidR="007C58EA" w:rsidRPr="003A23AF" w14:paraId="7CC61BF8"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E26E5F1"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IQCF3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550101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-3.27</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B86FFE8"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KLK5</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51412D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-3.12</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E22A3D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NAT6</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1F4F0C9"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-6.2</w:t>
            </w:r>
          </w:p>
        </w:tc>
      </w:tr>
      <w:tr w:rsidR="007C58EA" w:rsidRPr="003A23AF" w14:paraId="0911C27F"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72BE7D6"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LMO7DN</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A69E89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-3.15</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C0BC4C3"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RBMS1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A884E9F"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-3.08</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A3D052C"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MLXIPL</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1FC59E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-6.16</w:t>
            </w:r>
          </w:p>
        </w:tc>
      </w:tr>
      <w:tr w:rsidR="007C58EA" w:rsidRPr="003A23AF" w14:paraId="5E324CDA"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95F31DF"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KLK5</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408E02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-3.12</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38CDF9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ULBP2</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E6B458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-3.06</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4572E6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GNB3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F9CD208"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-6</w:t>
            </w:r>
          </w:p>
        </w:tc>
      </w:tr>
      <w:tr w:rsidR="007C58EA" w:rsidRPr="003A23AF" w14:paraId="5F46D1F7"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ABB4021"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AC007292.7</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C981246"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-3.07</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101CA91"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ALPK1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CC4ECEC"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-3.04</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9C2082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PROSER3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3C09CA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-5.85</w:t>
            </w:r>
          </w:p>
        </w:tc>
      </w:tr>
      <w:tr w:rsidR="007C58EA" w:rsidRPr="003A23AF" w14:paraId="50D8FDC9"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AF1D104"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TBC1D3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9EC4996"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-3.01</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8CFF61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KDM6B</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D2131E4"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-3.04</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D83C7A1"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KMT2B</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38E3020"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-5.84</w:t>
            </w:r>
          </w:p>
        </w:tc>
      </w:tr>
      <w:tr w:rsidR="007C58EA" w:rsidRPr="003A23AF" w14:paraId="1C853578"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2F8CF0C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PSCA</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CFD8CDB"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-3.01</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6119ED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MYEOV</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5D07DD3F"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-3.01</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11BFA1B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LINC00173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7FACA00E"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-5.81</w:t>
            </w:r>
          </w:p>
        </w:tc>
      </w:tr>
      <w:tr w:rsidR="007C58EA" w:rsidRPr="003A23AF" w14:paraId="5A29CF5A" w14:textId="77777777" w:rsidTr="002C01B6">
        <w:trPr>
          <w:trHeight w:val="268"/>
        </w:trPr>
        <w:tc>
          <w:tcPr>
            <w:tcW w:w="826"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3D610427"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TMEM167A</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4DE9118D"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-2.98</w:t>
            </w:r>
          </w:p>
        </w:tc>
        <w:tc>
          <w:tcPr>
            <w:tcW w:w="639"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01532FB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PMAIP1</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F59F24A"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-3</w:t>
            </w: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8B10248"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HOXB-AS3</w:t>
            </w:r>
          </w:p>
        </w:tc>
        <w:tc>
          <w:tcPr>
            <w:tcW w:w="52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0" w:type="dxa"/>
              <w:right w:w="20" w:type="dxa"/>
            </w:tcMar>
            <w:vAlign w:val="bottom"/>
            <w:hideMark/>
          </w:tcPr>
          <w:p w14:paraId="69B18435" w14:textId="77777777" w:rsidR="007C58EA" w:rsidRPr="003A23AF" w:rsidRDefault="007C58EA" w:rsidP="002C01B6">
            <w:pPr>
              <w:jc w:val="center"/>
              <w:rPr>
                <w:rFonts w:asciiTheme="majorHAnsi" w:hAnsiTheme="majorHAnsi"/>
                <w:sz w:val="16"/>
                <w:szCs w:val="16"/>
              </w:rPr>
            </w:pPr>
            <w:r w:rsidRPr="003A23AF">
              <w:rPr>
                <w:rFonts w:asciiTheme="majorHAnsi" w:hAnsiTheme="majorHAnsi"/>
                <w:sz w:val="16"/>
                <w:szCs w:val="16"/>
                <w:lang w:val="en-US"/>
              </w:rPr>
              <w:t>-5.59</w:t>
            </w:r>
          </w:p>
        </w:tc>
      </w:tr>
    </w:tbl>
    <w:p w14:paraId="11049154" w14:textId="77777777" w:rsidR="007C58EA" w:rsidRDefault="007C58EA" w:rsidP="007C58EA">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107776" behindDoc="0" locked="0" layoutInCell="1" allowOverlap="1" wp14:anchorId="453240EF" wp14:editId="33F1E8B7">
                <wp:simplePos x="0" y="0"/>
                <wp:positionH relativeFrom="column">
                  <wp:posOffset>2400300</wp:posOffset>
                </wp:positionH>
                <wp:positionV relativeFrom="paragraph">
                  <wp:posOffset>114300</wp:posOffset>
                </wp:positionV>
                <wp:extent cx="457200" cy="457200"/>
                <wp:effectExtent l="0" t="0" r="0" b="0"/>
                <wp:wrapSquare wrapText="bothSides"/>
                <wp:docPr id="348" name="Text Box 348"/>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367750" w14:textId="77777777" w:rsidR="00E82D3B" w:rsidRPr="003B5AC0" w:rsidRDefault="00E82D3B" w:rsidP="007C58EA">
                            <w:pPr>
                              <w:rPr>
                                <w:b/>
                              </w:rPr>
                            </w:pPr>
                            <w:proofErr w:type="gramStart"/>
                            <w:r>
                              <w:rPr>
                                <w:b/>
                              </w:rPr>
                              <w:t>b</w:t>
                            </w:r>
                            <w:proofErr w:type="gramEnd"/>
                            <w:r w:rsidRPr="003B5AC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8" o:spid="_x0000_s1191" type="#_x0000_t202" style="position:absolute;margin-left:189pt;margin-top:9pt;width:36pt;height:36pt;z-index:25210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" filled="f" stroked="f">
                <v:textbox>
                  <w:txbxContent>
                    <w:p w14:paraId="77367750" w14:textId="77777777" w:rsidR="000A1E0D" w:rsidRPr="003B5AC0" w:rsidRDefault="000A1E0D" w:rsidP="007C58EA">
                      <w:pPr>
                        <w:rPr>
                          <w:b/>
                        </w:rPr>
                      </w:pPr>
                      <w:proofErr w:type="gramStart"/>
                      <w:r>
                        <w:rPr>
                          <w:b/>
                        </w:rPr>
                        <w:t>b</w:t>
                      </w:r>
                      <w:proofErr w:type="gramEnd"/>
                      <w:r w:rsidRPr="003B5AC0">
                        <w:rPr>
                          <w:b/>
                        </w:rPr>
                        <w:t>.)</w:t>
                      </w:r>
                    </w:p>
                  </w:txbxContent>
                </v:textbox>
                <w10:wrap type="square"/>
              </v:shape>
            </w:pict>
          </mc:Fallback>
        </mc:AlternateContent>
      </w:r>
      <w:r>
        <w:rPr>
          <w:rFonts w:asciiTheme="majorHAnsi" w:hAnsiTheme="majorHAnsi"/>
          <w:noProof/>
          <w:lang w:val="en-US"/>
        </w:rPr>
        <mc:AlternateContent>
          <mc:Choice Requires="wps">
            <w:drawing>
              <wp:anchor distT="0" distB="0" distL="114300" distR="114300" simplePos="0" relativeHeight="252106752" behindDoc="0" locked="0" layoutInCell="1" allowOverlap="1" wp14:anchorId="627990CA" wp14:editId="6CB48D31">
                <wp:simplePos x="0" y="0"/>
                <wp:positionH relativeFrom="column">
                  <wp:posOffset>-114300</wp:posOffset>
                </wp:positionH>
                <wp:positionV relativeFrom="paragraph">
                  <wp:posOffset>114300</wp:posOffset>
                </wp:positionV>
                <wp:extent cx="457200" cy="457200"/>
                <wp:effectExtent l="0" t="0" r="0" b="0"/>
                <wp:wrapSquare wrapText="bothSides"/>
                <wp:docPr id="349" name="Text Box 349"/>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FB5E97" w14:textId="77777777" w:rsidR="00E82D3B" w:rsidRPr="003B5AC0" w:rsidRDefault="00E82D3B" w:rsidP="007C58EA">
                            <w:pPr>
                              <w:rPr>
                                <w:b/>
                              </w:rPr>
                            </w:pPr>
                            <w:proofErr w:type="gramStart"/>
                            <w:r w:rsidRPr="003B5AC0">
                              <w:rPr>
                                <w:b/>
                              </w:rPr>
                              <w:t>a</w:t>
                            </w:r>
                            <w:proofErr w:type="gramEnd"/>
                            <w:r w:rsidRPr="003B5AC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9" o:spid="_x0000_s1192" type="#_x0000_t202" style="position:absolute;margin-left:-8.95pt;margin-top:9pt;width:36pt;height:36pt;z-index:25210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" filled="f" stroked="f">
                <v:textbox>
                  <w:txbxContent>
                    <w:p w14:paraId="40FB5E97" w14:textId="77777777" w:rsidR="000A1E0D" w:rsidRPr="003B5AC0" w:rsidRDefault="000A1E0D" w:rsidP="007C58EA">
                      <w:pPr>
                        <w:rPr>
                          <w:b/>
                        </w:rPr>
                      </w:pPr>
                      <w:proofErr w:type="gramStart"/>
                      <w:r w:rsidRPr="003B5AC0">
                        <w:rPr>
                          <w:b/>
                        </w:rPr>
                        <w:t>a</w:t>
                      </w:r>
                      <w:proofErr w:type="gramEnd"/>
                      <w:r w:rsidRPr="003B5AC0">
                        <w:rPr>
                          <w:b/>
                        </w:rPr>
                        <w:t>.)</w:t>
                      </w:r>
                    </w:p>
                  </w:txbxContent>
                </v:textbox>
                <w10:wrap type="square"/>
              </v:shape>
            </w:pict>
          </mc:Fallback>
        </mc:AlternateContent>
      </w:r>
    </w:p>
    <w:p w14:paraId="774810FD" w14:textId="77777777" w:rsidR="007C58EA" w:rsidRDefault="007C58EA" w:rsidP="007C58EA">
      <w:pPr>
        <w:rPr>
          <w:rFonts w:asciiTheme="majorHAnsi" w:hAnsiTheme="majorHAnsi"/>
        </w:rPr>
      </w:pPr>
      <w:r>
        <w:rPr>
          <w:rFonts w:asciiTheme="majorHAnsi" w:hAnsiTheme="majorHAnsi"/>
          <w:noProof/>
          <w:lang w:val="en-US"/>
        </w:rPr>
        <w:drawing>
          <wp:anchor distT="0" distB="0" distL="114300" distR="114300" simplePos="0" relativeHeight="252101632" behindDoc="0" locked="0" layoutInCell="1" allowOverlap="1" wp14:anchorId="65997BA6" wp14:editId="4C296A0B">
            <wp:simplePos x="0" y="0"/>
            <wp:positionH relativeFrom="column">
              <wp:posOffset>2057400</wp:posOffset>
            </wp:positionH>
            <wp:positionV relativeFrom="paragraph">
              <wp:posOffset>271145</wp:posOffset>
            </wp:positionV>
            <wp:extent cx="3094355" cy="2857500"/>
            <wp:effectExtent l="0" t="0" r="4445" b="12700"/>
            <wp:wrapSquare wrapText="bothSides"/>
            <wp:docPr id="364" name="Picture 364" descr="Macintosh HD:Users:ClairFellows:Desktop:Screen Shot 2017-10-12 at 11.2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lairFellows:Desktop:Screen Shot 2017-10-12 at 11.27.46.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94355"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C0B312" w14:textId="77777777" w:rsidR="007C58EA" w:rsidRDefault="007C58EA" w:rsidP="007C58EA">
      <w:pPr>
        <w:rPr>
          <w:rFonts w:asciiTheme="majorHAnsi" w:hAnsiTheme="majorHAnsi"/>
        </w:rPr>
      </w:pPr>
    </w:p>
    <w:p w14:paraId="55A28870" w14:textId="77777777" w:rsidR="007C58EA" w:rsidRDefault="007C58EA" w:rsidP="007C58EA">
      <w:pPr>
        <w:rPr>
          <w:rFonts w:asciiTheme="majorHAnsi" w:hAnsiTheme="majorHAnsi"/>
        </w:rPr>
      </w:pPr>
    </w:p>
    <w:p w14:paraId="575914CA" w14:textId="77777777" w:rsidR="007C58EA" w:rsidRDefault="007C58EA" w:rsidP="007C58EA">
      <w:pPr>
        <w:rPr>
          <w:rFonts w:asciiTheme="majorHAnsi" w:hAnsiTheme="majorHAnsi"/>
        </w:rPr>
      </w:pPr>
    </w:p>
    <w:p w14:paraId="0F7F7D00" w14:textId="77777777" w:rsidR="007C58EA" w:rsidRDefault="007C58EA" w:rsidP="007C58EA">
      <w:pPr>
        <w:rPr>
          <w:rFonts w:asciiTheme="majorHAnsi" w:hAnsiTheme="majorHAnsi"/>
        </w:rPr>
      </w:pPr>
    </w:p>
    <w:p w14:paraId="28EB26E4" w14:textId="77777777" w:rsidR="007C58EA" w:rsidRDefault="007C58EA" w:rsidP="007C58EA">
      <w:pPr>
        <w:rPr>
          <w:rFonts w:asciiTheme="majorHAnsi" w:hAnsiTheme="majorHAnsi"/>
        </w:rPr>
      </w:pPr>
    </w:p>
    <w:p w14:paraId="603FD404" w14:textId="77777777" w:rsidR="007C58EA" w:rsidRDefault="007C58EA" w:rsidP="007C58EA">
      <w:pPr>
        <w:rPr>
          <w:rFonts w:asciiTheme="majorHAnsi" w:hAnsiTheme="majorHAnsi"/>
        </w:rPr>
      </w:pPr>
    </w:p>
    <w:p w14:paraId="0BB57978" w14:textId="77777777" w:rsidR="007C58EA" w:rsidRDefault="007C58EA" w:rsidP="007C58EA">
      <w:pPr>
        <w:rPr>
          <w:rFonts w:asciiTheme="majorHAnsi" w:hAnsiTheme="majorHAnsi"/>
        </w:rPr>
      </w:pPr>
    </w:p>
    <w:p w14:paraId="4C01A62B" w14:textId="77777777" w:rsidR="007C58EA" w:rsidRDefault="007C58EA" w:rsidP="007C58EA">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105728" behindDoc="0" locked="0" layoutInCell="1" allowOverlap="1" wp14:anchorId="6BD6008F" wp14:editId="0BE0629E">
                <wp:simplePos x="0" y="0"/>
                <wp:positionH relativeFrom="column">
                  <wp:posOffset>-2633345</wp:posOffset>
                </wp:positionH>
                <wp:positionV relativeFrom="paragraph">
                  <wp:posOffset>285115</wp:posOffset>
                </wp:positionV>
                <wp:extent cx="5600700" cy="1143000"/>
                <wp:effectExtent l="0" t="0" r="0" b="0"/>
                <wp:wrapSquare wrapText="bothSides"/>
                <wp:docPr id="350" name="Text Box 350"/>
                <wp:cNvGraphicFramePr/>
                <a:graphic xmlns:a="http://schemas.openxmlformats.org/drawingml/2006/main">
                  <a:graphicData uri="http://schemas.microsoft.com/office/word/2010/wordprocessingShape">
                    <wps:wsp>
                      <wps:cNvSpPr txBox="1"/>
                      <wps:spPr>
                        <a:xfrm>
                          <a:off x="0" y="0"/>
                          <a:ext cx="56007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AAB833" w14:textId="5BF462CE" w:rsidR="00E82D3B" w:rsidRDefault="00E82D3B" w:rsidP="007C58EA">
                            <w:pPr>
                              <w:jc w:val="both"/>
                              <w:rPr>
                                <w:b/>
                                <w:i/>
                                <w:sz w:val="22"/>
                              </w:rPr>
                            </w:pPr>
                            <w:r w:rsidRPr="00EF00EB">
                              <w:rPr>
                                <w:b/>
                                <w:i/>
                                <w:sz w:val="22"/>
                              </w:rPr>
                              <w:t>Figure 6.</w:t>
                            </w:r>
                            <w:r>
                              <w:rPr>
                                <w:b/>
                                <w:i/>
                                <w:sz w:val="22"/>
                              </w:rPr>
                              <w:t xml:space="preserve">9 </w:t>
                            </w:r>
                            <w:r w:rsidRPr="00B0574C">
                              <w:rPr>
                                <w:b/>
                                <w:i/>
                                <w:sz w:val="22"/>
                              </w:rPr>
                              <w:t>Genes with a</w:t>
                            </w:r>
                            <w:r>
                              <w:rPr>
                                <w:b/>
                                <w:i/>
                                <w:sz w:val="22"/>
                              </w:rPr>
                              <w:t>n in</w:t>
                            </w:r>
                            <w:r w:rsidRPr="00B0574C">
                              <w:rPr>
                                <w:b/>
                                <w:i/>
                                <w:sz w:val="22"/>
                              </w:rPr>
                              <w:t xml:space="preserve">crease in expression when SRCAP was </w:t>
                            </w:r>
                            <w:r>
                              <w:rPr>
                                <w:b/>
                                <w:i/>
                                <w:sz w:val="22"/>
                              </w:rPr>
                              <w:t xml:space="preserve">over-expressed </w:t>
                            </w:r>
                            <w:r w:rsidRPr="00B0574C">
                              <w:rPr>
                                <w:b/>
                                <w:i/>
                                <w:sz w:val="22"/>
                              </w:rPr>
                              <w:t xml:space="preserve">show </w:t>
                            </w:r>
                            <w:r>
                              <w:rPr>
                                <w:b/>
                                <w:i/>
                                <w:sz w:val="22"/>
                              </w:rPr>
                              <w:t>no enrichment for any pathways</w:t>
                            </w:r>
                          </w:p>
                          <w:p w14:paraId="54696880" w14:textId="77777777" w:rsidR="00E82D3B" w:rsidRDefault="00E82D3B" w:rsidP="007C58EA">
                            <w:pPr>
                              <w:jc w:val="both"/>
                              <w:rPr>
                                <w:i/>
                                <w:sz w:val="22"/>
                              </w:rPr>
                            </w:pPr>
                            <w:r>
                              <w:rPr>
                                <w:i/>
                                <w:sz w:val="22"/>
                              </w:rPr>
                              <w:t>a.) Table of the top 20 negative fold changes in control vs YFP SRCAP data for each repeat. The gene highlighted was found across all three repeats.</w:t>
                            </w:r>
                          </w:p>
                          <w:p w14:paraId="6ADAC699" w14:textId="77777777" w:rsidR="00E82D3B" w:rsidRPr="00AD63FE" w:rsidRDefault="00E82D3B" w:rsidP="007C58EA">
                            <w:pPr>
                              <w:jc w:val="both"/>
                              <w:rPr>
                                <w:i/>
                                <w:sz w:val="22"/>
                              </w:rPr>
                            </w:pPr>
                            <w:r>
                              <w:rPr>
                                <w:i/>
                                <w:sz w:val="22"/>
                              </w:rPr>
                              <w:t xml:space="preserve">b.) </w:t>
                            </w:r>
                            <w:proofErr w:type="gramStart"/>
                            <w:r>
                              <w:rPr>
                                <w:i/>
                                <w:sz w:val="22"/>
                              </w:rPr>
                              <w:t>The</w:t>
                            </w:r>
                            <w:proofErr w:type="gramEnd"/>
                            <w:r>
                              <w:rPr>
                                <w:i/>
                                <w:sz w:val="22"/>
                              </w:rPr>
                              <w:t xml:space="preserve"> three top 20 lists were put into the STRING database and the above network image was generated, however there was no pathway enrichment found.</w:t>
                            </w:r>
                          </w:p>
                          <w:p w14:paraId="6601BC16" w14:textId="77777777" w:rsidR="00E82D3B" w:rsidRDefault="00E82D3B" w:rsidP="007C58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0" o:spid="_x0000_s1193" type="#_x0000_t202" style="position:absolute;margin-left:-207.3pt;margin-top:22.45pt;width:441pt;height:90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" filled="f" stroked="f">
                <v:textbox>
                  <w:txbxContent>
                    <w:p w14:paraId="74AAB833" w14:textId="5BF462CE" w:rsidR="000A1E0D" w:rsidRDefault="000A1E0D" w:rsidP="007C58EA">
                      <w:pPr>
                        <w:jc w:val="both"/>
                        <w:rPr>
                          <w:b/>
                          <w:i/>
                          <w:sz w:val="22"/>
                        </w:rPr>
                      </w:pPr>
                      <w:r w:rsidRPr="00EF00EB">
                        <w:rPr>
                          <w:b/>
                          <w:i/>
                          <w:sz w:val="22"/>
                        </w:rPr>
                        <w:t>Figure 6.</w:t>
                      </w:r>
                      <w:r>
                        <w:rPr>
                          <w:b/>
                          <w:i/>
                          <w:sz w:val="22"/>
                        </w:rPr>
                        <w:t xml:space="preserve">9 </w:t>
                      </w:r>
                      <w:r w:rsidRPr="00B0574C">
                        <w:rPr>
                          <w:b/>
                          <w:i/>
                          <w:sz w:val="22"/>
                        </w:rPr>
                        <w:t>Genes with a</w:t>
                      </w:r>
                      <w:r>
                        <w:rPr>
                          <w:b/>
                          <w:i/>
                          <w:sz w:val="22"/>
                        </w:rPr>
                        <w:t>n in</w:t>
                      </w:r>
                      <w:r w:rsidRPr="00B0574C">
                        <w:rPr>
                          <w:b/>
                          <w:i/>
                          <w:sz w:val="22"/>
                        </w:rPr>
                        <w:t xml:space="preserve">crease in expression when SRCAP was </w:t>
                      </w:r>
                      <w:r>
                        <w:rPr>
                          <w:b/>
                          <w:i/>
                          <w:sz w:val="22"/>
                        </w:rPr>
                        <w:t xml:space="preserve">over-expressed </w:t>
                      </w:r>
                      <w:r w:rsidRPr="00B0574C">
                        <w:rPr>
                          <w:b/>
                          <w:i/>
                          <w:sz w:val="22"/>
                        </w:rPr>
                        <w:t xml:space="preserve">show </w:t>
                      </w:r>
                      <w:r>
                        <w:rPr>
                          <w:b/>
                          <w:i/>
                          <w:sz w:val="22"/>
                        </w:rPr>
                        <w:t>no enrichment for any pathways</w:t>
                      </w:r>
                    </w:p>
                    <w:p w14:paraId="54696880" w14:textId="77777777" w:rsidR="000A1E0D" w:rsidRDefault="000A1E0D" w:rsidP="007C58EA">
                      <w:pPr>
                        <w:jc w:val="both"/>
                        <w:rPr>
                          <w:i/>
                          <w:sz w:val="22"/>
                        </w:rPr>
                      </w:pPr>
                      <w:r>
                        <w:rPr>
                          <w:i/>
                          <w:sz w:val="22"/>
                        </w:rPr>
                        <w:t>a.) Table of the top 20 negative fold changes in control vs YFP SRCAP data for each repeat. The gene highlighted was found across all three repeats.</w:t>
                      </w:r>
                    </w:p>
                    <w:p w14:paraId="6ADAC699" w14:textId="77777777" w:rsidR="000A1E0D" w:rsidRPr="00AD63FE" w:rsidRDefault="000A1E0D" w:rsidP="007C58EA">
                      <w:pPr>
                        <w:jc w:val="both"/>
                        <w:rPr>
                          <w:i/>
                          <w:sz w:val="22"/>
                        </w:rPr>
                      </w:pPr>
                      <w:r>
                        <w:rPr>
                          <w:i/>
                          <w:sz w:val="22"/>
                        </w:rPr>
                        <w:t xml:space="preserve">b.) </w:t>
                      </w:r>
                      <w:proofErr w:type="gramStart"/>
                      <w:r>
                        <w:rPr>
                          <w:i/>
                          <w:sz w:val="22"/>
                        </w:rPr>
                        <w:t>The</w:t>
                      </w:r>
                      <w:proofErr w:type="gramEnd"/>
                      <w:r>
                        <w:rPr>
                          <w:i/>
                          <w:sz w:val="22"/>
                        </w:rPr>
                        <w:t xml:space="preserve"> three top 20 lists were put into the STRING database and the above network image was generated, however there was no pathway enrichment found.</w:t>
                      </w:r>
                    </w:p>
                    <w:p w14:paraId="6601BC16" w14:textId="77777777" w:rsidR="000A1E0D" w:rsidRDefault="000A1E0D" w:rsidP="007C58EA"/>
                  </w:txbxContent>
                </v:textbox>
                <w10:wrap type="square"/>
              </v:shape>
            </w:pict>
          </mc:Fallback>
        </mc:AlternateContent>
      </w:r>
    </w:p>
    <w:p w14:paraId="76509496" w14:textId="77777777" w:rsidR="007C58EA" w:rsidRDefault="007C58EA" w:rsidP="007C58EA">
      <w:pPr>
        <w:rPr>
          <w:rFonts w:asciiTheme="majorHAnsi" w:hAnsiTheme="majorHAnsi"/>
        </w:rPr>
      </w:pPr>
    </w:p>
    <w:p w14:paraId="4B88ED98" w14:textId="4B52758F" w:rsidR="007C58EA" w:rsidRPr="00A83D7B" w:rsidRDefault="007C58EA" w:rsidP="007C58EA">
      <w:pPr>
        <w:spacing w:line="360" w:lineRule="auto"/>
        <w:jc w:val="both"/>
        <w:rPr>
          <w:rFonts w:asciiTheme="majorHAnsi" w:hAnsiTheme="majorHAnsi"/>
        </w:rPr>
      </w:pPr>
      <w:r>
        <w:rPr>
          <w:rFonts w:asciiTheme="majorHAnsi" w:hAnsiTheme="majorHAnsi"/>
        </w:rPr>
        <w:t xml:space="preserve">Looking for genes which had either a positive or negative two or more fold change in all of the three repeats uncovered one gene which had a positive fold change and 5 which had a negative fold change, highlighting the much lower numbers than in control vs si6, possibly because of the variability between the samples (Found in appendix </w:t>
      </w:r>
      <w:r w:rsidR="006860E1">
        <w:rPr>
          <w:rFonts w:asciiTheme="majorHAnsi" w:hAnsiTheme="majorHAnsi"/>
        </w:rPr>
        <w:t>13</w:t>
      </w:r>
      <w:r>
        <w:rPr>
          <w:rFonts w:asciiTheme="majorHAnsi" w:hAnsiTheme="majorHAnsi"/>
        </w:rPr>
        <w:t xml:space="preserve">). The gene with the consistent positive fold changes (2.28, 2.13 and 2.6) was </w:t>
      </w:r>
      <w:r w:rsidRPr="0004704B">
        <w:rPr>
          <w:rFonts w:asciiTheme="majorHAnsi" w:hAnsiTheme="majorHAnsi"/>
          <w:i/>
        </w:rPr>
        <w:t>PCYOX1L</w:t>
      </w:r>
      <w:r>
        <w:rPr>
          <w:rFonts w:asciiTheme="majorHAnsi" w:hAnsiTheme="majorHAnsi"/>
        </w:rPr>
        <w:t xml:space="preserve">, this gene was therefore down regulated when </w:t>
      </w:r>
      <w:r w:rsidRPr="0004704B">
        <w:rPr>
          <w:rFonts w:asciiTheme="majorHAnsi" w:hAnsiTheme="majorHAnsi"/>
          <w:i/>
        </w:rPr>
        <w:t>SRCAP</w:t>
      </w:r>
      <w:r w:rsidR="00D34949">
        <w:rPr>
          <w:rFonts w:asciiTheme="majorHAnsi" w:hAnsiTheme="majorHAnsi"/>
        </w:rPr>
        <w:t xml:space="preserve"> was over-</w:t>
      </w:r>
      <w:r>
        <w:rPr>
          <w:rFonts w:asciiTheme="majorHAnsi" w:hAnsiTheme="majorHAnsi"/>
        </w:rPr>
        <w:t>expressed and this gene plays a role in the homeostasis of platelet cytosolic Ca</w:t>
      </w:r>
      <w:r w:rsidRPr="00FA0327">
        <w:rPr>
          <w:rFonts w:asciiTheme="majorHAnsi" w:hAnsiTheme="majorHAnsi"/>
          <w:vertAlign w:val="superscript"/>
        </w:rPr>
        <w:t>2+</w:t>
      </w:r>
      <w:r>
        <w:rPr>
          <w:rFonts w:asciiTheme="majorHAnsi" w:hAnsiTheme="majorHAnsi"/>
          <w:vertAlign w:val="superscript"/>
        </w:rPr>
        <w:t xml:space="preserve"> </w:t>
      </w:r>
      <w:r>
        <w:rPr>
          <w:rFonts w:asciiTheme="majorHAnsi" w:hAnsiTheme="majorHAnsi"/>
        </w:rPr>
        <w:t>levels. The five negative fold cha</w:t>
      </w:r>
      <w:r w:rsidR="00377382">
        <w:rPr>
          <w:rFonts w:asciiTheme="majorHAnsi" w:hAnsiTheme="majorHAnsi"/>
        </w:rPr>
        <w:t>nge genes (genes which are over-</w:t>
      </w:r>
      <w:r>
        <w:rPr>
          <w:rFonts w:asciiTheme="majorHAnsi" w:hAnsiTheme="majorHAnsi"/>
        </w:rPr>
        <w:t xml:space="preserve">expressed as </w:t>
      </w:r>
      <w:r w:rsidRPr="0004704B">
        <w:rPr>
          <w:rFonts w:asciiTheme="majorHAnsi" w:hAnsiTheme="majorHAnsi"/>
          <w:i/>
        </w:rPr>
        <w:t>SRCAP</w:t>
      </w:r>
      <w:r w:rsidR="00377382">
        <w:rPr>
          <w:rFonts w:asciiTheme="majorHAnsi" w:hAnsiTheme="majorHAnsi"/>
        </w:rPr>
        <w:t xml:space="preserve"> is over-</w:t>
      </w:r>
      <w:r>
        <w:rPr>
          <w:rFonts w:asciiTheme="majorHAnsi" w:hAnsiTheme="majorHAnsi"/>
        </w:rPr>
        <w:t xml:space="preserve">expressed) included </w:t>
      </w:r>
      <w:r w:rsidRPr="0004704B">
        <w:rPr>
          <w:rFonts w:asciiTheme="majorHAnsi" w:hAnsiTheme="majorHAnsi"/>
          <w:i/>
        </w:rPr>
        <w:t>CPA4</w:t>
      </w:r>
      <w:r>
        <w:rPr>
          <w:rFonts w:asciiTheme="majorHAnsi" w:hAnsiTheme="majorHAnsi"/>
        </w:rPr>
        <w:t xml:space="preserve">, as well as a member of the previously mentioned </w:t>
      </w:r>
      <w:r w:rsidRPr="0004704B">
        <w:rPr>
          <w:rFonts w:asciiTheme="majorHAnsi" w:hAnsiTheme="majorHAnsi"/>
          <w:i/>
        </w:rPr>
        <w:t>KRTAP</w:t>
      </w:r>
      <w:r>
        <w:rPr>
          <w:rFonts w:asciiTheme="majorHAnsi" w:hAnsiTheme="majorHAnsi"/>
        </w:rPr>
        <w:t xml:space="preserve"> family. There was also </w:t>
      </w:r>
      <w:r w:rsidRPr="0004704B">
        <w:rPr>
          <w:rFonts w:asciiTheme="majorHAnsi" w:hAnsiTheme="majorHAnsi"/>
          <w:i/>
        </w:rPr>
        <w:t>CALB2</w:t>
      </w:r>
      <w:r>
        <w:rPr>
          <w:rFonts w:asciiTheme="majorHAnsi" w:hAnsiTheme="majorHAnsi"/>
        </w:rPr>
        <w:t xml:space="preserve">, a calcium binding protein involved in neuronal excitability, </w:t>
      </w:r>
      <w:r w:rsidRPr="0004704B">
        <w:rPr>
          <w:rFonts w:asciiTheme="majorHAnsi" w:hAnsiTheme="majorHAnsi"/>
          <w:i/>
        </w:rPr>
        <w:t>ZFP36</w:t>
      </w:r>
      <w:r>
        <w:rPr>
          <w:rFonts w:asciiTheme="majorHAnsi" w:hAnsiTheme="majorHAnsi"/>
        </w:rPr>
        <w:t xml:space="preserve">, an RNA-binding protein involved in </w:t>
      </w:r>
      <w:proofErr w:type="spellStart"/>
      <w:r>
        <w:rPr>
          <w:rFonts w:asciiTheme="majorHAnsi" w:hAnsiTheme="majorHAnsi"/>
        </w:rPr>
        <w:t>polyA</w:t>
      </w:r>
      <w:proofErr w:type="spellEnd"/>
      <w:r>
        <w:rPr>
          <w:rFonts w:asciiTheme="majorHAnsi" w:hAnsiTheme="majorHAnsi"/>
        </w:rPr>
        <w:t xml:space="preserve"> tail removal and </w:t>
      </w:r>
      <w:r w:rsidRPr="0004704B">
        <w:rPr>
          <w:rFonts w:asciiTheme="majorHAnsi" w:hAnsiTheme="majorHAnsi"/>
          <w:i/>
        </w:rPr>
        <w:t>KLK5</w:t>
      </w:r>
      <w:r>
        <w:rPr>
          <w:rFonts w:asciiTheme="majorHAnsi" w:hAnsiTheme="majorHAnsi"/>
        </w:rPr>
        <w:t xml:space="preserve"> a serine protease that plays a role in</w:t>
      </w:r>
      <w:r w:rsidR="006860E1">
        <w:rPr>
          <w:rFonts w:asciiTheme="majorHAnsi" w:hAnsiTheme="majorHAnsi"/>
        </w:rPr>
        <w:t xml:space="preserve"> desquamation of the epidermis. For these genes, unlike CPA4, the fold changes did no</w:t>
      </w:r>
      <w:r>
        <w:rPr>
          <w:rFonts w:asciiTheme="majorHAnsi" w:hAnsiTheme="majorHAnsi"/>
        </w:rPr>
        <w:t xml:space="preserve">t correlate to the </w:t>
      </w:r>
      <w:r w:rsidRPr="0004704B">
        <w:rPr>
          <w:rFonts w:asciiTheme="majorHAnsi" w:hAnsiTheme="majorHAnsi"/>
          <w:i/>
        </w:rPr>
        <w:t>SRCAP</w:t>
      </w:r>
      <w:r>
        <w:rPr>
          <w:rFonts w:asciiTheme="majorHAnsi" w:hAnsiTheme="majorHAnsi"/>
        </w:rPr>
        <w:t xml:space="preserve"> expression levels. </w:t>
      </w:r>
      <w:r w:rsidR="006860E1">
        <w:rPr>
          <w:rFonts w:asciiTheme="majorHAnsi" w:hAnsiTheme="majorHAnsi"/>
        </w:rPr>
        <w:t>T</w:t>
      </w:r>
      <w:r>
        <w:rPr>
          <w:rFonts w:asciiTheme="majorHAnsi" w:hAnsiTheme="majorHAnsi"/>
        </w:rPr>
        <w:t xml:space="preserve">he data from </w:t>
      </w:r>
      <w:r w:rsidR="006860E1">
        <w:rPr>
          <w:rFonts w:asciiTheme="majorHAnsi" w:hAnsiTheme="majorHAnsi"/>
        </w:rPr>
        <w:t xml:space="preserve">the SRCAP over-expression microarray analysis </w:t>
      </w:r>
      <w:r>
        <w:rPr>
          <w:rFonts w:asciiTheme="majorHAnsi" w:hAnsiTheme="majorHAnsi"/>
        </w:rPr>
        <w:t>had a large amount of variability</w:t>
      </w:r>
      <w:r w:rsidR="006860E1">
        <w:rPr>
          <w:rFonts w:asciiTheme="majorHAnsi" w:hAnsiTheme="majorHAnsi"/>
        </w:rPr>
        <w:t>,</w:t>
      </w:r>
      <w:r>
        <w:rPr>
          <w:rFonts w:asciiTheme="majorHAnsi" w:hAnsiTheme="majorHAnsi"/>
        </w:rPr>
        <w:t xml:space="preserve"> possibly due to the differing </w:t>
      </w:r>
      <w:r w:rsidRPr="0004704B">
        <w:rPr>
          <w:rFonts w:asciiTheme="majorHAnsi" w:hAnsiTheme="majorHAnsi"/>
          <w:i/>
        </w:rPr>
        <w:t>SRCAP</w:t>
      </w:r>
      <w:r>
        <w:rPr>
          <w:rFonts w:asciiTheme="majorHAnsi" w:hAnsiTheme="majorHAnsi"/>
        </w:rPr>
        <w:t xml:space="preserve"> expression levels in the initial RNA samples. </w:t>
      </w:r>
      <w:r w:rsidR="006860E1">
        <w:rPr>
          <w:rFonts w:asciiTheme="majorHAnsi" w:hAnsiTheme="majorHAnsi"/>
        </w:rPr>
        <w:t xml:space="preserve">Also, </w:t>
      </w:r>
      <w:r>
        <w:rPr>
          <w:rFonts w:asciiTheme="majorHAnsi" w:hAnsiTheme="majorHAnsi"/>
        </w:rPr>
        <w:t xml:space="preserve">the slightly larger spread of signal in the third repeat of the </w:t>
      </w:r>
      <w:r w:rsidRPr="0004704B">
        <w:rPr>
          <w:rFonts w:asciiTheme="majorHAnsi" w:hAnsiTheme="majorHAnsi"/>
          <w:i/>
        </w:rPr>
        <w:t>YFP SRCAP</w:t>
      </w:r>
      <w:r>
        <w:rPr>
          <w:rFonts w:asciiTheme="majorHAnsi" w:hAnsiTheme="majorHAnsi"/>
        </w:rPr>
        <w:t xml:space="preserve"> array </w:t>
      </w:r>
      <w:r w:rsidR="006860E1">
        <w:rPr>
          <w:rFonts w:asciiTheme="majorHAnsi" w:hAnsiTheme="majorHAnsi"/>
        </w:rPr>
        <w:t>may have</w:t>
      </w:r>
      <w:r>
        <w:rPr>
          <w:rFonts w:asciiTheme="majorHAnsi" w:hAnsiTheme="majorHAnsi"/>
        </w:rPr>
        <w:t xml:space="preserve"> contributed to the lack of consistent genes displayed across the three repeats</w:t>
      </w:r>
      <w:r w:rsidR="006860E1">
        <w:rPr>
          <w:rFonts w:asciiTheme="majorHAnsi" w:hAnsiTheme="majorHAnsi"/>
        </w:rPr>
        <w:t>, and so this may have precluded detection of pathway enrichment</w:t>
      </w:r>
      <w:r>
        <w:rPr>
          <w:rFonts w:asciiTheme="majorHAnsi" w:hAnsiTheme="majorHAnsi"/>
        </w:rPr>
        <w:t xml:space="preserve">. However, </w:t>
      </w:r>
      <w:r w:rsidRPr="0004704B">
        <w:rPr>
          <w:rFonts w:asciiTheme="majorHAnsi" w:hAnsiTheme="majorHAnsi"/>
          <w:i/>
        </w:rPr>
        <w:t>SOX4</w:t>
      </w:r>
      <w:r>
        <w:rPr>
          <w:rFonts w:asciiTheme="majorHAnsi" w:hAnsiTheme="majorHAnsi"/>
        </w:rPr>
        <w:t xml:space="preserve"> and </w:t>
      </w:r>
      <w:r w:rsidRPr="0004704B">
        <w:rPr>
          <w:rFonts w:asciiTheme="majorHAnsi" w:hAnsiTheme="majorHAnsi"/>
          <w:i/>
        </w:rPr>
        <w:t>CPA4</w:t>
      </w:r>
      <w:r>
        <w:rPr>
          <w:rFonts w:asciiTheme="majorHAnsi" w:hAnsiTheme="majorHAnsi"/>
        </w:rPr>
        <w:t xml:space="preserve"> were further validated </w:t>
      </w:r>
      <w:r w:rsidR="005468BA">
        <w:rPr>
          <w:rFonts w:asciiTheme="majorHAnsi" w:hAnsiTheme="majorHAnsi"/>
        </w:rPr>
        <w:t xml:space="preserve">in the next section </w:t>
      </w:r>
      <w:r>
        <w:rPr>
          <w:rFonts w:asciiTheme="majorHAnsi" w:hAnsiTheme="majorHAnsi"/>
        </w:rPr>
        <w:t xml:space="preserve">as a way of assessing whether the YFP SRCAP arrays had produced positive results. </w:t>
      </w:r>
    </w:p>
    <w:p w14:paraId="5F0FCCF0" w14:textId="77777777" w:rsidR="007C58EA" w:rsidRDefault="007C58EA" w:rsidP="007C58EA">
      <w:pPr>
        <w:spacing w:line="360" w:lineRule="auto"/>
        <w:jc w:val="both"/>
        <w:rPr>
          <w:rFonts w:asciiTheme="majorHAnsi" w:hAnsiTheme="majorHAnsi"/>
          <w:sz w:val="28"/>
          <w:u w:val="single"/>
        </w:rPr>
      </w:pPr>
    </w:p>
    <w:p w14:paraId="7C360287" w14:textId="77777777" w:rsidR="007C58EA" w:rsidRDefault="007C58EA" w:rsidP="007C58EA">
      <w:pPr>
        <w:spacing w:line="360" w:lineRule="auto"/>
        <w:jc w:val="both"/>
        <w:rPr>
          <w:rFonts w:asciiTheme="majorHAnsi" w:hAnsiTheme="majorHAnsi"/>
          <w:sz w:val="28"/>
          <w:u w:val="single"/>
        </w:rPr>
      </w:pPr>
      <w:r>
        <w:rPr>
          <w:rFonts w:asciiTheme="majorHAnsi" w:hAnsiTheme="majorHAnsi"/>
          <w:sz w:val="28"/>
          <w:u w:val="single"/>
        </w:rPr>
        <w:t>6.4 Hit Validation</w:t>
      </w:r>
    </w:p>
    <w:p w14:paraId="1649D713" w14:textId="77777777" w:rsidR="0044506B" w:rsidRDefault="0044506B" w:rsidP="007C58EA">
      <w:pPr>
        <w:spacing w:line="360" w:lineRule="auto"/>
        <w:jc w:val="both"/>
        <w:rPr>
          <w:rFonts w:asciiTheme="majorHAnsi" w:hAnsiTheme="majorHAnsi"/>
          <w:sz w:val="28"/>
          <w:u w:val="single"/>
        </w:rPr>
      </w:pPr>
    </w:p>
    <w:p w14:paraId="60135FEE" w14:textId="328826E6" w:rsidR="00FE5F01" w:rsidRPr="0052719D" w:rsidRDefault="00FE5F01" w:rsidP="002F41C6">
      <w:pPr>
        <w:pStyle w:val="ListParagraph"/>
        <w:numPr>
          <w:ilvl w:val="0"/>
          <w:numId w:val="39"/>
        </w:numPr>
        <w:spacing w:line="360" w:lineRule="auto"/>
        <w:jc w:val="both"/>
        <w:rPr>
          <w:rFonts w:asciiTheme="majorHAnsi" w:hAnsiTheme="majorHAnsi"/>
          <w:b/>
          <w:i/>
        </w:rPr>
      </w:pPr>
      <w:r w:rsidRPr="0052719D">
        <w:rPr>
          <w:rFonts w:asciiTheme="majorHAnsi" w:hAnsiTheme="majorHAnsi"/>
          <w:b/>
          <w:i/>
        </w:rPr>
        <w:t>Original microarray samples</w:t>
      </w:r>
    </w:p>
    <w:p w14:paraId="3F0BF219" w14:textId="1FF34EE4" w:rsidR="007C58EA" w:rsidRDefault="007C58EA" w:rsidP="007C58EA">
      <w:pPr>
        <w:spacing w:line="360" w:lineRule="auto"/>
        <w:jc w:val="both"/>
        <w:rPr>
          <w:rFonts w:asciiTheme="majorHAnsi" w:hAnsiTheme="majorHAnsi"/>
        </w:rPr>
      </w:pPr>
      <w:r>
        <w:rPr>
          <w:rFonts w:asciiTheme="majorHAnsi" w:hAnsiTheme="majorHAnsi"/>
        </w:rPr>
        <w:t>The six hits, as mentioned above (</w:t>
      </w:r>
      <w:r w:rsidRPr="0004704B">
        <w:rPr>
          <w:rFonts w:asciiTheme="majorHAnsi" w:hAnsiTheme="majorHAnsi"/>
          <w:i/>
        </w:rPr>
        <w:t>HIST3H2BB, PHLDA2, ELK3, FGFBP1, SOX4</w:t>
      </w:r>
      <w:r>
        <w:rPr>
          <w:rFonts w:asciiTheme="majorHAnsi" w:hAnsiTheme="majorHAnsi"/>
        </w:rPr>
        <w:t xml:space="preserve"> and </w:t>
      </w:r>
      <w:r w:rsidRPr="0004704B">
        <w:rPr>
          <w:rFonts w:asciiTheme="majorHAnsi" w:hAnsiTheme="majorHAnsi"/>
          <w:i/>
        </w:rPr>
        <w:t>CPA4</w:t>
      </w:r>
      <w:r>
        <w:rPr>
          <w:rFonts w:asciiTheme="majorHAnsi" w:hAnsiTheme="majorHAnsi"/>
        </w:rPr>
        <w:t xml:space="preserve">), from the si6 and </w:t>
      </w:r>
      <w:r w:rsidRPr="0004704B">
        <w:rPr>
          <w:rFonts w:asciiTheme="majorHAnsi" w:hAnsiTheme="majorHAnsi"/>
          <w:i/>
        </w:rPr>
        <w:t>YFP SRCAP</w:t>
      </w:r>
      <w:r>
        <w:rPr>
          <w:rFonts w:asciiTheme="majorHAnsi" w:hAnsiTheme="majorHAnsi"/>
        </w:rPr>
        <w:t xml:space="preserve"> microarrays were </w:t>
      </w:r>
      <w:r w:rsidR="006860E1">
        <w:rPr>
          <w:rFonts w:asciiTheme="majorHAnsi" w:hAnsiTheme="majorHAnsi"/>
        </w:rPr>
        <w:t>selected for further analysis by</w:t>
      </w:r>
      <w:r>
        <w:rPr>
          <w:rFonts w:asciiTheme="majorHAnsi" w:hAnsiTheme="majorHAnsi"/>
        </w:rPr>
        <w:t xml:space="preserve"> Taqman</w:t>
      </w:r>
      <w:r w:rsidR="006860E1">
        <w:rPr>
          <w:rFonts w:asciiTheme="majorHAnsi" w:hAnsiTheme="majorHAnsi"/>
        </w:rPr>
        <w:t xml:space="preserve"> </w:t>
      </w:r>
      <w:r w:rsidR="00603787">
        <w:rPr>
          <w:rFonts w:asciiTheme="majorHAnsi" w:hAnsiTheme="majorHAnsi"/>
        </w:rPr>
        <w:t>qRT-PCR</w:t>
      </w:r>
      <w:r>
        <w:rPr>
          <w:rFonts w:asciiTheme="majorHAnsi" w:hAnsiTheme="majorHAnsi"/>
        </w:rPr>
        <w:t xml:space="preserve"> in order to validate the array data. F</w:t>
      </w:r>
      <w:r w:rsidR="006860E1">
        <w:rPr>
          <w:rFonts w:asciiTheme="majorHAnsi" w:hAnsiTheme="majorHAnsi"/>
        </w:rPr>
        <w:t xml:space="preserve">irstly the RNA samples used </w:t>
      </w:r>
      <w:r>
        <w:rPr>
          <w:rFonts w:asciiTheme="majorHAnsi" w:hAnsiTheme="majorHAnsi"/>
        </w:rPr>
        <w:t xml:space="preserve">in the </w:t>
      </w:r>
      <w:r w:rsidR="00AC3592">
        <w:rPr>
          <w:rFonts w:asciiTheme="majorHAnsi" w:hAnsiTheme="majorHAnsi"/>
        </w:rPr>
        <w:t>original</w:t>
      </w:r>
      <w:r>
        <w:rPr>
          <w:rFonts w:asciiTheme="majorHAnsi" w:hAnsiTheme="majorHAnsi"/>
        </w:rPr>
        <w:t xml:space="preserve"> microarray </w:t>
      </w:r>
      <w:r w:rsidR="00AC3592">
        <w:rPr>
          <w:rFonts w:asciiTheme="majorHAnsi" w:hAnsiTheme="majorHAnsi"/>
        </w:rPr>
        <w:t xml:space="preserve">analyses </w:t>
      </w:r>
      <w:r>
        <w:rPr>
          <w:rFonts w:asciiTheme="majorHAnsi" w:hAnsiTheme="majorHAnsi"/>
        </w:rPr>
        <w:t>were tested for the expression of the six genes</w:t>
      </w:r>
      <w:r w:rsidR="006860E1">
        <w:rPr>
          <w:rFonts w:asciiTheme="majorHAnsi" w:hAnsiTheme="majorHAnsi"/>
        </w:rPr>
        <w:t>,</w:t>
      </w:r>
      <w:r>
        <w:rPr>
          <w:rFonts w:asciiTheme="majorHAnsi" w:hAnsiTheme="majorHAnsi"/>
        </w:rPr>
        <w:t xml:space="preserve"> as well as </w:t>
      </w:r>
      <w:r w:rsidRPr="0004704B">
        <w:rPr>
          <w:rFonts w:asciiTheme="majorHAnsi" w:hAnsiTheme="majorHAnsi"/>
          <w:i/>
        </w:rPr>
        <w:t>SRCAP</w:t>
      </w:r>
      <w:r>
        <w:rPr>
          <w:rFonts w:asciiTheme="majorHAnsi" w:hAnsiTheme="majorHAnsi"/>
        </w:rPr>
        <w:t xml:space="preserve"> </w:t>
      </w:r>
      <w:r w:rsidR="00FA1353">
        <w:rPr>
          <w:rFonts w:asciiTheme="majorHAnsi" w:hAnsiTheme="majorHAnsi"/>
        </w:rPr>
        <w:t xml:space="preserve">expression </w:t>
      </w:r>
      <w:r>
        <w:rPr>
          <w:rFonts w:asciiTheme="majorHAnsi" w:hAnsiTheme="majorHAnsi"/>
        </w:rPr>
        <w:t xml:space="preserve">and </w:t>
      </w:r>
      <w:r w:rsidRPr="0004704B">
        <w:rPr>
          <w:rFonts w:asciiTheme="majorHAnsi" w:hAnsiTheme="majorHAnsi"/>
          <w:i/>
        </w:rPr>
        <w:t>18S</w:t>
      </w:r>
      <w:r>
        <w:rPr>
          <w:rFonts w:asciiTheme="majorHAnsi" w:hAnsiTheme="majorHAnsi"/>
        </w:rPr>
        <w:t xml:space="preserve"> as the internal control. In this way a further method of expression analysis could be conducted on the same samples used to create the</w:t>
      </w:r>
      <w:r w:rsidR="00603787">
        <w:rPr>
          <w:rFonts w:asciiTheme="majorHAnsi" w:hAnsiTheme="majorHAnsi"/>
        </w:rPr>
        <w:t xml:space="preserve"> microarray</w:t>
      </w:r>
      <w:r>
        <w:rPr>
          <w:rFonts w:asciiTheme="majorHAnsi" w:hAnsiTheme="majorHAnsi"/>
        </w:rPr>
        <w:t xml:space="preserve"> data. </w:t>
      </w:r>
      <w:r w:rsidR="001A3D84">
        <w:rPr>
          <w:rFonts w:asciiTheme="majorHAnsi" w:hAnsiTheme="majorHAnsi"/>
        </w:rPr>
        <w:t xml:space="preserve">Firstly the samples were checked </w:t>
      </w:r>
      <w:r w:rsidR="00603787">
        <w:rPr>
          <w:rFonts w:asciiTheme="majorHAnsi" w:hAnsiTheme="majorHAnsi"/>
        </w:rPr>
        <w:t xml:space="preserve">to determine </w:t>
      </w:r>
      <w:r w:rsidR="001A3D84">
        <w:rPr>
          <w:rFonts w:asciiTheme="majorHAnsi" w:hAnsiTheme="majorHAnsi"/>
        </w:rPr>
        <w:t xml:space="preserve">that they still </w:t>
      </w:r>
      <w:r w:rsidR="00AC3592">
        <w:rPr>
          <w:rFonts w:asciiTheme="majorHAnsi" w:hAnsiTheme="majorHAnsi"/>
        </w:rPr>
        <w:t xml:space="preserve">exhibited similar </w:t>
      </w:r>
      <w:r w:rsidR="001A3D84" w:rsidRPr="001A3D84">
        <w:rPr>
          <w:rFonts w:asciiTheme="majorHAnsi" w:hAnsiTheme="majorHAnsi"/>
          <w:i/>
        </w:rPr>
        <w:t>SRCAP</w:t>
      </w:r>
      <w:r w:rsidR="001A3D84">
        <w:rPr>
          <w:rFonts w:asciiTheme="majorHAnsi" w:hAnsiTheme="majorHAnsi"/>
        </w:rPr>
        <w:t xml:space="preserve"> expression levels </w:t>
      </w:r>
      <w:r w:rsidR="00AC3592">
        <w:rPr>
          <w:rFonts w:asciiTheme="majorHAnsi" w:hAnsiTheme="majorHAnsi"/>
        </w:rPr>
        <w:t>to the original</w:t>
      </w:r>
      <w:r w:rsidR="001A3D84">
        <w:rPr>
          <w:rFonts w:asciiTheme="majorHAnsi" w:hAnsiTheme="majorHAnsi"/>
        </w:rPr>
        <w:t xml:space="preserve"> microarray</w:t>
      </w:r>
      <w:r w:rsidR="00AC3592">
        <w:rPr>
          <w:rFonts w:asciiTheme="majorHAnsi" w:hAnsiTheme="majorHAnsi"/>
        </w:rPr>
        <w:t xml:space="preserve"> samples</w:t>
      </w:r>
      <w:r w:rsidR="001A3D84">
        <w:rPr>
          <w:rFonts w:asciiTheme="majorHAnsi" w:hAnsiTheme="majorHAnsi"/>
        </w:rPr>
        <w:t xml:space="preserve">. Figure 6.10 highlights that the control samples and </w:t>
      </w:r>
      <w:r w:rsidR="002C2E2A">
        <w:rPr>
          <w:rFonts w:asciiTheme="majorHAnsi" w:hAnsiTheme="majorHAnsi"/>
        </w:rPr>
        <w:t>knock</w:t>
      </w:r>
      <w:r w:rsidR="001A3D84">
        <w:rPr>
          <w:rFonts w:asciiTheme="majorHAnsi" w:hAnsiTheme="majorHAnsi"/>
        </w:rPr>
        <w:t xml:space="preserve">down samples had expression levels of </w:t>
      </w:r>
      <w:r w:rsidR="001A3D84" w:rsidRPr="001A3D84">
        <w:rPr>
          <w:rFonts w:asciiTheme="majorHAnsi" w:hAnsiTheme="majorHAnsi"/>
          <w:i/>
        </w:rPr>
        <w:t>SRCAP</w:t>
      </w:r>
      <w:r w:rsidR="001A3D84">
        <w:rPr>
          <w:rFonts w:asciiTheme="majorHAnsi" w:hAnsiTheme="majorHAnsi"/>
        </w:rPr>
        <w:t xml:space="preserve"> similar to what was shown before the microarray was conducted, however although YFP1 and YFP2 were comparable, the </w:t>
      </w:r>
      <w:r w:rsidR="00603787">
        <w:rPr>
          <w:rFonts w:asciiTheme="majorHAnsi" w:hAnsiTheme="majorHAnsi"/>
        </w:rPr>
        <w:t>level</w:t>
      </w:r>
      <w:r w:rsidR="001A3D84">
        <w:rPr>
          <w:rFonts w:asciiTheme="majorHAnsi" w:hAnsiTheme="majorHAnsi"/>
        </w:rPr>
        <w:t xml:space="preserve"> of YFP3</w:t>
      </w:r>
      <w:r w:rsidR="00603787">
        <w:rPr>
          <w:rFonts w:asciiTheme="majorHAnsi" w:hAnsiTheme="majorHAnsi"/>
        </w:rPr>
        <w:t xml:space="preserve"> was not consistent with the original result</w:t>
      </w:r>
      <w:r w:rsidR="001A3D84">
        <w:rPr>
          <w:rFonts w:asciiTheme="majorHAnsi" w:hAnsiTheme="majorHAnsi"/>
        </w:rPr>
        <w:t>. YFP3 appeared to be a variant in the microarray results</w:t>
      </w:r>
      <w:r w:rsidR="00603787">
        <w:rPr>
          <w:rFonts w:asciiTheme="majorHAnsi" w:hAnsiTheme="majorHAnsi"/>
        </w:rPr>
        <w:t xml:space="preserve"> (see section 6.2 and 6.3),</w:t>
      </w:r>
      <w:r w:rsidR="001A3D84">
        <w:rPr>
          <w:rFonts w:asciiTheme="majorHAnsi" w:hAnsiTheme="majorHAnsi"/>
        </w:rPr>
        <w:t xml:space="preserve"> and therefore this could </w:t>
      </w:r>
      <w:r w:rsidR="00603787">
        <w:rPr>
          <w:rFonts w:asciiTheme="majorHAnsi" w:hAnsiTheme="majorHAnsi"/>
        </w:rPr>
        <w:t xml:space="preserve">be </w:t>
      </w:r>
      <w:r w:rsidR="001A3D84">
        <w:rPr>
          <w:rFonts w:asciiTheme="majorHAnsi" w:hAnsiTheme="majorHAnsi"/>
        </w:rPr>
        <w:t>explain</w:t>
      </w:r>
      <w:r w:rsidR="00603787">
        <w:rPr>
          <w:rFonts w:asciiTheme="majorHAnsi" w:hAnsiTheme="majorHAnsi"/>
        </w:rPr>
        <w:t xml:space="preserve">ed if the level of </w:t>
      </w:r>
      <w:r w:rsidR="00603787" w:rsidRPr="00603787">
        <w:rPr>
          <w:rFonts w:asciiTheme="majorHAnsi" w:hAnsiTheme="majorHAnsi"/>
          <w:i/>
        </w:rPr>
        <w:t>SRCAP</w:t>
      </w:r>
      <w:r w:rsidR="00603787">
        <w:rPr>
          <w:rFonts w:asciiTheme="majorHAnsi" w:hAnsiTheme="majorHAnsi"/>
        </w:rPr>
        <w:t xml:space="preserve"> was lower than previously thought. </w:t>
      </w:r>
      <w:r w:rsidR="001A3D84">
        <w:rPr>
          <w:rFonts w:asciiTheme="majorHAnsi" w:hAnsiTheme="majorHAnsi"/>
        </w:rPr>
        <w:t xml:space="preserve">This sample was therefore not used for the </w:t>
      </w:r>
      <w:r w:rsidR="0044506B">
        <w:rPr>
          <w:rFonts w:asciiTheme="majorHAnsi" w:hAnsiTheme="majorHAnsi"/>
        </w:rPr>
        <w:t xml:space="preserve">rest of the </w:t>
      </w:r>
      <w:r w:rsidR="001A3D84">
        <w:rPr>
          <w:rFonts w:asciiTheme="majorHAnsi" w:hAnsiTheme="majorHAnsi"/>
        </w:rPr>
        <w:t>hit validation</w:t>
      </w:r>
      <w:r w:rsidR="0044506B">
        <w:rPr>
          <w:rFonts w:asciiTheme="majorHAnsi" w:hAnsiTheme="majorHAnsi"/>
        </w:rPr>
        <w:t xml:space="preserve">. </w:t>
      </w:r>
    </w:p>
    <w:p w14:paraId="2C1755F8" w14:textId="77777777" w:rsidR="0044506B" w:rsidRDefault="0044506B" w:rsidP="007C58EA">
      <w:pPr>
        <w:spacing w:line="360" w:lineRule="auto"/>
        <w:jc w:val="both"/>
        <w:rPr>
          <w:rFonts w:asciiTheme="majorHAnsi" w:hAnsiTheme="majorHAnsi"/>
        </w:rPr>
      </w:pPr>
    </w:p>
    <w:p w14:paraId="48538911" w14:textId="1511F525" w:rsidR="007C58EA" w:rsidRDefault="00603787" w:rsidP="007C58EA">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157952" behindDoc="0" locked="0" layoutInCell="1" allowOverlap="1" wp14:anchorId="5CD64E77" wp14:editId="229A9FC0">
                <wp:simplePos x="0" y="0"/>
                <wp:positionH relativeFrom="column">
                  <wp:posOffset>0</wp:posOffset>
                </wp:positionH>
                <wp:positionV relativeFrom="paragraph">
                  <wp:posOffset>3429000</wp:posOffset>
                </wp:positionV>
                <wp:extent cx="5372100" cy="10287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BE2F05" w14:textId="5815A6B5" w:rsidR="00E82D3B" w:rsidRDefault="00E82D3B" w:rsidP="00062EB2">
                            <w:pPr>
                              <w:jc w:val="both"/>
                              <w:rPr>
                                <w:b/>
                                <w:i/>
                              </w:rPr>
                            </w:pPr>
                            <w:r w:rsidRPr="0044506B">
                              <w:rPr>
                                <w:b/>
                                <w:i/>
                              </w:rPr>
                              <w:t xml:space="preserve">Figure 6.10 SRCAP expression </w:t>
                            </w:r>
                            <w:r>
                              <w:rPr>
                                <w:b/>
                                <w:i/>
                              </w:rPr>
                              <w:t>re-</w:t>
                            </w:r>
                            <w:r w:rsidRPr="0044506B">
                              <w:rPr>
                                <w:b/>
                                <w:i/>
                              </w:rPr>
                              <w:t xml:space="preserve">testing </w:t>
                            </w:r>
                            <w:r>
                              <w:rPr>
                                <w:b/>
                                <w:i/>
                              </w:rPr>
                              <w:t>in original</w:t>
                            </w:r>
                            <w:r w:rsidRPr="0044506B">
                              <w:rPr>
                                <w:b/>
                                <w:i/>
                              </w:rPr>
                              <w:t xml:space="preserve"> microarray samples</w:t>
                            </w:r>
                          </w:p>
                          <w:p w14:paraId="1C021699" w14:textId="492CCFE9" w:rsidR="00E82D3B" w:rsidRPr="0044506B" w:rsidRDefault="00E82D3B" w:rsidP="00062EB2">
                            <w:pPr>
                              <w:jc w:val="both"/>
                              <w:rPr>
                                <w:i/>
                              </w:rPr>
                            </w:pPr>
                            <w:r w:rsidRPr="0044506B">
                              <w:rPr>
                                <w:i/>
                              </w:rPr>
                              <w:t>The RNA samples that were used in the microarray were again tested for SRCAP expression and compared to the values obtained prior to the microarray being conducted</w:t>
                            </w:r>
                            <w:r>
                              <w:rPr>
                                <w:i/>
                              </w:rPr>
                              <w:t xml:space="preserve">. The above graph shows the mean of three internal experimental repeats from one experiment, with positive and negative error bars.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194" type="#_x0000_t202" style="position:absolute;left:0;text-align:left;margin-left:0;margin-top:270pt;width:423pt;height:81pt;z-index:25215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xR2tMCAAAYBgAADgAAAGRycy9lMm9Eb2MueG1srFRNb9swDL0P2H8QdE9tZ06T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" filled="f" stroked="f">
                <v:textbox>
                  <w:txbxContent>
                    <w:p w14:paraId="1FBE2F05" w14:textId="5815A6B5" w:rsidR="000A1E0D" w:rsidRDefault="000A1E0D" w:rsidP="00062EB2">
                      <w:pPr>
                        <w:jc w:val="both"/>
                        <w:rPr>
                          <w:b/>
                          <w:i/>
                        </w:rPr>
                      </w:pPr>
                      <w:r w:rsidRPr="0044506B">
                        <w:rPr>
                          <w:b/>
                          <w:i/>
                        </w:rPr>
                        <w:t xml:space="preserve">Figure 6.10 SRCAP expression </w:t>
                      </w:r>
                      <w:r>
                        <w:rPr>
                          <w:b/>
                          <w:i/>
                        </w:rPr>
                        <w:t>re-</w:t>
                      </w:r>
                      <w:r w:rsidRPr="0044506B">
                        <w:rPr>
                          <w:b/>
                          <w:i/>
                        </w:rPr>
                        <w:t xml:space="preserve">testing </w:t>
                      </w:r>
                      <w:r>
                        <w:rPr>
                          <w:b/>
                          <w:i/>
                        </w:rPr>
                        <w:t>in original</w:t>
                      </w:r>
                      <w:r w:rsidRPr="0044506B">
                        <w:rPr>
                          <w:b/>
                          <w:i/>
                        </w:rPr>
                        <w:t xml:space="preserve"> microarray samples</w:t>
                      </w:r>
                    </w:p>
                    <w:p w14:paraId="1C021699" w14:textId="492CCFE9" w:rsidR="000A1E0D" w:rsidRPr="0044506B" w:rsidRDefault="000A1E0D" w:rsidP="00062EB2">
                      <w:pPr>
                        <w:jc w:val="both"/>
                        <w:rPr>
                          <w:i/>
                        </w:rPr>
                      </w:pPr>
                      <w:r w:rsidRPr="0044506B">
                        <w:rPr>
                          <w:i/>
                        </w:rPr>
                        <w:t>The RNA samples that were used in the microarray were again tested for SRCAP expression and compared to the values obtained prior to the microarray being conducted</w:t>
                      </w:r>
                      <w:r>
                        <w:rPr>
                          <w:i/>
                        </w:rPr>
                        <w:t xml:space="preserve">. The above graph shows the mean of three internal experimental repeats from one experiment, with positive and negative error bars. </w:t>
                      </w:r>
                    </w:p>
                  </w:txbxContent>
                </v:textbox>
                <w10:wrap type="square"/>
              </v:shape>
            </w:pict>
          </mc:Fallback>
        </mc:AlternateContent>
      </w:r>
      <w:r>
        <w:rPr>
          <w:noProof/>
          <w:lang w:val="en-US"/>
        </w:rPr>
        <w:drawing>
          <wp:anchor distT="0" distB="0" distL="114300" distR="114300" simplePos="0" relativeHeight="252213248" behindDoc="0" locked="0" layoutInCell="1" allowOverlap="1" wp14:anchorId="23E74B32" wp14:editId="193A08EC">
            <wp:simplePos x="0" y="0"/>
            <wp:positionH relativeFrom="column">
              <wp:posOffset>0</wp:posOffset>
            </wp:positionH>
            <wp:positionV relativeFrom="paragraph">
              <wp:posOffset>0</wp:posOffset>
            </wp:positionV>
            <wp:extent cx="5257800" cy="3200400"/>
            <wp:effectExtent l="0" t="0" r="0" b="0"/>
            <wp:wrapSquare wrapText="bothSides"/>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page">
              <wp14:pctWidth>0</wp14:pctWidth>
            </wp14:sizeRelH>
            <wp14:sizeRelV relativeFrom="page">
              <wp14:pctHeight>0</wp14:pctHeight>
            </wp14:sizeRelV>
          </wp:anchor>
        </w:drawing>
      </w:r>
    </w:p>
    <w:p w14:paraId="0B9F0EDF" w14:textId="5DA39B78" w:rsidR="00065BC5" w:rsidRDefault="002D07C2" w:rsidP="007C58EA">
      <w:pPr>
        <w:spacing w:line="360" w:lineRule="auto"/>
        <w:jc w:val="both"/>
        <w:rPr>
          <w:rFonts w:asciiTheme="majorHAnsi" w:hAnsiTheme="majorHAnsi"/>
        </w:rPr>
      </w:pPr>
      <w:r>
        <w:rPr>
          <w:rFonts w:asciiTheme="majorHAnsi" w:hAnsiTheme="majorHAnsi"/>
        </w:rPr>
        <w:t>The samples were then assessed for expression of the hits chosen from the array analysis</w:t>
      </w:r>
      <w:r w:rsidR="00F53638">
        <w:rPr>
          <w:rFonts w:asciiTheme="majorHAnsi" w:hAnsiTheme="majorHAnsi"/>
        </w:rPr>
        <w:t xml:space="preserve"> (Figure 6.11</w:t>
      </w:r>
      <w:r w:rsidR="00062EB2">
        <w:rPr>
          <w:rFonts w:asciiTheme="majorHAnsi" w:hAnsiTheme="majorHAnsi"/>
        </w:rPr>
        <w:t>a</w:t>
      </w:r>
      <w:r w:rsidR="00F53638">
        <w:rPr>
          <w:rFonts w:asciiTheme="majorHAnsi" w:hAnsiTheme="majorHAnsi"/>
        </w:rPr>
        <w:t>)</w:t>
      </w:r>
      <w:r>
        <w:rPr>
          <w:rFonts w:asciiTheme="majorHAnsi" w:hAnsiTheme="majorHAnsi"/>
        </w:rPr>
        <w:t xml:space="preserve">. Here it can be seen that the expression of </w:t>
      </w:r>
      <w:r w:rsidR="000C3DEE">
        <w:rPr>
          <w:rFonts w:asciiTheme="majorHAnsi" w:hAnsiTheme="majorHAnsi"/>
        </w:rPr>
        <w:t xml:space="preserve">both </w:t>
      </w:r>
      <w:r w:rsidRPr="00C273E6">
        <w:rPr>
          <w:rFonts w:asciiTheme="majorHAnsi" w:hAnsiTheme="majorHAnsi"/>
          <w:i/>
        </w:rPr>
        <w:t>PHLDA2</w:t>
      </w:r>
      <w:r>
        <w:rPr>
          <w:rFonts w:asciiTheme="majorHAnsi" w:hAnsiTheme="majorHAnsi"/>
        </w:rPr>
        <w:t xml:space="preserve"> and </w:t>
      </w:r>
      <w:r w:rsidRPr="00C273E6">
        <w:rPr>
          <w:rFonts w:asciiTheme="majorHAnsi" w:hAnsiTheme="majorHAnsi"/>
          <w:i/>
        </w:rPr>
        <w:t>ELK3</w:t>
      </w:r>
      <w:r>
        <w:rPr>
          <w:rFonts w:asciiTheme="majorHAnsi" w:hAnsiTheme="majorHAnsi"/>
        </w:rPr>
        <w:t xml:space="preserve"> decrease</w:t>
      </w:r>
      <w:r w:rsidR="000C3DEE">
        <w:rPr>
          <w:rFonts w:asciiTheme="majorHAnsi" w:hAnsiTheme="majorHAnsi"/>
        </w:rPr>
        <w:t>s</w:t>
      </w:r>
      <w:r>
        <w:rPr>
          <w:rFonts w:asciiTheme="majorHAnsi" w:hAnsiTheme="majorHAnsi"/>
        </w:rPr>
        <w:t xml:space="preserve"> when </w:t>
      </w:r>
      <w:r w:rsidRPr="00C273E6">
        <w:rPr>
          <w:rFonts w:asciiTheme="majorHAnsi" w:hAnsiTheme="majorHAnsi"/>
          <w:i/>
        </w:rPr>
        <w:t>SRCAP</w:t>
      </w:r>
      <w:r>
        <w:rPr>
          <w:rFonts w:asciiTheme="majorHAnsi" w:hAnsiTheme="majorHAnsi"/>
        </w:rPr>
        <w:t xml:space="preserve"> is knocked down as was seen from the </w:t>
      </w:r>
      <w:r w:rsidR="000C3DEE">
        <w:rPr>
          <w:rFonts w:asciiTheme="majorHAnsi" w:hAnsiTheme="majorHAnsi"/>
        </w:rPr>
        <w:t xml:space="preserve">original </w:t>
      </w:r>
      <w:r>
        <w:rPr>
          <w:rFonts w:asciiTheme="majorHAnsi" w:hAnsiTheme="majorHAnsi"/>
        </w:rPr>
        <w:t xml:space="preserve">microarray analysis. </w:t>
      </w:r>
      <w:r w:rsidRPr="00C273E6">
        <w:rPr>
          <w:rFonts w:asciiTheme="majorHAnsi" w:hAnsiTheme="majorHAnsi"/>
          <w:i/>
        </w:rPr>
        <w:t>HIST3H2BB</w:t>
      </w:r>
      <w:r>
        <w:rPr>
          <w:rFonts w:asciiTheme="majorHAnsi" w:hAnsiTheme="majorHAnsi"/>
        </w:rPr>
        <w:t xml:space="preserve"> also had a decrease in expression when </w:t>
      </w:r>
      <w:r w:rsidRPr="00C273E6">
        <w:rPr>
          <w:rFonts w:asciiTheme="majorHAnsi" w:hAnsiTheme="majorHAnsi"/>
          <w:i/>
        </w:rPr>
        <w:t>SRCAP</w:t>
      </w:r>
      <w:r>
        <w:rPr>
          <w:rFonts w:asciiTheme="majorHAnsi" w:hAnsiTheme="majorHAnsi"/>
        </w:rPr>
        <w:t xml:space="preserve"> was depleted in the microarray results, how</w:t>
      </w:r>
      <w:r w:rsidR="000C3DEE">
        <w:rPr>
          <w:rFonts w:asciiTheme="majorHAnsi" w:hAnsiTheme="majorHAnsi"/>
        </w:rPr>
        <w:t xml:space="preserve">ever, although the </w:t>
      </w:r>
      <w:r>
        <w:rPr>
          <w:rFonts w:asciiTheme="majorHAnsi" w:hAnsiTheme="majorHAnsi"/>
        </w:rPr>
        <w:t xml:space="preserve">validation </w:t>
      </w:r>
      <w:r w:rsidR="000C3DEE">
        <w:rPr>
          <w:rFonts w:asciiTheme="majorHAnsi" w:hAnsiTheme="majorHAnsi"/>
        </w:rPr>
        <w:t xml:space="preserve">data shows that </w:t>
      </w:r>
      <w:r>
        <w:rPr>
          <w:rFonts w:asciiTheme="majorHAnsi" w:hAnsiTheme="majorHAnsi"/>
        </w:rPr>
        <w:t>each individual rep</w:t>
      </w:r>
      <w:r w:rsidR="00F53638">
        <w:rPr>
          <w:rFonts w:asciiTheme="majorHAnsi" w:hAnsiTheme="majorHAnsi"/>
        </w:rPr>
        <w:t xml:space="preserve">eat </w:t>
      </w:r>
      <w:r w:rsidR="000C3DEE">
        <w:rPr>
          <w:rFonts w:asciiTheme="majorHAnsi" w:hAnsiTheme="majorHAnsi"/>
        </w:rPr>
        <w:t>exhibits</w:t>
      </w:r>
      <w:r w:rsidR="00F53638">
        <w:rPr>
          <w:rFonts w:asciiTheme="majorHAnsi" w:hAnsiTheme="majorHAnsi"/>
        </w:rPr>
        <w:t xml:space="preserve"> a slight decrease</w:t>
      </w:r>
      <w:r w:rsidR="000C3DEE">
        <w:rPr>
          <w:rFonts w:asciiTheme="majorHAnsi" w:hAnsiTheme="majorHAnsi"/>
        </w:rPr>
        <w:t xml:space="preserve"> in expression</w:t>
      </w:r>
      <w:r w:rsidR="00F53638">
        <w:rPr>
          <w:rFonts w:asciiTheme="majorHAnsi" w:hAnsiTheme="majorHAnsi"/>
        </w:rPr>
        <w:t>, the f</w:t>
      </w:r>
      <w:r w:rsidR="00062EB2">
        <w:rPr>
          <w:rFonts w:asciiTheme="majorHAnsi" w:hAnsiTheme="majorHAnsi"/>
        </w:rPr>
        <w:t>old changes are low (Figure 6.11b</w:t>
      </w:r>
      <w:r w:rsidR="00F53638">
        <w:rPr>
          <w:rFonts w:asciiTheme="majorHAnsi" w:hAnsiTheme="majorHAnsi"/>
        </w:rPr>
        <w:t xml:space="preserve">) and there was variation between the internal repeats. </w:t>
      </w:r>
      <w:r w:rsidR="00F53638" w:rsidRPr="00C273E6">
        <w:rPr>
          <w:rFonts w:asciiTheme="majorHAnsi" w:hAnsiTheme="majorHAnsi"/>
          <w:i/>
        </w:rPr>
        <w:t>FGFBP1</w:t>
      </w:r>
      <w:r w:rsidR="00F53638">
        <w:rPr>
          <w:rFonts w:asciiTheme="majorHAnsi" w:hAnsiTheme="majorHAnsi"/>
        </w:rPr>
        <w:t xml:space="preserve"> increased in expression in the microarray when </w:t>
      </w:r>
      <w:r w:rsidR="00F53638" w:rsidRPr="00C273E6">
        <w:rPr>
          <w:rFonts w:asciiTheme="majorHAnsi" w:hAnsiTheme="majorHAnsi"/>
          <w:i/>
        </w:rPr>
        <w:t>SRCAP</w:t>
      </w:r>
      <w:r w:rsidR="00F53638">
        <w:rPr>
          <w:rFonts w:asciiTheme="majorHAnsi" w:hAnsiTheme="majorHAnsi"/>
        </w:rPr>
        <w:t xml:space="preserve"> was knocked down and indeed repeats 1 and 3 </w:t>
      </w:r>
      <w:r w:rsidR="000C3DEE">
        <w:rPr>
          <w:rFonts w:asciiTheme="majorHAnsi" w:hAnsiTheme="majorHAnsi"/>
        </w:rPr>
        <w:t>of the validation data are increased. H</w:t>
      </w:r>
      <w:r w:rsidR="00F53638">
        <w:rPr>
          <w:rFonts w:asciiTheme="majorHAnsi" w:hAnsiTheme="majorHAnsi"/>
        </w:rPr>
        <w:t>owever</w:t>
      </w:r>
      <w:r w:rsidR="000C3DEE">
        <w:rPr>
          <w:rFonts w:asciiTheme="majorHAnsi" w:hAnsiTheme="majorHAnsi"/>
        </w:rPr>
        <w:t>,</w:t>
      </w:r>
      <w:r w:rsidR="00F53638">
        <w:rPr>
          <w:rFonts w:asciiTheme="majorHAnsi" w:hAnsiTheme="majorHAnsi"/>
        </w:rPr>
        <w:t xml:space="preserve"> repeat 2 has a large </w:t>
      </w:r>
      <w:r w:rsidR="00F53638" w:rsidRPr="00C273E6">
        <w:rPr>
          <w:rFonts w:asciiTheme="majorHAnsi" w:hAnsiTheme="majorHAnsi"/>
          <w:i/>
        </w:rPr>
        <w:t>FGFBP1</w:t>
      </w:r>
      <w:r w:rsidR="00F53638">
        <w:rPr>
          <w:rFonts w:asciiTheme="majorHAnsi" w:hAnsiTheme="majorHAnsi"/>
        </w:rPr>
        <w:t xml:space="preserve"> expression level in the co</w:t>
      </w:r>
      <w:r w:rsidR="00603787">
        <w:rPr>
          <w:rFonts w:asciiTheme="majorHAnsi" w:hAnsiTheme="majorHAnsi"/>
        </w:rPr>
        <w:t>ntrol meaning this repeat does no</w:t>
      </w:r>
      <w:r w:rsidR="00F53638">
        <w:rPr>
          <w:rFonts w:asciiTheme="majorHAnsi" w:hAnsiTheme="majorHAnsi"/>
        </w:rPr>
        <w:t xml:space="preserve">t show as high an increase in expression, </w:t>
      </w:r>
      <w:r w:rsidR="000C3DEE">
        <w:rPr>
          <w:rFonts w:asciiTheme="majorHAnsi" w:hAnsiTheme="majorHAnsi"/>
        </w:rPr>
        <w:t xml:space="preserve">suggesting that </w:t>
      </w:r>
      <w:r w:rsidR="00F53638">
        <w:rPr>
          <w:rFonts w:asciiTheme="majorHAnsi" w:hAnsiTheme="majorHAnsi"/>
        </w:rPr>
        <w:t>further</w:t>
      </w:r>
      <w:r w:rsidR="000C3DEE">
        <w:rPr>
          <w:rFonts w:asciiTheme="majorHAnsi" w:hAnsiTheme="majorHAnsi"/>
        </w:rPr>
        <w:t xml:space="preserve"> validation of this hit may be required</w:t>
      </w:r>
      <w:r w:rsidR="00F53638">
        <w:rPr>
          <w:rFonts w:asciiTheme="majorHAnsi" w:hAnsiTheme="majorHAnsi"/>
        </w:rPr>
        <w:t xml:space="preserve">. Analysis of </w:t>
      </w:r>
      <w:r w:rsidR="00F53638" w:rsidRPr="00C273E6">
        <w:rPr>
          <w:rFonts w:asciiTheme="majorHAnsi" w:hAnsiTheme="majorHAnsi"/>
          <w:i/>
        </w:rPr>
        <w:t>SOX4</w:t>
      </w:r>
      <w:r w:rsidR="00F53638">
        <w:rPr>
          <w:rFonts w:asciiTheme="majorHAnsi" w:hAnsiTheme="majorHAnsi"/>
        </w:rPr>
        <w:t xml:space="preserve"> showed a decrease in repeat 1 and an increase in repeat </w:t>
      </w:r>
      <w:r w:rsidR="00FE5F01">
        <w:rPr>
          <w:rFonts w:asciiTheme="majorHAnsi" w:hAnsiTheme="majorHAnsi"/>
        </w:rPr>
        <w:t xml:space="preserve">2 when </w:t>
      </w:r>
      <w:r w:rsidR="00FE5F01" w:rsidRPr="00C273E6">
        <w:rPr>
          <w:rFonts w:asciiTheme="majorHAnsi" w:hAnsiTheme="majorHAnsi"/>
          <w:i/>
        </w:rPr>
        <w:t>SRCAP</w:t>
      </w:r>
      <w:r w:rsidR="00FE5F01">
        <w:rPr>
          <w:rFonts w:asciiTheme="majorHAnsi" w:hAnsiTheme="majorHAnsi"/>
        </w:rPr>
        <w:t xml:space="preserve"> was over</w:t>
      </w:r>
      <w:r w:rsidR="00D34949">
        <w:rPr>
          <w:rFonts w:asciiTheme="majorHAnsi" w:hAnsiTheme="majorHAnsi"/>
        </w:rPr>
        <w:t>-</w:t>
      </w:r>
      <w:r w:rsidR="00FE5F01">
        <w:rPr>
          <w:rFonts w:asciiTheme="majorHAnsi" w:hAnsiTheme="majorHAnsi"/>
        </w:rPr>
        <w:t xml:space="preserve">expressed, possibly indicating that this wasn’t a valid hit from the array. However, </w:t>
      </w:r>
      <w:r w:rsidR="00FE5F01" w:rsidRPr="00C273E6">
        <w:rPr>
          <w:rFonts w:asciiTheme="majorHAnsi" w:hAnsiTheme="majorHAnsi"/>
          <w:i/>
        </w:rPr>
        <w:t>CPA4</w:t>
      </w:r>
      <w:r w:rsidR="00FE5F01">
        <w:rPr>
          <w:rFonts w:asciiTheme="majorHAnsi" w:hAnsiTheme="majorHAnsi"/>
        </w:rPr>
        <w:t xml:space="preserve"> did show comparable results to the original microarray</w:t>
      </w:r>
      <w:r w:rsidR="00C273E6">
        <w:rPr>
          <w:rFonts w:asciiTheme="majorHAnsi" w:hAnsiTheme="majorHAnsi"/>
        </w:rPr>
        <w:t>,</w:t>
      </w:r>
      <w:r w:rsidR="00FE5F01">
        <w:rPr>
          <w:rFonts w:asciiTheme="majorHAnsi" w:hAnsiTheme="majorHAnsi"/>
        </w:rPr>
        <w:t xml:space="preserve"> as </w:t>
      </w:r>
      <w:r w:rsidR="00D34949">
        <w:rPr>
          <w:rFonts w:asciiTheme="majorHAnsi" w:hAnsiTheme="majorHAnsi"/>
        </w:rPr>
        <w:t>the over-</w:t>
      </w:r>
      <w:r w:rsidR="00C273E6">
        <w:rPr>
          <w:rFonts w:asciiTheme="majorHAnsi" w:hAnsiTheme="majorHAnsi"/>
        </w:rPr>
        <w:t xml:space="preserve">expression of </w:t>
      </w:r>
      <w:r w:rsidR="00C273E6" w:rsidRPr="00C273E6">
        <w:rPr>
          <w:rFonts w:asciiTheme="majorHAnsi" w:hAnsiTheme="majorHAnsi"/>
          <w:i/>
        </w:rPr>
        <w:t>SRCAP</w:t>
      </w:r>
      <w:r w:rsidR="00C273E6">
        <w:rPr>
          <w:rFonts w:asciiTheme="majorHAnsi" w:hAnsiTheme="majorHAnsi"/>
          <w:i/>
        </w:rPr>
        <w:t xml:space="preserve"> </w:t>
      </w:r>
      <w:r w:rsidR="00C273E6" w:rsidRPr="00C273E6">
        <w:rPr>
          <w:rFonts w:asciiTheme="majorHAnsi" w:hAnsiTheme="majorHAnsi"/>
        </w:rPr>
        <w:t>resulted in an increase in</w:t>
      </w:r>
      <w:r w:rsidR="00C273E6">
        <w:rPr>
          <w:rFonts w:asciiTheme="majorHAnsi" w:hAnsiTheme="majorHAnsi"/>
          <w:i/>
        </w:rPr>
        <w:t xml:space="preserve"> CPA4 </w:t>
      </w:r>
      <w:r w:rsidR="00C273E6" w:rsidRPr="00C273E6">
        <w:rPr>
          <w:rFonts w:asciiTheme="majorHAnsi" w:hAnsiTheme="majorHAnsi"/>
        </w:rPr>
        <w:t>via RT-PCR</w:t>
      </w:r>
      <w:r w:rsidR="00C273E6">
        <w:rPr>
          <w:rFonts w:asciiTheme="majorHAnsi" w:hAnsiTheme="majorHAnsi"/>
        </w:rPr>
        <w:t xml:space="preserve"> </w:t>
      </w:r>
      <w:r w:rsidR="00062EB2">
        <w:rPr>
          <w:rFonts w:asciiTheme="majorHAnsi" w:hAnsiTheme="majorHAnsi"/>
        </w:rPr>
        <w:t>and Taqman analysis. Figure 6.11b</w:t>
      </w:r>
      <w:r w:rsidR="00C273E6">
        <w:rPr>
          <w:rFonts w:asciiTheme="majorHAnsi" w:hAnsiTheme="majorHAnsi"/>
        </w:rPr>
        <w:t xml:space="preserve"> shows the calculated fold changes </w:t>
      </w:r>
      <w:r w:rsidR="008B274A">
        <w:rPr>
          <w:rFonts w:asciiTheme="majorHAnsi" w:hAnsiTheme="majorHAnsi"/>
        </w:rPr>
        <w:t>from the control vs eithe</w:t>
      </w:r>
      <w:r w:rsidR="002C2E2A">
        <w:rPr>
          <w:rFonts w:asciiTheme="majorHAnsi" w:hAnsiTheme="majorHAnsi"/>
        </w:rPr>
        <w:t>r knock</w:t>
      </w:r>
      <w:r w:rsidR="00D34949">
        <w:rPr>
          <w:rFonts w:asciiTheme="majorHAnsi" w:hAnsiTheme="majorHAnsi"/>
        </w:rPr>
        <w:t>down or over-</w:t>
      </w:r>
      <w:r w:rsidR="00065BC5">
        <w:rPr>
          <w:rFonts w:asciiTheme="majorHAnsi" w:hAnsiTheme="majorHAnsi"/>
        </w:rPr>
        <w:t xml:space="preserve">expression compared to the fold changes from the microarray results. Although </w:t>
      </w:r>
      <w:r w:rsidR="00065BC5" w:rsidRPr="00065BC5">
        <w:rPr>
          <w:rFonts w:asciiTheme="majorHAnsi" w:hAnsiTheme="majorHAnsi"/>
          <w:i/>
        </w:rPr>
        <w:t>PHLDA2</w:t>
      </w:r>
      <w:r w:rsidR="00065BC5">
        <w:rPr>
          <w:rFonts w:asciiTheme="majorHAnsi" w:hAnsiTheme="majorHAnsi"/>
        </w:rPr>
        <w:t xml:space="preserve">, </w:t>
      </w:r>
      <w:r w:rsidR="00065BC5" w:rsidRPr="00065BC5">
        <w:rPr>
          <w:rFonts w:asciiTheme="majorHAnsi" w:hAnsiTheme="majorHAnsi"/>
          <w:i/>
        </w:rPr>
        <w:t>ELK3</w:t>
      </w:r>
      <w:r w:rsidR="00065BC5">
        <w:rPr>
          <w:rFonts w:asciiTheme="majorHAnsi" w:hAnsiTheme="majorHAnsi"/>
        </w:rPr>
        <w:t xml:space="preserve"> and </w:t>
      </w:r>
      <w:r w:rsidR="00065BC5" w:rsidRPr="00065BC5">
        <w:rPr>
          <w:rFonts w:asciiTheme="majorHAnsi" w:hAnsiTheme="majorHAnsi"/>
          <w:i/>
        </w:rPr>
        <w:t>CPA4</w:t>
      </w:r>
      <w:r w:rsidR="00065BC5">
        <w:rPr>
          <w:rFonts w:asciiTheme="majorHAnsi" w:hAnsiTheme="majorHAnsi"/>
        </w:rPr>
        <w:t xml:space="preserve"> follow the same trend in fold changes they are a lot lower than what was shown from the microar</w:t>
      </w:r>
      <w:r w:rsidR="00603787">
        <w:rPr>
          <w:rFonts w:asciiTheme="majorHAnsi" w:hAnsiTheme="majorHAnsi"/>
        </w:rPr>
        <w:t xml:space="preserve">ray, probably because this is has differing </w:t>
      </w:r>
      <w:r w:rsidR="000F4FEF">
        <w:rPr>
          <w:rFonts w:asciiTheme="majorHAnsi" w:hAnsiTheme="majorHAnsi"/>
          <w:b/>
          <w:i/>
          <w:noProof/>
          <w:lang w:val="en-US"/>
        </w:rPr>
        <mc:AlternateContent>
          <mc:Choice Requires="wps">
            <w:drawing>
              <wp:anchor distT="0" distB="0" distL="114300" distR="114300" simplePos="0" relativeHeight="252248064" behindDoc="0" locked="0" layoutInCell="1" allowOverlap="1" wp14:anchorId="5DCA7628" wp14:editId="0014227F">
                <wp:simplePos x="0" y="0"/>
                <wp:positionH relativeFrom="column">
                  <wp:posOffset>-114300</wp:posOffset>
                </wp:positionH>
                <wp:positionV relativeFrom="paragraph">
                  <wp:posOffset>1600200</wp:posOffset>
                </wp:positionV>
                <wp:extent cx="457200" cy="45720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8CD021" w14:textId="14DE597E" w:rsidR="00E82D3B" w:rsidRPr="00062EB2" w:rsidRDefault="00E82D3B">
                            <w:pPr>
                              <w:rPr>
                                <w:b/>
                              </w:rPr>
                            </w:pPr>
                            <w:proofErr w:type="gramStart"/>
                            <w:r w:rsidRPr="00062EB2">
                              <w:rPr>
                                <w:b/>
                              </w:rPr>
                              <w:t>a</w:t>
                            </w:r>
                            <w:proofErr w:type="gramEnd"/>
                            <w:r w:rsidRPr="00062EB2">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8" o:spid="_x0000_s1195" type="#_x0000_t202" style="position:absolute;left:0;text-align:left;margin-left:-8.95pt;margin-top:126pt;width:36pt;height:36pt;z-index:25224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" filled="f" stroked="f">
                <v:textbox>
                  <w:txbxContent>
                    <w:p w14:paraId="2D8CD021" w14:textId="14DE597E" w:rsidR="000A1E0D" w:rsidRPr="00062EB2" w:rsidRDefault="000A1E0D">
                      <w:pPr>
                        <w:rPr>
                          <w:b/>
                        </w:rPr>
                      </w:pPr>
                      <w:proofErr w:type="gramStart"/>
                      <w:r w:rsidRPr="00062EB2">
                        <w:rPr>
                          <w:b/>
                        </w:rPr>
                        <w:t>a</w:t>
                      </w:r>
                      <w:proofErr w:type="gramEnd"/>
                      <w:r w:rsidRPr="00062EB2">
                        <w:rPr>
                          <w:b/>
                        </w:rPr>
                        <w:t>.)</w:t>
                      </w:r>
                    </w:p>
                  </w:txbxContent>
                </v:textbox>
                <w10:wrap type="square"/>
              </v:shape>
            </w:pict>
          </mc:Fallback>
        </mc:AlternateContent>
      </w:r>
      <w:r w:rsidR="00603787">
        <w:rPr>
          <w:rFonts w:asciiTheme="majorHAnsi" w:hAnsiTheme="majorHAnsi"/>
        </w:rPr>
        <w:t xml:space="preserve">sensitivities </w:t>
      </w:r>
      <w:r w:rsidR="00065BC5">
        <w:rPr>
          <w:rFonts w:asciiTheme="majorHAnsi" w:hAnsiTheme="majorHAnsi"/>
        </w:rPr>
        <w:t>compared to Taqman analysis.</w:t>
      </w:r>
    </w:p>
    <w:p w14:paraId="35413142" w14:textId="68903A29" w:rsidR="00062EB2" w:rsidRDefault="00C90DF5" w:rsidP="007C58EA">
      <w:pPr>
        <w:spacing w:line="360" w:lineRule="auto"/>
        <w:jc w:val="both"/>
        <w:rPr>
          <w:rFonts w:asciiTheme="majorHAnsi" w:hAnsiTheme="majorHAnsi"/>
        </w:rPr>
      </w:pPr>
      <w:r>
        <w:rPr>
          <w:rFonts w:asciiTheme="majorHAnsi" w:hAnsiTheme="majorHAnsi"/>
          <w:noProof/>
          <w:lang w:val="en-US"/>
        </w:rPr>
        <w:drawing>
          <wp:anchor distT="0" distB="0" distL="114300" distR="114300" simplePos="0" relativeHeight="252260352" behindDoc="0" locked="0" layoutInCell="1" allowOverlap="1" wp14:anchorId="37E2D856" wp14:editId="35CABE28">
            <wp:simplePos x="0" y="0"/>
            <wp:positionH relativeFrom="column">
              <wp:posOffset>-343535</wp:posOffset>
            </wp:positionH>
            <wp:positionV relativeFrom="paragraph">
              <wp:posOffset>433705</wp:posOffset>
            </wp:positionV>
            <wp:extent cx="5565140" cy="6743700"/>
            <wp:effectExtent l="0" t="0" r="0" b="12700"/>
            <wp:wrapSquare wrapText="bothSides"/>
            <wp:docPr id="139" name="Picture 139" descr="Macintosh HD:Users:ClairFellows:Desktop:Screen Shot 2018-04-04 at 14.0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irFellows:Desktop:Screen Shot 2018-04-04 at 14.03.23.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65140" cy="674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D665BA" w14:textId="77F7B0AB" w:rsidR="00062EB2" w:rsidRDefault="00062EB2" w:rsidP="007C58EA">
      <w:pPr>
        <w:spacing w:line="360" w:lineRule="auto"/>
        <w:jc w:val="both"/>
        <w:rPr>
          <w:rFonts w:asciiTheme="majorHAnsi" w:hAnsiTheme="majorHAnsi"/>
        </w:rPr>
      </w:pPr>
    </w:p>
    <w:p w14:paraId="04577226" w14:textId="634EA901" w:rsidR="002D07C2" w:rsidRDefault="00C90DF5" w:rsidP="007C58EA">
      <w:pPr>
        <w:spacing w:line="360" w:lineRule="auto"/>
        <w:jc w:val="both"/>
        <w:rPr>
          <w:rFonts w:asciiTheme="majorHAnsi" w:hAnsiTheme="majorHAnsi"/>
        </w:rPr>
      </w:pPr>
      <w:r>
        <w:rPr>
          <w:rFonts w:asciiTheme="majorHAnsi" w:hAnsiTheme="majorHAnsi"/>
          <w:b/>
          <w:i/>
          <w:noProof/>
          <w:lang w:val="en-US"/>
        </w:rPr>
        <mc:AlternateContent>
          <mc:Choice Requires="wps">
            <w:drawing>
              <wp:anchor distT="0" distB="0" distL="114300" distR="114300" simplePos="0" relativeHeight="252249088" behindDoc="0" locked="0" layoutInCell="1" allowOverlap="1" wp14:anchorId="73CBC7A2" wp14:editId="587FC033">
                <wp:simplePos x="0" y="0"/>
                <wp:positionH relativeFrom="column">
                  <wp:posOffset>342900</wp:posOffset>
                </wp:positionH>
                <wp:positionV relativeFrom="paragraph">
                  <wp:posOffset>-228600</wp:posOffset>
                </wp:positionV>
                <wp:extent cx="457200" cy="342900"/>
                <wp:effectExtent l="0" t="0" r="0" b="12700"/>
                <wp:wrapSquare wrapText="bothSides"/>
                <wp:docPr id="35" name="Text Box 35"/>
                <wp:cNvGraphicFramePr/>
                <a:graphic xmlns:a="http://schemas.openxmlformats.org/drawingml/2006/main">
                  <a:graphicData uri="http://schemas.microsoft.com/office/word/2010/wordprocessingShape">
                    <wps:wsp>
                      <wps:cNvSpPr txBox="1"/>
                      <wps:spPr>
                        <a:xfrm>
                          <a:off x="0" y="0"/>
                          <a:ext cx="457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6931C3" w14:textId="3335B665" w:rsidR="00E82D3B" w:rsidRPr="000F4FEF" w:rsidRDefault="00E82D3B">
                            <w:pPr>
                              <w:rPr>
                                <w:b/>
                              </w:rPr>
                            </w:pPr>
                            <w:proofErr w:type="gramStart"/>
                            <w:r w:rsidRPr="000F4FEF">
                              <w:rPr>
                                <w:b/>
                              </w:rPr>
                              <w:t>b</w:t>
                            </w:r>
                            <w:proofErr w:type="gramEnd"/>
                            <w:r w:rsidRPr="000F4FEF">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196" type="#_x0000_t202" style="position:absolute;left:0;text-align:left;margin-left:27pt;margin-top:-17.95pt;width:36pt;height:27pt;z-index:25224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" filled="f" stroked="f">
                <v:textbox>
                  <w:txbxContent>
                    <w:p w14:paraId="166931C3" w14:textId="3335B665" w:rsidR="000A1E0D" w:rsidRPr="000F4FEF" w:rsidRDefault="000A1E0D">
                      <w:pPr>
                        <w:rPr>
                          <w:b/>
                        </w:rPr>
                      </w:pPr>
                      <w:proofErr w:type="gramStart"/>
                      <w:r w:rsidRPr="000F4FEF">
                        <w:rPr>
                          <w:b/>
                        </w:rPr>
                        <w:t>b</w:t>
                      </w:r>
                      <w:proofErr w:type="gramEnd"/>
                      <w:r w:rsidRPr="000F4FEF">
                        <w:rPr>
                          <w:b/>
                        </w:rPr>
                        <w:t>.)</w:t>
                      </w:r>
                    </w:p>
                  </w:txbxContent>
                </v:textbox>
                <w10:wrap type="square"/>
              </v:shape>
            </w:pict>
          </mc:Fallback>
        </mc:AlternateContent>
      </w:r>
      <w:r>
        <w:rPr>
          <w:rFonts w:asciiTheme="majorHAnsi" w:hAnsiTheme="majorHAnsi"/>
          <w:b/>
          <w:i/>
          <w:noProof/>
          <w:lang w:val="en-US"/>
        </w:rPr>
        <w:drawing>
          <wp:anchor distT="0" distB="0" distL="114300" distR="114300" simplePos="0" relativeHeight="252259328" behindDoc="0" locked="0" layoutInCell="1" allowOverlap="1" wp14:anchorId="0D0C0060" wp14:editId="31CD1F1D">
            <wp:simplePos x="0" y="0"/>
            <wp:positionH relativeFrom="column">
              <wp:posOffset>456565</wp:posOffset>
            </wp:positionH>
            <wp:positionV relativeFrom="paragraph">
              <wp:posOffset>0</wp:posOffset>
            </wp:positionV>
            <wp:extent cx="4651375" cy="2971800"/>
            <wp:effectExtent l="0" t="0" r="0" b="0"/>
            <wp:wrapSquare wrapText="bothSides"/>
            <wp:docPr id="144" name="Picture 144" descr="Macintosh HD:Users:ClairFellows:Desktop:Screen Shot 2018-04-04 at 14.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lairFellows:Desktop:Screen Shot 2018-04-04 at 14.03.07.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5137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B6A995" w14:textId="64BD0285" w:rsidR="00062EB2" w:rsidRDefault="00062EB2" w:rsidP="00062EB2">
      <w:pPr>
        <w:pStyle w:val="ListParagraph"/>
        <w:spacing w:line="360" w:lineRule="auto"/>
        <w:jc w:val="both"/>
        <w:rPr>
          <w:rFonts w:asciiTheme="majorHAnsi" w:hAnsiTheme="majorHAnsi"/>
          <w:b/>
          <w:i/>
        </w:rPr>
      </w:pPr>
    </w:p>
    <w:p w14:paraId="22948795" w14:textId="77777777" w:rsidR="00062EB2" w:rsidRDefault="00062EB2" w:rsidP="00062EB2">
      <w:pPr>
        <w:pStyle w:val="ListParagraph"/>
        <w:spacing w:line="360" w:lineRule="auto"/>
        <w:jc w:val="both"/>
        <w:rPr>
          <w:rFonts w:asciiTheme="majorHAnsi" w:hAnsiTheme="majorHAnsi"/>
          <w:b/>
          <w:i/>
        </w:rPr>
      </w:pPr>
    </w:p>
    <w:p w14:paraId="3722196D" w14:textId="77777777" w:rsidR="00062EB2" w:rsidRDefault="00062EB2" w:rsidP="00062EB2">
      <w:pPr>
        <w:pStyle w:val="ListParagraph"/>
        <w:spacing w:line="360" w:lineRule="auto"/>
        <w:jc w:val="both"/>
        <w:rPr>
          <w:rFonts w:asciiTheme="majorHAnsi" w:hAnsiTheme="majorHAnsi"/>
          <w:b/>
          <w:i/>
        </w:rPr>
      </w:pPr>
    </w:p>
    <w:p w14:paraId="32362A37" w14:textId="32A6DB6A" w:rsidR="00062EB2" w:rsidRDefault="00062EB2" w:rsidP="00062EB2">
      <w:pPr>
        <w:pStyle w:val="ListParagraph"/>
        <w:spacing w:line="360" w:lineRule="auto"/>
        <w:jc w:val="both"/>
        <w:rPr>
          <w:rFonts w:asciiTheme="majorHAnsi" w:hAnsiTheme="majorHAnsi"/>
          <w:b/>
          <w:i/>
        </w:rPr>
      </w:pPr>
    </w:p>
    <w:p w14:paraId="62FE3B9F" w14:textId="77777777" w:rsidR="00062EB2" w:rsidRDefault="00062EB2" w:rsidP="00062EB2">
      <w:pPr>
        <w:pStyle w:val="ListParagraph"/>
        <w:spacing w:line="360" w:lineRule="auto"/>
        <w:jc w:val="both"/>
        <w:rPr>
          <w:rFonts w:asciiTheme="majorHAnsi" w:hAnsiTheme="majorHAnsi"/>
          <w:b/>
          <w:i/>
        </w:rPr>
      </w:pPr>
    </w:p>
    <w:p w14:paraId="23055687" w14:textId="77777777" w:rsidR="000F4FEF" w:rsidRPr="000F4FEF" w:rsidRDefault="000F4FEF" w:rsidP="000F4FEF">
      <w:pPr>
        <w:spacing w:line="360" w:lineRule="auto"/>
        <w:jc w:val="both"/>
        <w:rPr>
          <w:rFonts w:asciiTheme="majorHAnsi" w:hAnsiTheme="majorHAnsi"/>
          <w:b/>
          <w:i/>
        </w:rPr>
      </w:pPr>
    </w:p>
    <w:tbl>
      <w:tblPr>
        <w:tblStyle w:val="LightList"/>
        <w:tblpPr w:leftFromText="180" w:rightFromText="180" w:vertAnchor="text" w:horzAnchor="page" w:tblpX="2917" w:tblpY="1825"/>
        <w:tblW w:w="3921" w:type="dxa"/>
        <w:tblLook w:val="04A0" w:firstRow="1" w:lastRow="0" w:firstColumn="1" w:lastColumn="0" w:noHBand="0" w:noVBand="1"/>
      </w:tblPr>
      <w:tblGrid>
        <w:gridCol w:w="1152"/>
        <w:gridCol w:w="923"/>
        <w:gridCol w:w="923"/>
        <w:gridCol w:w="923"/>
      </w:tblGrid>
      <w:tr w:rsidR="002D139C" w:rsidRPr="002D139C" w14:paraId="07A6B4E0" w14:textId="77777777" w:rsidTr="00603787">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noWrap/>
            <w:hideMark/>
          </w:tcPr>
          <w:p w14:paraId="4DF1B15D" w14:textId="77777777" w:rsidR="002D139C" w:rsidRPr="002D139C" w:rsidRDefault="002D139C" w:rsidP="00603787">
            <w:pPr>
              <w:rPr>
                <w:rFonts w:ascii="Geneva" w:eastAsia="Times New Roman" w:hAnsi="Geneva" w:cs="Times New Roman"/>
                <w:sz w:val="16"/>
                <w:szCs w:val="18"/>
              </w:rPr>
            </w:pPr>
          </w:p>
        </w:tc>
        <w:tc>
          <w:tcPr>
            <w:tcW w:w="923" w:type="dxa"/>
            <w:noWrap/>
            <w:hideMark/>
          </w:tcPr>
          <w:p w14:paraId="4C2E2576" w14:textId="77777777" w:rsidR="002D139C" w:rsidRPr="002D139C" w:rsidRDefault="002D139C" w:rsidP="00603787">
            <w:pPr>
              <w:jc w:val="cente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b w:val="0"/>
                <w:sz w:val="16"/>
                <w:szCs w:val="18"/>
              </w:rPr>
            </w:pPr>
            <w:r w:rsidRPr="002D139C">
              <w:rPr>
                <w:rFonts w:ascii="Geneva" w:eastAsia="Times New Roman" w:hAnsi="Geneva" w:cs="Times New Roman"/>
                <w:b w:val="0"/>
                <w:sz w:val="16"/>
                <w:szCs w:val="18"/>
              </w:rPr>
              <w:t>1</w:t>
            </w:r>
          </w:p>
        </w:tc>
        <w:tc>
          <w:tcPr>
            <w:tcW w:w="923" w:type="dxa"/>
            <w:noWrap/>
            <w:hideMark/>
          </w:tcPr>
          <w:p w14:paraId="215FF031" w14:textId="77777777" w:rsidR="002D139C" w:rsidRPr="002D139C" w:rsidRDefault="002D139C" w:rsidP="00603787">
            <w:pPr>
              <w:jc w:val="cente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b w:val="0"/>
                <w:sz w:val="16"/>
                <w:szCs w:val="18"/>
              </w:rPr>
            </w:pPr>
            <w:r w:rsidRPr="002D139C">
              <w:rPr>
                <w:rFonts w:ascii="Geneva" w:eastAsia="Times New Roman" w:hAnsi="Geneva" w:cs="Times New Roman"/>
                <w:b w:val="0"/>
                <w:sz w:val="16"/>
                <w:szCs w:val="18"/>
              </w:rPr>
              <w:t>2</w:t>
            </w:r>
          </w:p>
        </w:tc>
        <w:tc>
          <w:tcPr>
            <w:tcW w:w="923" w:type="dxa"/>
            <w:noWrap/>
            <w:hideMark/>
          </w:tcPr>
          <w:p w14:paraId="788E56D9" w14:textId="77777777" w:rsidR="002D139C" w:rsidRPr="002D139C" w:rsidRDefault="002D139C" w:rsidP="00603787">
            <w:pPr>
              <w:jc w:val="cente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b w:val="0"/>
                <w:sz w:val="16"/>
                <w:szCs w:val="18"/>
              </w:rPr>
            </w:pPr>
            <w:r w:rsidRPr="002D139C">
              <w:rPr>
                <w:rFonts w:ascii="Geneva" w:eastAsia="Times New Roman" w:hAnsi="Geneva" w:cs="Times New Roman"/>
                <w:b w:val="0"/>
                <w:sz w:val="16"/>
                <w:szCs w:val="18"/>
              </w:rPr>
              <w:t>3</w:t>
            </w:r>
          </w:p>
        </w:tc>
      </w:tr>
      <w:tr w:rsidR="002D139C" w:rsidRPr="002D139C" w14:paraId="5CD969C2"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2175BA89" w14:textId="77777777" w:rsidR="002D139C" w:rsidRPr="002D139C" w:rsidRDefault="002D139C" w:rsidP="00603787">
            <w:pPr>
              <w:rPr>
                <w:rFonts w:ascii="Geneva" w:eastAsia="Times New Roman" w:hAnsi="Geneva" w:cs="Times New Roman"/>
                <w:b w:val="0"/>
                <w:sz w:val="16"/>
                <w:szCs w:val="18"/>
              </w:rPr>
            </w:pPr>
            <w:r w:rsidRPr="002D139C">
              <w:rPr>
                <w:rFonts w:ascii="Geneva" w:eastAsia="Times New Roman" w:hAnsi="Geneva" w:cs="Times New Roman"/>
                <w:b w:val="0"/>
                <w:sz w:val="16"/>
                <w:szCs w:val="18"/>
              </w:rPr>
              <w:t>CPA4</w:t>
            </w:r>
          </w:p>
        </w:tc>
        <w:tc>
          <w:tcPr>
            <w:tcW w:w="923" w:type="dxa"/>
            <w:noWrap/>
            <w:hideMark/>
          </w:tcPr>
          <w:p w14:paraId="3C81E659"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5E6EB03C"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576BC7B6"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r>
      <w:tr w:rsidR="002D139C" w:rsidRPr="002D139C" w14:paraId="5E51B764"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1BBB0CBF"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Microarray</w:t>
            </w:r>
          </w:p>
        </w:tc>
        <w:tc>
          <w:tcPr>
            <w:tcW w:w="923" w:type="dxa"/>
            <w:noWrap/>
            <w:hideMark/>
          </w:tcPr>
          <w:p w14:paraId="71E4C9FC"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-4.07</w:t>
            </w:r>
          </w:p>
        </w:tc>
        <w:tc>
          <w:tcPr>
            <w:tcW w:w="923" w:type="dxa"/>
            <w:noWrap/>
            <w:hideMark/>
          </w:tcPr>
          <w:p w14:paraId="7125B723"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-6.5</w:t>
            </w:r>
          </w:p>
        </w:tc>
        <w:tc>
          <w:tcPr>
            <w:tcW w:w="923" w:type="dxa"/>
            <w:noWrap/>
            <w:hideMark/>
          </w:tcPr>
          <w:p w14:paraId="4EEFBDD0"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r>
      <w:tr w:rsidR="002D139C" w:rsidRPr="002D139C" w14:paraId="3A45D506"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7FF56791"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Validation</w:t>
            </w:r>
          </w:p>
        </w:tc>
        <w:tc>
          <w:tcPr>
            <w:tcW w:w="923" w:type="dxa"/>
            <w:noWrap/>
            <w:hideMark/>
          </w:tcPr>
          <w:p w14:paraId="049329A1"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-1.85</w:t>
            </w:r>
          </w:p>
        </w:tc>
        <w:tc>
          <w:tcPr>
            <w:tcW w:w="923" w:type="dxa"/>
            <w:noWrap/>
            <w:hideMark/>
          </w:tcPr>
          <w:p w14:paraId="1CB0B405"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-1.82</w:t>
            </w:r>
          </w:p>
        </w:tc>
        <w:tc>
          <w:tcPr>
            <w:tcW w:w="923" w:type="dxa"/>
            <w:noWrap/>
            <w:hideMark/>
          </w:tcPr>
          <w:p w14:paraId="41F6F5F0"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r>
      <w:tr w:rsidR="002D139C" w:rsidRPr="002D139C" w14:paraId="6DF8FDD1"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240A230B" w14:textId="77777777" w:rsidR="002D139C" w:rsidRPr="002D139C" w:rsidRDefault="002D139C" w:rsidP="00603787">
            <w:pPr>
              <w:rPr>
                <w:rFonts w:ascii="Geneva" w:eastAsia="Times New Roman" w:hAnsi="Geneva" w:cs="Times New Roman"/>
                <w:sz w:val="16"/>
                <w:szCs w:val="18"/>
              </w:rPr>
            </w:pPr>
          </w:p>
        </w:tc>
        <w:tc>
          <w:tcPr>
            <w:tcW w:w="923" w:type="dxa"/>
            <w:noWrap/>
            <w:hideMark/>
          </w:tcPr>
          <w:p w14:paraId="33EF2AFF"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795155D8"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40573E2C"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r>
      <w:tr w:rsidR="002D139C" w:rsidRPr="002D139C" w14:paraId="2DD5A002"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042E20FB" w14:textId="77777777" w:rsidR="002D139C" w:rsidRPr="002D139C" w:rsidRDefault="002D139C" w:rsidP="00603787">
            <w:pPr>
              <w:rPr>
                <w:rFonts w:ascii="Geneva" w:eastAsia="Times New Roman" w:hAnsi="Geneva" w:cs="Times New Roman"/>
                <w:b w:val="0"/>
                <w:sz w:val="16"/>
                <w:szCs w:val="18"/>
              </w:rPr>
            </w:pPr>
            <w:r w:rsidRPr="002D139C">
              <w:rPr>
                <w:rFonts w:ascii="Geneva" w:eastAsia="Times New Roman" w:hAnsi="Geneva" w:cs="Times New Roman"/>
                <w:b w:val="0"/>
                <w:sz w:val="16"/>
                <w:szCs w:val="18"/>
              </w:rPr>
              <w:t>SOX4</w:t>
            </w:r>
          </w:p>
        </w:tc>
        <w:tc>
          <w:tcPr>
            <w:tcW w:w="923" w:type="dxa"/>
            <w:noWrap/>
            <w:hideMark/>
          </w:tcPr>
          <w:p w14:paraId="78B3FFF1" w14:textId="77777777" w:rsidR="002D139C" w:rsidRPr="002D139C" w:rsidRDefault="002D139C" w:rsidP="00603787">
            <w:pPr>
              <w:jc w:val="cente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2C6EBAAF"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2EFCA869"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r>
      <w:tr w:rsidR="002D139C" w:rsidRPr="002D139C" w14:paraId="2C3835B9"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77683AB9"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Microarray</w:t>
            </w:r>
          </w:p>
        </w:tc>
        <w:tc>
          <w:tcPr>
            <w:tcW w:w="923" w:type="dxa"/>
            <w:noWrap/>
            <w:hideMark/>
          </w:tcPr>
          <w:p w14:paraId="74A1CEC7"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3.91</w:t>
            </w:r>
          </w:p>
        </w:tc>
        <w:tc>
          <w:tcPr>
            <w:tcW w:w="923" w:type="dxa"/>
            <w:noWrap/>
            <w:hideMark/>
          </w:tcPr>
          <w:p w14:paraId="7E86A6FE"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2.53</w:t>
            </w:r>
          </w:p>
        </w:tc>
        <w:tc>
          <w:tcPr>
            <w:tcW w:w="923" w:type="dxa"/>
            <w:noWrap/>
            <w:hideMark/>
          </w:tcPr>
          <w:p w14:paraId="0EC16479"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r>
      <w:tr w:rsidR="002D139C" w:rsidRPr="002D139C" w14:paraId="45BCB16C"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0371C3CA"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Validation</w:t>
            </w:r>
          </w:p>
        </w:tc>
        <w:tc>
          <w:tcPr>
            <w:tcW w:w="923" w:type="dxa"/>
            <w:noWrap/>
            <w:hideMark/>
          </w:tcPr>
          <w:p w14:paraId="3E70DE18"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1.14</w:t>
            </w:r>
          </w:p>
        </w:tc>
        <w:tc>
          <w:tcPr>
            <w:tcW w:w="923" w:type="dxa"/>
            <w:noWrap/>
            <w:hideMark/>
          </w:tcPr>
          <w:p w14:paraId="0B052406"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-0.91</w:t>
            </w:r>
          </w:p>
        </w:tc>
        <w:tc>
          <w:tcPr>
            <w:tcW w:w="923" w:type="dxa"/>
            <w:noWrap/>
            <w:hideMark/>
          </w:tcPr>
          <w:p w14:paraId="5F43C3D5"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r>
      <w:tr w:rsidR="002D139C" w:rsidRPr="002D139C" w14:paraId="5ECDAB5F"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72EF5D6A" w14:textId="77777777" w:rsidR="002D139C" w:rsidRPr="002D139C" w:rsidRDefault="002D139C" w:rsidP="00603787">
            <w:pPr>
              <w:rPr>
                <w:rFonts w:ascii="Geneva" w:eastAsia="Times New Roman" w:hAnsi="Geneva" w:cs="Times New Roman"/>
                <w:sz w:val="16"/>
                <w:szCs w:val="18"/>
              </w:rPr>
            </w:pPr>
          </w:p>
        </w:tc>
        <w:tc>
          <w:tcPr>
            <w:tcW w:w="923" w:type="dxa"/>
            <w:noWrap/>
            <w:hideMark/>
          </w:tcPr>
          <w:p w14:paraId="63DF9BE6"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146CB214"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28F875D8"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r>
      <w:tr w:rsidR="002D139C" w:rsidRPr="002D139C" w14:paraId="1E4BEA9F"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1334356E" w14:textId="77777777" w:rsidR="002D139C" w:rsidRPr="002D139C" w:rsidRDefault="002D139C" w:rsidP="00603787">
            <w:pPr>
              <w:rPr>
                <w:rFonts w:ascii="Geneva" w:eastAsia="Times New Roman" w:hAnsi="Geneva" w:cs="Times New Roman"/>
                <w:b w:val="0"/>
                <w:sz w:val="16"/>
                <w:szCs w:val="18"/>
              </w:rPr>
            </w:pPr>
            <w:r w:rsidRPr="002D139C">
              <w:rPr>
                <w:rFonts w:ascii="Geneva" w:eastAsia="Times New Roman" w:hAnsi="Geneva" w:cs="Times New Roman"/>
                <w:b w:val="0"/>
                <w:sz w:val="16"/>
                <w:szCs w:val="18"/>
              </w:rPr>
              <w:t>FGFBP1</w:t>
            </w:r>
          </w:p>
        </w:tc>
        <w:tc>
          <w:tcPr>
            <w:tcW w:w="923" w:type="dxa"/>
            <w:noWrap/>
            <w:hideMark/>
          </w:tcPr>
          <w:p w14:paraId="54F26F3D"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73A24C6D"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345AE690"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r>
      <w:tr w:rsidR="002D139C" w:rsidRPr="002D139C" w14:paraId="52E9E114"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6174941A"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Microarray</w:t>
            </w:r>
          </w:p>
        </w:tc>
        <w:tc>
          <w:tcPr>
            <w:tcW w:w="923" w:type="dxa"/>
            <w:noWrap/>
            <w:hideMark/>
          </w:tcPr>
          <w:p w14:paraId="50628814"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-4.77</w:t>
            </w:r>
          </w:p>
        </w:tc>
        <w:tc>
          <w:tcPr>
            <w:tcW w:w="923" w:type="dxa"/>
            <w:noWrap/>
            <w:hideMark/>
          </w:tcPr>
          <w:p w14:paraId="6F0B50E9"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-5.76</w:t>
            </w:r>
          </w:p>
        </w:tc>
        <w:tc>
          <w:tcPr>
            <w:tcW w:w="923" w:type="dxa"/>
            <w:noWrap/>
            <w:hideMark/>
          </w:tcPr>
          <w:p w14:paraId="202BFF32"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-5.06</w:t>
            </w:r>
          </w:p>
        </w:tc>
      </w:tr>
      <w:tr w:rsidR="002D139C" w:rsidRPr="002D139C" w14:paraId="640EED10"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716C93C7"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Validation</w:t>
            </w:r>
          </w:p>
        </w:tc>
        <w:tc>
          <w:tcPr>
            <w:tcW w:w="923" w:type="dxa"/>
            <w:noWrap/>
            <w:hideMark/>
          </w:tcPr>
          <w:p w14:paraId="6D6E3F7D"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-1.93</w:t>
            </w:r>
          </w:p>
        </w:tc>
        <w:tc>
          <w:tcPr>
            <w:tcW w:w="923" w:type="dxa"/>
            <w:noWrap/>
            <w:hideMark/>
          </w:tcPr>
          <w:p w14:paraId="3986848A"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-0.32</w:t>
            </w:r>
          </w:p>
        </w:tc>
        <w:tc>
          <w:tcPr>
            <w:tcW w:w="923" w:type="dxa"/>
            <w:noWrap/>
            <w:hideMark/>
          </w:tcPr>
          <w:p w14:paraId="78976BC9"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-1.23</w:t>
            </w:r>
          </w:p>
        </w:tc>
      </w:tr>
      <w:tr w:rsidR="002D139C" w:rsidRPr="002D139C" w14:paraId="0F7500F1"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2BA96025" w14:textId="77777777" w:rsidR="002D139C" w:rsidRPr="002D139C" w:rsidRDefault="002D139C" w:rsidP="00603787">
            <w:pPr>
              <w:rPr>
                <w:rFonts w:ascii="Geneva" w:eastAsia="Times New Roman" w:hAnsi="Geneva" w:cs="Times New Roman"/>
                <w:sz w:val="16"/>
                <w:szCs w:val="18"/>
              </w:rPr>
            </w:pPr>
          </w:p>
        </w:tc>
        <w:tc>
          <w:tcPr>
            <w:tcW w:w="923" w:type="dxa"/>
            <w:noWrap/>
            <w:hideMark/>
          </w:tcPr>
          <w:p w14:paraId="1BDA4369"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1F58D010"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2D32C324"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r>
      <w:tr w:rsidR="002D139C" w:rsidRPr="002D139C" w14:paraId="09BAA5C3"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16B1CE42" w14:textId="77777777" w:rsidR="002D139C" w:rsidRPr="002D139C" w:rsidRDefault="002D139C" w:rsidP="00603787">
            <w:pPr>
              <w:rPr>
                <w:rFonts w:ascii="Geneva" w:eastAsia="Times New Roman" w:hAnsi="Geneva" w:cs="Times New Roman"/>
                <w:b w:val="0"/>
                <w:sz w:val="16"/>
                <w:szCs w:val="18"/>
              </w:rPr>
            </w:pPr>
            <w:r w:rsidRPr="002D139C">
              <w:rPr>
                <w:rFonts w:ascii="Geneva" w:eastAsia="Times New Roman" w:hAnsi="Geneva" w:cs="Times New Roman"/>
                <w:b w:val="0"/>
                <w:sz w:val="16"/>
                <w:szCs w:val="18"/>
              </w:rPr>
              <w:t>ELK3</w:t>
            </w:r>
          </w:p>
        </w:tc>
        <w:tc>
          <w:tcPr>
            <w:tcW w:w="923" w:type="dxa"/>
            <w:noWrap/>
            <w:hideMark/>
          </w:tcPr>
          <w:p w14:paraId="3E427000"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15CF886B"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55B1313C"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r>
      <w:tr w:rsidR="002D139C" w:rsidRPr="002D139C" w14:paraId="77D5FF80"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5875F0F2"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Microarray</w:t>
            </w:r>
          </w:p>
        </w:tc>
        <w:tc>
          <w:tcPr>
            <w:tcW w:w="923" w:type="dxa"/>
            <w:noWrap/>
            <w:hideMark/>
          </w:tcPr>
          <w:p w14:paraId="3FA95C37"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4.27</w:t>
            </w:r>
          </w:p>
        </w:tc>
        <w:tc>
          <w:tcPr>
            <w:tcW w:w="923" w:type="dxa"/>
            <w:noWrap/>
            <w:hideMark/>
          </w:tcPr>
          <w:p w14:paraId="5F437DD3"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5.77</w:t>
            </w:r>
          </w:p>
        </w:tc>
        <w:tc>
          <w:tcPr>
            <w:tcW w:w="923" w:type="dxa"/>
            <w:noWrap/>
            <w:hideMark/>
          </w:tcPr>
          <w:p w14:paraId="3B3EEB4F"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5.83</w:t>
            </w:r>
          </w:p>
        </w:tc>
      </w:tr>
      <w:tr w:rsidR="002D139C" w:rsidRPr="002D139C" w14:paraId="1641C1DD"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67B7CE7A"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Validation</w:t>
            </w:r>
          </w:p>
        </w:tc>
        <w:tc>
          <w:tcPr>
            <w:tcW w:w="923" w:type="dxa"/>
            <w:noWrap/>
            <w:hideMark/>
          </w:tcPr>
          <w:p w14:paraId="11791DA0"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1.84</w:t>
            </w:r>
          </w:p>
        </w:tc>
        <w:tc>
          <w:tcPr>
            <w:tcW w:w="923" w:type="dxa"/>
            <w:noWrap/>
            <w:hideMark/>
          </w:tcPr>
          <w:p w14:paraId="6E724DE7"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0.86</w:t>
            </w:r>
          </w:p>
        </w:tc>
        <w:tc>
          <w:tcPr>
            <w:tcW w:w="923" w:type="dxa"/>
            <w:noWrap/>
            <w:hideMark/>
          </w:tcPr>
          <w:p w14:paraId="32237B66"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1.38</w:t>
            </w:r>
          </w:p>
        </w:tc>
      </w:tr>
      <w:tr w:rsidR="002D139C" w:rsidRPr="002D139C" w14:paraId="05DFEDED"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73B6EB89" w14:textId="77777777" w:rsidR="002D139C" w:rsidRPr="002D139C" w:rsidRDefault="002D139C" w:rsidP="00603787">
            <w:pPr>
              <w:rPr>
                <w:rFonts w:ascii="Geneva" w:eastAsia="Times New Roman" w:hAnsi="Geneva" w:cs="Times New Roman"/>
                <w:sz w:val="16"/>
                <w:szCs w:val="18"/>
              </w:rPr>
            </w:pPr>
          </w:p>
        </w:tc>
        <w:tc>
          <w:tcPr>
            <w:tcW w:w="923" w:type="dxa"/>
            <w:noWrap/>
            <w:hideMark/>
          </w:tcPr>
          <w:p w14:paraId="4B76E613"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2B6531C2"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6432A48F"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r>
      <w:tr w:rsidR="002D139C" w:rsidRPr="002D139C" w14:paraId="3F407043"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7AB746C1" w14:textId="77777777" w:rsidR="002D139C" w:rsidRPr="002D139C" w:rsidRDefault="002D139C" w:rsidP="00603787">
            <w:pPr>
              <w:rPr>
                <w:rFonts w:ascii="Geneva" w:eastAsia="Times New Roman" w:hAnsi="Geneva" w:cs="Times New Roman"/>
                <w:b w:val="0"/>
                <w:sz w:val="16"/>
                <w:szCs w:val="18"/>
              </w:rPr>
            </w:pPr>
            <w:r w:rsidRPr="002D139C">
              <w:rPr>
                <w:rFonts w:ascii="Geneva" w:eastAsia="Times New Roman" w:hAnsi="Geneva" w:cs="Times New Roman"/>
                <w:b w:val="0"/>
                <w:sz w:val="16"/>
                <w:szCs w:val="18"/>
              </w:rPr>
              <w:t>PHLDA2</w:t>
            </w:r>
          </w:p>
        </w:tc>
        <w:tc>
          <w:tcPr>
            <w:tcW w:w="923" w:type="dxa"/>
            <w:noWrap/>
            <w:hideMark/>
          </w:tcPr>
          <w:p w14:paraId="64225A04"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14E427B1"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0FD37BC8"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r>
      <w:tr w:rsidR="002D139C" w:rsidRPr="002D139C" w14:paraId="029EFF1A"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261F948E"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Microarray</w:t>
            </w:r>
          </w:p>
        </w:tc>
        <w:tc>
          <w:tcPr>
            <w:tcW w:w="923" w:type="dxa"/>
            <w:noWrap/>
            <w:hideMark/>
          </w:tcPr>
          <w:p w14:paraId="2492D9BD"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6.25</w:t>
            </w:r>
          </w:p>
        </w:tc>
        <w:tc>
          <w:tcPr>
            <w:tcW w:w="923" w:type="dxa"/>
            <w:noWrap/>
            <w:hideMark/>
          </w:tcPr>
          <w:p w14:paraId="30B7EC72"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5.16</w:t>
            </w:r>
          </w:p>
        </w:tc>
        <w:tc>
          <w:tcPr>
            <w:tcW w:w="923" w:type="dxa"/>
            <w:noWrap/>
            <w:hideMark/>
          </w:tcPr>
          <w:p w14:paraId="1AF6A184"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5.09</w:t>
            </w:r>
          </w:p>
        </w:tc>
      </w:tr>
      <w:tr w:rsidR="002D139C" w:rsidRPr="002D139C" w14:paraId="3BBAF9F3"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28AD3A20"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Validation</w:t>
            </w:r>
          </w:p>
        </w:tc>
        <w:tc>
          <w:tcPr>
            <w:tcW w:w="923" w:type="dxa"/>
            <w:noWrap/>
            <w:hideMark/>
          </w:tcPr>
          <w:p w14:paraId="189BA184"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2.27</w:t>
            </w:r>
          </w:p>
        </w:tc>
        <w:tc>
          <w:tcPr>
            <w:tcW w:w="923" w:type="dxa"/>
            <w:noWrap/>
            <w:hideMark/>
          </w:tcPr>
          <w:p w14:paraId="258FFECD"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2.58</w:t>
            </w:r>
          </w:p>
        </w:tc>
        <w:tc>
          <w:tcPr>
            <w:tcW w:w="923" w:type="dxa"/>
            <w:noWrap/>
            <w:hideMark/>
          </w:tcPr>
          <w:p w14:paraId="202EBAA4"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1.3</w:t>
            </w:r>
          </w:p>
        </w:tc>
      </w:tr>
      <w:tr w:rsidR="002D139C" w:rsidRPr="002D139C" w14:paraId="1DA0CAC4"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0F13A6FD" w14:textId="77777777" w:rsidR="002D139C" w:rsidRPr="002D139C" w:rsidRDefault="002D139C" w:rsidP="00603787">
            <w:pPr>
              <w:rPr>
                <w:rFonts w:ascii="Geneva" w:eastAsia="Times New Roman" w:hAnsi="Geneva" w:cs="Times New Roman"/>
                <w:sz w:val="16"/>
                <w:szCs w:val="18"/>
              </w:rPr>
            </w:pPr>
          </w:p>
        </w:tc>
        <w:tc>
          <w:tcPr>
            <w:tcW w:w="923" w:type="dxa"/>
            <w:noWrap/>
            <w:hideMark/>
          </w:tcPr>
          <w:p w14:paraId="7FF9E4DD"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30CDF1E4"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67C57830" w14:textId="77777777" w:rsidR="002D139C" w:rsidRPr="002D139C" w:rsidRDefault="002D139C" w:rsidP="00603787">
            <w:pP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p>
        </w:tc>
      </w:tr>
      <w:tr w:rsidR="002D139C" w:rsidRPr="002D139C" w14:paraId="4EC0FD6E"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3C8F8850" w14:textId="77777777" w:rsidR="002D139C" w:rsidRPr="002D139C" w:rsidRDefault="002D139C" w:rsidP="00603787">
            <w:pPr>
              <w:rPr>
                <w:rFonts w:ascii="Geneva" w:eastAsia="Times New Roman" w:hAnsi="Geneva" w:cs="Times New Roman"/>
                <w:b w:val="0"/>
                <w:sz w:val="16"/>
                <w:szCs w:val="18"/>
              </w:rPr>
            </w:pPr>
            <w:r w:rsidRPr="002D139C">
              <w:rPr>
                <w:rFonts w:ascii="Geneva" w:eastAsia="Times New Roman" w:hAnsi="Geneva" w:cs="Times New Roman"/>
                <w:b w:val="0"/>
                <w:sz w:val="16"/>
                <w:szCs w:val="18"/>
              </w:rPr>
              <w:t>HIST3H2BB</w:t>
            </w:r>
          </w:p>
        </w:tc>
        <w:tc>
          <w:tcPr>
            <w:tcW w:w="923" w:type="dxa"/>
            <w:noWrap/>
            <w:hideMark/>
          </w:tcPr>
          <w:p w14:paraId="696D26FF"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1B7DFED9"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c>
          <w:tcPr>
            <w:tcW w:w="923" w:type="dxa"/>
            <w:noWrap/>
            <w:hideMark/>
          </w:tcPr>
          <w:p w14:paraId="4BA6881F"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p>
        </w:tc>
      </w:tr>
      <w:tr w:rsidR="002D139C" w:rsidRPr="002D139C" w14:paraId="645EE231" w14:textId="77777777" w:rsidTr="00603787">
        <w:trPr>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5CC73B94"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Microarray</w:t>
            </w:r>
          </w:p>
        </w:tc>
        <w:tc>
          <w:tcPr>
            <w:tcW w:w="923" w:type="dxa"/>
            <w:noWrap/>
            <w:hideMark/>
          </w:tcPr>
          <w:p w14:paraId="624575B4"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6.91</w:t>
            </w:r>
          </w:p>
        </w:tc>
        <w:tc>
          <w:tcPr>
            <w:tcW w:w="923" w:type="dxa"/>
            <w:noWrap/>
            <w:hideMark/>
          </w:tcPr>
          <w:p w14:paraId="1DC16B89"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4.85</w:t>
            </w:r>
          </w:p>
        </w:tc>
        <w:tc>
          <w:tcPr>
            <w:tcW w:w="923" w:type="dxa"/>
            <w:noWrap/>
            <w:hideMark/>
          </w:tcPr>
          <w:p w14:paraId="204724E3" w14:textId="77777777" w:rsidR="002D139C" w:rsidRPr="002D139C" w:rsidRDefault="002D139C" w:rsidP="00603787">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7.03</w:t>
            </w:r>
          </w:p>
        </w:tc>
      </w:tr>
      <w:tr w:rsidR="002D139C" w:rsidRPr="002D139C" w14:paraId="34583E34" w14:textId="77777777" w:rsidTr="0060378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152" w:type="dxa"/>
            <w:shd w:val="clear" w:color="auto" w:fill="A6A6A6" w:themeFill="background1" w:themeFillShade="A6"/>
            <w:noWrap/>
            <w:hideMark/>
          </w:tcPr>
          <w:p w14:paraId="271867D1" w14:textId="77777777" w:rsidR="002D139C" w:rsidRPr="002D139C" w:rsidRDefault="002D139C" w:rsidP="00603787">
            <w:pPr>
              <w:rPr>
                <w:rFonts w:ascii="Geneva" w:eastAsia="Times New Roman" w:hAnsi="Geneva" w:cs="Times New Roman"/>
                <w:sz w:val="16"/>
                <w:szCs w:val="18"/>
              </w:rPr>
            </w:pPr>
            <w:r w:rsidRPr="002D139C">
              <w:rPr>
                <w:rFonts w:ascii="Geneva" w:eastAsia="Times New Roman" w:hAnsi="Geneva" w:cs="Times New Roman"/>
                <w:sz w:val="16"/>
                <w:szCs w:val="18"/>
              </w:rPr>
              <w:t>Validation</w:t>
            </w:r>
          </w:p>
        </w:tc>
        <w:tc>
          <w:tcPr>
            <w:tcW w:w="923" w:type="dxa"/>
            <w:noWrap/>
            <w:hideMark/>
          </w:tcPr>
          <w:p w14:paraId="6E53739F"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0.26</w:t>
            </w:r>
          </w:p>
        </w:tc>
        <w:tc>
          <w:tcPr>
            <w:tcW w:w="923" w:type="dxa"/>
            <w:noWrap/>
            <w:hideMark/>
          </w:tcPr>
          <w:p w14:paraId="12878B88"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0.63</w:t>
            </w:r>
          </w:p>
        </w:tc>
        <w:tc>
          <w:tcPr>
            <w:tcW w:w="923" w:type="dxa"/>
            <w:noWrap/>
            <w:hideMark/>
          </w:tcPr>
          <w:p w14:paraId="7500A21E" w14:textId="77777777" w:rsidR="002D139C" w:rsidRPr="002D139C" w:rsidRDefault="002D139C" w:rsidP="00603787">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6"/>
                <w:szCs w:val="18"/>
              </w:rPr>
            </w:pPr>
            <w:r w:rsidRPr="002D139C">
              <w:rPr>
                <w:rFonts w:ascii="Geneva" w:eastAsia="Times New Roman" w:hAnsi="Geneva" w:cs="Times New Roman"/>
                <w:sz w:val="16"/>
                <w:szCs w:val="18"/>
              </w:rPr>
              <w:t>0.64</w:t>
            </w:r>
          </w:p>
        </w:tc>
      </w:tr>
    </w:tbl>
    <w:p w14:paraId="328C0120" w14:textId="71E52016" w:rsidR="00062EB2" w:rsidRDefault="00062EB2" w:rsidP="00062EB2">
      <w:pPr>
        <w:pStyle w:val="ListParagraph"/>
        <w:spacing w:line="360" w:lineRule="auto"/>
        <w:jc w:val="both"/>
        <w:rPr>
          <w:rFonts w:asciiTheme="majorHAnsi" w:hAnsiTheme="majorHAnsi"/>
          <w:b/>
          <w:i/>
        </w:rPr>
      </w:pPr>
    </w:p>
    <w:p w14:paraId="4013EF82" w14:textId="00041338" w:rsidR="00062EB2" w:rsidRDefault="00062EB2" w:rsidP="00062EB2">
      <w:pPr>
        <w:pStyle w:val="ListParagraph"/>
        <w:spacing w:line="360" w:lineRule="auto"/>
        <w:jc w:val="both"/>
        <w:rPr>
          <w:rFonts w:asciiTheme="majorHAnsi" w:hAnsiTheme="majorHAnsi"/>
          <w:b/>
          <w:i/>
        </w:rPr>
      </w:pPr>
    </w:p>
    <w:p w14:paraId="57D8219F" w14:textId="094626E4" w:rsidR="00062EB2" w:rsidRDefault="00062EB2" w:rsidP="00062EB2">
      <w:pPr>
        <w:pStyle w:val="ListParagraph"/>
        <w:spacing w:line="360" w:lineRule="auto"/>
        <w:jc w:val="both"/>
        <w:rPr>
          <w:rFonts w:asciiTheme="majorHAnsi" w:hAnsiTheme="majorHAnsi"/>
          <w:b/>
          <w:i/>
        </w:rPr>
      </w:pPr>
    </w:p>
    <w:p w14:paraId="198EB0F9" w14:textId="090E6002" w:rsidR="00062EB2" w:rsidRDefault="000F4FEF" w:rsidP="00062EB2">
      <w:pPr>
        <w:pStyle w:val="ListParagraph"/>
        <w:spacing w:line="360" w:lineRule="auto"/>
        <w:jc w:val="both"/>
        <w:rPr>
          <w:rFonts w:asciiTheme="majorHAnsi" w:hAnsiTheme="majorHAnsi"/>
          <w:b/>
          <w:i/>
        </w:rPr>
      </w:pPr>
      <w:r>
        <w:rPr>
          <w:rFonts w:asciiTheme="majorHAnsi" w:hAnsiTheme="majorHAnsi"/>
          <w:b/>
          <w:i/>
          <w:noProof/>
          <w:lang w:val="en-US"/>
        </w:rPr>
        <mc:AlternateContent>
          <mc:Choice Requires="wps">
            <w:drawing>
              <wp:anchor distT="0" distB="0" distL="114300" distR="114300" simplePos="0" relativeHeight="252161024" behindDoc="0" locked="0" layoutInCell="1" allowOverlap="1" wp14:anchorId="55485083" wp14:editId="57F0F83A">
                <wp:simplePos x="0" y="0"/>
                <wp:positionH relativeFrom="column">
                  <wp:posOffset>2971800</wp:posOffset>
                </wp:positionH>
                <wp:positionV relativeFrom="paragraph">
                  <wp:posOffset>295275</wp:posOffset>
                </wp:positionV>
                <wp:extent cx="2400300" cy="54864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4003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0DE3BF" w14:textId="54B7AC51" w:rsidR="00E82D3B" w:rsidRPr="00062EB2" w:rsidRDefault="00E82D3B" w:rsidP="002D139C">
                            <w:pPr>
                              <w:jc w:val="both"/>
                              <w:rPr>
                                <w:b/>
                                <w:i/>
                                <w:sz w:val="22"/>
                              </w:rPr>
                            </w:pPr>
                            <w:r w:rsidRPr="00062EB2">
                              <w:rPr>
                                <w:b/>
                                <w:i/>
                                <w:sz w:val="22"/>
                              </w:rPr>
                              <w:t>Figure 6.11 Taqman RT-PCR of original microarray samples gives validated results</w:t>
                            </w:r>
                          </w:p>
                          <w:p w14:paraId="5252FCC3" w14:textId="1E4ACF5A" w:rsidR="00E82D3B" w:rsidRPr="00062EB2" w:rsidRDefault="00E82D3B" w:rsidP="002D139C">
                            <w:pPr>
                              <w:jc w:val="both"/>
                              <w:rPr>
                                <w:i/>
                                <w:sz w:val="22"/>
                              </w:rPr>
                            </w:pPr>
                            <w:r>
                              <w:rPr>
                                <w:i/>
                                <w:sz w:val="22"/>
                              </w:rPr>
                              <w:t xml:space="preserve">a.) Taqman RT-PCR was carried out using the original microarray samples, with each graph showing the mean and positive and negative error bars of three internal repeats of one experiment. PHLDA2, ELK3 and CPA4 all show validation from the original microarray data. FGFBP1 does show an increase in expression when SRCAP is knocked down, however repeat 2 isn’t as conclusive and HIST3H2BB again does show a decrease when SRCAP is knocked down but the changes are very small. SOX4 does not follow the expected pattern of expression. </w:t>
                            </w:r>
                          </w:p>
                          <w:p w14:paraId="746AD756" w14:textId="7DD509C3" w:rsidR="00E82D3B" w:rsidRPr="00062EB2" w:rsidRDefault="00E82D3B" w:rsidP="002D139C">
                            <w:pPr>
                              <w:jc w:val="both"/>
                              <w:rPr>
                                <w:i/>
                                <w:sz w:val="22"/>
                              </w:rPr>
                            </w:pPr>
                            <w:r w:rsidRPr="00062EB2">
                              <w:rPr>
                                <w:i/>
                                <w:sz w:val="22"/>
                              </w:rPr>
                              <w:t xml:space="preserve">b.) Comparison of the fold changes </w:t>
                            </w:r>
                            <w:r>
                              <w:rPr>
                                <w:i/>
                                <w:sz w:val="22"/>
                              </w:rPr>
                              <w:t>generated from the microarray and the fold changes from the validation, these validation fold change, although they follow the same pattern for PHLDA2, ELK3, FGFBP1, HIST3H2BB and CPA4, they are lower compared to the original microarray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197" type="#_x0000_t202" style="position:absolute;left:0;text-align:left;margin-left:234pt;margin-top:23.25pt;width:189pt;height:6in;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" filled="f" stroked="f">
                <v:textbox>
                  <w:txbxContent>
                    <w:p w14:paraId="710DE3BF" w14:textId="54B7AC51" w:rsidR="000A1E0D" w:rsidRPr="00062EB2" w:rsidRDefault="000A1E0D" w:rsidP="002D139C">
                      <w:pPr>
                        <w:jc w:val="both"/>
                        <w:rPr>
                          <w:b/>
                          <w:i/>
                          <w:sz w:val="22"/>
                        </w:rPr>
                      </w:pPr>
                      <w:r w:rsidRPr="00062EB2">
                        <w:rPr>
                          <w:b/>
                          <w:i/>
                          <w:sz w:val="22"/>
                        </w:rPr>
                        <w:t>Figure 6.11 Taqman RT-PCR of original microarray samples gives validated results</w:t>
                      </w:r>
                    </w:p>
                    <w:p w14:paraId="5252FCC3" w14:textId="1E4ACF5A" w:rsidR="000A1E0D" w:rsidRPr="00062EB2" w:rsidRDefault="000A1E0D" w:rsidP="002D139C">
                      <w:pPr>
                        <w:jc w:val="both"/>
                        <w:rPr>
                          <w:i/>
                          <w:sz w:val="22"/>
                        </w:rPr>
                      </w:pPr>
                      <w:r>
                        <w:rPr>
                          <w:i/>
                          <w:sz w:val="22"/>
                        </w:rPr>
                        <w:t xml:space="preserve">a.) Taqman RT-PCR was carried out using the original microarray samples, with each graph showing the mean and positive and negative error bars of three internal repeats of one experiment. PHLDA2, ELK3 and CPA4 all show validation from the original microarray data. FGFBP1 does show an increase in expression when SRCAP is knocked down, however repeat 2 isn’t as conclusive and HIST3H2BB again does show a decrease when SRCAP is knocked down but the changes are very small. SOX4 does not follow the expected pattern of expression. </w:t>
                      </w:r>
                    </w:p>
                    <w:p w14:paraId="746AD756" w14:textId="7DD509C3" w:rsidR="000A1E0D" w:rsidRPr="00062EB2" w:rsidRDefault="000A1E0D" w:rsidP="002D139C">
                      <w:pPr>
                        <w:jc w:val="both"/>
                        <w:rPr>
                          <w:i/>
                          <w:sz w:val="22"/>
                        </w:rPr>
                      </w:pPr>
                      <w:r w:rsidRPr="00062EB2">
                        <w:rPr>
                          <w:i/>
                          <w:sz w:val="22"/>
                        </w:rPr>
                        <w:t xml:space="preserve">b.) Comparison of the fold changes </w:t>
                      </w:r>
                      <w:r>
                        <w:rPr>
                          <w:i/>
                          <w:sz w:val="22"/>
                        </w:rPr>
                        <w:t>generated from the microarray and the fold changes from the validation, these validation fold change, although they follow the same pattern for PHLDA2, ELK3, FGFBP1, HIST3H2BB and CPA4, they are lower compared to the original microarray data.</w:t>
                      </w:r>
                    </w:p>
                  </w:txbxContent>
                </v:textbox>
                <w10:wrap type="square"/>
              </v:shape>
            </w:pict>
          </mc:Fallback>
        </mc:AlternateContent>
      </w:r>
    </w:p>
    <w:p w14:paraId="1227FCA1" w14:textId="11D3E53F" w:rsidR="00062EB2" w:rsidRDefault="00062EB2" w:rsidP="00062EB2">
      <w:pPr>
        <w:pStyle w:val="ListParagraph"/>
        <w:spacing w:line="360" w:lineRule="auto"/>
        <w:jc w:val="both"/>
        <w:rPr>
          <w:rFonts w:asciiTheme="majorHAnsi" w:hAnsiTheme="majorHAnsi"/>
          <w:b/>
          <w:i/>
        </w:rPr>
      </w:pPr>
    </w:p>
    <w:p w14:paraId="331ECFE9" w14:textId="6DF0F7AF" w:rsidR="00062EB2" w:rsidRDefault="00062EB2">
      <w:pPr>
        <w:rPr>
          <w:rFonts w:asciiTheme="majorHAnsi" w:hAnsiTheme="majorHAnsi"/>
          <w:b/>
          <w:i/>
        </w:rPr>
      </w:pPr>
      <w:r>
        <w:rPr>
          <w:rFonts w:asciiTheme="majorHAnsi" w:hAnsiTheme="majorHAnsi"/>
          <w:b/>
          <w:i/>
        </w:rPr>
        <w:br w:type="page"/>
      </w:r>
    </w:p>
    <w:p w14:paraId="29C2CE15" w14:textId="0D8E089C" w:rsidR="002D07C2" w:rsidRPr="00C273E6" w:rsidRDefault="002C2E2A" w:rsidP="002F41C6">
      <w:pPr>
        <w:pStyle w:val="ListParagraph"/>
        <w:numPr>
          <w:ilvl w:val="0"/>
          <w:numId w:val="39"/>
        </w:numPr>
        <w:spacing w:line="360" w:lineRule="auto"/>
        <w:jc w:val="both"/>
        <w:rPr>
          <w:rFonts w:asciiTheme="majorHAnsi" w:hAnsiTheme="majorHAnsi"/>
          <w:b/>
          <w:i/>
        </w:rPr>
      </w:pPr>
      <w:r>
        <w:rPr>
          <w:rFonts w:asciiTheme="majorHAnsi" w:hAnsiTheme="majorHAnsi"/>
          <w:b/>
          <w:i/>
        </w:rPr>
        <w:t>New knock</w:t>
      </w:r>
      <w:r w:rsidR="00C273E6">
        <w:rPr>
          <w:rFonts w:asciiTheme="majorHAnsi" w:hAnsiTheme="majorHAnsi"/>
          <w:b/>
          <w:i/>
        </w:rPr>
        <w:t>down samples</w:t>
      </w:r>
    </w:p>
    <w:p w14:paraId="47BE1ECD" w14:textId="5D541251" w:rsidR="007C58EA" w:rsidRDefault="007C58EA" w:rsidP="007C58EA">
      <w:pPr>
        <w:spacing w:line="360" w:lineRule="auto"/>
        <w:jc w:val="both"/>
        <w:rPr>
          <w:rFonts w:asciiTheme="majorHAnsi" w:hAnsiTheme="majorHAnsi"/>
        </w:rPr>
      </w:pPr>
      <w:r>
        <w:rPr>
          <w:rFonts w:asciiTheme="majorHAnsi" w:hAnsiTheme="majorHAnsi"/>
        </w:rPr>
        <w:t xml:space="preserve">Fresh RNA samples were produced with </w:t>
      </w:r>
      <w:r w:rsidRPr="0004704B">
        <w:rPr>
          <w:rFonts w:asciiTheme="majorHAnsi" w:hAnsiTheme="majorHAnsi"/>
          <w:i/>
        </w:rPr>
        <w:t>SRCAP</w:t>
      </w:r>
      <w:r>
        <w:rPr>
          <w:rFonts w:asciiTheme="majorHAnsi" w:hAnsiTheme="majorHAnsi"/>
        </w:rPr>
        <w:t xml:space="preserve"> </w:t>
      </w:r>
      <w:r w:rsidR="00065BC5">
        <w:rPr>
          <w:rFonts w:asciiTheme="majorHAnsi" w:hAnsiTheme="majorHAnsi"/>
        </w:rPr>
        <w:t xml:space="preserve">si6 </w:t>
      </w:r>
      <w:r>
        <w:rPr>
          <w:rFonts w:asciiTheme="majorHAnsi" w:hAnsiTheme="majorHAnsi"/>
        </w:rPr>
        <w:t xml:space="preserve">knockdown in HCT116 and SW480 cells in order to further </w:t>
      </w:r>
      <w:r w:rsidR="000C3DEE">
        <w:rPr>
          <w:rFonts w:asciiTheme="majorHAnsi" w:hAnsiTheme="majorHAnsi"/>
        </w:rPr>
        <w:t>validate</w:t>
      </w:r>
      <w:r>
        <w:rPr>
          <w:rFonts w:asciiTheme="majorHAnsi" w:hAnsiTheme="majorHAnsi"/>
        </w:rPr>
        <w:t xml:space="preserve"> the hits both in the same cell line </w:t>
      </w:r>
      <w:r w:rsidR="000C3DEE">
        <w:rPr>
          <w:rFonts w:asciiTheme="majorHAnsi" w:hAnsiTheme="majorHAnsi"/>
        </w:rPr>
        <w:t xml:space="preserve">(HCT116) </w:t>
      </w:r>
      <w:r>
        <w:rPr>
          <w:rFonts w:asciiTheme="majorHAnsi" w:hAnsiTheme="majorHAnsi"/>
        </w:rPr>
        <w:t xml:space="preserve">and whether the hits </w:t>
      </w:r>
      <w:r w:rsidR="00603787">
        <w:rPr>
          <w:rFonts w:asciiTheme="majorHAnsi" w:hAnsiTheme="majorHAnsi"/>
        </w:rPr>
        <w:t>showed</w:t>
      </w:r>
      <w:r>
        <w:rPr>
          <w:rFonts w:asciiTheme="majorHAnsi" w:hAnsiTheme="majorHAnsi"/>
        </w:rPr>
        <w:t xml:space="preserve"> </w:t>
      </w:r>
      <w:r w:rsidR="007359E5">
        <w:rPr>
          <w:rFonts w:asciiTheme="majorHAnsi" w:hAnsiTheme="majorHAnsi"/>
        </w:rPr>
        <w:t xml:space="preserve">the same expression </w:t>
      </w:r>
      <w:r w:rsidR="005468BA">
        <w:rPr>
          <w:rFonts w:asciiTheme="majorHAnsi" w:hAnsiTheme="majorHAnsi"/>
        </w:rPr>
        <w:t xml:space="preserve">patterns </w:t>
      </w:r>
      <w:r>
        <w:rPr>
          <w:rFonts w:asciiTheme="majorHAnsi" w:hAnsiTheme="majorHAnsi"/>
        </w:rPr>
        <w:t>in a different CRC cell line</w:t>
      </w:r>
      <w:r w:rsidR="000C3DEE">
        <w:rPr>
          <w:rFonts w:asciiTheme="majorHAnsi" w:hAnsiTheme="majorHAnsi"/>
        </w:rPr>
        <w:t xml:space="preserve"> (SW480)</w:t>
      </w:r>
      <w:r>
        <w:rPr>
          <w:rFonts w:asciiTheme="majorHAnsi" w:hAnsiTheme="majorHAnsi"/>
        </w:rPr>
        <w:t xml:space="preserve">. </w:t>
      </w:r>
      <w:r w:rsidR="00065BC5" w:rsidRPr="00065BC5">
        <w:rPr>
          <w:rFonts w:asciiTheme="majorHAnsi" w:hAnsiTheme="majorHAnsi"/>
          <w:i/>
        </w:rPr>
        <w:t>SRCAP</w:t>
      </w:r>
      <w:r w:rsidR="00065BC5">
        <w:rPr>
          <w:rFonts w:asciiTheme="majorHAnsi" w:hAnsiTheme="majorHAnsi"/>
        </w:rPr>
        <w:t xml:space="preserve"> expression was </w:t>
      </w:r>
      <w:r w:rsidR="000C3DEE">
        <w:rPr>
          <w:rFonts w:asciiTheme="majorHAnsi" w:hAnsiTheme="majorHAnsi"/>
        </w:rPr>
        <w:t>assessed</w:t>
      </w:r>
      <w:r w:rsidR="00065BC5">
        <w:rPr>
          <w:rFonts w:asciiTheme="majorHAnsi" w:hAnsiTheme="majorHAnsi"/>
        </w:rPr>
        <w:t xml:space="preserve"> to check that the si6 samples </w:t>
      </w:r>
      <w:r w:rsidR="000C3DEE">
        <w:rPr>
          <w:rFonts w:asciiTheme="majorHAnsi" w:hAnsiTheme="majorHAnsi"/>
        </w:rPr>
        <w:t>exhibited sufficient</w:t>
      </w:r>
      <w:r w:rsidR="002C2E2A">
        <w:rPr>
          <w:rFonts w:asciiTheme="majorHAnsi" w:hAnsiTheme="majorHAnsi"/>
        </w:rPr>
        <w:t xml:space="preserve"> knock</w:t>
      </w:r>
      <w:r w:rsidR="00065BC5">
        <w:rPr>
          <w:rFonts w:asciiTheme="majorHAnsi" w:hAnsiTheme="majorHAnsi"/>
        </w:rPr>
        <w:t>down compared to control transfected cells, which indeed was the case (</w:t>
      </w:r>
      <w:r w:rsidR="00AD528E">
        <w:rPr>
          <w:rFonts w:asciiTheme="majorHAnsi" w:hAnsiTheme="majorHAnsi"/>
        </w:rPr>
        <w:t>Figure 6.12</w:t>
      </w:r>
      <w:r w:rsidR="00065BC5">
        <w:rPr>
          <w:rFonts w:asciiTheme="majorHAnsi" w:hAnsiTheme="majorHAnsi"/>
        </w:rPr>
        <w:t xml:space="preserve">). As with the original RNA samples </w:t>
      </w:r>
      <w:r w:rsidR="00065BC5" w:rsidRPr="007B0840">
        <w:rPr>
          <w:rFonts w:asciiTheme="majorHAnsi" w:hAnsiTheme="majorHAnsi"/>
          <w:i/>
        </w:rPr>
        <w:t>PHLDA2</w:t>
      </w:r>
      <w:r w:rsidR="00065BC5">
        <w:rPr>
          <w:rFonts w:asciiTheme="majorHAnsi" w:hAnsiTheme="majorHAnsi"/>
        </w:rPr>
        <w:t xml:space="preserve"> and </w:t>
      </w:r>
      <w:r w:rsidR="00065BC5" w:rsidRPr="007B0840">
        <w:rPr>
          <w:rFonts w:asciiTheme="majorHAnsi" w:hAnsiTheme="majorHAnsi"/>
          <w:i/>
        </w:rPr>
        <w:t>ELK3</w:t>
      </w:r>
      <w:r w:rsidR="00065BC5">
        <w:rPr>
          <w:rFonts w:asciiTheme="majorHAnsi" w:hAnsiTheme="majorHAnsi"/>
        </w:rPr>
        <w:t xml:space="preserve"> showed decreases in expression levels when SRCAP was knocked down in new HCT116 cells</w:t>
      </w:r>
      <w:r w:rsidR="00FE5B22">
        <w:rPr>
          <w:rFonts w:asciiTheme="majorHAnsi" w:hAnsiTheme="majorHAnsi"/>
        </w:rPr>
        <w:t xml:space="preserve"> (Figure 6.13</w:t>
      </w:r>
      <w:r w:rsidR="007B0840">
        <w:rPr>
          <w:rFonts w:asciiTheme="majorHAnsi" w:hAnsiTheme="majorHAnsi"/>
        </w:rPr>
        <w:t>)</w:t>
      </w:r>
      <w:r w:rsidR="00065BC5">
        <w:rPr>
          <w:rFonts w:asciiTheme="majorHAnsi" w:hAnsiTheme="majorHAnsi"/>
        </w:rPr>
        <w:t xml:space="preserve">, but </w:t>
      </w:r>
      <w:r w:rsidR="00065BC5" w:rsidRPr="007B0840">
        <w:rPr>
          <w:rFonts w:asciiTheme="majorHAnsi" w:hAnsiTheme="majorHAnsi"/>
          <w:i/>
        </w:rPr>
        <w:t>HIST3H2BB</w:t>
      </w:r>
      <w:r w:rsidR="00065BC5">
        <w:rPr>
          <w:rFonts w:asciiTheme="majorHAnsi" w:hAnsiTheme="majorHAnsi"/>
        </w:rPr>
        <w:t xml:space="preserve"> did not show a conclusive pattern of expression changes even though it was picked out as highly decreased in fold change from the microarray. </w:t>
      </w:r>
      <w:r w:rsidR="007B0840">
        <w:rPr>
          <w:rFonts w:asciiTheme="majorHAnsi" w:hAnsiTheme="majorHAnsi"/>
        </w:rPr>
        <w:t xml:space="preserve">In these new samples, </w:t>
      </w:r>
      <w:r w:rsidR="007B0840" w:rsidRPr="007B0840">
        <w:rPr>
          <w:rFonts w:asciiTheme="majorHAnsi" w:hAnsiTheme="majorHAnsi"/>
          <w:i/>
        </w:rPr>
        <w:t>FGFBP1</w:t>
      </w:r>
      <w:r w:rsidR="00D34949">
        <w:rPr>
          <w:rFonts w:asciiTheme="majorHAnsi" w:hAnsiTheme="majorHAnsi"/>
        </w:rPr>
        <w:t xml:space="preserve"> also did not show over-</w:t>
      </w:r>
      <w:r w:rsidR="007B0840">
        <w:rPr>
          <w:rFonts w:asciiTheme="majorHAnsi" w:hAnsiTheme="majorHAnsi"/>
        </w:rPr>
        <w:t xml:space="preserve">expression to any conclusive degree when SRCAP was knocked down. </w:t>
      </w:r>
    </w:p>
    <w:p w14:paraId="169E0F8D" w14:textId="77777777" w:rsidR="007B0840" w:rsidRDefault="007B0840" w:rsidP="007C58EA">
      <w:pPr>
        <w:spacing w:line="360" w:lineRule="auto"/>
        <w:jc w:val="both"/>
        <w:rPr>
          <w:rFonts w:asciiTheme="majorHAnsi" w:hAnsiTheme="majorHAnsi"/>
        </w:rPr>
      </w:pPr>
    </w:p>
    <w:p w14:paraId="0843B80C" w14:textId="7063FA03" w:rsidR="00AD528E" w:rsidRDefault="0081505A">
      <w:pPr>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264448" behindDoc="0" locked="0" layoutInCell="1" allowOverlap="1" wp14:anchorId="1F239A68" wp14:editId="6B2B3D74">
                <wp:simplePos x="0" y="0"/>
                <wp:positionH relativeFrom="column">
                  <wp:posOffset>114300</wp:posOffset>
                </wp:positionH>
                <wp:positionV relativeFrom="paragraph">
                  <wp:posOffset>2887345</wp:posOffset>
                </wp:positionV>
                <wp:extent cx="5257800" cy="1257300"/>
                <wp:effectExtent l="0" t="0" r="0" b="12700"/>
                <wp:wrapSquare wrapText="bothSides"/>
                <wp:docPr id="190" name="Text Box 190"/>
                <wp:cNvGraphicFramePr/>
                <a:graphic xmlns:a="http://schemas.openxmlformats.org/drawingml/2006/main">
                  <a:graphicData uri="http://schemas.microsoft.com/office/word/2010/wordprocessingShape">
                    <wps:wsp>
                      <wps:cNvSpPr txBox="1"/>
                      <wps:spPr>
                        <a:xfrm>
                          <a:off x="0" y="0"/>
                          <a:ext cx="52578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1132D8" w14:textId="5DEE4F14" w:rsidR="00E82D3B" w:rsidRPr="00AD528E" w:rsidRDefault="00E82D3B" w:rsidP="00AD528E">
                            <w:pPr>
                              <w:jc w:val="both"/>
                              <w:rPr>
                                <w:b/>
                                <w:i/>
                                <w:sz w:val="22"/>
                                <w:szCs w:val="22"/>
                              </w:rPr>
                            </w:pPr>
                            <w:proofErr w:type="gramStart"/>
                            <w:r w:rsidRPr="00AD528E">
                              <w:rPr>
                                <w:b/>
                                <w:i/>
                                <w:sz w:val="22"/>
                                <w:szCs w:val="22"/>
                              </w:rPr>
                              <w:t>Figure 6.12 Evaluation of knockdown of SRCAP on new cell samples.</w:t>
                            </w:r>
                            <w:proofErr w:type="gramEnd"/>
                          </w:p>
                          <w:p w14:paraId="302A32DF" w14:textId="3258DF98" w:rsidR="00E82D3B" w:rsidRPr="00AD528E" w:rsidRDefault="00E82D3B" w:rsidP="00AD528E">
                            <w:pPr>
                              <w:jc w:val="both"/>
                              <w:rPr>
                                <w:i/>
                                <w:sz w:val="22"/>
                                <w:szCs w:val="22"/>
                              </w:rPr>
                            </w:pPr>
                            <w:r w:rsidRPr="00AD528E">
                              <w:rPr>
                                <w:i/>
                                <w:sz w:val="22"/>
                                <w:szCs w:val="22"/>
                              </w:rPr>
                              <w:t>HCT116 and SW480 cells were transfected with si6 or control siRNA in three separate experiments</w:t>
                            </w:r>
                            <w:r>
                              <w:rPr>
                                <w:i/>
                                <w:sz w:val="22"/>
                                <w:szCs w:val="22"/>
                              </w:rPr>
                              <w:t xml:space="preserve"> as the protocol in the methods section states</w:t>
                            </w:r>
                            <w:r w:rsidRPr="00AD528E">
                              <w:rPr>
                                <w:i/>
                                <w:sz w:val="22"/>
                                <w:szCs w:val="22"/>
                              </w:rPr>
                              <w:t>, the RNA extracted and SRCAP expression levels assessed</w:t>
                            </w:r>
                            <w:r>
                              <w:rPr>
                                <w:i/>
                                <w:sz w:val="22"/>
                                <w:szCs w:val="22"/>
                              </w:rPr>
                              <w:t xml:space="preserve"> by Taqman PCR. The above graphs show the mean and positive and negative error </w:t>
                            </w:r>
                            <w:proofErr w:type="gramStart"/>
                            <w:r>
                              <w:rPr>
                                <w:i/>
                                <w:sz w:val="22"/>
                                <w:szCs w:val="22"/>
                              </w:rPr>
                              <w:t>bars for three internal repeats</w:t>
                            </w:r>
                            <w:proofErr w:type="gramEnd"/>
                            <w:r>
                              <w:rPr>
                                <w:i/>
                                <w:sz w:val="22"/>
                                <w:szCs w:val="22"/>
                              </w:rPr>
                              <w:t xml:space="preserve"> of one experiment. Knockdown of SRCAP with si6 showed a decreased SRCAP relative mRNA expression compared to control transfected cells.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o:spid="_x0000_s1198" type="#_x0000_t202" style="position:absolute;margin-left:9pt;margin-top:227.35pt;width:414pt;height:99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" filled="f" stroked="f">
                <v:textbox>
                  <w:txbxContent>
                    <w:p w14:paraId="781132D8" w14:textId="5DEE4F14" w:rsidR="000A1E0D" w:rsidRPr="00AD528E" w:rsidRDefault="000A1E0D" w:rsidP="00AD528E">
                      <w:pPr>
                        <w:jc w:val="both"/>
                        <w:rPr>
                          <w:b/>
                          <w:i/>
                          <w:sz w:val="22"/>
                          <w:szCs w:val="22"/>
                        </w:rPr>
                      </w:pPr>
                      <w:proofErr w:type="gramStart"/>
                      <w:r w:rsidRPr="00AD528E">
                        <w:rPr>
                          <w:b/>
                          <w:i/>
                          <w:sz w:val="22"/>
                          <w:szCs w:val="22"/>
                        </w:rPr>
                        <w:t>Figure 6.12 Evaluation of knockdown of SRCAP on new cell samples.</w:t>
                      </w:r>
                      <w:proofErr w:type="gramEnd"/>
                    </w:p>
                    <w:p w14:paraId="302A32DF" w14:textId="3258DF98" w:rsidR="000A1E0D" w:rsidRPr="00AD528E" w:rsidRDefault="000A1E0D" w:rsidP="00AD528E">
                      <w:pPr>
                        <w:jc w:val="both"/>
                        <w:rPr>
                          <w:i/>
                          <w:sz w:val="22"/>
                          <w:szCs w:val="22"/>
                        </w:rPr>
                      </w:pPr>
                      <w:r w:rsidRPr="00AD528E">
                        <w:rPr>
                          <w:i/>
                          <w:sz w:val="22"/>
                          <w:szCs w:val="22"/>
                        </w:rPr>
                        <w:t>HCT116 and SW480 cells were transfected with si6 or control siRNA in three separate experiments</w:t>
                      </w:r>
                      <w:r>
                        <w:rPr>
                          <w:i/>
                          <w:sz w:val="22"/>
                          <w:szCs w:val="22"/>
                        </w:rPr>
                        <w:t xml:space="preserve"> as the protocol in the methods section states</w:t>
                      </w:r>
                      <w:r w:rsidRPr="00AD528E">
                        <w:rPr>
                          <w:i/>
                          <w:sz w:val="22"/>
                          <w:szCs w:val="22"/>
                        </w:rPr>
                        <w:t>, the RNA extracted and SRCAP expression levels assessed</w:t>
                      </w:r>
                      <w:r>
                        <w:rPr>
                          <w:i/>
                          <w:sz w:val="22"/>
                          <w:szCs w:val="22"/>
                        </w:rPr>
                        <w:t xml:space="preserve"> by Taqman PCR. The above graphs show the mean and positive and negative error </w:t>
                      </w:r>
                      <w:proofErr w:type="gramStart"/>
                      <w:r>
                        <w:rPr>
                          <w:i/>
                          <w:sz w:val="22"/>
                          <w:szCs w:val="22"/>
                        </w:rPr>
                        <w:t>bars for three internal repeats</w:t>
                      </w:r>
                      <w:proofErr w:type="gramEnd"/>
                      <w:r>
                        <w:rPr>
                          <w:i/>
                          <w:sz w:val="22"/>
                          <w:szCs w:val="22"/>
                        </w:rPr>
                        <w:t xml:space="preserve"> of one experiment. Knockdown of SRCAP with si6 showed a decreased SRCAP relative mRNA expression compared to control transfected cells. </w:t>
                      </w:r>
                    </w:p>
                  </w:txbxContent>
                </v:textbox>
                <w10:wrap type="square"/>
              </v:shape>
            </w:pict>
          </mc:Fallback>
        </mc:AlternateContent>
      </w:r>
      <w:r>
        <w:rPr>
          <w:rFonts w:asciiTheme="majorHAnsi" w:hAnsiTheme="majorHAnsi"/>
          <w:noProof/>
          <w:lang w:val="en-US"/>
        </w:rPr>
        <w:drawing>
          <wp:anchor distT="0" distB="0" distL="114300" distR="114300" simplePos="0" relativeHeight="252263424" behindDoc="0" locked="0" layoutInCell="1" allowOverlap="1" wp14:anchorId="5E6D5361" wp14:editId="467B3B40">
            <wp:simplePos x="0" y="0"/>
            <wp:positionH relativeFrom="column">
              <wp:posOffset>0</wp:posOffset>
            </wp:positionH>
            <wp:positionV relativeFrom="paragraph">
              <wp:posOffset>144145</wp:posOffset>
            </wp:positionV>
            <wp:extent cx="5462905" cy="2743200"/>
            <wp:effectExtent l="0" t="0" r="0" b="0"/>
            <wp:wrapSquare wrapText="bothSides"/>
            <wp:docPr id="189" name="Picture 189" descr="Macintosh HD:Users:ClairFellows:Desktop:Screen Shot 2018-04-04 at 14.1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lairFellows:Desktop:Screen Shot 2018-04-04 at 14.17.07.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6290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139C">
        <w:rPr>
          <w:rFonts w:asciiTheme="majorHAnsi" w:hAnsiTheme="majorHAnsi"/>
        </w:rPr>
        <w:br w:type="page"/>
      </w:r>
    </w:p>
    <w:p w14:paraId="5AFDD686" w14:textId="11CA8629" w:rsidR="002D139C" w:rsidRDefault="00CB4B35">
      <w:pPr>
        <w:rPr>
          <w:rFonts w:asciiTheme="majorHAnsi" w:hAnsiTheme="majorHAnsi"/>
        </w:rPr>
      </w:pPr>
      <w:r>
        <w:rPr>
          <w:rFonts w:asciiTheme="majorHAnsi" w:hAnsiTheme="majorHAnsi"/>
          <w:noProof/>
          <w:lang w:val="en-US"/>
        </w:rPr>
        <w:drawing>
          <wp:anchor distT="0" distB="0" distL="114300" distR="114300" simplePos="0" relativeHeight="252261376" behindDoc="0" locked="0" layoutInCell="1" allowOverlap="1" wp14:anchorId="7C8BFEE3" wp14:editId="00CE70CE">
            <wp:simplePos x="0" y="0"/>
            <wp:positionH relativeFrom="column">
              <wp:posOffset>114300</wp:posOffset>
            </wp:positionH>
            <wp:positionV relativeFrom="paragraph">
              <wp:posOffset>0</wp:posOffset>
            </wp:positionV>
            <wp:extent cx="5328920" cy="6629400"/>
            <wp:effectExtent l="0" t="0" r="5080" b="0"/>
            <wp:wrapSquare wrapText="bothSides"/>
            <wp:docPr id="154" name="Picture 154" descr="Macintosh HD:Users:ClairFellows:Desktop:Screen Shot 2018-04-04 at 14.0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lairFellows:Desktop:Screen Shot 2018-04-04 at 14.07.20.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28920" cy="662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87B20">
        <w:rPr>
          <w:rFonts w:asciiTheme="majorHAnsi" w:hAnsiTheme="majorHAnsi"/>
          <w:noProof/>
          <w:lang w:val="en-US"/>
        </w:rPr>
        <mc:AlternateContent>
          <mc:Choice Requires="wps">
            <w:drawing>
              <wp:anchor distT="0" distB="0" distL="114300" distR="114300" simplePos="0" relativeHeight="252164096" behindDoc="0" locked="0" layoutInCell="1" allowOverlap="1" wp14:anchorId="59039411" wp14:editId="042A1537">
                <wp:simplePos x="0" y="0"/>
                <wp:positionH relativeFrom="column">
                  <wp:posOffset>0</wp:posOffset>
                </wp:positionH>
                <wp:positionV relativeFrom="paragraph">
                  <wp:posOffset>6743700</wp:posOffset>
                </wp:positionV>
                <wp:extent cx="5600700" cy="1600200"/>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56007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B2450C" w14:textId="633DD8F4" w:rsidR="00E82D3B" w:rsidRDefault="00E82D3B" w:rsidP="0049529F">
                            <w:pPr>
                              <w:jc w:val="both"/>
                              <w:rPr>
                                <w:b/>
                                <w:i/>
                                <w:sz w:val="22"/>
                              </w:rPr>
                            </w:pPr>
                            <w:r w:rsidRPr="00787B20">
                              <w:rPr>
                                <w:b/>
                                <w:i/>
                                <w:sz w:val="22"/>
                              </w:rPr>
                              <w:t>F</w:t>
                            </w:r>
                            <w:r>
                              <w:rPr>
                                <w:b/>
                                <w:i/>
                                <w:sz w:val="22"/>
                              </w:rPr>
                              <w:t>igure 6.13 Validation of hits in HCT116 SRCAP knockdown cells with new RNA samples shows comparative results</w:t>
                            </w:r>
                          </w:p>
                          <w:p w14:paraId="6B3A7E75" w14:textId="7053B215" w:rsidR="00E82D3B" w:rsidRPr="00787B20" w:rsidRDefault="00E82D3B" w:rsidP="0049529F">
                            <w:pPr>
                              <w:jc w:val="both"/>
                              <w:rPr>
                                <w:i/>
                                <w:sz w:val="22"/>
                              </w:rPr>
                            </w:pPr>
                            <w:r>
                              <w:rPr>
                                <w:i/>
                                <w:sz w:val="22"/>
                              </w:rPr>
                              <w:t xml:space="preserve">New RNA samples were produced through knockdown of SRCAP in HCT116 cells using si6 transfection for 48hrs. The expression of the four hits from the knockdown microarrays was conducted via Taqman PCR and the above graphs show the mean and positive and negative error </w:t>
                            </w:r>
                            <w:proofErr w:type="gramStart"/>
                            <w:r>
                              <w:rPr>
                                <w:i/>
                                <w:sz w:val="22"/>
                              </w:rPr>
                              <w:t>bars for three internal repeats</w:t>
                            </w:r>
                            <w:proofErr w:type="gramEnd"/>
                            <w:r>
                              <w:rPr>
                                <w:i/>
                                <w:sz w:val="22"/>
                              </w:rPr>
                              <w:t xml:space="preserve"> of one experiment. In the new samples PHLDA2 and ELK3 show comparable results to figure 6.11a, however HIST3H2BB and FGFBP1 do not follow a set pattern of expression.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199" type="#_x0000_t202" style="position:absolute;margin-left:0;margin-top:531pt;width:441pt;height:126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" filled="f" stroked="f">
                <v:textbox>
                  <w:txbxContent>
                    <w:p w14:paraId="2AB2450C" w14:textId="633DD8F4" w:rsidR="000A1E0D" w:rsidRDefault="000A1E0D" w:rsidP="0049529F">
                      <w:pPr>
                        <w:jc w:val="both"/>
                        <w:rPr>
                          <w:b/>
                          <w:i/>
                          <w:sz w:val="22"/>
                        </w:rPr>
                      </w:pPr>
                      <w:r w:rsidRPr="00787B20">
                        <w:rPr>
                          <w:b/>
                          <w:i/>
                          <w:sz w:val="22"/>
                        </w:rPr>
                        <w:t>F</w:t>
                      </w:r>
                      <w:r>
                        <w:rPr>
                          <w:b/>
                          <w:i/>
                          <w:sz w:val="22"/>
                        </w:rPr>
                        <w:t>igure 6.13 Validation of hits in HCT116 SRCAP knockdown cells with new RNA samples shows comparative results</w:t>
                      </w:r>
                    </w:p>
                    <w:p w14:paraId="6B3A7E75" w14:textId="7053B215" w:rsidR="000A1E0D" w:rsidRPr="00787B20" w:rsidRDefault="000A1E0D" w:rsidP="0049529F">
                      <w:pPr>
                        <w:jc w:val="both"/>
                        <w:rPr>
                          <w:i/>
                          <w:sz w:val="22"/>
                        </w:rPr>
                      </w:pPr>
                      <w:r>
                        <w:rPr>
                          <w:i/>
                          <w:sz w:val="22"/>
                        </w:rPr>
                        <w:t xml:space="preserve">New RNA samples were produced through knockdown of SRCAP in HCT116 cells using si6 transfection for 48hrs. The expression of the four hits from the knockdown microarrays was conducted via Taqman PCR and the above graphs show the mean and positive and negative error </w:t>
                      </w:r>
                      <w:proofErr w:type="gramStart"/>
                      <w:r>
                        <w:rPr>
                          <w:i/>
                          <w:sz w:val="22"/>
                        </w:rPr>
                        <w:t>bars for three internal repeats</w:t>
                      </w:r>
                      <w:proofErr w:type="gramEnd"/>
                      <w:r>
                        <w:rPr>
                          <w:i/>
                          <w:sz w:val="22"/>
                        </w:rPr>
                        <w:t xml:space="preserve"> of one experiment. In the new samples PHLDA2 and ELK3 show comparable results to figure 6.11a, however HIST3H2BB and FGFBP1 do not follow a set pattern of expression.</w:t>
                      </w:r>
                    </w:p>
                  </w:txbxContent>
                </v:textbox>
                <w10:wrap type="square"/>
              </v:shape>
            </w:pict>
          </mc:Fallback>
        </mc:AlternateContent>
      </w:r>
      <w:r w:rsidR="002D139C">
        <w:rPr>
          <w:rFonts w:asciiTheme="majorHAnsi" w:hAnsiTheme="majorHAnsi"/>
        </w:rPr>
        <w:br w:type="page"/>
      </w:r>
    </w:p>
    <w:p w14:paraId="2048C342" w14:textId="77777777" w:rsidR="0081505A" w:rsidRDefault="0081505A" w:rsidP="0081505A">
      <w:pPr>
        <w:spacing w:line="360" w:lineRule="auto"/>
        <w:jc w:val="both"/>
        <w:rPr>
          <w:rFonts w:asciiTheme="majorHAnsi" w:hAnsiTheme="majorHAnsi"/>
        </w:rPr>
      </w:pPr>
      <w:r>
        <w:rPr>
          <w:rFonts w:asciiTheme="majorHAnsi" w:hAnsiTheme="majorHAnsi"/>
        </w:rPr>
        <w:t xml:space="preserve">In the SW480 cells </w:t>
      </w:r>
      <w:r w:rsidRPr="005349E2">
        <w:rPr>
          <w:rFonts w:asciiTheme="majorHAnsi" w:hAnsiTheme="majorHAnsi"/>
          <w:i/>
        </w:rPr>
        <w:t>PHLDA2</w:t>
      </w:r>
      <w:r>
        <w:rPr>
          <w:rFonts w:asciiTheme="majorHAnsi" w:hAnsiTheme="majorHAnsi"/>
        </w:rPr>
        <w:t xml:space="preserve"> and </w:t>
      </w:r>
      <w:r w:rsidRPr="005349E2">
        <w:rPr>
          <w:rFonts w:asciiTheme="majorHAnsi" w:hAnsiTheme="majorHAnsi"/>
          <w:i/>
        </w:rPr>
        <w:t>ELK3</w:t>
      </w:r>
      <w:r>
        <w:rPr>
          <w:rFonts w:asciiTheme="majorHAnsi" w:hAnsiTheme="majorHAnsi"/>
        </w:rPr>
        <w:t xml:space="preserve"> were again decreased in expression when SRCAP was knocked down (Figure 6.14), however not to the same extent as in HCT116 cells, possibly indicating that the knockdown of </w:t>
      </w:r>
      <w:r w:rsidRPr="005349E2">
        <w:rPr>
          <w:rFonts w:asciiTheme="majorHAnsi" w:hAnsiTheme="majorHAnsi"/>
          <w:i/>
        </w:rPr>
        <w:t>SRCAP</w:t>
      </w:r>
      <w:r>
        <w:rPr>
          <w:rFonts w:asciiTheme="majorHAnsi" w:hAnsiTheme="majorHAnsi"/>
        </w:rPr>
        <w:t xml:space="preserve"> in SW480 cells has a lesser negative effect on the transcription of these genes. Consistent with the work in HCT116 cells, </w:t>
      </w:r>
      <w:r w:rsidRPr="005349E2">
        <w:rPr>
          <w:rFonts w:asciiTheme="majorHAnsi" w:hAnsiTheme="majorHAnsi"/>
          <w:i/>
        </w:rPr>
        <w:t>HIST3H2BB</w:t>
      </w:r>
      <w:r>
        <w:rPr>
          <w:rFonts w:asciiTheme="majorHAnsi" w:hAnsiTheme="majorHAnsi"/>
        </w:rPr>
        <w:t xml:space="preserve"> did not show a constant pattern of expression levels between the three repeats, thus leading to the conclusion that this may have been a false positive hit from the microarray. </w:t>
      </w:r>
      <w:r w:rsidRPr="00270169">
        <w:rPr>
          <w:rFonts w:asciiTheme="majorHAnsi" w:hAnsiTheme="majorHAnsi"/>
          <w:i/>
        </w:rPr>
        <w:t>FGFBP1</w:t>
      </w:r>
      <w:r>
        <w:rPr>
          <w:rFonts w:asciiTheme="majorHAnsi" w:hAnsiTheme="majorHAnsi"/>
        </w:rPr>
        <w:t xml:space="preserve"> did show over-expression in each of the three repeats conducted in SW480 cells, however the actual expression levels in the control samples were very variable between the repeats, much like what was seen in the original samples in Figure 6.11. Again the fold changes are shown in Figure 6.15 from these validation tests in HCT116 and SW480 cells and the microarray comparisons. Again ELK3 and PHLDA2 show a similar trend but the absolute fold changes were not as large as in the original microarray dataset.</w:t>
      </w:r>
    </w:p>
    <w:p w14:paraId="22777DAA" w14:textId="77777777" w:rsidR="0081505A" w:rsidRDefault="0081505A" w:rsidP="0081505A">
      <w:pPr>
        <w:spacing w:line="360" w:lineRule="auto"/>
        <w:jc w:val="both"/>
        <w:rPr>
          <w:rFonts w:asciiTheme="majorHAnsi" w:hAnsiTheme="majorHAnsi"/>
        </w:rPr>
      </w:pPr>
    </w:p>
    <w:p w14:paraId="5E373F26" w14:textId="68E7249F" w:rsidR="002D139C" w:rsidRDefault="002D139C">
      <w:pPr>
        <w:rPr>
          <w:rFonts w:asciiTheme="majorHAnsi" w:hAnsiTheme="majorHAnsi"/>
        </w:rPr>
      </w:pPr>
      <w:r>
        <w:rPr>
          <w:rFonts w:asciiTheme="majorHAnsi" w:hAnsiTheme="majorHAnsi"/>
        </w:rPr>
        <w:br w:type="page"/>
      </w:r>
    </w:p>
    <w:p w14:paraId="1B5F2F72" w14:textId="121331F5" w:rsidR="0081505A" w:rsidRDefault="0081505A" w:rsidP="009430B6">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165120" behindDoc="0" locked="0" layoutInCell="1" allowOverlap="1" wp14:anchorId="4814A445" wp14:editId="05704259">
                <wp:simplePos x="0" y="0"/>
                <wp:positionH relativeFrom="column">
                  <wp:posOffset>-342900</wp:posOffset>
                </wp:positionH>
                <wp:positionV relativeFrom="paragraph">
                  <wp:posOffset>7200900</wp:posOffset>
                </wp:positionV>
                <wp:extent cx="5829300" cy="1257300"/>
                <wp:effectExtent l="0" t="0" r="0" b="12700"/>
                <wp:wrapSquare wrapText="bothSides"/>
                <wp:docPr id="275" name="Text Box 275"/>
                <wp:cNvGraphicFramePr/>
                <a:graphic xmlns:a="http://schemas.openxmlformats.org/drawingml/2006/main">
                  <a:graphicData uri="http://schemas.microsoft.com/office/word/2010/wordprocessingShape">
                    <wps:wsp>
                      <wps:cNvSpPr txBox="1"/>
                      <wps:spPr>
                        <a:xfrm>
                          <a:off x="0" y="0"/>
                          <a:ext cx="5829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439D98" w14:textId="11B22DDF" w:rsidR="00E82D3B" w:rsidRDefault="00E82D3B" w:rsidP="0049529F">
                            <w:pPr>
                              <w:jc w:val="both"/>
                              <w:rPr>
                                <w:b/>
                                <w:i/>
                                <w:sz w:val="22"/>
                              </w:rPr>
                            </w:pPr>
                            <w:r w:rsidRPr="00787B20">
                              <w:rPr>
                                <w:b/>
                                <w:i/>
                                <w:sz w:val="22"/>
                              </w:rPr>
                              <w:t>F</w:t>
                            </w:r>
                            <w:r>
                              <w:rPr>
                                <w:b/>
                                <w:i/>
                                <w:sz w:val="22"/>
                              </w:rPr>
                              <w:t>igure 6.14 Validation of hits in SW480 SRCAP knockdown cells in another CRC cell line also shows comparable results.</w:t>
                            </w:r>
                          </w:p>
                          <w:p w14:paraId="79B8AB44" w14:textId="69EF9138" w:rsidR="00E82D3B" w:rsidRPr="0049529F" w:rsidRDefault="00E82D3B" w:rsidP="0049529F">
                            <w:pPr>
                              <w:jc w:val="both"/>
                              <w:rPr>
                                <w:i/>
                                <w:sz w:val="22"/>
                              </w:rPr>
                            </w:pPr>
                            <w:r w:rsidRPr="0049529F">
                              <w:rPr>
                                <w:i/>
                                <w:sz w:val="22"/>
                              </w:rPr>
                              <w:t>SW480 cells were transfected with si6 for 48hrs and then lysed to extract RNA</w:t>
                            </w:r>
                            <w:r>
                              <w:rPr>
                                <w:i/>
                                <w:sz w:val="22"/>
                              </w:rPr>
                              <w:t xml:space="preserve">. These samples were also tested for expression of the knockdown hits that came out of the microarray. Again PHLDA2 and ELK3 show comparable results to Figures 6.11a and 6.12, however with less decrease in expression than was seen in HCT116 cells. Each graph shows the mean and positive and negative error bars from three internal repeats of one experiment.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75" o:spid="_x0000_s1200" type="#_x0000_t202" style="position:absolute;left:0;text-align:left;margin-left:-26.95pt;margin-top:567pt;width:459pt;height:99pt;z-index:25216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bfwdUCAAAcBgAADgAAAGRycy9lMm9Eb2MueG1srFRNb9swDL0P2H8QdE9tZ06T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" filled="f" stroked="f">
                <v:textbox>
                  <w:txbxContent>
                    <w:p w14:paraId="1B439D98" w14:textId="11B22DDF" w:rsidR="000A1E0D" w:rsidRDefault="000A1E0D" w:rsidP="0049529F">
                      <w:pPr>
                        <w:jc w:val="both"/>
                        <w:rPr>
                          <w:b/>
                          <w:i/>
                          <w:sz w:val="22"/>
                        </w:rPr>
                      </w:pPr>
                      <w:r w:rsidRPr="00787B20">
                        <w:rPr>
                          <w:b/>
                          <w:i/>
                          <w:sz w:val="22"/>
                        </w:rPr>
                        <w:t>F</w:t>
                      </w:r>
                      <w:r>
                        <w:rPr>
                          <w:b/>
                          <w:i/>
                          <w:sz w:val="22"/>
                        </w:rPr>
                        <w:t>igure 6.14 Validation of hits in SW480 SRCAP knockdown cells in another CRC cell line also shows comparable results.</w:t>
                      </w:r>
                    </w:p>
                    <w:p w14:paraId="79B8AB44" w14:textId="69EF9138" w:rsidR="000A1E0D" w:rsidRPr="0049529F" w:rsidRDefault="000A1E0D" w:rsidP="0049529F">
                      <w:pPr>
                        <w:jc w:val="both"/>
                        <w:rPr>
                          <w:i/>
                          <w:sz w:val="22"/>
                        </w:rPr>
                      </w:pPr>
                      <w:r w:rsidRPr="0049529F">
                        <w:rPr>
                          <w:i/>
                          <w:sz w:val="22"/>
                        </w:rPr>
                        <w:t>SW480 cells were transfected with si6 for 48hrs and then lysed to extract RNA</w:t>
                      </w:r>
                      <w:r>
                        <w:rPr>
                          <w:i/>
                          <w:sz w:val="22"/>
                        </w:rPr>
                        <w:t xml:space="preserve">. These samples were also tested for expression of the knockdown hits that came out of the microarray. Again PHLDA2 and ELK3 show comparable results to Figures 6.11a and 6.12, however with less decrease in expression than was seen in HCT116 cells. Each graph shows the mean and positive and negative error bars from three internal repeats of one experiment. </w:t>
                      </w:r>
                    </w:p>
                  </w:txbxContent>
                </v:textbox>
                <w10:wrap type="square"/>
              </v:shape>
            </w:pict>
          </mc:Fallback>
        </mc:AlternateContent>
      </w:r>
      <w:r>
        <w:rPr>
          <w:rFonts w:asciiTheme="majorHAnsi" w:hAnsiTheme="majorHAnsi"/>
          <w:noProof/>
          <w:lang w:val="en-US"/>
        </w:rPr>
        <w:drawing>
          <wp:anchor distT="0" distB="0" distL="114300" distR="114300" simplePos="0" relativeHeight="252262400" behindDoc="0" locked="0" layoutInCell="1" allowOverlap="1" wp14:anchorId="62F432D7" wp14:editId="67F1D6B4">
            <wp:simplePos x="0" y="0"/>
            <wp:positionH relativeFrom="column">
              <wp:posOffset>114300</wp:posOffset>
            </wp:positionH>
            <wp:positionV relativeFrom="paragraph">
              <wp:posOffset>-86360</wp:posOffset>
            </wp:positionV>
            <wp:extent cx="5029200" cy="7072630"/>
            <wp:effectExtent l="0" t="0" r="0" b="0"/>
            <wp:wrapSquare wrapText="bothSides"/>
            <wp:docPr id="180" name="Picture 180" descr="Macintosh HD:Users:ClairFellows:Desktop:Screen Shot 2018-04-04 at 14.0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lairFellows:Desktop:Screen Shot 2018-04-04 at 14.09.26.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29200" cy="7072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76D8C8" w14:textId="77777777" w:rsidR="009430B6" w:rsidRDefault="009430B6" w:rsidP="009430B6">
      <w:pPr>
        <w:spacing w:line="360" w:lineRule="auto"/>
        <w:jc w:val="both"/>
        <w:rPr>
          <w:rFonts w:asciiTheme="majorHAnsi" w:hAnsiTheme="majorHAnsi"/>
        </w:rPr>
      </w:pPr>
    </w:p>
    <w:p w14:paraId="2DABE256" w14:textId="77777777" w:rsidR="009430B6" w:rsidRDefault="009430B6" w:rsidP="009430B6">
      <w:pPr>
        <w:spacing w:line="360" w:lineRule="auto"/>
        <w:jc w:val="both"/>
        <w:rPr>
          <w:rFonts w:asciiTheme="majorHAnsi" w:hAnsiTheme="majorHAnsi"/>
        </w:rPr>
      </w:pPr>
    </w:p>
    <w:tbl>
      <w:tblPr>
        <w:tblStyle w:val="LightList"/>
        <w:tblpPr w:leftFromText="180" w:rightFromText="180" w:vertAnchor="page" w:horzAnchor="page" w:tblpX="3097" w:tblpY="1441"/>
        <w:tblW w:w="7017" w:type="dxa"/>
        <w:tblLayout w:type="fixed"/>
        <w:tblLook w:val="04A0" w:firstRow="1" w:lastRow="0" w:firstColumn="1" w:lastColumn="0" w:noHBand="0" w:noVBand="1"/>
      </w:tblPr>
      <w:tblGrid>
        <w:gridCol w:w="1596"/>
        <w:gridCol w:w="1807"/>
        <w:gridCol w:w="1807"/>
        <w:gridCol w:w="1807"/>
      </w:tblGrid>
      <w:tr w:rsidR="0081505A" w:rsidRPr="00E44F44" w14:paraId="5738EC68" w14:textId="77777777" w:rsidTr="0081505A">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noWrap/>
            <w:hideMark/>
          </w:tcPr>
          <w:p w14:paraId="57D6CA05" w14:textId="77777777" w:rsidR="0081505A" w:rsidRPr="00E44F44" w:rsidRDefault="0081505A" w:rsidP="0081505A">
            <w:pPr>
              <w:rPr>
                <w:rFonts w:ascii="Geneva" w:eastAsia="Times New Roman" w:hAnsi="Geneva" w:cs="Times New Roman"/>
                <w:b w:val="0"/>
                <w:bCs w:val="0"/>
                <w:sz w:val="18"/>
                <w:szCs w:val="18"/>
              </w:rPr>
            </w:pPr>
            <w:r w:rsidRPr="00E44F44">
              <w:rPr>
                <w:rFonts w:ascii="Geneva" w:eastAsia="Times New Roman" w:hAnsi="Geneva" w:cs="Times New Roman"/>
                <w:b w:val="0"/>
                <w:bCs w:val="0"/>
                <w:sz w:val="18"/>
                <w:szCs w:val="18"/>
              </w:rPr>
              <w:t>HCT116</w:t>
            </w:r>
          </w:p>
        </w:tc>
        <w:tc>
          <w:tcPr>
            <w:tcW w:w="1807" w:type="dxa"/>
            <w:noWrap/>
            <w:hideMark/>
          </w:tcPr>
          <w:p w14:paraId="661109E4" w14:textId="77777777" w:rsidR="0081505A" w:rsidRPr="00E44F44" w:rsidRDefault="0081505A" w:rsidP="0081505A">
            <w:pPr>
              <w:jc w:val="cente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36B55522" w14:textId="77777777" w:rsidR="0081505A" w:rsidRPr="00E44F44" w:rsidRDefault="0081505A" w:rsidP="0081505A">
            <w:pPr>
              <w:jc w:val="cente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658FC301" w14:textId="77777777" w:rsidR="0081505A" w:rsidRPr="00E44F44" w:rsidRDefault="0081505A" w:rsidP="0081505A">
            <w:pPr>
              <w:jc w:val="cente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81505A" w:rsidRPr="00E44F44" w14:paraId="5D6956AB" w14:textId="77777777" w:rsidTr="0081505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3DD232F7" w14:textId="77777777" w:rsidR="0081505A" w:rsidRPr="00E44F44" w:rsidRDefault="0081505A" w:rsidP="0081505A">
            <w:pPr>
              <w:rPr>
                <w:rFonts w:ascii="Geneva" w:eastAsia="Times New Roman" w:hAnsi="Geneva" w:cs="Times New Roman"/>
                <w:sz w:val="18"/>
                <w:szCs w:val="18"/>
              </w:rPr>
            </w:pPr>
          </w:p>
        </w:tc>
        <w:tc>
          <w:tcPr>
            <w:tcW w:w="1807" w:type="dxa"/>
            <w:noWrap/>
            <w:hideMark/>
          </w:tcPr>
          <w:p w14:paraId="43F9F7C2" w14:textId="77777777" w:rsidR="0081505A" w:rsidRPr="00E44F44" w:rsidRDefault="0081505A" w:rsidP="0081505A">
            <w:pPr>
              <w:jc w:val="cente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1</w:t>
            </w:r>
          </w:p>
        </w:tc>
        <w:tc>
          <w:tcPr>
            <w:tcW w:w="1807" w:type="dxa"/>
            <w:noWrap/>
            <w:hideMark/>
          </w:tcPr>
          <w:p w14:paraId="67A2B8FF" w14:textId="77777777" w:rsidR="0081505A" w:rsidRPr="00E44F44" w:rsidRDefault="0081505A" w:rsidP="0081505A">
            <w:pPr>
              <w:jc w:val="cente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2</w:t>
            </w:r>
          </w:p>
        </w:tc>
        <w:tc>
          <w:tcPr>
            <w:tcW w:w="1807" w:type="dxa"/>
            <w:noWrap/>
            <w:hideMark/>
          </w:tcPr>
          <w:p w14:paraId="68A00193" w14:textId="77777777" w:rsidR="0081505A" w:rsidRPr="00E44F44" w:rsidRDefault="0081505A" w:rsidP="0081505A">
            <w:pPr>
              <w:jc w:val="cente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3</w:t>
            </w:r>
          </w:p>
        </w:tc>
      </w:tr>
      <w:tr w:rsidR="0081505A" w:rsidRPr="00E44F44" w14:paraId="5FE30FA4" w14:textId="77777777" w:rsidTr="0081505A">
        <w:trPr>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2D2EB809"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FGFBP1</w:t>
            </w:r>
          </w:p>
        </w:tc>
        <w:tc>
          <w:tcPr>
            <w:tcW w:w="1807" w:type="dxa"/>
            <w:noWrap/>
            <w:hideMark/>
          </w:tcPr>
          <w:p w14:paraId="745709E8"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4A2404EA" w14:textId="77777777" w:rsidR="0081505A" w:rsidRPr="00E44F44" w:rsidRDefault="0081505A" w:rsidP="0081505A">
            <w:pPr>
              <w:jc w:val="center"/>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62DD53C1"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81505A" w:rsidRPr="00E44F44" w14:paraId="3B3F8494" w14:textId="77777777" w:rsidTr="0081505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24DC0270"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Microarray</w:t>
            </w:r>
          </w:p>
        </w:tc>
        <w:tc>
          <w:tcPr>
            <w:tcW w:w="1807" w:type="dxa"/>
            <w:noWrap/>
            <w:hideMark/>
          </w:tcPr>
          <w:p w14:paraId="27563FD5"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-4.77</w:t>
            </w:r>
          </w:p>
        </w:tc>
        <w:tc>
          <w:tcPr>
            <w:tcW w:w="1807" w:type="dxa"/>
            <w:noWrap/>
            <w:hideMark/>
          </w:tcPr>
          <w:p w14:paraId="32DB8A3F"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-5.76</w:t>
            </w:r>
          </w:p>
        </w:tc>
        <w:tc>
          <w:tcPr>
            <w:tcW w:w="1807" w:type="dxa"/>
            <w:noWrap/>
            <w:hideMark/>
          </w:tcPr>
          <w:p w14:paraId="2B5371BF"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-5.06</w:t>
            </w:r>
          </w:p>
        </w:tc>
      </w:tr>
      <w:tr w:rsidR="0081505A" w:rsidRPr="00E44F44" w14:paraId="1A6010C3" w14:textId="77777777" w:rsidTr="0081505A">
        <w:trPr>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0ECDF397"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Validation</w:t>
            </w:r>
          </w:p>
        </w:tc>
        <w:tc>
          <w:tcPr>
            <w:tcW w:w="1807" w:type="dxa"/>
            <w:noWrap/>
            <w:hideMark/>
          </w:tcPr>
          <w:p w14:paraId="0E06A8D2"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Pr>
                <w:rFonts w:ascii="Geneva" w:eastAsia="Times New Roman" w:hAnsi="Geneva" w:cs="Times New Roman"/>
                <w:sz w:val="18"/>
                <w:szCs w:val="18"/>
              </w:rPr>
              <w:t>-</w:t>
            </w:r>
            <w:r w:rsidRPr="00E44F44">
              <w:rPr>
                <w:rFonts w:ascii="Geneva" w:eastAsia="Times New Roman" w:hAnsi="Geneva" w:cs="Times New Roman"/>
                <w:sz w:val="18"/>
                <w:szCs w:val="18"/>
              </w:rPr>
              <w:t>0.621152</w:t>
            </w:r>
          </w:p>
        </w:tc>
        <w:tc>
          <w:tcPr>
            <w:tcW w:w="1807" w:type="dxa"/>
            <w:noWrap/>
            <w:hideMark/>
          </w:tcPr>
          <w:p w14:paraId="30874646"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6.352400667</w:t>
            </w:r>
          </w:p>
        </w:tc>
        <w:tc>
          <w:tcPr>
            <w:tcW w:w="1807" w:type="dxa"/>
            <w:noWrap/>
            <w:hideMark/>
          </w:tcPr>
          <w:p w14:paraId="509FB7EE"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Pr>
                <w:rFonts w:ascii="Geneva" w:eastAsia="Times New Roman" w:hAnsi="Geneva" w:cs="Times New Roman"/>
                <w:sz w:val="18"/>
                <w:szCs w:val="18"/>
              </w:rPr>
              <w:t>-</w:t>
            </w:r>
            <w:r w:rsidRPr="00E44F44">
              <w:rPr>
                <w:rFonts w:ascii="Geneva" w:eastAsia="Times New Roman" w:hAnsi="Geneva" w:cs="Times New Roman"/>
                <w:sz w:val="18"/>
                <w:szCs w:val="18"/>
              </w:rPr>
              <w:t>0.5540185</w:t>
            </w:r>
          </w:p>
        </w:tc>
      </w:tr>
      <w:tr w:rsidR="0081505A" w:rsidRPr="00E44F44" w14:paraId="1CAD9446" w14:textId="77777777" w:rsidTr="0081505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726FC082" w14:textId="77777777" w:rsidR="0081505A" w:rsidRPr="00E44F44" w:rsidRDefault="0081505A" w:rsidP="0081505A">
            <w:pPr>
              <w:rPr>
                <w:rFonts w:ascii="Geneva" w:eastAsia="Times New Roman" w:hAnsi="Geneva" w:cs="Times New Roman"/>
                <w:sz w:val="18"/>
                <w:szCs w:val="18"/>
              </w:rPr>
            </w:pPr>
          </w:p>
        </w:tc>
        <w:tc>
          <w:tcPr>
            <w:tcW w:w="1807" w:type="dxa"/>
            <w:noWrap/>
            <w:hideMark/>
          </w:tcPr>
          <w:p w14:paraId="443939DB"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626D5F7F"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18F57C48"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r>
      <w:tr w:rsidR="0081505A" w:rsidRPr="00E44F44" w14:paraId="31F23470" w14:textId="77777777" w:rsidTr="0081505A">
        <w:trPr>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4A1E0B29"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ELK3</w:t>
            </w:r>
          </w:p>
        </w:tc>
        <w:tc>
          <w:tcPr>
            <w:tcW w:w="1807" w:type="dxa"/>
            <w:noWrap/>
            <w:hideMark/>
          </w:tcPr>
          <w:p w14:paraId="7D9EF38A"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55F1F88E"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3ED95081"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81505A" w:rsidRPr="00E44F44" w14:paraId="144A639E" w14:textId="77777777" w:rsidTr="0081505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33D282C8"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Microarray</w:t>
            </w:r>
          </w:p>
        </w:tc>
        <w:tc>
          <w:tcPr>
            <w:tcW w:w="1807" w:type="dxa"/>
            <w:noWrap/>
            <w:hideMark/>
          </w:tcPr>
          <w:p w14:paraId="2DF0012F"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4.27</w:t>
            </w:r>
          </w:p>
        </w:tc>
        <w:tc>
          <w:tcPr>
            <w:tcW w:w="1807" w:type="dxa"/>
            <w:noWrap/>
            <w:hideMark/>
          </w:tcPr>
          <w:p w14:paraId="6B6A2956"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5.77</w:t>
            </w:r>
          </w:p>
        </w:tc>
        <w:tc>
          <w:tcPr>
            <w:tcW w:w="1807" w:type="dxa"/>
            <w:noWrap/>
            <w:hideMark/>
          </w:tcPr>
          <w:p w14:paraId="62C0AA19"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5.83</w:t>
            </w:r>
          </w:p>
        </w:tc>
      </w:tr>
      <w:tr w:rsidR="0081505A" w:rsidRPr="00E44F44" w14:paraId="47B5C2A3" w14:textId="77777777" w:rsidTr="0081505A">
        <w:trPr>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04DC5269"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Validation</w:t>
            </w:r>
          </w:p>
        </w:tc>
        <w:tc>
          <w:tcPr>
            <w:tcW w:w="1807" w:type="dxa"/>
            <w:noWrap/>
            <w:hideMark/>
          </w:tcPr>
          <w:p w14:paraId="1352277E"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2.720933667</w:t>
            </w:r>
          </w:p>
        </w:tc>
        <w:tc>
          <w:tcPr>
            <w:tcW w:w="1807" w:type="dxa"/>
            <w:noWrap/>
            <w:hideMark/>
          </w:tcPr>
          <w:p w14:paraId="51C1B9BB"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3.1236705</w:t>
            </w:r>
          </w:p>
        </w:tc>
        <w:tc>
          <w:tcPr>
            <w:tcW w:w="1807" w:type="dxa"/>
            <w:noWrap/>
            <w:hideMark/>
          </w:tcPr>
          <w:p w14:paraId="0FFF142D"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3.076013333</w:t>
            </w:r>
          </w:p>
        </w:tc>
      </w:tr>
      <w:tr w:rsidR="0081505A" w:rsidRPr="00E44F44" w14:paraId="36D4EE59" w14:textId="77777777" w:rsidTr="0081505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22F8BB36" w14:textId="77777777" w:rsidR="0081505A" w:rsidRPr="00E44F44" w:rsidRDefault="0081505A" w:rsidP="0081505A">
            <w:pPr>
              <w:rPr>
                <w:rFonts w:ascii="Geneva" w:eastAsia="Times New Roman" w:hAnsi="Geneva" w:cs="Times New Roman"/>
                <w:sz w:val="18"/>
                <w:szCs w:val="18"/>
              </w:rPr>
            </w:pPr>
          </w:p>
        </w:tc>
        <w:tc>
          <w:tcPr>
            <w:tcW w:w="1807" w:type="dxa"/>
            <w:noWrap/>
            <w:hideMark/>
          </w:tcPr>
          <w:p w14:paraId="3B32D1D9"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27A93365"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2125810F"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r>
      <w:tr w:rsidR="0081505A" w:rsidRPr="00E44F44" w14:paraId="3B569B6E" w14:textId="77777777" w:rsidTr="0081505A">
        <w:trPr>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21C89444"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PHLDA2</w:t>
            </w:r>
          </w:p>
        </w:tc>
        <w:tc>
          <w:tcPr>
            <w:tcW w:w="1807" w:type="dxa"/>
            <w:noWrap/>
            <w:hideMark/>
          </w:tcPr>
          <w:p w14:paraId="26ECB691"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6224A58D"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32EFFA00"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81505A" w:rsidRPr="00E44F44" w14:paraId="66749268" w14:textId="77777777" w:rsidTr="0081505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0495A51B"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Microarray</w:t>
            </w:r>
          </w:p>
        </w:tc>
        <w:tc>
          <w:tcPr>
            <w:tcW w:w="1807" w:type="dxa"/>
            <w:noWrap/>
            <w:hideMark/>
          </w:tcPr>
          <w:p w14:paraId="7BEB9DA0"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6.25</w:t>
            </w:r>
          </w:p>
        </w:tc>
        <w:tc>
          <w:tcPr>
            <w:tcW w:w="1807" w:type="dxa"/>
            <w:noWrap/>
            <w:hideMark/>
          </w:tcPr>
          <w:p w14:paraId="190AF265"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5.16</w:t>
            </w:r>
          </w:p>
        </w:tc>
        <w:tc>
          <w:tcPr>
            <w:tcW w:w="1807" w:type="dxa"/>
            <w:noWrap/>
            <w:hideMark/>
          </w:tcPr>
          <w:p w14:paraId="5401DC7D"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5.09</w:t>
            </w:r>
          </w:p>
        </w:tc>
      </w:tr>
      <w:tr w:rsidR="0081505A" w:rsidRPr="00E44F44" w14:paraId="231C76D5" w14:textId="77777777" w:rsidTr="0081505A">
        <w:trPr>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2121884F"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Validation</w:t>
            </w:r>
          </w:p>
        </w:tc>
        <w:tc>
          <w:tcPr>
            <w:tcW w:w="1807" w:type="dxa"/>
            <w:noWrap/>
            <w:hideMark/>
          </w:tcPr>
          <w:p w14:paraId="1E770117"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2.728356333</w:t>
            </w:r>
          </w:p>
        </w:tc>
        <w:tc>
          <w:tcPr>
            <w:tcW w:w="1807" w:type="dxa"/>
            <w:noWrap/>
            <w:hideMark/>
          </w:tcPr>
          <w:p w14:paraId="56718048"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2.309058833</w:t>
            </w:r>
          </w:p>
        </w:tc>
        <w:tc>
          <w:tcPr>
            <w:tcW w:w="1807" w:type="dxa"/>
            <w:noWrap/>
            <w:hideMark/>
          </w:tcPr>
          <w:p w14:paraId="5B533B72"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3.073506833</w:t>
            </w:r>
          </w:p>
        </w:tc>
      </w:tr>
      <w:tr w:rsidR="0081505A" w:rsidRPr="00E44F44" w14:paraId="080AAC7F" w14:textId="77777777" w:rsidTr="0081505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16078ADE" w14:textId="77777777" w:rsidR="0081505A" w:rsidRPr="00E44F44" w:rsidRDefault="0081505A" w:rsidP="0081505A">
            <w:pPr>
              <w:rPr>
                <w:rFonts w:ascii="Geneva" w:eastAsia="Times New Roman" w:hAnsi="Geneva" w:cs="Times New Roman"/>
                <w:sz w:val="18"/>
                <w:szCs w:val="18"/>
              </w:rPr>
            </w:pPr>
          </w:p>
        </w:tc>
        <w:tc>
          <w:tcPr>
            <w:tcW w:w="1807" w:type="dxa"/>
            <w:noWrap/>
            <w:hideMark/>
          </w:tcPr>
          <w:p w14:paraId="3A67370C"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24B79D61"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331D59CC" w14:textId="77777777" w:rsidR="0081505A" w:rsidRPr="00E44F44" w:rsidRDefault="0081505A" w:rsidP="0081505A">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r>
      <w:tr w:rsidR="0081505A" w:rsidRPr="00E44F44" w14:paraId="581FB083" w14:textId="77777777" w:rsidTr="0081505A">
        <w:trPr>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1C883F42"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HIST3H2BB</w:t>
            </w:r>
          </w:p>
        </w:tc>
        <w:tc>
          <w:tcPr>
            <w:tcW w:w="1807" w:type="dxa"/>
            <w:noWrap/>
            <w:hideMark/>
          </w:tcPr>
          <w:p w14:paraId="31EF8684"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4D0850FE"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07" w:type="dxa"/>
            <w:noWrap/>
            <w:hideMark/>
          </w:tcPr>
          <w:p w14:paraId="5317EE59"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81505A" w:rsidRPr="00E44F44" w14:paraId="55B92CD4" w14:textId="77777777" w:rsidTr="0081505A">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52C365CF"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Microarray</w:t>
            </w:r>
          </w:p>
        </w:tc>
        <w:tc>
          <w:tcPr>
            <w:tcW w:w="1807" w:type="dxa"/>
            <w:noWrap/>
            <w:hideMark/>
          </w:tcPr>
          <w:p w14:paraId="2D259655"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6.91</w:t>
            </w:r>
          </w:p>
        </w:tc>
        <w:tc>
          <w:tcPr>
            <w:tcW w:w="1807" w:type="dxa"/>
            <w:noWrap/>
            <w:hideMark/>
          </w:tcPr>
          <w:p w14:paraId="16051672"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4.85</w:t>
            </w:r>
          </w:p>
        </w:tc>
        <w:tc>
          <w:tcPr>
            <w:tcW w:w="1807" w:type="dxa"/>
            <w:noWrap/>
            <w:hideMark/>
          </w:tcPr>
          <w:p w14:paraId="5C3AC58A" w14:textId="77777777" w:rsidR="0081505A" w:rsidRPr="00E44F44" w:rsidRDefault="0081505A" w:rsidP="0081505A">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7.03</w:t>
            </w:r>
          </w:p>
        </w:tc>
      </w:tr>
      <w:tr w:rsidR="0081505A" w:rsidRPr="00E44F44" w14:paraId="4C2B119A" w14:textId="77777777" w:rsidTr="0081505A">
        <w:trPr>
          <w:trHeight w:val="255"/>
        </w:trPr>
        <w:tc>
          <w:tcPr>
            <w:cnfStyle w:val="001000000000" w:firstRow="0" w:lastRow="0" w:firstColumn="1" w:lastColumn="0" w:oddVBand="0" w:evenVBand="0" w:oddHBand="0" w:evenHBand="0" w:firstRowFirstColumn="0" w:firstRowLastColumn="0" w:lastRowFirstColumn="0" w:lastRowLastColumn="0"/>
            <w:tcW w:w="1596" w:type="dxa"/>
            <w:shd w:val="clear" w:color="auto" w:fill="A6A6A6" w:themeFill="background1" w:themeFillShade="A6"/>
            <w:noWrap/>
            <w:hideMark/>
          </w:tcPr>
          <w:p w14:paraId="3BF997DC" w14:textId="77777777" w:rsidR="0081505A" w:rsidRPr="00E44F44" w:rsidRDefault="0081505A" w:rsidP="0081505A">
            <w:pPr>
              <w:rPr>
                <w:rFonts w:ascii="Geneva" w:eastAsia="Times New Roman" w:hAnsi="Geneva" w:cs="Times New Roman"/>
                <w:sz w:val="18"/>
                <w:szCs w:val="18"/>
              </w:rPr>
            </w:pPr>
            <w:r w:rsidRPr="00E44F44">
              <w:rPr>
                <w:rFonts w:ascii="Geneva" w:eastAsia="Times New Roman" w:hAnsi="Geneva" w:cs="Times New Roman"/>
                <w:sz w:val="18"/>
                <w:szCs w:val="18"/>
              </w:rPr>
              <w:t>Validation</w:t>
            </w:r>
          </w:p>
        </w:tc>
        <w:tc>
          <w:tcPr>
            <w:tcW w:w="1807" w:type="dxa"/>
            <w:noWrap/>
            <w:hideMark/>
          </w:tcPr>
          <w:p w14:paraId="71439A67"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0.459983667</w:t>
            </w:r>
          </w:p>
        </w:tc>
        <w:tc>
          <w:tcPr>
            <w:tcW w:w="1807" w:type="dxa"/>
            <w:noWrap/>
            <w:hideMark/>
          </w:tcPr>
          <w:p w14:paraId="49874632"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Pr>
                <w:rFonts w:ascii="Geneva" w:eastAsia="Times New Roman" w:hAnsi="Geneva" w:cs="Times New Roman"/>
                <w:sz w:val="18"/>
                <w:szCs w:val="18"/>
              </w:rPr>
              <w:t>-</w:t>
            </w:r>
            <w:r w:rsidRPr="00E44F44">
              <w:rPr>
                <w:rFonts w:ascii="Geneva" w:eastAsia="Times New Roman" w:hAnsi="Geneva" w:cs="Times New Roman"/>
                <w:sz w:val="18"/>
                <w:szCs w:val="18"/>
              </w:rPr>
              <w:t>0.387385833</w:t>
            </w:r>
          </w:p>
        </w:tc>
        <w:tc>
          <w:tcPr>
            <w:tcW w:w="1807" w:type="dxa"/>
            <w:noWrap/>
            <w:hideMark/>
          </w:tcPr>
          <w:p w14:paraId="659CD1D7" w14:textId="77777777" w:rsidR="0081505A" w:rsidRPr="00E44F44" w:rsidRDefault="0081505A" w:rsidP="0081505A">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0.552434667</w:t>
            </w:r>
          </w:p>
        </w:tc>
      </w:tr>
    </w:tbl>
    <w:p w14:paraId="3616C061" w14:textId="77777777" w:rsidR="009430B6" w:rsidRDefault="009430B6" w:rsidP="009430B6">
      <w:pPr>
        <w:spacing w:line="360" w:lineRule="auto"/>
        <w:jc w:val="both"/>
        <w:rPr>
          <w:rFonts w:asciiTheme="majorHAnsi" w:hAnsiTheme="majorHAnsi"/>
        </w:rPr>
      </w:pPr>
    </w:p>
    <w:p w14:paraId="21DF197D" w14:textId="77777777" w:rsidR="009430B6" w:rsidRDefault="009430B6" w:rsidP="009430B6">
      <w:pPr>
        <w:spacing w:line="360" w:lineRule="auto"/>
        <w:jc w:val="both"/>
        <w:rPr>
          <w:rFonts w:asciiTheme="majorHAnsi" w:hAnsiTheme="majorHAnsi"/>
        </w:rPr>
      </w:pPr>
    </w:p>
    <w:tbl>
      <w:tblPr>
        <w:tblStyle w:val="LightList"/>
        <w:tblpPr w:leftFromText="180" w:rightFromText="180" w:vertAnchor="text" w:horzAnchor="page" w:tblpX="3097" w:tblpY="3104"/>
        <w:tblW w:w="7043" w:type="dxa"/>
        <w:tblLook w:val="04A0" w:firstRow="1" w:lastRow="0" w:firstColumn="1" w:lastColumn="0" w:noHBand="0" w:noVBand="1"/>
      </w:tblPr>
      <w:tblGrid>
        <w:gridCol w:w="1604"/>
        <w:gridCol w:w="1813"/>
        <w:gridCol w:w="1813"/>
        <w:gridCol w:w="1813"/>
      </w:tblGrid>
      <w:tr w:rsidR="009430B6" w:rsidRPr="00E44F44" w14:paraId="6BDAFDD5" w14:textId="77777777" w:rsidTr="009430B6">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noWrap/>
            <w:hideMark/>
          </w:tcPr>
          <w:p w14:paraId="1202EE5E" w14:textId="77777777" w:rsidR="009430B6" w:rsidRPr="00E44F44" w:rsidRDefault="009430B6" w:rsidP="009430B6">
            <w:pPr>
              <w:rPr>
                <w:rFonts w:ascii="Geneva" w:eastAsia="Times New Roman" w:hAnsi="Geneva" w:cs="Times New Roman"/>
                <w:b w:val="0"/>
                <w:bCs w:val="0"/>
                <w:sz w:val="18"/>
                <w:szCs w:val="18"/>
              </w:rPr>
            </w:pPr>
            <w:r w:rsidRPr="00E44F44">
              <w:rPr>
                <w:rFonts w:ascii="Geneva" w:eastAsia="Times New Roman" w:hAnsi="Geneva" w:cs="Times New Roman"/>
                <w:b w:val="0"/>
                <w:bCs w:val="0"/>
                <w:sz w:val="18"/>
                <w:szCs w:val="18"/>
              </w:rPr>
              <w:t>SW480</w:t>
            </w:r>
          </w:p>
        </w:tc>
        <w:tc>
          <w:tcPr>
            <w:tcW w:w="1813" w:type="dxa"/>
            <w:noWrap/>
            <w:hideMark/>
          </w:tcPr>
          <w:p w14:paraId="157F52E2" w14:textId="77777777" w:rsidR="009430B6" w:rsidRPr="00E44F44" w:rsidRDefault="009430B6" w:rsidP="009430B6">
            <w:pP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509B6D8F" w14:textId="77777777" w:rsidR="009430B6" w:rsidRPr="00E44F44" w:rsidRDefault="009430B6" w:rsidP="009430B6">
            <w:pP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75C6EF65" w14:textId="77777777" w:rsidR="009430B6" w:rsidRPr="00E44F44" w:rsidRDefault="009430B6" w:rsidP="009430B6">
            <w:pPr>
              <w:cnfStyle w:val="100000000000" w:firstRow="1"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9430B6" w:rsidRPr="00E11A96" w14:paraId="4E90A1AA" w14:textId="77777777" w:rsidTr="009430B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4B48D63B" w14:textId="77777777" w:rsidR="009430B6" w:rsidRPr="00E44F44" w:rsidRDefault="009430B6" w:rsidP="009430B6">
            <w:pPr>
              <w:rPr>
                <w:rFonts w:ascii="Geneva" w:eastAsia="Times New Roman" w:hAnsi="Geneva" w:cs="Times New Roman"/>
                <w:sz w:val="18"/>
                <w:szCs w:val="18"/>
              </w:rPr>
            </w:pPr>
          </w:p>
        </w:tc>
        <w:tc>
          <w:tcPr>
            <w:tcW w:w="1813" w:type="dxa"/>
            <w:noWrap/>
            <w:hideMark/>
          </w:tcPr>
          <w:p w14:paraId="444F6708" w14:textId="77777777" w:rsidR="009430B6" w:rsidRPr="00E11A96" w:rsidRDefault="009430B6" w:rsidP="009430B6">
            <w:pPr>
              <w:jc w:val="cente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b/>
                <w:sz w:val="18"/>
                <w:szCs w:val="18"/>
              </w:rPr>
            </w:pPr>
            <w:r w:rsidRPr="00E11A96">
              <w:rPr>
                <w:rFonts w:ascii="Geneva" w:eastAsia="Times New Roman" w:hAnsi="Geneva" w:cs="Times New Roman"/>
                <w:b/>
                <w:sz w:val="18"/>
                <w:szCs w:val="18"/>
              </w:rPr>
              <w:t>1</w:t>
            </w:r>
          </w:p>
        </w:tc>
        <w:tc>
          <w:tcPr>
            <w:tcW w:w="1813" w:type="dxa"/>
            <w:noWrap/>
            <w:hideMark/>
          </w:tcPr>
          <w:p w14:paraId="35307054" w14:textId="77777777" w:rsidR="009430B6" w:rsidRPr="00E11A96" w:rsidRDefault="009430B6" w:rsidP="009430B6">
            <w:pPr>
              <w:jc w:val="cente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b/>
                <w:sz w:val="18"/>
                <w:szCs w:val="18"/>
              </w:rPr>
            </w:pPr>
            <w:r w:rsidRPr="00E11A96">
              <w:rPr>
                <w:rFonts w:ascii="Geneva" w:eastAsia="Times New Roman" w:hAnsi="Geneva" w:cs="Times New Roman"/>
                <w:b/>
                <w:sz w:val="18"/>
                <w:szCs w:val="18"/>
              </w:rPr>
              <w:t>2</w:t>
            </w:r>
          </w:p>
        </w:tc>
        <w:tc>
          <w:tcPr>
            <w:tcW w:w="1813" w:type="dxa"/>
            <w:noWrap/>
            <w:hideMark/>
          </w:tcPr>
          <w:p w14:paraId="1E5218DD" w14:textId="77777777" w:rsidR="009430B6" w:rsidRPr="00E11A96" w:rsidRDefault="009430B6" w:rsidP="009430B6">
            <w:pPr>
              <w:jc w:val="cente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b/>
                <w:sz w:val="18"/>
                <w:szCs w:val="18"/>
              </w:rPr>
            </w:pPr>
            <w:r w:rsidRPr="00E11A96">
              <w:rPr>
                <w:rFonts w:ascii="Geneva" w:eastAsia="Times New Roman" w:hAnsi="Geneva" w:cs="Times New Roman"/>
                <w:b/>
                <w:sz w:val="18"/>
                <w:szCs w:val="18"/>
              </w:rPr>
              <w:t>3</w:t>
            </w:r>
          </w:p>
        </w:tc>
      </w:tr>
      <w:tr w:rsidR="009430B6" w:rsidRPr="00E44F44" w14:paraId="1B4E11B0" w14:textId="77777777" w:rsidTr="009430B6">
        <w:trPr>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1D96C642"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FGFBP1</w:t>
            </w:r>
          </w:p>
        </w:tc>
        <w:tc>
          <w:tcPr>
            <w:tcW w:w="1813" w:type="dxa"/>
            <w:noWrap/>
            <w:hideMark/>
          </w:tcPr>
          <w:p w14:paraId="3C40A11A"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16713518"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100E9A9C"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9430B6" w:rsidRPr="00E44F44" w14:paraId="5273CDC7" w14:textId="77777777" w:rsidTr="009430B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1D095D90"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Microarray</w:t>
            </w:r>
          </w:p>
        </w:tc>
        <w:tc>
          <w:tcPr>
            <w:tcW w:w="1813" w:type="dxa"/>
            <w:noWrap/>
            <w:hideMark/>
          </w:tcPr>
          <w:p w14:paraId="0B5721E0"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-4.77</w:t>
            </w:r>
          </w:p>
        </w:tc>
        <w:tc>
          <w:tcPr>
            <w:tcW w:w="1813" w:type="dxa"/>
            <w:noWrap/>
            <w:hideMark/>
          </w:tcPr>
          <w:p w14:paraId="28BB4992"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-5.76</w:t>
            </w:r>
          </w:p>
        </w:tc>
        <w:tc>
          <w:tcPr>
            <w:tcW w:w="1813" w:type="dxa"/>
            <w:noWrap/>
            <w:hideMark/>
          </w:tcPr>
          <w:p w14:paraId="34022C8C"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-5.06</w:t>
            </w:r>
          </w:p>
        </w:tc>
      </w:tr>
      <w:tr w:rsidR="009430B6" w:rsidRPr="00E44F44" w14:paraId="04F04D3E" w14:textId="77777777" w:rsidTr="009430B6">
        <w:trPr>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3FAA19BE"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Validation</w:t>
            </w:r>
          </w:p>
        </w:tc>
        <w:tc>
          <w:tcPr>
            <w:tcW w:w="1813" w:type="dxa"/>
            <w:noWrap/>
            <w:hideMark/>
          </w:tcPr>
          <w:p w14:paraId="7BAA6EAD"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Pr>
                <w:rFonts w:ascii="Geneva" w:eastAsia="Times New Roman" w:hAnsi="Geneva" w:cs="Times New Roman"/>
                <w:sz w:val="18"/>
                <w:szCs w:val="18"/>
              </w:rPr>
              <w:t>-</w:t>
            </w:r>
            <w:r w:rsidRPr="00E44F44">
              <w:rPr>
                <w:rFonts w:ascii="Geneva" w:eastAsia="Times New Roman" w:hAnsi="Geneva" w:cs="Times New Roman"/>
                <w:sz w:val="18"/>
                <w:szCs w:val="18"/>
              </w:rPr>
              <w:t>2.120783333</w:t>
            </w:r>
          </w:p>
        </w:tc>
        <w:tc>
          <w:tcPr>
            <w:tcW w:w="1813" w:type="dxa"/>
            <w:noWrap/>
            <w:hideMark/>
          </w:tcPr>
          <w:p w14:paraId="5464EF30"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Pr>
                <w:rFonts w:ascii="Geneva" w:eastAsia="Times New Roman" w:hAnsi="Geneva" w:cs="Times New Roman"/>
                <w:sz w:val="18"/>
                <w:szCs w:val="18"/>
              </w:rPr>
              <w:t>-</w:t>
            </w:r>
            <w:r w:rsidRPr="00E44F44">
              <w:rPr>
                <w:rFonts w:ascii="Geneva" w:eastAsia="Times New Roman" w:hAnsi="Geneva" w:cs="Times New Roman"/>
                <w:sz w:val="18"/>
                <w:szCs w:val="18"/>
              </w:rPr>
              <w:t>0.219160833</w:t>
            </w:r>
          </w:p>
        </w:tc>
        <w:tc>
          <w:tcPr>
            <w:tcW w:w="1813" w:type="dxa"/>
            <w:noWrap/>
            <w:hideMark/>
          </w:tcPr>
          <w:p w14:paraId="3F38E685"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Pr>
                <w:rFonts w:ascii="Geneva" w:eastAsia="Times New Roman" w:hAnsi="Geneva" w:cs="Times New Roman"/>
                <w:sz w:val="18"/>
                <w:szCs w:val="18"/>
              </w:rPr>
              <w:t>-</w:t>
            </w:r>
            <w:r w:rsidRPr="00E44F44">
              <w:rPr>
                <w:rFonts w:ascii="Geneva" w:eastAsia="Times New Roman" w:hAnsi="Geneva" w:cs="Times New Roman"/>
                <w:sz w:val="18"/>
                <w:szCs w:val="18"/>
              </w:rPr>
              <w:t>0.4737295</w:t>
            </w:r>
          </w:p>
        </w:tc>
      </w:tr>
      <w:tr w:rsidR="009430B6" w:rsidRPr="00E44F44" w14:paraId="7ECADE09" w14:textId="77777777" w:rsidTr="009430B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11CFFD99" w14:textId="77777777" w:rsidR="009430B6" w:rsidRPr="00E11A96" w:rsidRDefault="009430B6" w:rsidP="009430B6">
            <w:pPr>
              <w:rPr>
                <w:rFonts w:ascii="Geneva" w:eastAsia="Times New Roman" w:hAnsi="Geneva" w:cs="Times New Roman"/>
                <w:sz w:val="18"/>
                <w:szCs w:val="18"/>
              </w:rPr>
            </w:pPr>
          </w:p>
        </w:tc>
        <w:tc>
          <w:tcPr>
            <w:tcW w:w="1813" w:type="dxa"/>
            <w:noWrap/>
            <w:hideMark/>
          </w:tcPr>
          <w:p w14:paraId="7340814A"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0CACE241"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5F70A084"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r>
      <w:tr w:rsidR="009430B6" w:rsidRPr="00E44F44" w14:paraId="0A4149DF" w14:textId="77777777" w:rsidTr="009430B6">
        <w:trPr>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47B509A9"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ELK3</w:t>
            </w:r>
          </w:p>
        </w:tc>
        <w:tc>
          <w:tcPr>
            <w:tcW w:w="1813" w:type="dxa"/>
            <w:noWrap/>
            <w:hideMark/>
          </w:tcPr>
          <w:p w14:paraId="0740851F"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513F98E1"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0FD8C66F"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9430B6" w:rsidRPr="00E44F44" w14:paraId="54437136" w14:textId="77777777" w:rsidTr="009430B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05BBB6AC"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Microarray</w:t>
            </w:r>
          </w:p>
        </w:tc>
        <w:tc>
          <w:tcPr>
            <w:tcW w:w="1813" w:type="dxa"/>
            <w:noWrap/>
            <w:hideMark/>
          </w:tcPr>
          <w:p w14:paraId="0D5BA2FA"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4.27</w:t>
            </w:r>
          </w:p>
        </w:tc>
        <w:tc>
          <w:tcPr>
            <w:tcW w:w="1813" w:type="dxa"/>
            <w:noWrap/>
            <w:hideMark/>
          </w:tcPr>
          <w:p w14:paraId="0F881708"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5.77</w:t>
            </w:r>
          </w:p>
        </w:tc>
        <w:tc>
          <w:tcPr>
            <w:tcW w:w="1813" w:type="dxa"/>
            <w:noWrap/>
            <w:hideMark/>
          </w:tcPr>
          <w:p w14:paraId="72E848F2"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5.83</w:t>
            </w:r>
          </w:p>
        </w:tc>
      </w:tr>
      <w:tr w:rsidR="009430B6" w:rsidRPr="00E44F44" w14:paraId="3F5BB1C9" w14:textId="77777777" w:rsidTr="009430B6">
        <w:trPr>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3A5B03DA"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Validation</w:t>
            </w:r>
          </w:p>
        </w:tc>
        <w:tc>
          <w:tcPr>
            <w:tcW w:w="1813" w:type="dxa"/>
            <w:noWrap/>
            <w:hideMark/>
          </w:tcPr>
          <w:p w14:paraId="50AF96DD"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0.628966333</w:t>
            </w:r>
          </w:p>
        </w:tc>
        <w:tc>
          <w:tcPr>
            <w:tcW w:w="1813" w:type="dxa"/>
            <w:noWrap/>
            <w:hideMark/>
          </w:tcPr>
          <w:p w14:paraId="7B3B7FDD"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0.476304667</w:t>
            </w:r>
          </w:p>
        </w:tc>
        <w:tc>
          <w:tcPr>
            <w:tcW w:w="1813" w:type="dxa"/>
            <w:noWrap/>
            <w:hideMark/>
          </w:tcPr>
          <w:p w14:paraId="34A52A7C"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0.635946</w:t>
            </w:r>
          </w:p>
        </w:tc>
      </w:tr>
      <w:tr w:rsidR="009430B6" w:rsidRPr="00E44F44" w14:paraId="1D3A8E09" w14:textId="77777777" w:rsidTr="009430B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3BC04496" w14:textId="77777777" w:rsidR="009430B6" w:rsidRPr="00E11A96" w:rsidRDefault="009430B6" w:rsidP="009430B6">
            <w:pPr>
              <w:rPr>
                <w:rFonts w:ascii="Geneva" w:eastAsia="Times New Roman" w:hAnsi="Geneva" w:cs="Times New Roman"/>
                <w:sz w:val="18"/>
                <w:szCs w:val="18"/>
              </w:rPr>
            </w:pPr>
          </w:p>
        </w:tc>
        <w:tc>
          <w:tcPr>
            <w:tcW w:w="1813" w:type="dxa"/>
            <w:noWrap/>
            <w:hideMark/>
          </w:tcPr>
          <w:p w14:paraId="5A13FCCA"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4BD5CA77"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63C52573"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r>
      <w:tr w:rsidR="009430B6" w:rsidRPr="00E44F44" w14:paraId="04567D05" w14:textId="77777777" w:rsidTr="009430B6">
        <w:trPr>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6A67C044"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PHLDA2</w:t>
            </w:r>
          </w:p>
        </w:tc>
        <w:tc>
          <w:tcPr>
            <w:tcW w:w="1813" w:type="dxa"/>
            <w:noWrap/>
            <w:hideMark/>
          </w:tcPr>
          <w:p w14:paraId="2947D81B"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443A50C3"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0C391139"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9430B6" w:rsidRPr="00E44F44" w14:paraId="701DA6FD" w14:textId="77777777" w:rsidTr="009430B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0506DCF8"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Microarray</w:t>
            </w:r>
          </w:p>
        </w:tc>
        <w:tc>
          <w:tcPr>
            <w:tcW w:w="1813" w:type="dxa"/>
            <w:noWrap/>
            <w:hideMark/>
          </w:tcPr>
          <w:p w14:paraId="7357D9C0"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6.25</w:t>
            </w:r>
          </w:p>
        </w:tc>
        <w:tc>
          <w:tcPr>
            <w:tcW w:w="1813" w:type="dxa"/>
            <w:noWrap/>
            <w:hideMark/>
          </w:tcPr>
          <w:p w14:paraId="0C499BC8"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5.16</w:t>
            </w:r>
          </w:p>
        </w:tc>
        <w:tc>
          <w:tcPr>
            <w:tcW w:w="1813" w:type="dxa"/>
            <w:noWrap/>
            <w:hideMark/>
          </w:tcPr>
          <w:p w14:paraId="7EE9F309"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5.09</w:t>
            </w:r>
          </w:p>
        </w:tc>
      </w:tr>
      <w:tr w:rsidR="009430B6" w:rsidRPr="00E44F44" w14:paraId="612F1CD3" w14:textId="77777777" w:rsidTr="009430B6">
        <w:trPr>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3C9C2887"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Validation</w:t>
            </w:r>
          </w:p>
        </w:tc>
        <w:tc>
          <w:tcPr>
            <w:tcW w:w="1813" w:type="dxa"/>
            <w:noWrap/>
            <w:hideMark/>
          </w:tcPr>
          <w:p w14:paraId="4DCB9D2E"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0.865492333</w:t>
            </w:r>
          </w:p>
        </w:tc>
        <w:tc>
          <w:tcPr>
            <w:tcW w:w="1813" w:type="dxa"/>
            <w:noWrap/>
            <w:hideMark/>
          </w:tcPr>
          <w:p w14:paraId="1759DB42"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0.867563667</w:t>
            </w:r>
          </w:p>
        </w:tc>
        <w:tc>
          <w:tcPr>
            <w:tcW w:w="1813" w:type="dxa"/>
            <w:noWrap/>
            <w:hideMark/>
          </w:tcPr>
          <w:p w14:paraId="6D3D3BE1"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1.517393667</w:t>
            </w:r>
          </w:p>
        </w:tc>
      </w:tr>
      <w:tr w:rsidR="009430B6" w:rsidRPr="00E44F44" w14:paraId="717CB5BF" w14:textId="77777777" w:rsidTr="009430B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6771AEAE" w14:textId="77777777" w:rsidR="009430B6" w:rsidRPr="00E11A96" w:rsidRDefault="009430B6" w:rsidP="009430B6">
            <w:pPr>
              <w:rPr>
                <w:rFonts w:ascii="Geneva" w:eastAsia="Times New Roman" w:hAnsi="Geneva" w:cs="Times New Roman"/>
                <w:sz w:val="18"/>
                <w:szCs w:val="18"/>
              </w:rPr>
            </w:pPr>
          </w:p>
        </w:tc>
        <w:tc>
          <w:tcPr>
            <w:tcW w:w="1813" w:type="dxa"/>
            <w:noWrap/>
            <w:hideMark/>
          </w:tcPr>
          <w:p w14:paraId="0F4735DC"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39E9FAEF"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604C7DA3" w14:textId="77777777" w:rsidR="009430B6" w:rsidRPr="00E44F44" w:rsidRDefault="009430B6" w:rsidP="009430B6">
            <w:pPr>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p>
        </w:tc>
      </w:tr>
      <w:tr w:rsidR="009430B6" w:rsidRPr="00E44F44" w14:paraId="3B8DB743" w14:textId="77777777" w:rsidTr="009430B6">
        <w:trPr>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585550EE"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HIST3H2BB</w:t>
            </w:r>
          </w:p>
        </w:tc>
        <w:tc>
          <w:tcPr>
            <w:tcW w:w="1813" w:type="dxa"/>
            <w:noWrap/>
            <w:hideMark/>
          </w:tcPr>
          <w:p w14:paraId="5C0E8DB4"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355F2B07"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c>
          <w:tcPr>
            <w:tcW w:w="1813" w:type="dxa"/>
            <w:noWrap/>
            <w:hideMark/>
          </w:tcPr>
          <w:p w14:paraId="1F026FF4"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p>
        </w:tc>
      </w:tr>
      <w:tr w:rsidR="009430B6" w:rsidRPr="00E44F44" w14:paraId="222D02A5" w14:textId="77777777" w:rsidTr="009430B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46BC5417"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Microarray</w:t>
            </w:r>
          </w:p>
        </w:tc>
        <w:tc>
          <w:tcPr>
            <w:tcW w:w="1813" w:type="dxa"/>
            <w:noWrap/>
            <w:hideMark/>
          </w:tcPr>
          <w:p w14:paraId="41F2CC86"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6.91</w:t>
            </w:r>
          </w:p>
        </w:tc>
        <w:tc>
          <w:tcPr>
            <w:tcW w:w="1813" w:type="dxa"/>
            <w:noWrap/>
            <w:hideMark/>
          </w:tcPr>
          <w:p w14:paraId="1A9D062D"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4.85</w:t>
            </w:r>
          </w:p>
        </w:tc>
        <w:tc>
          <w:tcPr>
            <w:tcW w:w="1813" w:type="dxa"/>
            <w:noWrap/>
            <w:hideMark/>
          </w:tcPr>
          <w:p w14:paraId="1502A97E" w14:textId="77777777" w:rsidR="009430B6" w:rsidRPr="00E44F44" w:rsidRDefault="009430B6" w:rsidP="009430B6">
            <w:pPr>
              <w:jc w:val="right"/>
              <w:cnfStyle w:val="000000100000" w:firstRow="0" w:lastRow="0" w:firstColumn="0" w:lastColumn="0" w:oddVBand="0" w:evenVBand="0" w:oddHBand="1"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7.03</w:t>
            </w:r>
          </w:p>
        </w:tc>
      </w:tr>
      <w:tr w:rsidR="009430B6" w:rsidRPr="00E44F44" w14:paraId="0D03E7C8" w14:textId="77777777" w:rsidTr="009430B6">
        <w:trPr>
          <w:trHeight w:val="270"/>
        </w:trPr>
        <w:tc>
          <w:tcPr>
            <w:cnfStyle w:val="001000000000" w:firstRow="0" w:lastRow="0" w:firstColumn="1" w:lastColumn="0" w:oddVBand="0" w:evenVBand="0" w:oddHBand="0" w:evenHBand="0" w:firstRowFirstColumn="0" w:firstRowLastColumn="0" w:lastRowFirstColumn="0" w:lastRowLastColumn="0"/>
            <w:tcW w:w="1604" w:type="dxa"/>
            <w:shd w:val="clear" w:color="auto" w:fill="A6A6A6" w:themeFill="background1" w:themeFillShade="A6"/>
            <w:noWrap/>
            <w:hideMark/>
          </w:tcPr>
          <w:p w14:paraId="33CB2C70" w14:textId="77777777" w:rsidR="009430B6" w:rsidRPr="00E11A96" w:rsidRDefault="009430B6" w:rsidP="009430B6">
            <w:pPr>
              <w:rPr>
                <w:rFonts w:ascii="Geneva" w:eastAsia="Times New Roman" w:hAnsi="Geneva" w:cs="Times New Roman"/>
                <w:sz w:val="18"/>
                <w:szCs w:val="18"/>
              </w:rPr>
            </w:pPr>
            <w:r w:rsidRPr="00E11A96">
              <w:rPr>
                <w:rFonts w:ascii="Geneva" w:eastAsia="Times New Roman" w:hAnsi="Geneva" w:cs="Times New Roman"/>
                <w:sz w:val="18"/>
                <w:szCs w:val="18"/>
              </w:rPr>
              <w:t>Validation</w:t>
            </w:r>
          </w:p>
        </w:tc>
        <w:tc>
          <w:tcPr>
            <w:tcW w:w="1813" w:type="dxa"/>
            <w:noWrap/>
            <w:hideMark/>
          </w:tcPr>
          <w:p w14:paraId="14749CE2"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Pr>
                <w:rFonts w:ascii="Geneva" w:eastAsia="Times New Roman" w:hAnsi="Geneva" w:cs="Times New Roman"/>
                <w:sz w:val="18"/>
                <w:szCs w:val="18"/>
              </w:rPr>
              <w:t>-</w:t>
            </w:r>
            <w:r w:rsidRPr="00E44F44">
              <w:rPr>
                <w:rFonts w:ascii="Geneva" w:eastAsia="Times New Roman" w:hAnsi="Geneva" w:cs="Times New Roman"/>
                <w:sz w:val="18"/>
                <w:szCs w:val="18"/>
              </w:rPr>
              <w:t>1.478666333</w:t>
            </w:r>
          </w:p>
        </w:tc>
        <w:tc>
          <w:tcPr>
            <w:tcW w:w="1813" w:type="dxa"/>
            <w:noWrap/>
            <w:hideMark/>
          </w:tcPr>
          <w:p w14:paraId="58B3358F"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0.103525333</w:t>
            </w:r>
          </w:p>
        </w:tc>
        <w:tc>
          <w:tcPr>
            <w:tcW w:w="1813" w:type="dxa"/>
            <w:noWrap/>
            <w:hideMark/>
          </w:tcPr>
          <w:p w14:paraId="6E1A9646" w14:textId="77777777" w:rsidR="009430B6" w:rsidRPr="00E44F44" w:rsidRDefault="009430B6" w:rsidP="009430B6">
            <w:pPr>
              <w:jc w:val="right"/>
              <w:cnfStyle w:val="000000000000" w:firstRow="0" w:lastRow="0" w:firstColumn="0" w:lastColumn="0" w:oddVBand="0" w:evenVBand="0" w:oddHBand="0" w:evenHBand="0" w:firstRowFirstColumn="0" w:firstRowLastColumn="0" w:lastRowFirstColumn="0" w:lastRowLastColumn="0"/>
              <w:rPr>
                <w:rFonts w:ascii="Geneva" w:eastAsia="Times New Roman" w:hAnsi="Geneva" w:cs="Times New Roman"/>
                <w:sz w:val="18"/>
                <w:szCs w:val="18"/>
              </w:rPr>
            </w:pPr>
            <w:r w:rsidRPr="00E44F44">
              <w:rPr>
                <w:rFonts w:ascii="Geneva" w:eastAsia="Times New Roman" w:hAnsi="Geneva" w:cs="Times New Roman"/>
                <w:sz w:val="18"/>
                <w:szCs w:val="18"/>
              </w:rPr>
              <w:t>0.108865667</w:t>
            </w:r>
          </w:p>
        </w:tc>
      </w:tr>
    </w:tbl>
    <w:p w14:paraId="06E1987F" w14:textId="77777777" w:rsidR="009430B6" w:rsidRDefault="009430B6" w:rsidP="009430B6">
      <w:pPr>
        <w:spacing w:line="360" w:lineRule="auto"/>
        <w:jc w:val="both"/>
        <w:rPr>
          <w:rFonts w:asciiTheme="majorHAnsi" w:hAnsiTheme="majorHAnsi"/>
        </w:rPr>
      </w:pPr>
    </w:p>
    <w:p w14:paraId="77A7A784" w14:textId="26A3099B" w:rsidR="00270169" w:rsidRPr="0087326B" w:rsidRDefault="00916545" w:rsidP="009430B6">
      <w:pPr>
        <w:spacing w:line="360" w:lineRule="auto"/>
        <w:jc w:val="both"/>
        <w:rPr>
          <w:rFonts w:asciiTheme="majorHAnsi" w:hAnsiTheme="majorHAnsi"/>
        </w:rPr>
      </w:pPr>
      <w:r>
        <w:rPr>
          <w:rFonts w:asciiTheme="majorHAnsi" w:hAnsiTheme="majorHAnsi"/>
          <w:noProof/>
          <w:lang w:val="en-US"/>
        </w:rPr>
        <mc:AlternateContent>
          <mc:Choice Requires="wps">
            <w:drawing>
              <wp:anchor distT="0" distB="0" distL="114300" distR="114300" simplePos="0" relativeHeight="252167168" behindDoc="0" locked="0" layoutInCell="1" allowOverlap="1" wp14:anchorId="1B3B47CE" wp14:editId="2BDD2F41">
                <wp:simplePos x="0" y="0"/>
                <wp:positionH relativeFrom="column">
                  <wp:posOffset>-114300</wp:posOffset>
                </wp:positionH>
                <wp:positionV relativeFrom="paragraph">
                  <wp:posOffset>168910</wp:posOffset>
                </wp:positionV>
                <wp:extent cx="5600700" cy="137160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56007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7EFC83" w14:textId="56A685C1" w:rsidR="00E82D3B" w:rsidRDefault="00E82D3B" w:rsidP="00BA3496">
                            <w:pPr>
                              <w:jc w:val="both"/>
                              <w:rPr>
                                <w:b/>
                                <w:i/>
                                <w:sz w:val="22"/>
                              </w:rPr>
                            </w:pPr>
                            <w:r w:rsidRPr="00916545">
                              <w:rPr>
                                <w:b/>
                                <w:i/>
                                <w:sz w:val="22"/>
                              </w:rPr>
                              <w:t>F</w:t>
                            </w:r>
                            <w:r>
                              <w:rPr>
                                <w:b/>
                                <w:i/>
                                <w:sz w:val="22"/>
                              </w:rPr>
                              <w:t>igure 6.15</w:t>
                            </w:r>
                            <w:r w:rsidRPr="00916545">
                              <w:rPr>
                                <w:b/>
                                <w:i/>
                                <w:sz w:val="22"/>
                              </w:rPr>
                              <w:t xml:space="preserve"> PHLDA2 and ELK3 validated fold changes are comparable to the original microarray fold changes</w:t>
                            </w:r>
                          </w:p>
                          <w:p w14:paraId="033C9FD4" w14:textId="2D6AA3AA" w:rsidR="00E82D3B" w:rsidRPr="00BA3496" w:rsidRDefault="00E82D3B" w:rsidP="00BA3496">
                            <w:pPr>
                              <w:jc w:val="both"/>
                              <w:rPr>
                                <w:i/>
                                <w:sz w:val="22"/>
                              </w:rPr>
                            </w:pPr>
                            <w:r>
                              <w:rPr>
                                <w:i/>
                                <w:sz w:val="22"/>
                              </w:rPr>
                              <w:t xml:space="preserve">Fold changes were calculated from the validation RT-PCR data and compared to the original microarray fold changes as shown above. This highlights further that PHLDA2 and ELK3 follow the same pattern of decreased expression when SRCAP is knocked down, however the fold changes are again a lot lower then what was generated from the microarray. </w:t>
                            </w:r>
                          </w:p>
                          <w:p w14:paraId="0EDF9418" w14:textId="77777777" w:rsidR="00E82D3B" w:rsidRPr="00916545" w:rsidRDefault="00E82D3B" w:rsidP="00BA3496">
                            <w:pPr>
                              <w:jc w:val="both"/>
                              <w:rPr>
                                <w: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201" type="#_x0000_t202" style="position:absolute;left:0;text-align:left;margin-left:-8.95pt;margin-top:13.3pt;width:441pt;height:108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" filled="f" stroked="f">
                <v:textbox>
                  <w:txbxContent>
                    <w:p w14:paraId="737EFC83" w14:textId="56A685C1" w:rsidR="000A1E0D" w:rsidRDefault="000A1E0D" w:rsidP="00BA3496">
                      <w:pPr>
                        <w:jc w:val="both"/>
                        <w:rPr>
                          <w:b/>
                          <w:i/>
                          <w:sz w:val="22"/>
                        </w:rPr>
                      </w:pPr>
                      <w:r w:rsidRPr="00916545">
                        <w:rPr>
                          <w:b/>
                          <w:i/>
                          <w:sz w:val="22"/>
                        </w:rPr>
                        <w:t>F</w:t>
                      </w:r>
                      <w:r>
                        <w:rPr>
                          <w:b/>
                          <w:i/>
                          <w:sz w:val="22"/>
                        </w:rPr>
                        <w:t>igure 6.15</w:t>
                      </w:r>
                      <w:r w:rsidRPr="00916545">
                        <w:rPr>
                          <w:b/>
                          <w:i/>
                          <w:sz w:val="22"/>
                        </w:rPr>
                        <w:t xml:space="preserve"> PHLDA2 and ELK3 validated fold changes are comparable to the original microarray fold changes</w:t>
                      </w:r>
                    </w:p>
                    <w:p w14:paraId="033C9FD4" w14:textId="2D6AA3AA" w:rsidR="000A1E0D" w:rsidRPr="00BA3496" w:rsidRDefault="000A1E0D" w:rsidP="00BA3496">
                      <w:pPr>
                        <w:jc w:val="both"/>
                        <w:rPr>
                          <w:i/>
                          <w:sz w:val="22"/>
                        </w:rPr>
                      </w:pPr>
                      <w:r>
                        <w:rPr>
                          <w:i/>
                          <w:sz w:val="22"/>
                        </w:rPr>
                        <w:t xml:space="preserve">Fold changes were calculated from the validation RT-PCR data and compared to the original microarray fold changes as shown above. This highlights further that PHLDA2 and ELK3 follow the same pattern of decreased expression when SRCAP is knocked down, however the fold changes are again a lot lower then what was generated from the microarray. </w:t>
                      </w:r>
                    </w:p>
                    <w:p w14:paraId="0EDF9418" w14:textId="77777777" w:rsidR="000A1E0D" w:rsidRPr="00916545" w:rsidRDefault="000A1E0D" w:rsidP="00BA3496">
                      <w:pPr>
                        <w:jc w:val="both"/>
                        <w:rPr>
                          <w:i/>
                          <w:sz w:val="22"/>
                        </w:rPr>
                      </w:pPr>
                    </w:p>
                  </w:txbxContent>
                </v:textbox>
                <w10:wrap type="square"/>
              </v:shape>
            </w:pict>
          </mc:Fallback>
        </mc:AlternateContent>
      </w:r>
      <w:r w:rsidR="00270169">
        <w:rPr>
          <w:rFonts w:asciiTheme="majorHAnsi" w:hAnsiTheme="majorHAnsi"/>
        </w:rPr>
        <w:t xml:space="preserve">Overall, the results from the new samples did concur with the </w:t>
      </w:r>
      <w:r w:rsidR="000C3DEE">
        <w:rPr>
          <w:rFonts w:asciiTheme="majorHAnsi" w:hAnsiTheme="majorHAnsi"/>
        </w:rPr>
        <w:t xml:space="preserve">validation analyses in the </w:t>
      </w:r>
      <w:r w:rsidR="00270169">
        <w:rPr>
          <w:rFonts w:asciiTheme="majorHAnsi" w:hAnsiTheme="majorHAnsi"/>
        </w:rPr>
        <w:t xml:space="preserve">original samples, in that </w:t>
      </w:r>
      <w:r w:rsidR="00270169" w:rsidRPr="00270169">
        <w:rPr>
          <w:rFonts w:asciiTheme="majorHAnsi" w:hAnsiTheme="majorHAnsi"/>
          <w:i/>
        </w:rPr>
        <w:t>PHLDA2</w:t>
      </w:r>
      <w:r w:rsidR="00270169">
        <w:rPr>
          <w:rFonts w:asciiTheme="majorHAnsi" w:hAnsiTheme="majorHAnsi"/>
        </w:rPr>
        <w:t xml:space="preserve"> and </w:t>
      </w:r>
      <w:r w:rsidR="00270169" w:rsidRPr="00270169">
        <w:rPr>
          <w:rFonts w:asciiTheme="majorHAnsi" w:hAnsiTheme="majorHAnsi"/>
          <w:i/>
        </w:rPr>
        <w:t>ELK3</w:t>
      </w:r>
      <w:r w:rsidR="00270169">
        <w:rPr>
          <w:rFonts w:asciiTheme="majorHAnsi" w:hAnsiTheme="majorHAnsi"/>
        </w:rPr>
        <w:t xml:space="preserve"> looked to be positive hits from the screen</w:t>
      </w:r>
      <w:r w:rsidR="004F41AE">
        <w:rPr>
          <w:rFonts w:asciiTheme="majorHAnsi" w:hAnsiTheme="majorHAnsi"/>
        </w:rPr>
        <w:t>,</w:t>
      </w:r>
      <w:r w:rsidR="00270169">
        <w:rPr>
          <w:rFonts w:asciiTheme="majorHAnsi" w:hAnsiTheme="majorHAnsi"/>
        </w:rPr>
        <w:t xml:space="preserve"> and that when </w:t>
      </w:r>
      <w:r w:rsidR="00270169" w:rsidRPr="00270169">
        <w:rPr>
          <w:rFonts w:asciiTheme="majorHAnsi" w:hAnsiTheme="majorHAnsi"/>
          <w:i/>
        </w:rPr>
        <w:t>SRCAP</w:t>
      </w:r>
      <w:r w:rsidR="00270169">
        <w:rPr>
          <w:rFonts w:asciiTheme="majorHAnsi" w:hAnsiTheme="majorHAnsi"/>
        </w:rPr>
        <w:t xml:space="preserve"> is knocked down they also decrease in expression. </w:t>
      </w:r>
      <w:r w:rsidR="004F41AE">
        <w:rPr>
          <w:rFonts w:asciiTheme="majorHAnsi" w:hAnsiTheme="majorHAnsi"/>
        </w:rPr>
        <w:t xml:space="preserve">However, </w:t>
      </w:r>
      <w:r w:rsidR="00270169" w:rsidRPr="0087326B">
        <w:rPr>
          <w:rFonts w:asciiTheme="majorHAnsi" w:hAnsiTheme="majorHAnsi"/>
          <w:i/>
        </w:rPr>
        <w:t>HIST3H2BB</w:t>
      </w:r>
      <w:r w:rsidR="00270169">
        <w:rPr>
          <w:rFonts w:asciiTheme="majorHAnsi" w:hAnsiTheme="majorHAnsi"/>
        </w:rPr>
        <w:t xml:space="preserve"> was not validated, as </w:t>
      </w:r>
      <w:r w:rsidR="004F41AE">
        <w:rPr>
          <w:rFonts w:asciiTheme="majorHAnsi" w:hAnsiTheme="majorHAnsi"/>
        </w:rPr>
        <w:t xml:space="preserve">the </w:t>
      </w:r>
      <w:r w:rsidR="00270169">
        <w:rPr>
          <w:rFonts w:asciiTheme="majorHAnsi" w:hAnsiTheme="majorHAnsi"/>
        </w:rPr>
        <w:t>Taqman assay results showed no pattern in expression levels consistent with the decrease seen from the microarray. Finally in the knock</w:t>
      </w:r>
      <w:r w:rsidR="0087326B">
        <w:rPr>
          <w:rFonts w:asciiTheme="majorHAnsi" w:hAnsiTheme="majorHAnsi"/>
        </w:rPr>
        <w:t xml:space="preserve">down samples, </w:t>
      </w:r>
      <w:r w:rsidR="0087326B" w:rsidRPr="0087326B">
        <w:rPr>
          <w:rFonts w:asciiTheme="majorHAnsi" w:hAnsiTheme="majorHAnsi"/>
          <w:i/>
        </w:rPr>
        <w:t>FGFBP1</w:t>
      </w:r>
      <w:r w:rsidR="0087326B">
        <w:rPr>
          <w:rFonts w:asciiTheme="majorHAnsi" w:hAnsiTheme="majorHAnsi"/>
          <w:i/>
        </w:rPr>
        <w:t xml:space="preserve"> </w:t>
      </w:r>
      <w:r w:rsidR="0087326B">
        <w:rPr>
          <w:rFonts w:asciiTheme="majorHAnsi" w:hAnsiTheme="majorHAnsi"/>
        </w:rPr>
        <w:t xml:space="preserve">showed moderate over expression in some repeats, however levels in control samples were variable which meant that </w:t>
      </w:r>
      <w:r w:rsidR="004F41AE">
        <w:rPr>
          <w:rFonts w:asciiTheme="majorHAnsi" w:hAnsiTheme="majorHAnsi"/>
        </w:rPr>
        <w:t xml:space="preserve">the Taqman qRT-PCR result </w:t>
      </w:r>
      <w:r w:rsidR="0087326B">
        <w:rPr>
          <w:rFonts w:asciiTheme="majorHAnsi" w:hAnsiTheme="majorHAnsi"/>
        </w:rPr>
        <w:t>was difficult to interpret, but it could still be an interesting gene for further follow up. Unfortunately due to time and financial issues</w:t>
      </w:r>
      <w:r w:rsidR="004F41AE">
        <w:rPr>
          <w:rFonts w:asciiTheme="majorHAnsi" w:hAnsiTheme="majorHAnsi"/>
        </w:rPr>
        <w:t>, new over-</w:t>
      </w:r>
      <w:r w:rsidR="0087326B">
        <w:rPr>
          <w:rFonts w:asciiTheme="majorHAnsi" w:hAnsiTheme="majorHAnsi"/>
        </w:rPr>
        <w:t>expressing samples could not be generated to further validate SOX4 and CPA4. Therefore the results from the original samples were the only validation conducted</w:t>
      </w:r>
      <w:r w:rsidR="009433A4">
        <w:rPr>
          <w:rFonts w:asciiTheme="majorHAnsi" w:hAnsiTheme="majorHAnsi"/>
        </w:rPr>
        <w:t xml:space="preserve"> at this time. </w:t>
      </w:r>
      <w:r w:rsidR="0087326B">
        <w:rPr>
          <w:rFonts w:asciiTheme="majorHAnsi" w:hAnsiTheme="majorHAnsi"/>
        </w:rPr>
        <w:t xml:space="preserve">SOX4 did not show a consistent pattern of decreasing </w:t>
      </w:r>
      <w:r w:rsidR="004F41AE">
        <w:rPr>
          <w:rFonts w:asciiTheme="majorHAnsi" w:hAnsiTheme="majorHAnsi"/>
        </w:rPr>
        <w:t>expression when SRCAP was over-</w:t>
      </w:r>
      <w:r w:rsidR="0087326B">
        <w:rPr>
          <w:rFonts w:asciiTheme="majorHAnsi" w:hAnsiTheme="majorHAnsi"/>
        </w:rPr>
        <w:t>ex</w:t>
      </w:r>
      <w:r w:rsidR="004F41AE">
        <w:rPr>
          <w:rFonts w:asciiTheme="majorHAnsi" w:hAnsiTheme="majorHAnsi"/>
        </w:rPr>
        <w:t>pressed, which may mean it was no</w:t>
      </w:r>
      <w:r w:rsidR="0087326B">
        <w:rPr>
          <w:rFonts w:asciiTheme="majorHAnsi" w:hAnsiTheme="majorHAnsi"/>
        </w:rPr>
        <w:t>t a posit</w:t>
      </w:r>
      <w:r w:rsidR="004F41AE">
        <w:rPr>
          <w:rFonts w:asciiTheme="majorHAnsi" w:hAnsiTheme="majorHAnsi"/>
        </w:rPr>
        <w:t>ive hit, especially as its over-</w:t>
      </w:r>
      <w:r w:rsidR="0087326B">
        <w:rPr>
          <w:rFonts w:asciiTheme="majorHAnsi" w:hAnsiTheme="majorHAnsi"/>
        </w:rPr>
        <w:t>expression wasn’t in the top ten in repeat number thr</w:t>
      </w:r>
      <w:r w:rsidR="004F41AE">
        <w:rPr>
          <w:rFonts w:asciiTheme="majorHAnsi" w:hAnsiTheme="majorHAnsi"/>
        </w:rPr>
        <w:t>ee. However, CPA4 did show over-</w:t>
      </w:r>
      <w:r w:rsidR="0087326B">
        <w:rPr>
          <w:rFonts w:asciiTheme="majorHAnsi" w:hAnsiTheme="majorHAnsi"/>
        </w:rPr>
        <w:t>expressi</w:t>
      </w:r>
      <w:r w:rsidR="004F41AE">
        <w:rPr>
          <w:rFonts w:asciiTheme="majorHAnsi" w:hAnsiTheme="majorHAnsi"/>
        </w:rPr>
        <w:t>on when SRCAP was over-</w:t>
      </w:r>
      <w:r w:rsidR="0087326B">
        <w:rPr>
          <w:rFonts w:asciiTheme="majorHAnsi" w:hAnsiTheme="majorHAnsi"/>
        </w:rPr>
        <w:t xml:space="preserve">expressed and </w:t>
      </w:r>
      <w:r w:rsidR="00B305C3">
        <w:rPr>
          <w:rFonts w:asciiTheme="majorHAnsi" w:hAnsiTheme="majorHAnsi"/>
        </w:rPr>
        <w:t xml:space="preserve">could therefore go on for further investigation. </w:t>
      </w:r>
    </w:p>
    <w:p w14:paraId="63B07F34" w14:textId="77777777" w:rsidR="007C58EA" w:rsidRDefault="007C58EA" w:rsidP="007C58EA">
      <w:pPr>
        <w:spacing w:line="360" w:lineRule="auto"/>
        <w:jc w:val="both"/>
        <w:rPr>
          <w:rFonts w:asciiTheme="majorHAnsi" w:hAnsiTheme="majorHAnsi"/>
        </w:rPr>
      </w:pPr>
    </w:p>
    <w:p w14:paraId="5B362275" w14:textId="176DD498" w:rsidR="007C58EA" w:rsidRDefault="007C58EA" w:rsidP="009430B6">
      <w:pPr>
        <w:rPr>
          <w:rFonts w:asciiTheme="majorHAnsi" w:hAnsiTheme="majorHAnsi"/>
          <w:sz w:val="28"/>
          <w:u w:val="single"/>
        </w:rPr>
      </w:pPr>
      <w:r>
        <w:rPr>
          <w:rFonts w:asciiTheme="majorHAnsi" w:hAnsiTheme="majorHAnsi"/>
          <w:sz w:val="28"/>
          <w:u w:val="single"/>
        </w:rPr>
        <w:t>6.5 Discussion</w:t>
      </w:r>
    </w:p>
    <w:p w14:paraId="46D4D645" w14:textId="77777777" w:rsidR="007C58EA" w:rsidRDefault="007C58EA" w:rsidP="007C58EA">
      <w:pPr>
        <w:rPr>
          <w:rFonts w:asciiTheme="majorHAnsi" w:hAnsiTheme="majorHAnsi"/>
          <w:sz w:val="28"/>
          <w:u w:val="single"/>
        </w:rPr>
      </w:pPr>
    </w:p>
    <w:p w14:paraId="6E2CE0E4" w14:textId="0BEAB262" w:rsidR="007C58EA" w:rsidRDefault="007C58EA" w:rsidP="007C58EA">
      <w:pPr>
        <w:spacing w:line="360" w:lineRule="auto"/>
        <w:jc w:val="both"/>
        <w:rPr>
          <w:rFonts w:asciiTheme="majorHAnsi" w:hAnsiTheme="majorHAnsi"/>
        </w:rPr>
      </w:pPr>
      <w:r>
        <w:rPr>
          <w:rFonts w:asciiTheme="majorHAnsi" w:hAnsiTheme="majorHAnsi"/>
        </w:rPr>
        <w:t xml:space="preserve">In this thesis and other papers </w:t>
      </w:r>
      <w:r>
        <w:rPr>
          <w:rFonts w:asciiTheme="majorHAnsi" w:hAnsiTheme="majorHAns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(Slupianek et al., 2010)</w:t>
      </w:r>
      <w:r>
        <w:rPr>
          <w:rFonts w:asciiTheme="majorHAnsi" w:hAnsiTheme="majorHAnsi"/>
        </w:rPr>
        <w:fldChar w:fldCharType="end"/>
      </w:r>
      <w:r>
        <w:rPr>
          <w:rFonts w:asciiTheme="majorHAnsi" w:hAnsiTheme="majorHAnsi"/>
        </w:rPr>
        <w:t xml:space="preserve"> it has been shown that the depletion of </w:t>
      </w:r>
      <w:r w:rsidRPr="0004704B">
        <w:rPr>
          <w:rFonts w:asciiTheme="majorHAnsi" w:hAnsiTheme="majorHAnsi"/>
        </w:rPr>
        <w:t>SRCAP</w:t>
      </w:r>
      <w:r>
        <w:rPr>
          <w:rFonts w:asciiTheme="majorHAnsi" w:hAnsiTheme="majorHAnsi"/>
        </w:rPr>
        <w:t xml:space="preserve"> inhibits cancer cell growth, po</w:t>
      </w:r>
      <w:r w:rsidR="00D34949">
        <w:rPr>
          <w:rFonts w:asciiTheme="majorHAnsi" w:hAnsiTheme="majorHAnsi"/>
        </w:rPr>
        <w:t>ssibly indicating that the over-</w:t>
      </w:r>
      <w:r>
        <w:rPr>
          <w:rFonts w:asciiTheme="majorHAnsi" w:hAnsiTheme="majorHAnsi"/>
        </w:rPr>
        <w:t>expression of SRCAP</w:t>
      </w:r>
      <w:r w:rsidR="009433A4">
        <w:rPr>
          <w:rFonts w:asciiTheme="majorHAnsi" w:hAnsiTheme="majorHAnsi"/>
        </w:rPr>
        <w:t xml:space="preserve"> found in various cancer types may promote an overgrowth phenotype to facilitate tumour</w:t>
      </w:r>
      <w:r>
        <w:rPr>
          <w:rFonts w:asciiTheme="majorHAnsi" w:hAnsiTheme="majorHAnsi"/>
        </w:rPr>
        <w:t xml:space="preserve"> progression. Therefore it was hypothesised that </w:t>
      </w:r>
      <w:r w:rsidR="00D34949">
        <w:rPr>
          <w:rFonts w:asciiTheme="majorHAnsi" w:hAnsiTheme="majorHAnsi"/>
        </w:rPr>
        <w:t>over-</w:t>
      </w:r>
      <w:r w:rsidR="009433A4">
        <w:rPr>
          <w:rFonts w:asciiTheme="majorHAnsi" w:hAnsiTheme="majorHAnsi"/>
        </w:rPr>
        <w:t xml:space="preserve">expression of </w:t>
      </w:r>
      <w:r w:rsidR="009433A4" w:rsidRPr="009433A4">
        <w:rPr>
          <w:rFonts w:asciiTheme="majorHAnsi" w:hAnsiTheme="majorHAnsi"/>
          <w:i/>
        </w:rPr>
        <w:t>SRCAP</w:t>
      </w:r>
      <w:r w:rsidR="009433A4">
        <w:rPr>
          <w:rFonts w:asciiTheme="majorHAnsi" w:hAnsiTheme="majorHAnsi"/>
        </w:rPr>
        <w:t xml:space="preserve"> </w:t>
      </w:r>
      <w:r>
        <w:rPr>
          <w:rFonts w:asciiTheme="majorHAnsi" w:hAnsiTheme="majorHAnsi"/>
        </w:rPr>
        <w:t xml:space="preserve">would </w:t>
      </w:r>
      <w:r w:rsidR="009433A4">
        <w:rPr>
          <w:rFonts w:asciiTheme="majorHAnsi" w:hAnsiTheme="majorHAnsi"/>
        </w:rPr>
        <w:t>lead to</w:t>
      </w:r>
      <w:r>
        <w:rPr>
          <w:rFonts w:asciiTheme="majorHAnsi" w:hAnsiTheme="majorHAnsi"/>
        </w:rPr>
        <w:t xml:space="preserve"> a subsequent increase in genes that correlated to known cancer pathways such as proliferation, genome instability and angiogenesis. </w:t>
      </w:r>
      <w:r w:rsidR="009433A4">
        <w:rPr>
          <w:rFonts w:asciiTheme="majorHAnsi" w:hAnsiTheme="majorHAnsi"/>
        </w:rPr>
        <w:t>I</w:t>
      </w:r>
      <w:r>
        <w:rPr>
          <w:rFonts w:asciiTheme="majorHAnsi" w:hAnsiTheme="majorHAnsi"/>
        </w:rPr>
        <w:t xml:space="preserve">n comparison, </w:t>
      </w:r>
      <w:r w:rsidR="009433A4">
        <w:rPr>
          <w:rFonts w:asciiTheme="majorHAnsi" w:hAnsiTheme="majorHAnsi"/>
        </w:rPr>
        <w:t xml:space="preserve">depletion of </w:t>
      </w:r>
      <w:r w:rsidRPr="0004704B">
        <w:rPr>
          <w:rFonts w:asciiTheme="majorHAnsi" w:hAnsiTheme="majorHAnsi"/>
          <w:i/>
        </w:rPr>
        <w:t>SRCAP</w:t>
      </w:r>
      <w:r w:rsidR="009433A4">
        <w:rPr>
          <w:rFonts w:asciiTheme="majorHAnsi" w:hAnsiTheme="majorHAnsi"/>
        </w:rPr>
        <w:t xml:space="preserve"> was hypothesised to lead to </w:t>
      </w:r>
      <w:r>
        <w:rPr>
          <w:rFonts w:asciiTheme="majorHAnsi" w:hAnsiTheme="majorHAnsi"/>
        </w:rPr>
        <w:t>a decrease in gene expression associated with tumour progression.  It may also be thought that due to p400 h</w:t>
      </w:r>
      <w:r w:rsidR="00642915">
        <w:rPr>
          <w:rFonts w:asciiTheme="majorHAnsi" w:hAnsiTheme="majorHAnsi"/>
        </w:rPr>
        <w:t>aving links to the WNT</w:t>
      </w:r>
      <w:r>
        <w:rPr>
          <w:rFonts w:asciiTheme="majorHAnsi" w:hAnsiTheme="majorHAnsi"/>
        </w:rPr>
        <w:t xml:space="preserve"> pathway</w:t>
      </w:r>
      <w:r w:rsidR="009433A4">
        <w:rPr>
          <w:rFonts w:asciiTheme="majorHAnsi" w:hAnsiTheme="majorHAnsi"/>
        </w:rPr>
        <w:t xml:space="preserve"> genes</w:t>
      </w:r>
      <w:r>
        <w:rPr>
          <w:rFonts w:asciiTheme="majorHAnsi" w:hAnsiTheme="majorHAnsi"/>
        </w:rPr>
        <w:t xml:space="preserve"> when aberrantly expressed </w:t>
      </w:r>
      <w:r>
        <w:rPr>
          <w:rFonts w:asciiTheme="majorHAnsi" w:hAnsiTheme="majorHAnsi"/>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Pr>
          <w:rFonts w:asciiTheme="majorHAnsi" w:hAnsiTheme="majorHAnsi"/>
        </w:rPr>
        <w:instrText xml:space="preserve"> ADDIN EN.CITE </w:instrText>
      </w:r>
      <w:r>
        <w:rPr>
          <w:rFonts w:asciiTheme="majorHAnsi" w:hAnsiTheme="majorHAnsi"/>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Pr>
          <w:rFonts w:asciiTheme="majorHAnsi" w:hAnsiTheme="majorHAnsi"/>
        </w:rPr>
        <w:instrText xml:space="preserve"> ADDIN EN.CITE.DATA </w:instrText>
      </w:r>
      <w:r>
        <w:rPr>
          <w:rFonts w:asciiTheme="majorHAnsi" w:hAnsiTheme="majorHAnsi"/>
        </w:rPr>
      </w:r>
      <w:r>
        <w:rPr>
          <w:rFonts w:asciiTheme="majorHAnsi" w:hAnsiTheme="majorHAnsi"/>
        </w:rPr>
        <w:fldChar w:fldCharType="end"/>
      </w:r>
      <w:r>
        <w:rPr>
          <w:rFonts w:asciiTheme="majorHAnsi" w:hAnsiTheme="majorHAnsi"/>
        </w:rPr>
      </w:r>
      <w:r>
        <w:rPr>
          <w:rFonts w:asciiTheme="majorHAnsi" w:hAnsiTheme="majorHAnsi"/>
        </w:rPr>
        <w:fldChar w:fldCharType="separate"/>
      </w:r>
      <w:r>
        <w:rPr>
          <w:rFonts w:asciiTheme="majorHAnsi" w:hAnsiTheme="majorHAnsi"/>
          <w:noProof/>
        </w:rPr>
        <w:t>(Chevillard-Briet et al., 2014)</w:t>
      </w:r>
      <w:r>
        <w:rPr>
          <w:rFonts w:asciiTheme="majorHAnsi" w:hAnsiTheme="majorHAnsi"/>
        </w:rPr>
        <w:fldChar w:fldCharType="end"/>
      </w:r>
      <w:r>
        <w:rPr>
          <w:rFonts w:asciiTheme="majorHAnsi" w:hAnsiTheme="majorHAnsi"/>
        </w:rPr>
        <w:t xml:space="preserve">, that the same could be true of SRCAP due to their functional similarities. To test these theories a RNA microarray was conducted using </w:t>
      </w:r>
      <w:r w:rsidRPr="0004704B">
        <w:rPr>
          <w:rFonts w:asciiTheme="majorHAnsi" w:hAnsiTheme="majorHAnsi"/>
          <w:i/>
        </w:rPr>
        <w:t>SRCAP</w:t>
      </w:r>
      <w:r w:rsidR="002C2E2A">
        <w:rPr>
          <w:rFonts w:asciiTheme="majorHAnsi" w:hAnsiTheme="majorHAnsi"/>
        </w:rPr>
        <w:t xml:space="preserve"> knock</w:t>
      </w:r>
      <w:r w:rsidR="00D34949">
        <w:rPr>
          <w:rFonts w:asciiTheme="majorHAnsi" w:hAnsiTheme="majorHAnsi"/>
        </w:rPr>
        <w:t>down and over-</w:t>
      </w:r>
      <w:r>
        <w:rPr>
          <w:rFonts w:asciiTheme="majorHAnsi" w:hAnsiTheme="majorHAnsi"/>
        </w:rPr>
        <w:t>expression samples in order to assess genome wide transcript levels against the expression found in normal HCT116 control cells.</w:t>
      </w:r>
    </w:p>
    <w:p w14:paraId="4ABC8423" w14:textId="77777777" w:rsidR="007C58EA" w:rsidRDefault="007C58EA" w:rsidP="007C58EA">
      <w:pPr>
        <w:spacing w:line="360" w:lineRule="auto"/>
        <w:jc w:val="both"/>
        <w:rPr>
          <w:rFonts w:asciiTheme="majorHAnsi" w:hAnsiTheme="majorHAnsi"/>
        </w:rPr>
      </w:pPr>
    </w:p>
    <w:p w14:paraId="3D260F8D" w14:textId="206BC8E2" w:rsidR="007C58EA" w:rsidRPr="00D02990" w:rsidRDefault="002C2E2A" w:rsidP="002F41C6">
      <w:pPr>
        <w:pStyle w:val="ListParagraph"/>
        <w:numPr>
          <w:ilvl w:val="0"/>
          <w:numId w:val="28"/>
        </w:numPr>
        <w:spacing w:line="360" w:lineRule="auto"/>
        <w:jc w:val="both"/>
        <w:rPr>
          <w:rFonts w:asciiTheme="majorHAnsi" w:hAnsiTheme="majorHAnsi"/>
          <w:b/>
          <w:i/>
        </w:rPr>
      </w:pPr>
      <w:r>
        <w:rPr>
          <w:rFonts w:asciiTheme="majorHAnsi" w:hAnsiTheme="majorHAnsi"/>
          <w:b/>
          <w:i/>
        </w:rPr>
        <w:t>SRCAP knock</w:t>
      </w:r>
      <w:r w:rsidR="007C58EA" w:rsidRPr="00D02990">
        <w:rPr>
          <w:rFonts w:asciiTheme="majorHAnsi" w:hAnsiTheme="majorHAnsi"/>
          <w:b/>
          <w:i/>
        </w:rPr>
        <w:t>down alters genes associated with cancer progression</w:t>
      </w:r>
    </w:p>
    <w:p w14:paraId="782F7015" w14:textId="2725EE8C" w:rsidR="007C58EA" w:rsidRDefault="007C58EA" w:rsidP="007C58EA">
      <w:pPr>
        <w:spacing w:line="360" w:lineRule="auto"/>
        <w:jc w:val="both"/>
        <w:rPr>
          <w:rFonts w:asciiTheme="majorHAnsi" w:hAnsiTheme="majorHAnsi"/>
        </w:rPr>
      </w:pPr>
      <w:r>
        <w:rPr>
          <w:rFonts w:asciiTheme="majorHAnsi" w:hAnsiTheme="majorHAnsi"/>
        </w:rPr>
        <w:t xml:space="preserve">Firstly when the individual control vs si6 repeats were put together there was good correlation in the fold changes between each of the experiments, indicating that fold changes for individual genes were </w:t>
      </w:r>
      <w:r w:rsidR="004F41AE">
        <w:rPr>
          <w:rFonts w:asciiTheme="majorHAnsi" w:hAnsiTheme="majorHAnsi"/>
        </w:rPr>
        <w:t>reproducible</w:t>
      </w:r>
      <w:r>
        <w:rPr>
          <w:rFonts w:asciiTheme="majorHAnsi" w:hAnsiTheme="majorHAnsi"/>
        </w:rPr>
        <w:t xml:space="preserve"> and giving more confidence in the hits which were produced. Overall there was an average of 3608 differentially expressed genes between the control microarrays and the </w:t>
      </w:r>
      <w:r w:rsidRPr="0004704B">
        <w:rPr>
          <w:rFonts w:asciiTheme="majorHAnsi" w:hAnsiTheme="majorHAnsi"/>
          <w:i/>
        </w:rPr>
        <w:t>SRCAP</w:t>
      </w:r>
      <w:r w:rsidR="002C2E2A">
        <w:rPr>
          <w:rFonts w:asciiTheme="majorHAnsi" w:hAnsiTheme="majorHAnsi"/>
        </w:rPr>
        <w:t xml:space="preserve"> knock</w:t>
      </w:r>
      <w:r>
        <w:rPr>
          <w:rFonts w:asciiTheme="majorHAnsi" w:hAnsiTheme="majorHAnsi"/>
        </w:rPr>
        <w:t xml:space="preserve">down microarrays. </w:t>
      </w:r>
      <w:r w:rsidR="009433A4">
        <w:rPr>
          <w:rFonts w:asciiTheme="majorHAnsi" w:hAnsiTheme="majorHAnsi"/>
        </w:rPr>
        <w:t>Within</w:t>
      </w:r>
      <w:r>
        <w:rPr>
          <w:rFonts w:asciiTheme="majorHAnsi" w:hAnsiTheme="majorHAnsi"/>
        </w:rPr>
        <w:t xml:space="preserve"> the top twenty positive fold changes there were six genes that were present in all three repeats </w:t>
      </w:r>
      <w:r w:rsidR="009433A4">
        <w:rPr>
          <w:rFonts w:asciiTheme="majorHAnsi" w:hAnsiTheme="majorHAnsi"/>
        </w:rPr>
        <w:t xml:space="preserve">that exhibited </w:t>
      </w:r>
      <w:r>
        <w:rPr>
          <w:rFonts w:asciiTheme="majorHAnsi" w:hAnsiTheme="majorHAnsi"/>
        </w:rPr>
        <w:t xml:space="preserve">decreased expression </w:t>
      </w:r>
      <w:r w:rsidR="009433A4">
        <w:rPr>
          <w:rFonts w:asciiTheme="majorHAnsi" w:hAnsiTheme="majorHAnsi"/>
        </w:rPr>
        <w:t>in</w:t>
      </w:r>
      <w:r>
        <w:rPr>
          <w:rFonts w:asciiTheme="majorHAnsi" w:hAnsiTheme="majorHAnsi"/>
        </w:rPr>
        <w:t xml:space="preserve"> </w:t>
      </w:r>
      <w:r w:rsidRPr="0004704B">
        <w:rPr>
          <w:rFonts w:asciiTheme="majorHAnsi" w:hAnsiTheme="majorHAnsi"/>
          <w:i/>
        </w:rPr>
        <w:t>SRCAP</w:t>
      </w:r>
      <w:r>
        <w:rPr>
          <w:rFonts w:asciiTheme="majorHAnsi" w:hAnsiTheme="majorHAnsi"/>
        </w:rPr>
        <w:t xml:space="preserve"> </w:t>
      </w:r>
      <w:r w:rsidR="009433A4">
        <w:rPr>
          <w:rFonts w:asciiTheme="majorHAnsi" w:hAnsiTheme="majorHAnsi"/>
        </w:rPr>
        <w:t>deplete</w:t>
      </w:r>
      <w:r w:rsidR="004F41AE">
        <w:rPr>
          <w:rFonts w:asciiTheme="majorHAnsi" w:hAnsiTheme="majorHAnsi"/>
        </w:rPr>
        <w:t>d</w:t>
      </w:r>
      <w:r w:rsidR="009433A4">
        <w:rPr>
          <w:rFonts w:asciiTheme="majorHAnsi" w:hAnsiTheme="majorHAnsi"/>
        </w:rPr>
        <w:t xml:space="preserve"> cells</w:t>
      </w:r>
      <w:r w:rsidR="004F41AE">
        <w:rPr>
          <w:rFonts w:asciiTheme="majorHAnsi" w:hAnsiTheme="majorHAnsi"/>
        </w:rPr>
        <w:t>,</w:t>
      </w:r>
      <w:r w:rsidR="009433A4">
        <w:rPr>
          <w:rFonts w:asciiTheme="majorHAnsi" w:hAnsiTheme="majorHAnsi"/>
        </w:rPr>
        <w:t xml:space="preserve"> which </w:t>
      </w:r>
      <w:r w:rsidR="004F41AE">
        <w:rPr>
          <w:rFonts w:asciiTheme="majorHAnsi" w:hAnsiTheme="majorHAnsi"/>
        </w:rPr>
        <w:t>included</w:t>
      </w:r>
      <w:r w:rsidR="009433A4">
        <w:rPr>
          <w:rFonts w:asciiTheme="majorHAnsi" w:hAnsiTheme="majorHAnsi"/>
        </w:rPr>
        <w:t xml:space="preserve"> several</w:t>
      </w:r>
      <w:r>
        <w:rPr>
          <w:rFonts w:asciiTheme="majorHAnsi" w:hAnsiTheme="majorHAnsi"/>
        </w:rPr>
        <w:t xml:space="preserve"> genes associated with the nucleosome structure and regulation of gene expression. The top twenty negative</w:t>
      </w:r>
      <w:r w:rsidR="009433A4">
        <w:rPr>
          <w:rFonts w:asciiTheme="majorHAnsi" w:hAnsiTheme="majorHAnsi"/>
        </w:rPr>
        <w:t xml:space="preserve"> fold changes showed nine genes</w:t>
      </w:r>
      <w:r>
        <w:rPr>
          <w:rFonts w:asciiTheme="majorHAnsi" w:hAnsiTheme="majorHAnsi"/>
        </w:rPr>
        <w:t xml:space="preserve"> </w:t>
      </w:r>
      <w:r w:rsidR="009433A4">
        <w:rPr>
          <w:rFonts w:asciiTheme="majorHAnsi" w:hAnsiTheme="majorHAnsi"/>
        </w:rPr>
        <w:t>that exhibited</w:t>
      </w:r>
      <w:r>
        <w:rPr>
          <w:rFonts w:asciiTheme="majorHAnsi" w:hAnsiTheme="majorHAnsi"/>
        </w:rPr>
        <w:t xml:space="preserve"> increased expression </w:t>
      </w:r>
      <w:r w:rsidR="009433A4">
        <w:rPr>
          <w:rFonts w:asciiTheme="majorHAnsi" w:hAnsiTheme="majorHAnsi"/>
        </w:rPr>
        <w:t>in</w:t>
      </w:r>
      <w:r>
        <w:rPr>
          <w:rFonts w:asciiTheme="majorHAnsi" w:hAnsiTheme="majorHAnsi"/>
        </w:rPr>
        <w:t xml:space="preserve"> </w:t>
      </w:r>
      <w:r w:rsidRPr="0004704B">
        <w:rPr>
          <w:rFonts w:asciiTheme="majorHAnsi" w:hAnsiTheme="majorHAnsi"/>
          <w:i/>
        </w:rPr>
        <w:t>SRCAP</w:t>
      </w:r>
      <w:r>
        <w:rPr>
          <w:rFonts w:asciiTheme="majorHAnsi" w:hAnsiTheme="majorHAnsi"/>
        </w:rPr>
        <w:t xml:space="preserve"> depleted </w:t>
      </w:r>
      <w:r w:rsidR="009433A4">
        <w:rPr>
          <w:rFonts w:asciiTheme="majorHAnsi" w:hAnsiTheme="majorHAnsi"/>
        </w:rPr>
        <w:t>cells</w:t>
      </w:r>
      <w:r>
        <w:rPr>
          <w:rFonts w:asciiTheme="majorHAnsi" w:hAnsiTheme="majorHAnsi"/>
        </w:rPr>
        <w:t xml:space="preserve">. </w:t>
      </w:r>
      <w:r w:rsidR="009433A4">
        <w:rPr>
          <w:rFonts w:asciiTheme="majorHAnsi" w:hAnsiTheme="majorHAnsi"/>
        </w:rPr>
        <w:t xml:space="preserve">Interestingly, genes </w:t>
      </w:r>
      <w:r>
        <w:rPr>
          <w:rFonts w:asciiTheme="majorHAnsi" w:hAnsiTheme="majorHAnsi"/>
        </w:rPr>
        <w:t xml:space="preserve">associated with cell proliferation were found in these lists. There was a decrease in the expression of genes associated with the cell cycle, especially mitosis when </w:t>
      </w:r>
      <w:r w:rsidRPr="0004704B">
        <w:rPr>
          <w:rFonts w:asciiTheme="majorHAnsi" w:hAnsiTheme="majorHAnsi"/>
          <w:i/>
        </w:rPr>
        <w:t>SRCAP</w:t>
      </w:r>
      <w:r>
        <w:rPr>
          <w:rFonts w:asciiTheme="majorHAnsi" w:hAnsiTheme="majorHAnsi"/>
        </w:rPr>
        <w:t xml:space="preserve"> was knocked down and an increase in expression of genes associated with apoptosis. </w:t>
      </w:r>
      <w:r w:rsidR="009433A4">
        <w:rPr>
          <w:rFonts w:asciiTheme="majorHAnsi" w:hAnsiTheme="majorHAnsi"/>
        </w:rPr>
        <w:t>Overall there were several hits within the top 20 lists that already had links to cancer, and as such, these were further validated.</w:t>
      </w:r>
    </w:p>
    <w:p w14:paraId="4EEBC9FE" w14:textId="77777777" w:rsidR="007C58EA" w:rsidRDefault="007C58EA" w:rsidP="007C58EA">
      <w:pPr>
        <w:spacing w:line="360" w:lineRule="auto"/>
        <w:jc w:val="both"/>
        <w:rPr>
          <w:rFonts w:asciiTheme="majorHAnsi" w:hAnsiTheme="majorHAnsi"/>
        </w:rPr>
      </w:pPr>
    </w:p>
    <w:p w14:paraId="46B0F28F" w14:textId="0E3C032F" w:rsidR="007C58EA" w:rsidRDefault="004F41AE" w:rsidP="007C58EA">
      <w:pPr>
        <w:spacing w:line="360" w:lineRule="auto"/>
        <w:jc w:val="both"/>
        <w:rPr>
          <w:rFonts w:asciiTheme="majorHAnsi" w:hAnsiTheme="majorHAnsi"/>
        </w:rPr>
      </w:pPr>
      <w:r>
        <w:rPr>
          <w:rFonts w:asciiTheme="majorHAnsi" w:hAnsiTheme="majorHAnsi"/>
        </w:rPr>
        <w:t xml:space="preserve">The STRING figures showed </w:t>
      </w:r>
      <w:r w:rsidR="007C58EA">
        <w:rPr>
          <w:rFonts w:asciiTheme="majorHAnsi" w:hAnsiTheme="majorHAnsi"/>
        </w:rPr>
        <w:t xml:space="preserve">proof of concept that when </w:t>
      </w:r>
      <w:r w:rsidR="007C58EA" w:rsidRPr="0004704B">
        <w:rPr>
          <w:rFonts w:asciiTheme="majorHAnsi" w:hAnsiTheme="majorHAnsi"/>
          <w:i/>
        </w:rPr>
        <w:t>SRCAP</w:t>
      </w:r>
      <w:r w:rsidR="007C58EA">
        <w:rPr>
          <w:rFonts w:asciiTheme="majorHAnsi" w:hAnsiTheme="majorHAnsi"/>
        </w:rPr>
        <w:t xml:space="preserve"> was depleted gene expression of nucleosome-associated factors was decreased. When </w:t>
      </w:r>
      <w:r w:rsidR="007C58EA" w:rsidRPr="0004704B">
        <w:rPr>
          <w:rFonts w:asciiTheme="majorHAnsi" w:hAnsiTheme="majorHAnsi"/>
          <w:i/>
        </w:rPr>
        <w:t>SRCAP</w:t>
      </w:r>
      <w:r w:rsidR="007C58EA">
        <w:rPr>
          <w:rFonts w:asciiTheme="majorHAnsi" w:hAnsiTheme="majorHAnsi"/>
        </w:rPr>
        <w:t xml:space="preserve"> was depleted there was an increase in gene expression associated with apoptosis, although </w:t>
      </w:r>
      <w:r w:rsidR="00FD0C71">
        <w:rPr>
          <w:rFonts w:asciiTheme="majorHAnsi" w:hAnsiTheme="majorHAnsi"/>
        </w:rPr>
        <w:t>effects on apoptosis were</w:t>
      </w:r>
      <w:r w:rsidR="007C58EA">
        <w:rPr>
          <w:rFonts w:asciiTheme="majorHAnsi" w:hAnsiTheme="majorHAnsi"/>
        </w:rPr>
        <w:t xml:space="preserve"> not seen in experimental data in results chapter 4. How</w:t>
      </w:r>
      <w:r w:rsidR="00FD0C71">
        <w:rPr>
          <w:rFonts w:asciiTheme="majorHAnsi" w:hAnsiTheme="majorHAnsi"/>
        </w:rPr>
        <w:t xml:space="preserve">ever, the STRING database uses </w:t>
      </w:r>
      <w:r w:rsidR="007C58EA">
        <w:rPr>
          <w:rFonts w:asciiTheme="majorHAnsi" w:hAnsiTheme="majorHAnsi"/>
        </w:rPr>
        <w:t xml:space="preserve">algorithms to combine online experimental data and published papers to </w:t>
      </w:r>
      <w:r w:rsidR="009433A4">
        <w:rPr>
          <w:rFonts w:asciiTheme="majorHAnsi" w:hAnsiTheme="majorHAnsi"/>
        </w:rPr>
        <w:t>determine</w:t>
      </w:r>
      <w:r w:rsidR="007C58EA">
        <w:rPr>
          <w:rFonts w:asciiTheme="majorHAnsi" w:hAnsiTheme="majorHAnsi"/>
        </w:rPr>
        <w:t xml:space="preserve"> the </w:t>
      </w:r>
      <w:r w:rsidR="009433A4">
        <w:rPr>
          <w:rFonts w:asciiTheme="majorHAnsi" w:hAnsiTheme="majorHAnsi"/>
        </w:rPr>
        <w:t xml:space="preserve">putative </w:t>
      </w:r>
      <w:r w:rsidR="007C58EA">
        <w:rPr>
          <w:rFonts w:asciiTheme="majorHAnsi" w:hAnsiTheme="majorHAnsi"/>
        </w:rPr>
        <w:t>protein-protein network images</w:t>
      </w:r>
      <w:r w:rsidR="00FD0C71">
        <w:rPr>
          <w:rFonts w:asciiTheme="majorHAnsi" w:hAnsiTheme="majorHAnsi"/>
        </w:rPr>
        <w:t>,</w:t>
      </w:r>
      <w:r w:rsidR="007C58EA">
        <w:rPr>
          <w:rFonts w:asciiTheme="majorHAnsi" w:hAnsiTheme="majorHAnsi"/>
        </w:rPr>
        <w:t xml:space="preserve"> and therefore these findings are preliminary and broad and would need to be further investigated</w:t>
      </w:r>
      <w:r w:rsidR="009433A4">
        <w:rPr>
          <w:rFonts w:asciiTheme="majorHAnsi" w:hAnsiTheme="majorHAnsi"/>
        </w:rPr>
        <w:t>/validated</w:t>
      </w:r>
      <w:r w:rsidR="007C58EA">
        <w:rPr>
          <w:rFonts w:asciiTheme="majorHAnsi" w:hAnsiTheme="majorHAnsi"/>
        </w:rPr>
        <w:t xml:space="preserve">. For example when the database labels genes </w:t>
      </w:r>
      <w:r w:rsidR="009433A4">
        <w:rPr>
          <w:rFonts w:asciiTheme="majorHAnsi" w:hAnsiTheme="majorHAnsi"/>
        </w:rPr>
        <w:t>“</w:t>
      </w:r>
      <w:r w:rsidR="007C58EA">
        <w:rPr>
          <w:rFonts w:asciiTheme="majorHAnsi" w:hAnsiTheme="majorHAnsi"/>
        </w:rPr>
        <w:t>enriched for regulators of apoptosis</w:t>
      </w:r>
      <w:r w:rsidR="009433A4">
        <w:rPr>
          <w:rFonts w:asciiTheme="majorHAnsi" w:hAnsiTheme="majorHAnsi"/>
        </w:rPr>
        <w:t>”</w:t>
      </w:r>
      <w:r w:rsidR="007C58EA">
        <w:rPr>
          <w:rFonts w:asciiTheme="majorHAnsi" w:hAnsiTheme="majorHAnsi"/>
        </w:rPr>
        <w:t xml:space="preserve"> it is not clear whether this is an up-</w:t>
      </w:r>
      <w:r w:rsidR="00FD0C71">
        <w:rPr>
          <w:rFonts w:asciiTheme="majorHAnsi" w:hAnsiTheme="majorHAnsi"/>
        </w:rPr>
        <w:t>regulation of apoptosis or down-</w:t>
      </w:r>
      <w:r w:rsidR="007C58EA">
        <w:rPr>
          <w:rFonts w:asciiTheme="majorHAnsi" w:hAnsiTheme="majorHAnsi"/>
        </w:rPr>
        <w:t>regulation</w:t>
      </w:r>
      <w:r w:rsidR="00FD0C71">
        <w:rPr>
          <w:rFonts w:asciiTheme="majorHAnsi" w:hAnsiTheme="majorHAnsi"/>
        </w:rPr>
        <w:t>,</w:t>
      </w:r>
      <w:r w:rsidR="007C58EA">
        <w:rPr>
          <w:rFonts w:asciiTheme="majorHAnsi" w:hAnsiTheme="majorHAnsi"/>
        </w:rPr>
        <w:t xml:space="preserve"> and so conclusions drawn from these statements should be tentative. </w:t>
      </w:r>
    </w:p>
    <w:p w14:paraId="0D563743" w14:textId="77777777" w:rsidR="007C58EA" w:rsidRDefault="007C58EA" w:rsidP="007C58EA">
      <w:pPr>
        <w:spacing w:line="360" w:lineRule="auto"/>
        <w:jc w:val="both"/>
        <w:rPr>
          <w:rFonts w:asciiTheme="majorHAnsi" w:hAnsiTheme="majorHAnsi"/>
        </w:rPr>
      </w:pPr>
    </w:p>
    <w:p w14:paraId="3F92BA9D" w14:textId="2D8A40F7" w:rsidR="007C58EA" w:rsidRPr="00D02990" w:rsidRDefault="00D34949" w:rsidP="002F41C6">
      <w:pPr>
        <w:pStyle w:val="ListParagraph"/>
        <w:numPr>
          <w:ilvl w:val="0"/>
          <w:numId w:val="28"/>
        </w:numPr>
        <w:spacing w:line="360" w:lineRule="auto"/>
        <w:jc w:val="both"/>
        <w:rPr>
          <w:rFonts w:asciiTheme="majorHAnsi" w:hAnsiTheme="majorHAnsi"/>
          <w:b/>
          <w:i/>
        </w:rPr>
      </w:pPr>
      <w:r>
        <w:rPr>
          <w:rFonts w:asciiTheme="majorHAnsi" w:hAnsiTheme="majorHAnsi"/>
          <w:b/>
          <w:i/>
        </w:rPr>
        <w:t>SRCAP over-</w:t>
      </w:r>
      <w:r w:rsidR="007C58EA" w:rsidRPr="00D02990">
        <w:rPr>
          <w:rFonts w:asciiTheme="majorHAnsi" w:hAnsiTheme="majorHAnsi"/>
          <w:b/>
          <w:i/>
        </w:rPr>
        <w:t>expression shows variation between repeats</w:t>
      </w:r>
    </w:p>
    <w:p w14:paraId="7B0DF87E" w14:textId="2C3CF74B" w:rsidR="007C58EA" w:rsidRDefault="007C58EA" w:rsidP="007C58EA">
      <w:pPr>
        <w:spacing w:line="360" w:lineRule="auto"/>
        <w:jc w:val="both"/>
        <w:rPr>
          <w:rFonts w:asciiTheme="majorHAnsi" w:hAnsiTheme="majorHAnsi"/>
        </w:rPr>
      </w:pPr>
      <w:r>
        <w:rPr>
          <w:rFonts w:asciiTheme="majorHAnsi" w:hAnsiTheme="majorHAnsi"/>
        </w:rPr>
        <w:t xml:space="preserve">The data produced from the </w:t>
      </w:r>
      <w:r w:rsidR="009433A4">
        <w:rPr>
          <w:rFonts w:asciiTheme="majorHAnsi" w:hAnsiTheme="majorHAnsi"/>
        </w:rPr>
        <w:t xml:space="preserve">independent </w:t>
      </w:r>
      <w:r>
        <w:rPr>
          <w:rFonts w:asciiTheme="majorHAnsi" w:hAnsiTheme="majorHAnsi"/>
        </w:rPr>
        <w:t xml:space="preserve">control vs </w:t>
      </w:r>
      <w:r w:rsidRPr="0004704B">
        <w:rPr>
          <w:rFonts w:asciiTheme="majorHAnsi" w:hAnsiTheme="majorHAnsi"/>
          <w:i/>
        </w:rPr>
        <w:t>YFP SRCAP</w:t>
      </w:r>
      <w:r>
        <w:rPr>
          <w:rFonts w:asciiTheme="majorHAnsi" w:hAnsiTheme="majorHAnsi"/>
        </w:rPr>
        <w:t xml:space="preserve"> </w:t>
      </w:r>
      <w:r w:rsidR="009433A4">
        <w:rPr>
          <w:rFonts w:asciiTheme="majorHAnsi" w:hAnsiTheme="majorHAnsi"/>
        </w:rPr>
        <w:t xml:space="preserve">repeat </w:t>
      </w:r>
      <w:r>
        <w:rPr>
          <w:rFonts w:asciiTheme="majorHAnsi" w:hAnsiTheme="majorHAnsi"/>
        </w:rPr>
        <w:t xml:space="preserve">data sets were not as correlated as with si6. Test 3 had over double the </w:t>
      </w:r>
      <w:r w:rsidR="007D2CEC">
        <w:rPr>
          <w:rFonts w:asciiTheme="majorHAnsi" w:hAnsiTheme="majorHAnsi"/>
        </w:rPr>
        <w:t>number</w:t>
      </w:r>
      <w:r>
        <w:rPr>
          <w:rFonts w:asciiTheme="majorHAnsi" w:hAnsiTheme="majorHAnsi"/>
        </w:rPr>
        <w:t xml:space="preserve"> of fold changes compared to the other two tests, which </w:t>
      </w:r>
      <w:r w:rsidR="009433A4">
        <w:rPr>
          <w:rFonts w:asciiTheme="majorHAnsi" w:hAnsiTheme="majorHAnsi"/>
        </w:rPr>
        <w:t>were</w:t>
      </w:r>
      <w:r>
        <w:rPr>
          <w:rFonts w:asciiTheme="majorHAnsi" w:hAnsiTheme="majorHAnsi"/>
        </w:rPr>
        <w:t xml:space="preserve"> more closely matched. Test 3 was the repeat that had the highest SRCAP expression, however it was also the repeat that had a larger signal plot indicating a divergent signal from the rest of the arrays. Therefore which </w:t>
      </w:r>
      <w:r w:rsidR="00FD0C71">
        <w:rPr>
          <w:rFonts w:asciiTheme="majorHAnsi" w:hAnsiTheme="majorHAnsi"/>
        </w:rPr>
        <w:t>of these</w:t>
      </w:r>
      <w:r>
        <w:rPr>
          <w:rFonts w:asciiTheme="majorHAnsi" w:hAnsiTheme="majorHAnsi"/>
        </w:rPr>
        <w:t xml:space="preserve"> had the largest effect on the aberrant results is unclear, or whether both contributed in some part. There were no genes within the three top twenty lists for positive fold changes which were found across all </w:t>
      </w:r>
      <w:r w:rsidR="009433A4">
        <w:rPr>
          <w:rFonts w:asciiTheme="majorHAnsi" w:hAnsiTheme="majorHAnsi"/>
        </w:rPr>
        <w:t xml:space="preserve">three independent </w:t>
      </w:r>
      <w:r>
        <w:rPr>
          <w:rFonts w:asciiTheme="majorHAnsi" w:hAnsiTheme="majorHAnsi"/>
        </w:rPr>
        <w:t xml:space="preserve">repeats and only </w:t>
      </w:r>
      <w:r w:rsidRPr="0004704B">
        <w:rPr>
          <w:rFonts w:asciiTheme="majorHAnsi" w:hAnsiTheme="majorHAnsi"/>
          <w:i/>
        </w:rPr>
        <w:t>SOX4</w:t>
      </w:r>
      <w:r w:rsidR="009433A4">
        <w:rPr>
          <w:rFonts w:asciiTheme="majorHAnsi" w:hAnsiTheme="majorHAnsi"/>
        </w:rPr>
        <w:t xml:space="preserve"> was found in repeats 1 and 2. T</w:t>
      </w:r>
      <w:r>
        <w:rPr>
          <w:rFonts w:asciiTheme="majorHAnsi" w:hAnsiTheme="majorHAnsi"/>
        </w:rPr>
        <w:t xml:space="preserve">he STRING database </w:t>
      </w:r>
      <w:r w:rsidR="009433A4">
        <w:rPr>
          <w:rFonts w:asciiTheme="majorHAnsi" w:hAnsiTheme="majorHAnsi"/>
        </w:rPr>
        <w:t xml:space="preserve">analyses </w:t>
      </w:r>
      <w:r>
        <w:rPr>
          <w:rFonts w:asciiTheme="majorHAnsi" w:hAnsiTheme="majorHAnsi"/>
        </w:rPr>
        <w:t>uncovered enrichment for regulators of ce</w:t>
      </w:r>
      <w:r w:rsidR="009433A4">
        <w:rPr>
          <w:rFonts w:asciiTheme="majorHAnsi" w:hAnsiTheme="majorHAnsi"/>
        </w:rPr>
        <w:t>llular processes, however, this</w:t>
      </w:r>
      <w:r>
        <w:rPr>
          <w:rFonts w:asciiTheme="majorHAnsi" w:hAnsiTheme="majorHAnsi"/>
        </w:rPr>
        <w:t xml:space="preserve"> term is incredibly broad and some gen</w:t>
      </w:r>
      <w:r w:rsidR="00FD0C71">
        <w:rPr>
          <w:rFonts w:asciiTheme="majorHAnsi" w:hAnsiTheme="majorHAnsi"/>
        </w:rPr>
        <w:t>es that were no</w:t>
      </w:r>
      <w:r>
        <w:rPr>
          <w:rFonts w:asciiTheme="majorHAnsi" w:hAnsiTheme="majorHAnsi"/>
        </w:rPr>
        <w:t>t included under regulators of cellular process clearly do have cellular functions.</w:t>
      </w:r>
      <w:r w:rsidR="002D1A18">
        <w:rPr>
          <w:rFonts w:asciiTheme="majorHAnsi" w:hAnsiTheme="majorHAnsi"/>
        </w:rPr>
        <w:t xml:space="preserve"> Such as PCK2</w:t>
      </w:r>
      <w:r w:rsidR="00126B64">
        <w:rPr>
          <w:rFonts w:asciiTheme="majorHAnsi" w:hAnsiTheme="majorHAnsi"/>
        </w:rPr>
        <w:t xml:space="preserve">, which is the gene for an enzyme that plays a role in mitochondrial metabolism by converting oxaloacetate to phosphoenolpyruvate. </w:t>
      </w:r>
      <w:r>
        <w:rPr>
          <w:rFonts w:asciiTheme="majorHAnsi" w:hAnsiTheme="majorHAnsi"/>
        </w:rPr>
        <w:t>In the negative fold changes</w:t>
      </w:r>
      <w:r w:rsidR="00FD0C71">
        <w:rPr>
          <w:rFonts w:asciiTheme="majorHAnsi" w:hAnsiTheme="majorHAnsi"/>
        </w:rPr>
        <w:t>,</w:t>
      </w:r>
      <w:r>
        <w:rPr>
          <w:rFonts w:asciiTheme="majorHAnsi" w:hAnsiTheme="majorHAnsi"/>
        </w:rPr>
        <w:t xml:space="preserve"> </w:t>
      </w:r>
      <w:r w:rsidR="009433A4">
        <w:rPr>
          <w:rFonts w:asciiTheme="majorHAnsi" w:hAnsiTheme="majorHAnsi"/>
        </w:rPr>
        <w:t>increased</w:t>
      </w:r>
      <w:r>
        <w:rPr>
          <w:rFonts w:asciiTheme="majorHAnsi" w:hAnsiTheme="majorHAnsi"/>
        </w:rPr>
        <w:t xml:space="preserve"> </w:t>
      </w:r>
      <w:r w:rsidRPr="00D02990">
        <w:rPr>
          <w:rFonts w:asciiTheme="majorHAnsi" w:hAnsiTheme="majorHAnsi"/>
          <w:i/>
        </w:rPr>
        <w:t>CPA4</w:t>
      </w:r>
      <w:r>
        <w:rPr>
          <w:rFonts w:asciiTheme="majorHAnsi" w:hAnsiTheme="majorHAnsi"/>
        </w:rPr>
        <w:t xml:space="preserve"> </w:t>
      </w:r>
      <w:r w:rsidR="009433A4">
        <w:rPr>
          <w:rFonts w:asciiTheme="majorHAnsi" w:hAnsiTheme="majorHAnsi"/>
        </w:rPr>
        <w:t xml:space="preserve">expression in </w:t>
      </w:r>
      <w:r w:rsidR="009433A4" w:rsidRPr="00924DCF">
        <w:rPr>
          <w:rFonts w:asciiTheme="majorHAnsi" w:hAnsiTheme="majorHAnsi"/>
          <w:i/>
        </w:rPr>
        <w:t>SRCAP</w:t>
      </w:r>
      <w:r w:rsidR="009433A4">
        <w:rPr>
          <w:rFonts w:asciiTheme="majorHAnsi" w:hAnsiTheme="majorHAnsi"/>
        </w:rPr>
        <w:t xml:space="preserve"> over-expressing cells was evident in all three independent repeats.</w:t>
      </w:r>
      <w:r>
        <w:rPr>
          <w:rFonts w:asciiTheme="majorHAnsi" w:hAnsiTheme="majorHAnsi"/>
        </w:rPr>
        <w:t xml:space="preserve"> The broader search for genes across all three repeats which had a 2 or -2 fold increase/decrease or more uncovered very little in comparison to the si6 data, suggesting that there was very little correlation between all three repeats and this could therefore be because of the differing expression levels</w:t>
      </w:r>
      <w:r w:rsidR="00FD0C71">
        <w:rPr>
          <w:rFonts w:asciiTheme="majorHAnsi" w:hAnsiTheme="majorHAnsi"/>
        </w:rPr>
        <w:t xml:space="preserve"> or technical issues with the array as previously mentioned</w:t>
      </w:r>
      <w:r>
        <w:rPr>
          <w:rFonts w:asciiTheme="majorHAnsi" w:hAnsiTheme="majorHAnsi"/>
        </w:rPr>
        <w:t xml:space="preserve">. </w:t>
      </w:r>
    </w:p>
    <w:p w14:paraId="6202E358" w14:textId="77777777" w:rsidR="007C58EA" w:rsidRDefault="007C58EA" w:rsidP="007C58EA">
      <w:pPr>
        <w:spacing w:line="360" w:lineRule="auto"/>
        <w:jc w:val="both"/>
        <w:rPr>
          <w:rFonts w:asciiTheme="majorHAnsi" w:hAnsiTheme="majorHAnsi"/>
        </w:rPr>
      </w:pPr>
    </w:p>
    <w:p w14:paraId="23D8A4A0" w14:textId="079BB2BC" w:rsidR="007C58EA" w:rsidRDefault="009433A4" w:rsidP="002F41C6">
      <w:pPr>
        <w:pStyle w:val="ListParagraph"/>
        <w:numPr>
          <w:ilvl w:val="0"/>
          <w:numId w:val="28"/>
        </w:numPr>
        <w:spacing w:line="360" w:lineRule="auto"/>
        <w:jc w:val="both"/>
        <w:rPr>
          <w:rFonts w:asciiTheme="majorHAnsi" w:hAnsiTheme="majorHAnsi"/>
          <w:b/>
          <w:i/>
        </w:rPr>
      </w:pPr>
      <w:r>
        <w:rPr>
          <w:rFonts w:asciiTheme="majorHAnsi" w:hAnsiTheme="majorHAnsi"/>
          <w:b/>
          <w:i/>
        </w:rPr>
        <w:t>Validation of microarray hits</w:t>
      </w:r>
    </w:p>
    <w:p w14:paraId="39E7CE57" w14:textId="45E85438" w:rsidR="00126B64" w:rsidRDefault="00DA126A" w:rsidP="00DA126A">
      <w:pPr>
        <w:spacing w:line="360" w:lineRule="auto"/>
        <w:jc w:val="both"/>
        <w:rPr>
          <w:rFonts w:asciiTheme="majorHAnsi" w:hAnsiTheme="majorHAnsi"/>
        </w:rPr>
      </w:pPr>
      <w:r>
        <w:rPr>
          <w:rFonts w:asciiTheme="majorHAnsi" w:hAnsiTheme="majorHAnsi"/>
        </w:rPr>
        <w:t xml:space="preserve">Following RT-PCR validation of some of the interesting </w:t>
      </w:r>
      <w:r w:rsidR="009B0254">
        <w:rPr>
          <w:rFonts w:asciiTheme="majorHAnsi" w:hAnsiTheme="majorHAnsi"/>
        </w:rPr>
        <w:t>hits that</w:t>
      </w:r>
      <w:r>
        <w:rPr>
          <w:rFonts w:asciiTheme="majorHAnsi" w:hAnsiTheme="majorHAnsi"/>
        </w:rPr>
        <w:t xml:space="preserve"> came out of the microarray</w:t>
      </w:r>
      <w:r w:rsidR="009B0254">
        <w:rPr>
          <w:rFonts w:asciiTheme="majorHAnsi" w:hAnsiTheme="majorHAnsi"/>
        </w:rPr>
        <w:t xml:space="preserve">, there were two that </w:t>
      </w:r>
      <w:r w:rsidR="009433A4">
        <w:rPr>
          <w:rFonts w:asciiTheme="majorHAnsi" w:hAnsiTheme="majorHAnsi"/>
        </w:rPr>
        <w:t>were robustly</w:t>
      </w:r>
      <w:r w:rsidR="002C2E2A">
        <w:rPr>
          <w:rFonts w:asciiTheme="majorHAnsi" w:hAnsiTheme="majorHAnsi"/>
        </w:rPr>
        <w:t xml:space="preserve"> validated from the knock</w:t>
      </w:r>
      <w:r w:rsidR="009B0254">
        <w:rPr>
          <w:rFonts w:asciiTheme="majorHAnsi" w:hAnsiTheme="majorHAnsi"/>
        </w:rPr>
        <w:t xml:space="preserve">down samples. These were </w:t>
      </w:r>
      <w:r w:rsidR="009B0254" w:rsidRPr="009B0254">
        <w:rPr>
          <w:rFonts w:asciiTheme="majorHAnsi" w:hAnsiTheme="majorHAnsi"/>
          <w:i/>
        </w:rPr>
        <w:t>PHLDA2</w:t>
      </w:r>
      <w:r w:rsidR="009B0254">
        <w:rPr>
          <w:rFonts w:asciiTheme="majorHAnsi" w:hAnsiTheme="majorHAnsi"/>
        </w:rPr>
        <w:t xml:space="preserve"> and </w:t>
      </w:r>
      <w:r w:rsidR="009B0254" w:rsidRPr="009B0254">
        <w:rPr>
          <w:rFonts w:asciiTheme="majorHAnsi" w:hAnsiTheme="majorHAnsi"/>
          <w:i/>
        </w:rPr>
        <w:t>ELK3</w:t>
      </w:r>
      <w:r w:rsidR="009B0254">
        <w:rPr>
          <w:rFonts w:asciiTheme="majorHAnsi" w:hAnsiTheme="majorHAnsi"/>
        </w:rPr>
        <w:t xml:space="preserve">, both of which were decreased in expression when </w:t>
      </w:r>
      <w:r w:rsidR="009B0254" w:rsidRPr="00CD05AA">
        <w:rPr>
          <w:rFonts w:asciiTheme="majorHAnsi" w:hAnsiTheme="majorHAnsi"/>
          <w:i/>
        </w:rPr>
        <w:t>SRCAP</w:t>
      </w:r>
      <w:r w:rsidR="009B0254">
        <w:rPr>
          <w:rFonts w:asciiTheme="majorHAnsi" w:hAnsiTheme="majorHAnsi"/>
        </w:rPr>
        <w:t xml:space="preserve"> was decreased. </w:t>
      </w:r>
      <w:r w:rsidR="003A681B">
        <w:rPr>
          <w:rFonts w:asciiTheme="majorHAnsi" w:hAnsiTheme="majorHAnsi"/>
        </w:rPr>
        <w:t>ELK3 has been previously linked to various cancers</w:t>
      </w:r>
      <w:r w:rsidR="003C4379">
        <w:rPr>
          <w:rFonts w:asciiTheme="majorHAnsi" w:hAnsiTheme="majorHAnsi"/>
        </w:rPr>
        <w:t>, for example it is ov</w:t>
      </w:r>
      <w:r w:rsidR="00D34949">
        <w:rPr>
          <w:rFonts w:asciiTheme="majorHAnsi" w:hAnsiTheme="majorHAnsi"/>
        </w:rPr>
        <w:t>er-</w:t>
      </w:r>
      <w:r w:rsidR="003C4379">
        <w:rPr>
          <w:rFonts w:asciiTheme="majorHAnsi" w:hAnsiTheme="majorHAnsi"/>
        </w:rPr>
        <w:t xml:space="preserve">expressed in breast cancer primary cells and its depletion in the triple negative breast cancer cell line MDA-MB-231 shows reduced migration and metastatic capacity </w:t>
      </w:r>
      <w:r w:rsidR="003C4379">
        <w:rPr>
          <w:rFonts w:asciiTheme="majorHAnsi" w:hAnsiTheme="majorHAnsi"/>
        </w:rPr>
        <w:fldChar w:fldCharType="begin">
          <w:fldData xml:space="preserve">PEVuZE5vdGU+PENpdGU+PEF1dGhvcj5IZW88L0F1dGhvcj48WWVhcj4yMDE1PC9ZZWFyPjxJRFRl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==
</w:fldData>
        </w:fldChar>
      </w:r>
      <w:r w:rsidR="003324EC">
        <w:rPr>
          <w:rFonts w:asciiTheme="majorHAnsi" w:hAnsiTheme="majorHAnsi"/>
        </w:rPr>
        <w:instrText xml:space="preserve"> ADDIN EN.CITE </w:instrText>
      </w:r>
      <w:r w:rsidR="003324EC">
        <w:rPr>
          <w:rFonts w:asciiTheme="majorHAnsi" w:hAnsiTheme="majorHAnsi"/>
        </w:rPr>
        <w:fldChar w:fldCharType="begin">
          <w:fldData xml:space="preserve">PEVuZE5vdGU+PENpdGU+PEF1dGhvcj5IZW88L0F1dGhvcj48WWVhcj4yMDE1PC9ZZWFyPjxJRFRl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==
</w:fldData>
        </w:fldChar>
      </w:r>
      <w:r w:rsidR="003324EC">
        <w:rPr>
          <w:rFonts w:asciiTheme="majorHAnsi" w:hAnsiTheme="majorHAnsi"/>
        </w:rPr>
        <w:instrText xml:space="preserve"> ADDIN EN.CITE.DATA </w:instrText>
      </w:r>
      <w:r w:rsidR="003324EC">
        <w:rPr>
          <w:rFonts w:asciiTheme="majorHAnsi" w:hAnsiTheme="majorHAnsi"/>
        </w:rPr>
      </w:r>
      <w:r w:rsidR="003324EC">
        <w:rPr>
          <w:rFonts w:asciiTheme="majorHAnsi" w:hAnsiTheme="majorHAnsi"/>
        </w:rPr>
        <w:fldChar w:fldCharType="end"/>
      </w:r>
      <w:r w:rsidR="003C4379">
        <w:rPr>
          <w:rFonts w:asciiTheme="majorHAnsi" w:hAnsiTheme="majorHAnsi"/>
        </w:rPr>
      </w:r>
      <w:r w:rsidR="003C4379">
        <w:rPr>
          <w:rFonts w:asciiTheme="majorHAnsi" w:hAnsiTheme="majorHAnsi"/>
        </w:rPr>
        <w:fldChar w:fldCharType="separate"/>
      </w:r>
      <w:r w:rsidR="003324EC">
        <w:rPr>
          <w:rFonts w:asciiTheme="majorHAnsi" w:hAnsiTheme="majorHAnsi"/>
          <w:noProof/>
        </w:rPr>
        <w:t>(Heo et al., 2015, Kong et al., 2016)</w:t>
      </w:r>
      <w:r w:rsidR="003C4379">
        <w:rPr>
          <w:rFonts w:asciiTheme="majorHAnsi" w:hAnsiTheme="majorHAnsi"/>
        </w:rPr>
        <w:fldChar w:fldCharType="end"/>
      </w:r>
      <w:r w:rsidR="003C4379">
        <w:rPr>
          <w:rFonts w:asciiTheme="majorHAnsi" w:hAnsiTheme="majorHAnsi"/>
        </w:rPr>
        <w:t xml:space="preserve">, </w:t>
      </w:r>
      <w:r w:rsidR="003324EC">
        <w:rPr>
          <w:rFonts w:asciiTheme="majorHAnsi" w:hAnsiTheme="majorHAnsi"/>
        </w:rPr>
        <w:t xml:space="preserve">and that this led to an increased response to doxorubicin </w:t>
      </w:r>
      <w:r w:rsidR="003324EC">
        <w:rPr>
          <w:rFonts w:asciiTheme="majorHAnsi" w:hAnsiTheme="majorHAnsi"/>
        </w:rPr>
        <w:fldChar w:fldCharType="begin"/>
      </w:r>
      <w:r w:rsidR="003324EC">
        <w:rPr>
          <w:rFonts w:asciiTheme="majorHAnsi" w:hAnsiTheme="majorHAnsi"/>
        </w:rPr>
        <w:instrText xml:space="preserve"> ADDIN EN.CITE &lt;EndNote&gt;&lt;Cite&gt;&lt;Author&gt;Park&lt;/Author&gt;&lt;Year&gt;2016&lt;/Year&gt;&lt;IDText&gt;PI3K/Akt/mTOR activation by suppression of ELK3 mediates chemosensitivity of MDA-MB-231 cells to doxorubicin by inhibiting autophagy&lt;/IDText&gt;&lt;DisplayText&gt;(Park et al., 2016)&lt;/DisplayText&gt;&lt;record&gt;&lt;dates&gt;&lt;pub-dates&gt;&lt;date&gt;08&lt;/date&gt;&lt;/pub-dates&gt;&lt;year&gt;2016&lt;/year&gt;&lt;/dates&gt;&lt;keywords&gt;&lt;keyword&gt;Antibiotics, Antineoplastic&lt;/keyword&gt;&lt;keyword&gt;Autophagy&lt;/keyword&gt;&lt;keyword&gt;Breast Neoplasms&lt;/keyword&gt;&lt;keyword&gt;Cell Line, Tumor&lt;/keyword&gt;&lt;keyword&gt;Dose-Response Relationship, Drug&lt;/keyword&gt;&lt;keyword&gt;Doxorubicin&lt;/keyword&gt;&lt;keyword&gt;Enzyme Activation&lt;/keyword&gt;&lt;keyword&gt;Humans&lt;/keyword&gt;&lt;keyword&gt;Phosphatidylinositol 3-Kinase&lt;/keyword&gt;&lt;keyword&gt;Proto-Oncogene Proteins&lt;/keyword&gt;&lt;keyword&gt;Proto-Oncogene Proteins c-akt&lt;/keyword&gt;&lt;keyword&gt;TOR Serine-Threonine Kinases&lt;/keyword&gt;&lt;keyword&gt;Transcription Factors&lt;/keyword&gt;&lt;keyword&gt;Treatment Outcome&lt;/keyword&gt;&lt;keyword&gt;Triple Negative Breast Neoplasms&lt;/keyword&gt;&lt;keyword&gt;Autophagy&lt;/keyword&gt;&lt;keyword&gt;Doxorubicin&lt;/keyword&gt;&lt;keyword&gt;ELK3&lt;/keyword&gt;&lt;keyword&gt;MDA-MB-231 cell line&lt;/keyword&gt;&lt;keyword&gt;PI3K/Akt&lt;/keyword&gt;&lt;/keywords&gt;&lt;urls&gt;&lt;related-urls&gt;&lt;url&gt;https://www.ncbi.nlm.nih.gov/pubmed/27301639&lt;/url&gt;&lt;/related-urls&gt;&lt;/urls&gt;&lt;isbn&gt;1090-2104&lt;/isbn&gt;&lt;titles&gt;&lt;title&gt;PI3K/Akt/mTOR activation by suppression of ELK3 mediates chemosensitivity of MDA-MB-231 cells to doxorubicin by inhibiting autophagy&lt;/title&gt;&lt;secondary-title&gt;Biochem Biophys Res Commun&lt;/secondary-title&gt;&lt;/titles&gt;&lt;pages&gt;277-82&lt;/pages&gt;&lt;number&gt;2&lt;/number&gt;&lt;contributors&gt;&lt;authors&gt;&lt;author&gt;Park, J. H.&lt;/author&gt;&lt;author&gt;Kim, K. P.&lt;/author&gt;&lt;author&gt;Ko, J. J.&lt;/author&gt;&lt;author&gt;Park, K. S.&lt;/author&gt;&lt;/authors&gt;&lt;/contributors&gt;&lt;edition&gt;2016/06/11&lt;/edition&gt;&lt;language&gt;eng&lt;/language&gt;&lt;added-date format="utc"&gt;1512395453&lt;/added-date&gt;&lt;ref-type name="Journal Article"&gt;17&lt;/ref-type&gt;&lt;rec-number&gt;378&lt;/rec-number&gt;&lt;last-updated-date format="utc"&gt;1512395453&lt;/last-updated-date&gt;&lt;accession-num&gt;27301639&lt;/accession-num&gt;&lt;electronic-resource-num&gt;10.1016/j.bbrc.2016.06.057&lt;/electronic-resource-num&gt;&lt;volume&gt;477&lt;/volume&gt;&lt;/record&gt;&lt;/Cite&gt;&lt;/EndNote&gt;</w:instrText>
      </w:r>
      <w:r w:rsidR="003324EC">
        <w:rPr>
          <w:rFonts w:asciiTheme="majorHAnsi" w:hAnsiTheme="majorHAnsi"/>
        </w:rPr>
        <w:fldChar w:fldCharType="separate"/>
      </w:r>
      <w:r w:rsidR="003324EC">
        <w:rPr>
          <w:rFonts w:asciiTheme="majorHAnsi" w:hAnsiTheme="majorHAnsi"/>
          <w:noProof/>
        </w:rPr>
        <w:t>(Park et al., 2016)</w:t>
      </w:r>
      <w:r w:rsidR="003324EC">
        <w:rPr>
          <w:rFonts w:asciiTheme="majorHAnsi" w:hAnsiTheme="majorHAnsi"/>
        </w:rPr>
        <w:fldChar w:fldCharType="end"/>
      </w:r>
      <w:r w:rsidR="003C4379">
        <w:rPr>
          <w:rFonts w:asciiTheme="majorHAnsi" w:hAnsiTheme="majorHAnsi"/>
        </w:rPr>
        <w:t>. Furth</w:t>
      </w:r>
      <w:r w:rsidR="00D34949">
        <w:rPr>
          <w:rFonts w:asciiTheme="majorHAnsi" w:hAnsiTheme="majorHAnsi"/>
        </w:rPr>
        <w:t>ermore in liver cancer the over-</w:t>
      </w:r>
      <w:r w:rsidR="003C4379">
        <w:rPr>
          <w:rFonts w:asciiTheme="majorHAnsi" w:hAnsiTheme="majorHAnsi"/>
        </w:rPr>
        <w:t>expression of ELK3 also correlated with an increased invasiveness trait</w:t>
      </w:r>
      <w:r w:rsidR="003324EC">
        <w:rPr>
          <w:rFonts w:asciiTheme="majorHAnsi" w:hAnsiTheme="majorHAnsi"/>
        </w:rPr>
        <w:t xml:space="preserve"> </w:t>
      </w:r>
      <w:r w:rsidR="003324EC">
        <w:rPr>
          <w:rFonts w:asciiTheme="majorHAnsi" w:hAnsiTheme="majorHAnsi"/>
        </w:rPr>
        <w:fldChar w:fldCharType="begin">
          <w:fldData xml:space="preserve">PEVuZE5vdGU+PENpdGU+PEF1dGhvcj5MZWU8L0F1dGhvcj48WWVhcj4yMDE3PC9ZZWFyPjxJRFRl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</w:fldData>
        </w:fldChar>
      </w:r>
      <w:r w:rsidR="003324EC">
        <w:rPr>
          <w:rFonts w:asciiTheme="majorHAnsi" w:hAnsiTheme="majorHAnsi"/>
        </w:rPr>
        <w:instrText xml:space="preserve"> ADDIN EN.CITE </w:instrText>
      </w:r>
      <w:r w:rsidR="003324EC">
        <w:rPr>
          <w:rFonts w:asciiTheme="majorHAnsi" w:hAnsiTheme="majorHAnsi"/>
        </w:rPr>
        <w:fldChar w:fldCharType="begin">
          <w:fldData xml:space="preserve">PEVuZE5vdGU+PENpdGU+PEF1dGhvcj5MZWU8L0F1dGhvcj48WWVhcj4yMDE3PC9ZZWFyPjxJRFRl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</w:fldData>
        </w:fldChar>
      </w:r>
      <w:r w:rsidR="003324EC">
        <w:rPr>
          <w:rFonts w:asciiTheme="majorHAnsi" w:hAnsiTheme="majorHAnsi"/>
        </w:rPr>
        <w:instrText xml:space="preserve"> ADDIN EN.CITE.DATA </w:instrText>
      </w:r>
      <w:r w:rsidR="003324EC">
        <w:rPr>
          <w:rFonts w:asciiTheme="majorHAnsi" w:hAnsiTheme="majorHAnsi"/>
        </w:rPr>
      </w:r>
      <w:r w:rsidR="003324EC">
        <w:rPr>
          <w:rFonts w:asciiTheme="majorHAnsi" w:hAnsiTheme="majorHAnsi"/>
        </w:rPr>
        <w:fldChar w:fldCharType="end"/>
      </w:r>
      <w:r w:rsidR="003324EC">
        <w:rPr>
          <w:rFonts w:asciiTheme="majorHAnsi" w:hAnsiTheme="majorHAnsi"/>
        </w:rPr>
      </w:r>
      <w:r w:rsidR="003324EC">
        <w:rPr>
          <w:rFonts w:asciiTheme="majorHAnsi" w:hAnsiTheme="majorHAnsi"/>
        </w:rPr>
        <w:fldChar w:fldCharType="separate"/>
      </w:r>
      <w:r w:rsidR="003324EC">
        <w:rPr>
          <w:rFonts w:asciiTheme="majorHAnsi" w:hAnsiTheme="majorHAnsi"/>
          <w:noProof/>
        </w:rPr>
        <w:t>(Lee et al., 2017)</w:t>
      </w:r>
      <w:r w:rsidR="003324EC">
        <w:rPr>
          <w:rFonts w:asciiTheme="majorHAnsi" w:hAnsiTheme="majorHAnsi"/>
        </w:rPr>
        <w:fldChar w:fldCharType="end"/>
      </w:r>
      <w:r w:rsidR="003324EC">
        <w:rPr>
          <w:rFonts w:asciiTheme="majorHAnsi" w:hAnsiTheme="majorHAnsi"/>
        </w:rPr>
        <w:t xml:space="preserve">. Interestingly </w:t>
      </w:r>
      <w:r w:rsidR="00FD0C71">
        <w:rPr>
          <w:rFonts w:asciiTheme="majorHAnsi" w:hAnsiTheme="majorHAnsi"/>
        </w:rPr>
        <w:t>we could not</w:t>
      </w:r>
      <w:r w:rsidR="003324EC">
        <w:rPr>
          <w:rFonts w:asciiTheme="majorHAnsi" w:hAnsiTheme="majorHAnsi"/>
        </w:rPr>
        <w:t xml:space="preserve"> </w:t>
      </w:r>
      <w:r w:rsidR="00FD0C71">
        <w:rPr>
          <w:rFonts w:asciiTheme="majorHAnsi" w:hAnsiTheme="majorHAnsi"/>
        </w:rPr>
        <w:t xml:space="preserve">find </w:t>
      </w:r>
      <w:r w:rsidR="003324EC">
        <w:rPr>
          <w:rFonts w:asciiTheme="majorHAnsi" w:hAnsiTheme="majorHAnsi"/>
        </w:rPr>
        <w:t xml:space="preserve">any </w:t>
      </w:r>
      <w:r w:rsidR="003A72CF">
        <w:rPr>
          <w:rFonts w:asciiTheme="majorHAnsi" w:hAnsiTheme="majorHAnsi"/>
        </w:rPr>
        <w:t>papers that</w:t>
      </w:r>
      <w:r w:rsidR="003324EC">
        <w:rPr>
          <w:rFonts w:asciiTheme="majorHAnsi" w:hAnsiTheme="majorHAnsi"/>
        </w:rPr>
        <w:t xml:space="preserve"> discuss </w:t>
      </w:r>
      <w:r w:rsidR="003324EC" w:rsidRPr="00C853BB">
        <w:rPr>
          <w:rFonts w:asciiTheme="majorHAnsi" w:hAnsiTheme="majorHAnsi"/>
          <w:i/>
        </w:rPr>
        <w:t>ELK3</w:t>
      </w:r>
      <w:r w:rsidR="003324EC">
        <w:rPr>
          <w:rFonts w:asciiTheme="majorHAnsi" w:hAnsiTheme="majorHAnsi"/>
        </w:rPr>
        <w:t xml:space="preserve"> expression within CRC</w:t>
      </w:r>
      <w:r w:rsidR="003A72CF">
        <w:rPr>
          <w:rFonts w:asciiTheme="majorHAnsi" w:hAnsiTheme="majorHAnsi"/>
        </w:rPr>
        <w:t xml:space="preserve">. Therefore, this could be something worth investigating further, as if the same is true, that </w:t>
      </w:r>
      <w:r w:rsidR="003A72CF" w:rsidRPr="00C853BB">
        <w:rPr>
          <w:rFonts w:asciiTheme="majorHAnsi" w:hAnsiTheme="majorHAnsi"/>
          <w:i/>
        </w:rPr>
        <w:t>ELK3</w:t>
      </w:r>
      <w:r w:rsidR="00FD0C71">
        <w:rPr>
          <w:rFonts w:asciiTheme="majorHAnsi" w:hAnsiTheme="majorHAnsi"/>
        </w:rPr>
        <w:t xml:space="preserve"> is over-</w:t>
      </w:r>
      <w:r w:rsidR="003A72CF">
        <w:rPr>
          <w:rFonts w:asciiTheme="majorHAnsi" w:hAnsiTheme="majorHAnsi"/>
        </w:rPr>
        <w:t xml:space="preserve">expressed in CRC and leads to a metastatic trait, then </w:t>
      </w:r>
      <w:r w:rsidR="00FD0C71">
        <w:rPr>
          <w:rFonts w:asciiTheme="majorHAnsi" w:hAnsiTheme="majorHAnsi"/>
        </w:rPr>
        <w:t>the</w:t>
      </w:r>
      <w:r w:rsidR="003A72CF">
        <w:rPr>
          <w:rFonts w:asciiTheme="majorHAnsi" w:hAnsiTheme="majorHAnsi"/>
        </w:rPr>
        <w:t xml:space="preserve"> subsequent decrease in expression when </w:t>
      </w:r>
      <w:r w:rsidR="003A72CF" w:rsidRPr="00C853BB">
        <w:rPr>
          <w:rFonts w:asciiTheme="majorHAnsi" w:hAnsiTheme="majorHAnsi"/>
          <w:i/>
        </w:rPr>
        <w:t>SRCAP</w:t>
      </w:r>
      <w:r w:rsidR="003A72CF">
        <w:rPr>
          <w:rFonts w:asciiTheme="majorHAnsi" w:hAnsiTheme="majorHAnsi"/>
        </w:rPr>
        <w:t xml:space="preserve"> is depleted could potentially be a beneficial anti-tumour effect.</w:t>
      </w:r>
    </w:p>
    <w:p w14:paraId="159C0F9E" w14:textId="77777777" w:rsidR="00126B64" w:rsidRDefault="00126B64" w:rsidP="00DA126A">
      <w:pPr>
        <w:spacing w:line="360" w:lineRule="auto"/>
        <w:jc w:val="both"/>
        <w:rPr>
          <w:rFonts w:asciiTheme="majorHAnsi" w:hAnsiTheme="majorHAnsi"/>
        </w:rPr>
      </w:pPr>
    </w:p>
    <w:p w14:paraId="4A53A218" w14:textId="0CE3AE22" w:rsidR="003A72CF" w:rsidRDefault="003A72CF" w:rsidP="00DA126A">
      <w:pPr>
        <w:spacing w:line="360" w:lineRule="auto"/>
        <w:jc w:val="both"/>
        <w:rPr>
          <w:rFonts w:asciiTheme="majorHAnsi" w:hAnsiTheme="majorHAnsi"/>
        </w:rPr>
      </w:pPr>
      <w:r>
        <w:rPr>
          <w:rFonts w:asciiTheme="majorHAnsi" w:hAnsiTheme="majorHAnsi"/>
        </w:rPr>
        <w:t xml:space="preserve"> </w:t>
      </w:r>
      <w:r w:rsidR="00355BE2">
        <w:rPr>
          <w:rFonts w:asciiTheme="majorHAnsi" w:hAnsiTheme="majorHAnsi"/>
        </w:rPr>
        <w:t>Most of the work into PHLDA2 has centred on</w:t>
      </w:r>
      <w:r w:rsidR="00D17EB6">
        <w:rPr>
          <w:rFonts w:asciiTheme="majorHAnsi" w:hAnsiTheme="majorHAnsi"/>
        </w:rPr>
        <w:t xml:space="preserve"> its role in placenta growth and regulation, however it was found that high expression of </w:t>
      </w:r>
      <w:r w:rsidR="00D17EB6" w:rsidRPr="00C853BB">
        <w:rPr>
          <w:rFonts w:asciiTheme="majorHAnsi" w:hAnsiTheme="majorHAnsi"/>
          <w:i/>
        </w:rPr>
        <w:t>PHLDA2</w:t>
      </w:r>
      <w:r w:rsidR="00D17EB6">
        <w:rPr>
          <w:rFonts w:asciiTheme="majorHAnsi" w:hAnsiTheme="majorHAnsi"/>
        </w:rPr>
        <w:t xml:space="preserve"> correlates to hydatidiform moles</w:t>
      </w:r>
      <w:r w:rsidR="00162F3E">
        <w:rPr>
          <w:rFonts w:asciiTheme="majorHAnsi" w:hAnsiTheme="majorHAnsi"/>
        </w:rPr>
        <w:t xml:space="preserve"> </w:t>
      </w:r>
      <w:r w:rsidR="00162F3E">
        <w:rPr>
          <w:rFonts w:asciiTheme="majorHAnsi" w:hAnsiTheme="majorHAnsi"/>
        </w:rPr>
        <w:fldChar w:fldCharType="begin"/>
      </w:r>
      <w:r w:rsidR="00162F3E">
        <w:rPr>
          <w:rFonts w:asciiTheme="majorHAnsi" w:hAnsiTheme="majorHAnsi"/>
        </w:rPr>
        <w:instrText xml:space="preserve"> ADDIN EN.CITE &lt;EndNote&gt;&lt;Cite&gt;&lt;Author&gt;Fisher&lt;/Author&gt;&lt;Year&gt;2004&lt;/Year&gt;&lt;IDText&gt;Complete hydatidiform mole retaining a chromosome 11 of maternal origin: molecular genetic analysis of a case&lt;/IDText&gt;&lt;DisplayText&gt;(Fisher et al., 2004)&lt;/DisplayText&gt;&lt;record&gt;&lt;dates&gt;&lt;pub-dates&gt;&lt;date&gt;Sep&lt;/date&gt;&lt;/pub-dates&gt;&lt;year&gt;2004&lt;/year&gt;&lt;/dates&gt;&lt;keywords&gt;&lt;keyword&gt;Adult&lt;/keyword&gt;&lt;keyword&gt;Chromosome Aberrations&lt;/keyword&gt;&lt;keyword&gt;Chromosomes, Human, Pair 11&lt;/keyword&gt;&lt;keyword&gt;Cyclin-Dependent Kinase Inhibitor p57&lt;/keyword&gt;&lt;keyword&gt;Female&lt;/keyword&gt;&lt;keyword&gt;Humans&lt;/keyword&gt;&lt;keyword&gt;Hydatidiform Mole&lt;/keyword&gt;&lt;keyword&gt;Immunohistochemistry&lt;/keyword&gt;&lt;keyword&gt;In Situ Hybridization, Fluorescence&lt;/keyword&gt;&lt;keyword&gt;Microsatellite Repeats&lt;/keyword&gt;&lt;keyword&gt;Nuclear Proteins&lt;/keyword&gt;&lt;keyword&gt;Pregnancy&lt;/keyword&gt;&lt;keyword&gt;Uterine Neoplasms&lt;/keyword&gt;&lt;/keywords&gt;&lt;urls&gt;&lt;related-urls&gt;&lt;url&gt;https://www.ncbi.nlm.nih.gov/pubmed/15314611&lt;/url&gt;&lt;/related-urls&gt;&lt;/urls&gt;&lt;isbn&gt;0893-3952&lt;/isbn&gt;&lt;titles&gt;&lt;title&gt;Complete hydatidiform mole retaining a chromosome 11 of maternal origin: molecular genetic analysis of a case&lt;/title&gt;&lt;secondary-title&gt;Mod Pathol&lt;/secondary-title&gt;&lt;/titles&gt;&lt;pages&gt;1155-60&lt;/pages&gt;&lt;number&gt;9&lt;/number&gt;&lt;contributors&gt;&lt;authors&gt;&lt;author&gt;Fisher, R. A.&lt;/author&gt;&lt;author&gt;Nucci, M. R.&lt;/author&gt;&lt;author&gt;Thaker, H. M.&lt;/author&gt;&lt;author&gt;Weremowicz, S.&lt;/author&gt;&lt;author&gt;Genest, D. R.&lt;/author&gt;&lt;author&gt;Castrillon, D. H.&lt;/author&gt;&lt;/authors&gt;&lt;/contributors&gt;&lt;language&gt;eng&lt;/language&gt;&lt;added-date format="utc"&gt;1512397891&lt;/added-date&gt;&lt;ref-type name="Journal Article"&gt;17&lt;/ref-type&gt;&lt;rec-number&gt;381&lt;/rec-number&gt;&lt;last-updated-date format="utc"&gt;1512397891&lt;/last-updated-date&gt;&lt;accession-num&gt;15314611&lt;/accession-num&gt;&lt;electronic-resource-num&gt;10.1038/modpathol.3800175&lt;/electronic-resource-num&gt;&lt;volume&gt;17&lt;/volume&gt;&lt;/record&gt;&lt;/Cite&gt;&lt;/EndNote&gt;</w:instrText>
      </w:r>
      <w:r w:rsidR="00162F3E">
        <w:rPr>
          <w:rFonts w:asciiTheme="majorHAnsi" w:hAnsiTheme="majorHAnsi"/>
        </w:rPr>
        <w:fldChar w:fldCharType="separate"/>
      </w:r>
      <w:r w:rsidR="00162F3E">
        <w:rPr>
          <w:rFonts w:asciiTheme="majorHAnsi" w:hAnsiTheme="majorHAnsi"/>
          <w:noProof/>
        </w:rPr>
        <w:t>(Fisher et al., 2004)</w:t>
      </w:r>
      <w:r w:rsidR="00162F3E">
        <w:rPr>
          <w:rFonts w:asciiTheme="majorHAnsi" w:hAnsiTheme="majorHAnsi"/>
        </w:rPr>
        <w:fldChar w:fldCharType="end"/>
      </w:r>
      <w:r w:rsidR="00C853BB">
        <w:rPr>
          <w:rFonts w:asciiTheme="majorHAnsi" w:hAnsiTheme="majorHAnsi"/>
        </w:rPr>
        <w:t xml:space="preserve">, which are abnormal clusters of cells that form around an aborting embryo rather than the standard placenta, indicating that </w:t>
      </w:r>
      <w:r w:rsidR="00C853BB" w:rsidRPr="00C853BB">
        <w:rPr>
          <w:rFonts w:asciiTheme="majorHAnsi" w:hAnsiTheme="majorHAnsi"/>
          <w:i/>
        </w:rPr>
        <w:t>PHLDA2</w:t>
      </w:r>
      <w:r w:rsidR="00C853BB">
        <w:rPr>
          <w:rFonts w:asciiTheme="majorHAnsi" w:hAnsiTheme="majorHAnsi"/>
        </w:rPr>
        <w:t xml:space="preserve"> could have some role in aberrant cell differentiation and proliferation. </w:t>
      </w:r>
      <w:r w:rsidR="00355BE2">
        <w:rPr>
          <w:rFonts w:asciiTheme="majorHAnsi" w:hAnsiTheme="majorHAnsi"/>
        </w:rPr>
        <w:t>S</w:t>
      </w:r>
      <w:r w:rsidR="00162F3E">
        <w:rPr>
          <w:rFonts w:asciiTheme="majorHAnsi" w:hAnsiTheme="majorHAnsi"/>
        </w:rPr>
        <w:t xml:space="preserve">ince then several screens have identified the gene </w:t>
      </w:r>
      <w:r w:rsidR="00162F3E" w:rsidRPr="00162F3E">
        <w:rPr>
          <w:rFonts w:asciiTheme="majorHAnsi" w:hAnsiTheme="majorHAnsi"/>
          <w:i/>
        </w:rPr>
        <w:t>PHLDA2</w:t>
      </w:r>
      <w:r w:rsidR="00162F3E">
        <w:rPr>
          <w:rFonts w:asciiTheme="majorHAnsi" w:hAnsiTheme="majorHAnsi"/>
        </w:rPr>
        <w:t xml:space="preserve"> as being aberrantly expressed in neuroendocrine, osteosarcoma and breast tumours </w:t>
      </w:r>
      <w:r w:rsidR="00162F3E">
        <w:rPr>
          <w:rFonts w:asciiTheme="majorHAnsi" w:hAnsiTheme="majorHAnsi"/>
        </w:rPr>
        <w:fldChar w:fldCharType="begin">
          <w:fldData xml:space="preserve">PEVuZE5vdGU+PENpdGU+PEF1dGhvcj5Nb29uPC9BdXRob3I+PFllYXI+MjAxNTwvWWVhcj48SURU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==
</w:fldData>
        </w:fldChar>
      </w:r>
      <w:r w:rsidR="00162F3E">
        <w:rPr>
          <w:rFonts w:asciiTheme="majorHAnsi" w:hAnsiTheme="majorHAnsi"/>
        </w:rPr>
        <w:instrText xml:space="preserve"> ADDIN EN.CITE </w:instrText>
      </w:r>
      <w:r w:rsidR="00162F3E">
        <w:rPr>
          <w:rFonts w:asciiTheme="majorHAnsi" w:hAnsiTheme="majorHAnsi"/>
        </w:rPr>
        <w:fldChar w:fldCharType="begin">
          <w:fldData xml:space="preserve">PEVuZE5vdGU+PENpdGU+PEF1dGhvcj5Nb29uPC9BdXRob3I+PFllYXI+MjAxNTwvWWVhcj48SURU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==
</w:fldData>
        </w:fldChar>
      </w:r>
      <w:r w:rsidR="00162F3E">
        <w:rPr>
          <w:rFonts w:asciiTheme="majorHAnsi" w:hAnsiTheme="majorHAnsi"/>
        </w:rPr>
        <w:instrText xml:space="preserve"> ADDIN EN.CITE.DATA </w:instrText>
      </w:r>
      <w:r w:rsidR="00162F3E">
        <w:rPr>
          <w:rFonts w:asciiTheme="majorHAnsi" w:hAnsiTheme="majorHAnsi"/>
        </w:rPr>
      </w:r>
      <w:r w:rsidR="00162F3E">
        <w:rPr>
          <w:rFonts w:asciiTheme="majorHAnsi" w:hAnsiTheme="majorHAnsi"/>
        </w:rPr>
        <w:fldChar w:fldCharType="end"/>
      </w:r>
      <w:r w:rsidR="00162F3E">
        <w:rPr>
          <w:rFonts w:asciiTheme="majorHAnsi" w:hAnsiTheme="majorHAnsi"/>
        </w:rPr>
      </w:r>
      <w:r w:rsidR="00162F3E">
        <w:rPr>
          <w:rFonts w:asciiTheme="majorHAnsi" w:hAnsiTheme="majorHAnsi"/>
        </w:rPr>
        <w:fldChar w:fldCharType="separate"/>
      </w:r>
      <w:r w:rsidR="00162F3E">
        <w:rPr>
          <w:rFonts w:asciiTheme="majorHAnsi" w:hAnsiTheme="majorHAnsi"/>
          <w:noProof/>
        </w:rPr>
        <w:t>(Moon et al., 2015, Li et al., 2008, Dilley et al., 2005)</w:t>
      </w:r>
      <w:r w:rsidR="00162F3E">
        <w:rPr>
          <w:rFonts w:asciiTheme="majorHAnsi" w:hAnsiTheme="majorHAnsi"/>
        </w:rPr>
        <w:fldChar w:fldCharType="end"/>
      </w:r>
      <w:r w:rsidR="00162F3E">
        <w:rPr>
          <w:rFonts w:asciiTheme="majorHAnsi" w:hAnsiTheme="majorHAnsi"/>
        </w:rPr>
        <w:t xml:space="preserve">. </w:t>
      </w:r>
      <w:r w:rsidR="004E48AC">
        <w:rPr>
          <w:rFonts w:asciiTheme="majorHAnsi" w:hAnsiTheme="majorHAnsi"/>
        </w:rPr>
        <w:t xml:space="preserve">Much like with </w:t>
      </w:r>
      <w:r w:rsidR="004E48AC" w:rsidRPr="005F2031">
        <w:rPr>
          <w:rFonts w:asciiTheme="majorHAnsi" w:hAnsiTheme="majorHAnsi"/>
          <w:i/>
        </w:rPr>
        <w:t>ELK3</w:t>
      </w:r>
      <w:r w:rsidR="004E48AC">
        <w:rPr>
          <w:rFonts w:asciiTheme="majorHAnsi" w:hAnsiTheme="majorHAnsi"/>
        </w:rPr>
        <w:t>, siRNA depletion of PHLDA2 in breast cancer cells significantly reduced cell migration</w:t>
      </w:r>
      <w:r w:rsidR="007861A4">
        <w:rPr>
          <w:rFonts w:asciiTheme="majorHAnsi" w:hAnsiTheme="majorHAnsi"/>
        </w:rPr>
        <w:t xml:space="preserve"> </w:t>
      </w:r>
      <w:r w:rsidR="007861A4">
        <w:rPr>
          <w:rFonts w:asciiTheme="majorHAnsi" w:hAnsiTheme="majorHAnsi"/>
        </w:rPr>
        <w:fldChar w:fldCharType="begin">
          <w:fldData xml:space="preserve">PEVuZE5vdGU+PENpdGU+PEF1dGhvcj5Nb29uPC9BdXRob3I+PFllYXI+MjAxNTwvWWVhcj48SURU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</w:fldData>
        </w:fldChar>
      </w:r>
      <w:r w:rsidR="007861A4">
        <w:rPr>
          <w:rFonts w:asciiTheme="majorHAnsi" w:hAnsiTheme="majorHAnsi"/>
        </w:rPr>
        <w:instrText xml:space="preserve"> ADDIN EN.CITE </w:instrText>
      </w:r>
      <w:r w:rsidR="007861A4">
        <w:rPr>
          <w:rFonts w:asciiTheme="majorHAnsi" w:hAnsiTheme="majorHAnsi"/>
        </w:rPr>
        <w:fldChar w:fldCharType="begin">
          <w:fldData xml:space="preserve">PEVuZE5vdGU+PENpdGU+PEF1dGhvcj5Nb29uPC9BdXRob3I+PFllYXI+MjAxNTwvWWVhcj48SURU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</w:fldData>
        </w:fldChar>
      </w:r>
      <w:r w:rsidR="007861A4">
        <w:rPr>
          <w:rFonts w:asciiTheme="majorHAnsi" w:hAnsiTheme="majorHAnsi"/>
        </w:rPr>
        <w:instrText xml:space="preserve"> ADDIN EN.CITE.DATA </w:instrText>
      </w:r>
      <w:r w:rsidR="007861A4">
        <w:rPr>
          <w:rFonts w:asciiTheme="majorHAnsi" w:hAnsiTheme="majorHAnsi"/>
        </w:rPr>
      </w:r>
      <w:r w:rsidR="007861A4">
        <w:rPr>
          <w:rFonts w:asciiTheme="majorHAnsi" w:hAnsiTheme="majorHAnsi"/>
        </w:rPr>
        <w:fldChar w:fldCharType="end"/>
      </w:r>
      <w:r w:rsidR="007861A4">
        <w:rPr>
          <w:rFonts w:asciiTheme="majorHAnsi" w:hAnsiTheme="majorHAnsi"/>
        </w:rPr>
      </w:r>
      <w:r w:rsidR="007861A4">
        <w:rPr>
          <w:rFonts w:asciiTheme="majorHAnsi" w:hAnsiTheme="majorHAnsi"/>
        </w:rPr>
        <w:fldChar w:fldCharType="separate"/>
      </w:r>
      <w:r w:rsidR="007861A4">
        <w:rPr>
          <w:rFonts w:asciiTheme="majorHAnsi" w:hAnsiTheme="majorHAnsi"/>
          <w:noProof/>
        </w:rPr>
        <w:t>(Moon et al., 2015)</w:t>
      </w:r>
      <w:r w:rsidR="007861A4">
        <w:rPr>
          <w:rFonts w:asciiTheme="majorHAnsi" w:hAnsiTheme="majorHAnsi"/>
        </w:rPr>
        <w:fldChar w:fldCharType="end"/>
      </w:r>
      <w:r w:rsidR="004E48AC">
        <w:rPr>
          <w:rFonts w:asciiTheme="majorHAnsi" w:hAnsiTheme="majorHAnsi"/>
        </w:rPr>
        <w:t xml:space="preserve">, thus again showing how its decrease in expression when </w:t>
      </w:r>
      <w:r w:rsidR="004E48AC" w:rsidRPr="005F2031">
        <w:rPr>
          <w:rFonts w:asciiTheme="majorHAnsi" w:hAnsiTheme="majorHAnsi"/>
          <w:i/>
        </w:rPr>
        <w:t>SRCAP</w:t>
      </w:r>
      <w:r w:rsidR="004E48AC">
        <w:rPr>
          <w:rFonts w:asciiTheme="majorHAnsi" w:hAnsiTheme="majorHAnsi"/>
        </w:rPr>
        <w:t xml:space="preserve"> is</w:t>
      </w:r>
      <w:r w:rsidR="007861A4">
        <w:rPr>
          <w:rFonts w:asciiTheme="majorHAnsi" w:hAnsiTheme="majorHAnsi"/>
        </w:rPr>
        <w:t xml:space="preserve"> knocked down could be beneficial in reducing tumour growth. </w:t>
      </w:r>
    </w:p>
    <w:p w14:paraId="1DEE07BD" w14:textId="77777777" w:rsidR="00CD05AA" w:rsidRDefault="00CD05AA" w:rsidP="00DA126A">
      <w:pPr>
        <w:spacing w:line="360" w:lineRule="auto"/>
        <w:jc w:val="both"/>
        <w:rPr>
          <w:rFonts w:asciiTheme="majorHAnsi" w:hAnsiTheme="majorHAnsi"/>
        </w:rPr>
      </w:pPr>
    </w:p>
    <w:p w14:paraId="4FABB075" w14:textId="76C1B646" w:rsidR="00CD05AA" w:rsidRDefault="00FD0C71" w:rsidP="00DA126A">
      <w:pPr>
        <w:spacing w:line="360" w:lineRule="auto"/>
        <w:jc w:val="both"/>
        <w:rPr>
          <w:rFonts w:asciiTheme="majorHAnsi" w:hAnsiTheme="majorHAnsi"/>
        </w:rPr>
      </w:pPr>
      <w:r>
        <w:rPr>
          <w:rFonts w:asciiTheme="majorHAnsi" w:hAnsiTheme="majorHAnsi"/>
        </w:rPr>
        <w:t>Experiments to validate</w:t>
      </w:r>
      <w:r w:rsidR="00CD05AA">
        <w:rPr>
          <w:rFonts w:asciiTheme="majorHAnsi" w:hAnsiTheme="majorHAnsi"/>
        </w:rPr>
        <w:t xml:space="preserve"> the hits </w:t>
      </w:r>
      <w:r w:rsidR="00355BE2">
        <w:rPr>
          <w:rFonts w:asciiTheme="majorHAnsi" w:hAnsiTheme="majorHAnsi"/>
        </w:rPr>
        <w:t>derived from</w:t>
      </w:r>
      <w:r>
        <w:rPr>
          <w:rFonts w:asciiTheme="majorHAnsi" w:hAnsiTheme="majorHAnsi"/>
        </w:rPr>
        <w:t xml:space="preserve"> the over-</w:t>
      </w:r>
      <w:r w:rsidR="00CD05AA">
        <w:rPr>
          <w:rFonts w:asciiTheme="majorHAnsi" w:hAnsiTheme="majorHAnsi"/>
        </w:rPr>
        <w:t xml:space="preserve">expressing </w:t>
      </w:r>
      <w:r w:rsidR="00CD05AA" w:rsidRPr="00CD05AA">
        <w:rPr>
          <w:rFonts w:asciiTheme="majorHAnsi" w:hAnsiTheme="majorHAnsi"/>
          <w:i/>
        </w:rPr>
        <w:t>SRCAP</w:t>
      </w:r>
      <w:r w:rsidR="00CD05AA">
        <w:rPr>
          <w:rFonts w:asciiTheme="majorHAnsi" w:hAnsiTheme="majorHAnsi"/>
        </w:rPr>
        <w:t xml:space="preserve"> arrays did not validate </w:t>
      </w:r>
      <w:r w:rsidR="00CD05AA" w:rsidRPr="00CD05AA">
        <w:rPr>
          <w:rFonts w:asciiTheme="majorHAnsi" w:hAnsiTheme="majorHAnsi"/>
          <w:i/>
        </w:rPr>
        <w:t>SOX4</w:t>
      </w:r>
      <w:r w:rsidR="00CD05AA">
        <w:rPr>
          <w:rFonts w:asciiTheme="majorHAnsi" w:hAnsiTheme="majorHAnsi"/>
        </w:rPr>
        <w:t xml:space="preserve">, however </w:t>
      </w:r>
      <w:r w:rsidR="00CD05AA" w:rsidRPr="00CD05AA">
        <w:rPr>
          <w:rFonts w:asciiTheme="majorHAnsi" w:hAnsiTheme="majorHAnsi"/>
          <w:i/>
        </w:rPr>
        <w:t>CPA4</w:t>
      </w:r>
      <w:r w:rsidR="00CD05AA">
        <w:rPr>
          <w:rFonts w:asciiTheme="majorHAnsi" w:hAnsiTheme="majorHAnsi"/>
        </w:rPr>
        <w:t xml:space="preserve"> was </w:t>
      </w:r>
      <w:r w:rsidR="00355BE2">
        <w:rPr>
          <w:rFonts w:asciiTheme="majorHAnsi" w:hAnsiTheme="majorHAnsi"/>
        </w:rPr>
        <w:t xml:space="preserve">validated as being </w:t>
      </w:r>
      <w:r w:rsidR="00D34949">
        <w:rPr>
          <w:rFonts w:asciiTheme="majorHAnsi" w:hAnsiTheme="majorHAnsi"/>
        </w:rPr>
        <w:t>over-</w:t>
      </w:r>
      <w:r w:rsidR="00CD05AA">
        <w:rPr>
          <w:rFonts w:asciiTheme="majorHAnsi" w:hAnsiTheme="majorHAnsi"/>
        </w:rPr>
        <w:t xml:space="preserve">expressed </w:t>
      </w:r>
      <w:r w:rsidR="00355BE2">
        <w:rPr>
          <w:rFonts w:asciiTheme="majorHAnsi" w:hAnsiTheme="majorHAnsi"/>
        </w:rPr>
        <w:t>in</w:t>
      </w:r>
      <w:r w:rsidR="00CD05AA">
        <w:rPr>
          <w:rFonts w:asciiTheme="majorHAnsi" w:hAnsiTheme="majorHAnsi"/>
        </w:rPr>
        <w:t xml:space="preserve"> </w:t>
      </w:r>
      <w:r w:rsidR="00CD05AA" w:rsidRPr="00CD05AA">
        <w:rPr>
          <w:rFonts w:asciiTheme="majorHAnsi" w:hAnsiTheme="majorHAnsi"/>
          <w:i/>
        </w:rPr>
        <w:t>SRCAP</w:t>
      </w:r>
      <w:r w:rsidR="00CD05AA">
        <w:rPr>
          <w:rFonts w:asciiTheme="majorHAnsi" w:hAnsiTheme="majorHAnsi"/>
        </w:rPr>
        <w:t xml:space="preserve"> </w:t>
      </w:r>
      <w:r w:rsidR="00D34949">
        <w:rPr>
          <w:rFonts w:asciiTheme="majorHAnsi" w:hAnsiTheme="majorHAnsi"/>
        </w:rPr>
        <w:t>over-</w:t>
      </w:r>
      <w:r w:rsidR="00355BE2">
        <w:rPr>
          <w:rFonts w:asciiTheme="majorHAnsi" w:hAnsiTheme="majorHAnsi"/>
        </w:rPr>
        <w:t>expressing cells</w:t>
      </w:r>
      <w:r w:rsidR="00CD05AA">
        <w:rPr>
          <w:rFonts w:asciiTheme="majorHAnsi" w:hAnsiTheme="majorHAnsi"/>
        </w:rPr>
        <w:t xml:space="preserve">. </w:t>
      </w:r>
      <w:r w:rsidR="00CD05AA" w:rsidRPr="00CD05AA">
        <w:rPr>
          <w:rFonts w:asciiTheme="majorHAnsi" w:hAnsiTheme="majorHAnsi"/>
          <w:i/>
        </w:rPr>
        <w:t>CPA4</w:t>
      </w:r>
      <w:r w:rsidR="00CD05AA">
        <w:rPr>
          <w:rFonts w:asciiTheme="majorHAnsi" w:hAnsiTheme="majorHAnsi"/>
        </w:rPr>
        <w:t xml:space="preserve"> would be an interesting gene to follow up with some functional assays, such as were conducted in the previous chapters, due to publications already linking it to cancer. Not only does </w:t>
      </w:r>
      <w:r w:rsidR="0046794B">
        <w:rPr>
          <w:rFonts w:asciiTheme="majorHAnsi" w:hAnsiTheme="majorHAnsi"/>
        </w:rPr>
        <w:t>it seem to confer an aggressive prostate cancer phenotype</w:t>
      </w:r>
      <w:r w:rsidR="003F1F5D">
        <w:rPr>
          <w:rFonts w:asciiTheme="majorHAnsi" w:hAnsiTheme="majorHAnsi"/>
        </w:rPr>
        <w:t xml:space="preserve"> </w:t>
      </w:r>
      <w:r w:rsidR="003F1F5D">
        <w:rPr>
          <w:rFonts w:asciiTheme="majorHAnsi" w:hAnsiTheme="majorHAnsi"/>
        </w:rPr>
        <w:fldChar w:fldCharType="begin"/>
      </w:r>
      <w:r w:rsidR="003F1F5D">
        <w:rPr>
          <w:rFonts w:asciiTheme="majorHAnsi" w:hAnsiTheme="majorHAnsi"/>
        </w:rPr>
        <w:instrText xml:space="preserve"> ADDIN EN.CITE &lt;EndNote&gt;&lt;Cite&gt;&lt;Author&gt;Ross&lt;/Author&gt;&lt;Year&gt;2009&lt;/Year&gt;&lt;IDText&gt;Carboxypeptidase 4 gene variants and early-onset intermediate-to-high risk prostate cancer&lt;/IDText&gt;&lt;DisplayText&gt;(Ross et al., 2009)&lt;/DisplayText&gt;&lt;record&gt;&lt;dates&gt;&lt;pub-dates&gt;&lt;date&gt;Feb&lt;/date&gt;&lt;/pub-dates&gt;&lt;year&gt;2009&lt;/year&gt;&lt;/dates&gt;&lt;keywords&gt;&lt;keyword&gt;African Americans&lt;/keyword&gt;&lt;keyword&gt;Age Factors&lt;/keyword&gt;&lt;keyword&gt;Aged&lt;/keyword&gt;&lt;keyword&gt;Carboxypeptidases&lt;/keyword&gt;&lt;keyword&gt;Carboxypeptidases A&lt;/keyword&gt;&lt;keyword&gt;Early Diagnosis&lt;/keyword&gt;&lt;keyword&gt;European Continental Ancestry Group&lt;/keyword&gt;&lt;keyword&gt;Gene Frequency&lt;/keyword&gt;&lt;keyword&gt;Genetic Predisposition to Disease&lt;/keyword&gt;&lt;keyword&gt;Humans&lt;/keyword&gt;&lt;keyword&gt;Introns&lt;/keyword&gt;&lt;keyword&gt;Male&lt;/keyword&gt;&lt;keyword&gt;Middle Aged&lt;/keyword&gt;&lt;keyword&gt;Neoplasm Staging&lt;/keyword&gt;&lt;keyword&gt;Polymorphism, Single Nucleotide&lt;/keyword&gt;&lt;keyword&gt;Prostatic Neoplasms&lt;/keyword&gt;&lt;/keywords&gt;&lt;urls&gt;&lt;related-urls&gt;&lt;url&gt;https://www.ncbi.nlm.nih.gov/pubmed/19245716&lt;/url&gt;&lt;/related-urls&gt;&lt;/urls&gt;&lt;isbn&gt;1471-2407&lt;/isbn&gt;&lt;custom2&gt;PMC2657151&lt;/custom2&gt;&lt;titles&gt;&lt;title&gt;Carboxypeptidase 4 gene variants and early-onset intermediate-to-high risk prostate cancer&lt;/title&gt;&lt;secondary-title&gt;BMC Cancer&lt;/secondary-title&gt;&lt;/titles&gt;&lt;pages&gt;69&lt;/pages&gt;&lt;contributors&gt;&lt;authors&gt;&lt;author&gt;Ross, P. L.&lt;/author&gt;&lt;author&gt;Cheng, I.&lt;/author&gt;&lt;author&gt;Liu, X.&lt;/author&gt;&lt;author&gt;Cicek, M. S.&lt;/author&gt;&lt;author&gt;Carroll, P. R.&lt;/author&gt;&lt;author&gt;Casey, G.&lt;/author&gt;&lt;author&gt;Witte, J. S.&lt;/author&gt;&lt;/authors&gt;&lt;/contributors&gt;&lt;edition&gt;2009/02/26&lt;/edition&gt;&lt;language&gt;eng&lt;/language&gt;&lt;added-date format="utc"&gt;1510831035&lt;/added-date&gt;&lt;ref-type name="Journal Article"&gt;17&lt;/ref-type&gt;&lt;rec-number&gt;368&lt;/rec-number&gt;&lt;last-updated-date format="utc"&gt;1510831035&lt;/last-updated-date&gt;&lt;accession-num&gt;19245716&lt;/accession-num&gt;&lt;electronic-resource-num&gt;10.1186/1471-2407-9-69&lt;/electronic-resource-num&gt;&lt;volume&gt;9&lt;/volume&gt;&lt;/record&gt;&lt;/Cite&gt;&lt;/EndNote&gt;</w:instrText>
      </w:r>
      <w:r w:rsidR="003F1F5D">
        <w:rPr>
          <w:rFonts w:asciiTheme="majorHAnsi" w:hAnsiTheme="majorHAnsi"/>
        </w:rPr>
        <w:fldChar w:fldCharType="separate"/>
      </w:r>
      <w:r w:rsidR="003F1F5D">
        <w:rPr>
          <w:rFonts w:asciiTheme="majorHAnsi" w:hAnsiTheme="majorHAnsi"/>
          <w:noProof/>
        </w:rPr>
        <w:t>(Ross et al., 2009)</w:t>
      </w:r>
      <w:r w:rsidR="003F1F5D">
        <w:rPr>
          <w:rFonts w:asciiTheme="majorHAnsi" w:hAnsiTheme="majorHAnsi"/>
        </w:rPr>
        <w:fldChar w:fldCharType="end"/>
      </w:r>
      <w:r w:rsidR="0046794B">
        <w:rPr>
          <w:rFonts w:asciiTheme="majorHAnsi" w:hAnsiTheme="majorHAnsi"/>
        </w:rPr>
        <w:t>, but also, increased levels were seen in pancreatic cancer tumour sections and correlated with metastasis</w:t>
      </w:r>
      <w:r w:rsidR="003F1F5D">
        <w:rPr>
          <w:rFonts w:asciiTheme="majorHAnsi" w:hAnsiTheme="majorHAnsi"/>
        </w:rPr>
        <w:t xml:space="preserve"> </w:t>
      </w:r>
      <w:r w:rsidR="003F1F5D">
        <w:rPr>
          <w:rFonts w:asciiTheme="majorHAnsi" w:hAnsiTheme="majorHAnsi"/>
        </w:rPr>
        <w:fldChar w:fldCharType="begin"/>
      </w:r>
      <w:r w:rsidR="003F1F5D">
        <w:rPr>
          <w:rFonts w:asciiTheme="majorHAnsi" w:hAnsiTheme="majorHAnsi"/>
        </w:rPr>
        <w:instrText xml:space="preserve"> ADDIN EN.CITE &lt;EndNote&gt;&lt;Cite&gt;&lt;Author&gt;Sun&lt;/Author&gt;&lt;Year&gt;2016&lt;/Year&gt;&lt;IDText&gt;CPA4 is a promising diagnostic serum biomarker for pancreatic cancer&lt;/IDText&gt;&lt;DisplayText&gt;(Sun et al., 2016a)&lt;/DisplayText&gt;&lt;record&gt;&lt;keywords&gt;&lt;keyword&gt;CPA4&lt;/keyword&gt;&lt;keyword&gt;ELISA&lt;/keyword&gt;&lt;keyword&gt;immunohistochemistry&lt;/keyword&gt;&lt;keyword&gt;marker&lt;/keyword&gt;&lt;keyword&gt;pancreatic cancer&lt;/keyword&gt;&lt;/keywords&gt;&lt;urls&gt;&lt;related-urls&gt;&lt;url&gt;https://www.ncbi.nlm.nih.gov/pubmed/27073726&lt;/url&gt;&lt;/related-urls&gt;&lt;/urls&gt;&lt;isbn&gt;2156-6976&lt;/isbn&gt;&lt;custom2&gt;PMC4759400&lt;/custom2&gt;&lt;titles&gt;&lt;title&gt;CPA4 is a promising diagnostic serum biomarker for pancreatic cancer&lt;/title&gt;&lt;secondary-title&gt;Am J Cancer Res&lt;/secondary-title&gt;&lt;/titles&gt;&lt;pages&gt;91-6&lt;/pages&gt;&lt;number&gt;1&lt;/number&gt;&lt;contributors&gt;&lt;authors&gt;&lt;author&gt;Sun, L.&lt;/author&gt;&lt;author&gt;Burnett, J.&lt;/author&gt;&lt;author&gt;Guo, C.&lt;/author&gt;&lt;author&gt;Xie, Y.&lt;/author&gt;&lt;author&gt;Pan, J.&lt;/author&gt;&lt;author&gt;Yang, Z.&lt;/author&gt;&lt;author&gt;Ran, Y.&lt;/author&gt;&lt;author&gt;Sun, D.&lt;/author&gt;&lt;/authors&gt;&lt;/contributors&gt;&lt;edition&gt;2015/12/15&lt;/edition&gt;&lt;language&gt;eng&lt;/language&gt;&lt;added-date format="utc"&gt;1512388250&lt;/added-date&gt;&lt;ref-type name="Journal Article"&gt;17&lt;/ref-type&gt;&lt;dates&gt;&lt;year&gt;2016&lt;/year&gt;&lt;/dates&gt;&lt;rec-number&gt;376&lt;/rec-number&gt;&lt;last-updated-date format="utc"&gt;1512388250&lt;/last-updated-date&gt;&lt;accession-num&gt;27073726&lt;/accession-num&gt;&lt;volume&gt;6&lt;/volume&gt;&lt;/record&gt;&lt;/Cite&gt;&lt;/EndNote&gt;</w:instrText>
      </w:r>
      <w:r w:rsidR="003F1F5D">
        <w:rPr>
          <w:rFonts w:asciiTheme="majorHAnsi" w:hAnsiTheme="majorHAnsi"/>
        </w:rPr>
        <w:fldChar w:fldCharType="separate"/>
      </w:r>
      <w:r w:rsidR="003F1F5D">
        <w:rPr>
          <w:rFonts w:asciiTheme="majorHAnsi" w:hAnsiTheme="majorHAnsi"/>
          <w:noProof/>
        </w:rPr>
        <w:t>(Sun et al., 2016a)</w:t>
      </w:r>
      <w:r w:rsidR="003F1F5D">
        <w:rPr>
          <w:rFonts w:asciiTheme="majorHAnsi" w:hAnsiTheme="majorHAnsi"/>
        </w:rPr>
        <w:fldChar w:fldCharType="end"/>
      </w:r>
      <w:r w:rsidR="0046794B">
        <w:rPr>
          <w:rFonts w:asciiTheme="majorHAnsi" w:hAnsiTheme="majorHAnsi"/>
        </w:rPr>
        <w:t>, along with increases in lung cancer associated with an unfavourable prognosis</w:t>
      </w:r>
      <w:r w:rsidR="003F1F5D">
        <w:rPr>
          <w:rFonts w:asciiTheme="majorHAnsi" w:hAnsiTheme="majorHAnsi"/>
        </w:rPr>
        <w:t xml:space="preserve"> </w:t>
      </w:r>
      <w:r w:rsidR="003F1F5D">
        <w:rPr>
          <w:rFonts w:asciiTheme="majorHAnsi" w:hAnsiTheme="majorHAnsi"/>
        </w:rPr>
        <w:fldChar w:fldCharType="begin"/>
      </w:r>
      <w:r w:rsidR="003F1F5D">
        <w:rPr>
          <w:rFonts w:asciiTheme="majorHAnsi" w:hAnsiTheme="majorHAnsi"/>
        </w:rPr>
        <w:instrText xml:space="preserve"> ADDIN EN.CITE &lt;EndNote&gt;&lt;Cite&gt;&lt;Author&gt;Sun&lt;/Author&gt;&lt;Year&gt;2016&lt;/Year&gt;&lt;IDText&gt;CPA4 is a Novel Diagnostic and Prognostic Marker for Human Non-Small-Cell Lung Cancer&lt;/IDText&gt;&lt;DisplayText&gt;(Sun et al., 2016c)&lt;/DisplayText&gt;&lt;record&gt;&lt;keywords&gt;&lt;keyword&gt;CPA4&lt;/keyword&gt;&lt;keyword&gt;Diagnosis.&lt;/keyword&gt;&lt;keyword&gt;Marker&lt;/keyword&gt;&lt;keyword&gt;Prognosis&lt;/keyword&gt;&lt;keyword&gt;lung Cancer&lt;/keyword&gt;&lt;/keywords&gt;&lt;urls&gt;&lt;related-urls&gt;&lt;url&gt;https://www.ncbi.nlm.nih.gov/pubmed/27390594&lt;/url&gt;&lt;/related-urls&gt;&lt;/urls&gt;&lt;isbn&gt;1837-9664&lt;/isbn&gt;&lt;custom2&gt;PMC4934027&lt;/custom2&gt;&lt;titles&gt;&lt;title&gt;CPA4 is a Novel Diagnostic and Prognostic Marker for Human Non-Small-Cell Lung Cancer&lt;/title&gt;&lt;secondary-title&gt;J Cancer&lt;/secondary-title&gt;&lt;/titles&gt;&lt;pages&gt;1197-204&lt;/pages&gt;&lt;number&gt;10&lt;/number&gt;&lt;contributors&gt;&lt;authors&gt;&lt;author&gt;Sun, L.&lt;/author&gt;&lt;author&gt;Wang, Y.&lt;/author&gt;&lt;author&gt;Yuan, H.&lt;/author&gt;&lt;author&gt;Burnett, J.&lt;/author&gt;&lt;author&gt;Pan, J.&lt;/author&gt;&lt;author&gt;Yang, Z.&lt;/author&gt;&lt;author&gt;Ran, Y.&lt;/author&gt;&lt;author&gt;Myers, I.&lt;/author&gt;&lt;author&gt;Sun, D.&lt;/author&gt;&lt;/authors&gt;&lt;/contributors&gt;&lt;edition&gt;2016/06/18&lt;/edition&gt;&lt;language&gt;eng&lt;/language&gt;&lt;added-date format="utc"&gt;1512388131&lt;/added-date&gt;&lt;ref-type name="Journal Article"&gt;17&lt;/ref-type&gt;&lt;dates&gt;&lt;year&gt;2016&lt;/year&gt;&lt;/dates&gt;&lt;rec-number&gt;375&lt;/rec-number&gt;&lt;last-updated-date format="utc"&gt;1512388131&lt;/last-updated-date&gt;&lt;accession-num&gt;27390594&lt;/accession-num&gt;&lt;electronic-resource-num&gt;10.7150/jca.15209&lt;/electronic-resource-num&gt;&lt;volume&gt;7&lt;/volume&gt;&lt;/record&gt;&lt;/Cite&gt;&lt;/EndNote&gt;</w:instrText>
      </w:r>
      <w:r w:rsidR="003F1F5D">
        <w:rPr>
          <w:rFonts w:asciiTheme="majorHAnsi" w:hAnsiTheme="majorHAnsi"/>
        </w:rPr>
        <w:fldChar w:fldCharType="separate"/>
      </w:r>
      <w:r w:rsidR="003F1F5D">
        <w:rPr>
          <w:rFonts w:asciiTheme="majorHAnsi" w:hAnsiTheme="majorHAnsi"/>
          <w:noProof/>
        </w:rPr>
        <w:t>(Sun et al., 2016c)</w:t>
      </w:r>
      <w:r w:rsidR="003F1F5D">
        <w:rPr>
          <w:rFonts w:asciiTheme="majorHAnsi" w:hAnsiTheme="majorHAnsi"/>
        </w:rPr>
        <w:fldChar w:fldCharType="end"/>
      </w:r>
      <w:r w:rsidR="0046794B">
        <w:rPr>
          <w:rFonts w:asciiTheme="majorHAnsi" w:hAnsiTheme="majorHAnsi"/>
        </w:rPr>
        <w:t xml:space="preserve">. Furthermore in colorectal cancer levels of serum CPA4 could be a predictive marker of liver metastasis </w:t>
      </w:r>
      <w:r w:rsidR="0046794B">
        <w:rPr>
          <w:rFonts w:asciiTheme="majorHAnsi" w:hAnsiTheme="majorHAnsi"/>
        </w:rPr>
        <w:fldChar w:fldCharType="begin"/>
      </w:r>
      <w:r w:rsidR="003F1F5D">
        <w:rPr>
          <w:rFonts w:asciiTheme="majorHAnsi" w:hAnsiTheme="majorHAnsi"/>
        </w:rPr>
        <w:instrText xml:space="preserve"> ADDIN EN.CITE &lt;EndNote&gt;&lt;Cite&gt;&lt;Author&gt;Sun&lt;/Author&gt;&lt;Year&gt;2016&lt;/Year&gt;&lt;IDText&gt;Serum carboxypeptidaseA4 levels predict liver metastasis in colorectal carcinoma&lt;/IDText&gt;&lt;DisplayText&gt;(Sun et al., 2016b)&lt;/DisplayText&gt;&lt;record&gt;&lt;dates&gt;&lt;pub-dates&gt;&lt;date&gt;Nov&lt;/date&gt;&lt;/pub-dates&gt;&lt;year&gt;2016&lt;/year&gt;&lt;/dates&gt;&lt;keywords&gt;&lt;keyword&gt;CPA4&lt;/keyword&gt;&lt;keyword&gt;colorectal cancer&lt;/keyword&gt;&lt;keyword&gt;liver metastasis&lt;/keyword&gt;&lt;keyword&gt;marker&lt;/keyword&gt;&lt;keyword&gt;prognosis&lt;/keyword&gt;&lt;/keywords&gt;&lt;urls&gt;&lt;related-urls&gt;&lt;url&gt;https://www.ncbi.nlm.nih.gov/pubmed/27780921&lt;/url&gt;&lt;/related-urls&gt;&lt;/urls&gt;&lt;isbn&gt;1949-2553&lt;/isbn&gt;&lt;custom2&gt;PMC5346670&lt;/custom2&gt;&lt;titles&gt;&lt;title&gt;Serum carboxypeptidaseA4 levels predict liver metastasis in colorectal carcinoma&lt;/title&gt;&lt;secondary-title&gt;Oncotarget&lt;/secondary-title&gt;&lt;/titles&gt;&lt;pages&gt;78688-78697&lt;/pages&gt;&lt;number&gt;48&lt;/number&gt;&lt;contributors&gt;&lt;authors&gt;&lt;author&gt;Sun, L.&lt;/author&gt;&lt;author&gt;Guo, C.&lt;/author&gt;&lt;author&gt;Burnett, J.&lt;/author&gt;&lt;author&gt;Yang, Z.&lt;/author&gt;&lt;author&gt;Ran, Y.&lt;/author&gt;&lt;author&gt;Sun, D.&lt;/author&gt;&lt;/authors&gt;&lt;/contributors&gt;&lt;language&gt;eng&lt;/language&gt;&lt;added-date format="utc"&gt;1512387933&lt;/added-date&gt;&lt;ref-type name="Journal Article"&gt;17&lt;/ref-type&gt;&lt;rec-number&gt;374&lt;/rec-number&gt;&lt;last-updated-date format="utc"&gt;1512387933&lt;/last-updated-date&gt;&lt;accession-num&gt;27780921&lt;/accession-num&gt;&lt;electronic-resource-num&gt;10.18632/oncotarget.12798&lt;/electronic-resource-num&gt;&lt;volume&gt;7&lt;/volume&gt;&lt;/record&gt;&lt;/Cite&gt;&lt;/EndNote&gt;</w:instrText>
      </w:r>
      <w:r w:rsidR="0046794B">
        <w:rPr>
          <w:rFonts w:asciiTheme="majorHAnsi" w:hAnsiTheme="majorHAnsi"/>
        </w:rPr>
        <w:fldChar w:fldCharType="separate"/>
      </w:r>
      <w:r w:rsidR="003F1F5D">
        <w:rPr>
          <w:rFonts w:asciiTheme="majorHAnsi" w:hAnsiTheme="majorHAnsi"/>
          <w:noProof/>
        </w:rPr>
        <w:t>(Sun et al., 2016b)</w:t>
      </w:r>
      <w:r w:rsidR="0046794B">
        <w:rPr>
          <w:rFonts w:asciiTheme="majorHAnsi" w:hAnsiTheme="majorHAnsi"/>
        </w:rPr>
        <w:fldChar w:fldCharType="end"/>
      </w:r>
      <w:r w:rsidR="0046794B">
        <w:rPr>
          <w:rFonts w:asciiTheme="majorHAnsi" w:hAnsiTheme="majorHAnsi"/>
        </w:rPr>
        <w:t xml:space="preserve">, and in fact all these papers call for more research into how levels of CPA4 could be a prognostic marker. </w:t>
      </w:r>
      <w:r w:rsidR="003F1F5D">
        <w:rPr>
          <w:rFonts w:asciiTheme="majorHAnsi" w:hAnsiTheme="majorHAnsi"/>
        </w:rPr>
        <w:t xml:space="preserve">Therefore the fact that </w:t>
      </w:r>
      <w:r w:rsidR="003F1F5D" w:rsidRPr="007E5505">
        <w:rPr>
          <w:rFonts w:asciiTheme="majorHAnsi" w:hAnsiTheme="majorHAnsi"/>
          <w:i/>
        </w:rPr>
        <w:t>SRCAP</w:t>
      </w:r>
      <w:r w:rsidR="00126B64">
        <w:rPr>
          <w:rFonts w:asciiTheme="majorHAnsi" w:hAnsiTheme="majorHAnsi"/>
        </w:rPr>
        <w:t xml:space="preserve"> over-</w:t>
      </w:r>
      <w:r w:rsidR="003F1F5D">
        <w:rPr>
          <w:rFonts w:asciiTheme="majorHAnsi" w:hAnsiTheme="majorHAnsi"/>
        </w:rPr>
        <w:t xml:space="preserve">expression </w:t>
      </w:r>
      <w:r w:rsidR="00126B64">
        <w:rPr>
          <w:rFonts w:asciiTheme="majorHAnsi" w:hAnsiTheme="majorHAnsi"/>
        </w:rPr>
        <w:t>appears to increase</w:t>
      </w:r>
      <w:r w:rsidR="003F1F5D">
        <w:rPr>
          <w:rFonts w:asciiTheme="majorHAnsi" w:hAnsiTheme="majorHAnsi"/>
        </w:rPr>
        <w:t xml:space="preserve"> the transcript levels of </w:t>
      </w:r>
      <w:r w:rsidR="003F1F5D" w:rsidRPr="007E5505">
        <w:rPr>
          <w:rFonts w:asciiTheme="majorHAnsi" w:hAnsiTheme="majorHAnsi"/>
          <w:i/>
        </w:rPr>
        <w:t>CPA4</w:t>
      </w:r>
      <w:r w:rsidR="003F1F5D">
        <w:rPr>
          <w:rFonts w:asciiTheme="majorHAnsi" w:hAnsiTheme="majorHAnsi"/>
        </w:rPr>
        <w:t xml:space="preserve"> in a CRC cell line is definitely worth investigating further. </w:t>
      </w:r>
      <w:r w:rsidR="00355BE2">
        <w:rPr>
          <w:rFonts w:asciiTheme="majorHAnsi" w:hAnsiTheme="majorHAnsi"/>
        </w:rPr>
        <w:t xml:space="preserve">Further analysis of </w:t>
      </w:r>
      <w:r w:rsidR="002C2E2A">
        <w:rPr>
          <w:rFonts w:asciiTheme="majorHAnsi" w:hAnsiTheme="majorHAnsi"/>
        </w:rPr>
        <w:t>knock</w:t>
      </w:r>
      <w:r w:rsidR="007E5505">
        <w:rPr>
          <w:rFonts w:asciiTheme="majorHAnsi" w:hAnsiTheme="majorHAnsi"/>
        </w:rPr>
        <w:t xml:space="preserve">down </w:t>
      </w:r>
      <w:r w:rsidR="00355BE2">
        <w:rPr>
          <w:rFonts w:asciiTheme="majorHAnsi" w:hAnsiTheme="majorHAnsi"/>
        </w:rPr>
        <w:t xml:space="preserve">microarray </w:t>
      </w:r>
      <w:r w:rsidR="007E5505">
        <w:rPr>
          <w:rFonts w:asciiTheme="majorHAnsi" w:hAnsiTheme="majorHAnsi"/>
        </w:rPr>
        <w:t xml:space="preserve">data also </w:t>
      </w:r>
      <w:r w:rsidR="00355BE2">
        <w:rPr>
          <w:rFonts w:asciiTheme="majorHAnsi" w:hAnsiTheme="majorHAnsi"/>
        </w:rPr>
        <w:t>revealed</w:t>
      </w:r>
      <w:r w:rsidR="007E5505">
        <w:rPr>
          <w:rFonts w:asciiTheme="majorHAnsi" w:hAnsiTheme="majorHAnsi"/>
        </w:rPr>
        <w:t xml:space="preserve"> that </w:t>
      </w:r>
      <w:r w:rsidR="007E5505" w:rsidRPr="007E5505">
        <w:rPr>
          <w:rFonts w:asciiTheme="majorHAnsi" w:hAnsiTheme="majorHAnsi"/>
          <w:i/>
        </w:rPr>
        <w:t>CPA4</w:t>
      </w:r>
      <w:r w:rsidR="007E5505">
        <w:rPr>
          <w:rFonts w:asciiTheme="majorHAnsi" w:hAnsiTheme="majorHAnsi"/>
        </w:rPr>
        <w:t xml:space="preserve"> expression </w:t>
      </w:r>
      <w:r w:rsidR="00355BE2">
        <w:rPr>
          <w:rFonts w:asciiTheme="majorHAnsi" w:hAnsiTheme="majorHAnsi"/>
        </w:rPr>
        <w:t xml:space="preserve">is also increased in </w:t>
      </w:r>
      <w:r w:rsidR="00355BE2" w:rsidRPr="00355BE2">
        <w:rPr>
          <w:rFonts w:asciiTheme="majorHAnsi" w:hAnsiTheme="majorHAnsi"/>
          <w:i/>
        </w:rPr>
        <w:t>SRCAP</w:t>
      </w:r>
      <w:r w:rsidR="00355BE2">
        <w:rPr>
          <w:rFonts w:asciiTheme="majorHAnsi" w:hAnsiTheme="majorHAnsi"/>
        </w:rPr>
        <w:t xml:space="preserve"> depleted cells to quite a significant amount </w:t>
      </w:r>
      <w:r w:rsidR="007E5505">
        <w:rPr>
          <w:rFonts w:asciiTheme="majorHAnsi" w:hAnsiTheme="majorHAnsi"/>
        </w:rPr>
        <w:t>(fold changes: -2.81, -2.41, -2.31)</w:t>
      </w:r>
      <w:r w:rsidR="003A681B">
        <w:rPr>
          <w:rFonts w:asciiTheme="majorHAnsi" w:hAnsiTheme="majorHAnsi"/>
        </w:rPr>
        <w:t>, and this was further va</w:t>
      </w:r>
      <w:r w:rsidR="00AD528E">
        <w:rPr>
          <w:rFonts w:asciiTheme="majorHAnsi" w:hAnsiTheme="majorHAnsi"/>
        </w:rPr>
        <w:t>lidated by RT-PCR in Figure 6.16</w:t>
      </w:r>
      <w:r w:rsidR="007E5505">
        <w:rPr>
          <w:rFonts w:asciiTheme="majorHAnsi" w:hAnsiTheme="majorHAnsi"/>
        </w:rPr>
        <w:t xml:space="preserve">. This could have something to do with the fact that CPA4 is a downstream gene in response to the </w:t>
      </w:r>
      <w:r w:rsidR="00B503EE">
        <w:rPr>
          <w:rFonts w:asciiTheme="majorHAnsi" w:hAnsiTheme="majorHAnsi"/>
        </w:rPr>
        <w:t>hyper</w:t>
      </w:r>
      <w:r w:rsidR="007E5505">
        <w:rPr>
          <w:rFonts w:asciiTheme="majorHAnsi" w:hAnsiTheme="majorHAnsi"/>
        </w:rPr>
        <w:t>acetylation of histones</w:t>
      </w:r>
      <w:r w:rsidR="00B503EE">
        <w:rPr>
          <w:rFonts w:asciiTheme="majorHAnsi" w:hAnsiTheme="majorHAnsi"/>
        </w:rPr>
        <w:t xml:space="preserve"> </w:t>
      </w:r>
      <w:r w:rsidR="00B503EE">
        <w:rPr>
          <w:rFonts w:asciiTheme="majorHAnsi" w:hAnsiTheme="majorHAnsi"/>
        </w:rPr>
        <w:fldChar w:fldCharType="begin"/>
      </w:r>
      <w:r w:rsidR="00B503EE">
        <w:rPr>
          <w:rFonts w:asciiTheme="majorHAnsi" w:hAnsiTheme="majorHAnsi"/>
        </w:rPr>
        <w:instrText xml:space="preserve"> ADDIN EN.CITE &lt;EndNote&gt;&lt;Cite&gt;&lt;Author&gt;Ross&lt;/Author&gt;&lt;Year&gt;2009&lt;/Year&gt;&lt;IDText&gt;Carboxypeptidase 4 gene variants and early-onset intermediate-to-high risk prostate cancer&lt;/IDText&gt;&lt;DisplayText&gt;(Ross et al., 2009)&lt;/DisplayText&gt;&lt;record&gt;&lt;dates&gt;&lt;pub-dates&gt;&lt;date&gt;Feb&lt;/date&gt;&lt;/pub-dates&gt;&lt;year&gt;2009&lt;/year&gt;&lt;/dates&gt;&lt;keywords&gt;&lt;keyword&gt;African Americans&lt;/keyword&gt;&lt;keyword&gt;Age Factors&lt;/keyword&gt;&lt;keyword&gt;Aged&lt;/keyword&gt;&lt;keyword&gt;Carboxypeptidases&lt;/keyword&gt;&lt;keyword&gt;Carboxypeptidases A&lt;/keyword&gt;&lt;keyword&gt;Early Diagnosis&lt;/keyword&gt;&lt;keyword&gt;European Continental Ancestry Group&lt;/keyword&gt;&lt;keyword&gt;Gene Frequency&lt;/keyword&gt;&lt;keyword&gt;Genetic Predisposition to Disease&lt;/keyword&gt;&lt;keyword&gt;Humans&lt;/keyword&gt;&lt;keyword&gt;Introns&lt;/keyword&gt;&lt;keyword&gt;Male&lt;/keyword&gt;&lt;keyword&gt;Middle Aged&lt;/keyword&gt;&lt;keyword&gt;Neoplasm Staging&lt;/keyword&gt;&lt;keyword&gt;Polymorphism, Single Nucleotide&lt;/keyword&gt;&lt;keyword&gt;Prostatic Neoplasms&lt;/keyword&gt;&lt;/keywords&gt;&lt;urls&gt;&lt;related-urls&gt;&lt;url&gt;https://www.ncbi.nlm.nih.gov/pubmed/19245716&lt;/url&gt;&lt;/related-urls&gt;&lt;/urls&gt;&lt;isbn&gt;1471-2407&lt;/isbn&gt;&lt;custom2&gt;PMC2657151&lt;/custom2&gt;&lt;titles&gt;&lt;title&gt;Carboxypeptidase 4 gene variants and early-onset intermediate-to-high risk prostate cancer&lt;/title&gt;&lt;secondary-title&gt;BMC Cancer&lt;/secondary-title&gt;&lt;/titles&gt;&lt;pages&gt;69&lt;/pages&gt;&lt;contributors&gt;&lt;authors&gt;&lt;author&gt;Ross, P. L.&lt;/author&gt;&lt;author&gt;Cheng, I.&lt;/author&gt;&lt;author&gt;Liu, X.&lt;/author&gt;&lt;author&gt;Cicek, M. S.&lt;/author&gt;&lt;author&gt;Carroll, P. R.&lt;/author&gt;&lt;author&gt;Casey, G.&lt;/author&gt;&lt;author&gt;Witte, J. S.&lt;/author&gt;&lt;/authors&gt;&lt;/contributors&gt;&lt;edition&gt;2009/02/26&lt;/edition&gt;&lt;language&gt;eng&lt;/language&gt;&lt;added-date format="utc"&gt;1510831035&lt;/added-date&gt;&lt;ref-type name="Journal Article"&gt;17&lt;/ref-type&gt;&lt;rec-number&gt;368&lt;/rec-number&gt;&lt;last-updated-date format="utc"&gt;1510831035&lt;/last-updated-date&gt;&lt;accession-num&gt;19245716&lt;/accession-num&gt;&lt;electronic-resource-num&gt;10.1186/1471-2407-9-69&lt;/electronic-resource-num&gt;&lt;volume&gt;9&lt;/volume&gt;&lt;/record&gt;&lt;/Cite&gt;&lt;/EndNote&gt;</w:instrText>
      </w:r>
      <w:r w:rsidR="00B503EE">
        <w:rPr>
          <w:rFonts w:asciiTheme="majorHAnsi" w:hAnsiTheme="majorHAnsi"/>
        </w:rPr>
        <w:fldChar w:fldCharType="separate"/>
      </w:r>
      <w:r w:rsidR="00B503EE">
        <w:rPr>
          <w:rFonts w:asciiTheme="majorHAnsi" w:hAnsiTheme="majorHAnsi"/>
          <w:noProof/>
        </w:rPr>
        <w:t>(Ross et al., 2009)</w:t>
      </w:r>
      <w:r w:rsidR="00B503EE">
        <w:rPr>
          <w:rFonts w:asciiTheme="majorHAnsi" w:hAnsiTheme="majorHAnsi"/>
        </w:rPr>
        <w:fldChar w:fldCharType="end"/>
      </w:r>
      <w:r w:rsidR="00B503EE">
        <w:rPr>
          <w:rFonts w:asciiTheme="majorHAnsi" w:hAnsiTheme="majorHAnsi"/>
        </w:rPr>
        <w:t xml:space="preserve">, so any change, whether negative or positive, to </w:t>
      </w:r>
      <w:r w:rsidR="00B503EE" w:rsidRPr="00B503EE">
        <w:rPr>
          <w:rFonts w:asciiTheme="majorHAnsi" w:hAnsiTheme="majorHAnsi"/>
          <w:i/>
        </w:rPr>
        <w:t>SRCAP</w:t>
      </w:r>
      <w:r w:rsidR="00B503EE">
        <w:rPr>
          <w:rFonts w:asciiTheme="majorHAnsi" w:hAnsiTheme="majorHAnsi"/>
          <w:i/>
        </w:rPr>
        <w:t xml:space="preserve"> </w:t>
      </w:r>
      <w:r w:rsidR="00B503EE">
        <w:rPr>
          <w:rFonts w:asciiTheme="majorHAnsi" w:hAnsiTheme="majorHAnsi"/>
        </w:rPr>
        <w:t xml:space="preserve">gene expression could influence the histone code and lead to aberrant expression of CPA4. </w:t>
      </w:r>
    </w:p>
    <w:p w14:paraId="0B7E3401" w14:textId="41BB59B0" w:rsidR="005F2031" w:rsidRPr="00AE465B" w:rsidRDefault="00BB385C" w:rsidP="005F2031">
      <w:pPr>
        <w:spacing w:line="360" w:lineRule="auto"/>
        <w:jc w:val="both"/>
        <w:rPr>
          <w:rFonts w:asciiTheme="majorHAnsi" w:hAnsiTheme="majorHAnsi"/>
        </w:rPr>
      </w:pPr>
      <w:r>
        <w:rPr>
          <w:noProof/>
          <w:lang w:val="en-US"/>
        </w:rPr>
        <mc:AlternateContent>
          <mc:Choice Requires="wps">
            <w:drawing>
              <wp:anchor distT="0" distB="0" distL="114300" distR="114300" simplePos="0" relativeHeight="252170240" behindDoc="0" locked="0" layoutInCell="1" allowOverlap="1" wp14:anchorId="424FB975" wp14:editId="46D63C18">
                <wp:simplePos x="0" y="0"/>
                <wp:positionH relativeFrom="column">
                  <wp:posOffset>3086100</wp:posOffset>
                </wp:positionH>
                <wp:positionV relativeFrom="paragraph">
                  <wp:posOffset>228600</wp:posOffset>
                </wp:positionV>
                <wp:extent cx="2286000" cy="2286000"/>
                <wp:effectExtent l="0" t="0" r="0" b="0"/>
                <wp:wrapSquare wrapText="bothSides"/>
                <wp:docPr id="147" name="Text Box 147"/>
                <wp:cNvGraphicFramePr/>
                <a:graphic xmlns:a="http://schemas.openxmlformats.org/drawingml/2006/main">
                  <a:graphicData uri="http://schemas.microsoft.com/office/word/2010/wordprocessingShape">
                    <wps:wsp>
                      <wps:cNvSpPr txBox="1"/>
                      <wps:spPr>
                        <a:xfrm>
                          <a:off x="0" y="0"/>
                          <a:ext cx="22860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26D333" w14:textId="60DBDCB1" w:rsidR="00E82D3B" w:rsidRDefault="00E82D3B" w:rsidP="00AE465B">
                            <w:pPr>
                              <w:jc w:val="both"/>
                              <w:rPr>
                                <w:b/>
                                <w:i/>
                                <w:sz w:val="22"/>
                              </w:rPr>
                            </w:pPr>
                            <w:r w:rsidRPr="00AE465B">
                              <w:rPr>
                                <w:b/>
                                <w:i/>
                                <w:sz w:val="22"/>
                              </w:rPr>
                              <w:t>F</w:t>
                            </w:r>
                            <w:r>
                              <w:rPr>
                                <w:b/>
                                <w:i/>
                                <w:sz w:val="22"/>
                              </w:rPr>
                              <w:t>igure 6.16</w:t>
                            </w:r>
                            <w:r w:rsidRPr="00AE465B">
                              <w:rPr>
                                <w:b/>
                                <w:i/>
                                <w:sz w:val="22"/>
                              </w:rPr>
                              <w:t xml:space="preserve"> CPA4 is also increased when SRCAP is knocked down</w:t>
                            </w:r>
                          </w:p>
                          <w:p w14:paraId="6439B59D" w14:textId="430D667A" w:rsidR="00E82D3B" w:rsidRPr="00AE465B" w:rsidRDefault="00E82D3B" w:rsidP="00AE465B">
                            <w:pPr>
                              <w:jc w:val="both"/>
                              <w:rPr>
                                <w:i/>
                                <w:sz w:val="22"/>
                              </w:rPr>
                            </w:pPr>
                            <w:r>
                              <w:rPr>
                                <w:i/>
                                <w:sz w:val="22"/>
                              </w:rPr>
                              <w:t xml:space="preserve">CPA4 expression was also determined in the original SRCAP knockdown samples from the microarray. The graph shows the mean and positive and negative error </w:t>
                            </w:r>
                            <w:proofErr w:type="gramStart"/>
                            <w:r>
                              <w:rPr>
                                <w:i/>
                                <w:sz w:val="22"/>
                              </w:rPr>
                              <w:t>bars from three internal repeats</w:t>
                            </w:r>
                            <w:proofErr w:type="gramEnd"/>
                            <w:r>
                              <w:rPr>
                                <w:i/>
                                <w:sz w:val="22"/>
                              </w:rPr>
                              <w:t xml:space="preserve"> of one experiment. CPA4 was also increased in expression compared to control cells in every repeat.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7" o:spid="_x0000_s1202" type="#_x0000_t202" style="position:absolute;left:0;text-align:left;margin-left:243pt;margin-top:18pt;width:180pt;height:180pt;z-index:25217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" filled="f" stroked="f">
                <v:textbox>
                  <w:txbxContent>
                    <w:p w14:paraId="0526D333" w14:textId="60DBDCB1" w:rsidR="000A1E0D" w:rsidRDefault="000A1E0D" w:rsidP="00AE465B">
                      <w:pPr>
                        <w:jc w:val="both"/>
                        <w:rPr>
                          <w:b/>
                          <w:i/>
                          <w:sz w:val="22"/>
                        </w:rPr>
                      </w:pPr>
                      <w:r w:rsidRPr="00AE465B">
                        <w:rPr>
                          <w:b/>
                          <w:i/>
                          <w:sz w:val="22"/>
                        </w:rPr>
                        <w:t>F</w:t>
                      </w:r>
                      <w:r>
                        <w:rPr>
                          <w:b/>
                          <w:i/>
                          <w:sz w:val="22"/>
                        </w:rPr>
                        <w:t>igure 6.16</w:t>
                      </w:r>
                      <w:r w:rsidRPr="00AE465B">
                        <w:rPr>
                          <w:b/>
                          <w:i/>
                          <w:sz w:val="22"/>
                        </w:rPr>
                        <w:t xml:space="preserve"> CPA4 is also increased when SRCAP is knocked down</w:t>
                      </w:r>
                    </w:p>
                    <w:p w14:paraId="6439B59D" w14:textId="430D667A" w:rsidR="000A1E0D" w:rsidRPr="00AE465B" w:rsidRDefault="000A1E0D" w:rsidP="00AE465B">
                      <w:pPr>
                        <w:jc w:val="both"/>
                        <w:rPr>
                          <w:i/>
                          <w:sz w:val="22"/>
                        </w:rPr>
                      </w:pPr>
                      <w:r>
                        <w:rPr>
                          <w:i/>
                          <w:sz w:val="22"/>
                        </w:rPr>
                        <w:t xml:space="preserve">CPA4 expression was also determined in the original SRCAP knockdown samples from the microarray. The graph shows the mean and positive and negative error </w:t>
                      </w:r>
                      <w:proofErr w:type="gramStart"/>
                      <w:r>
                        <w:rPr>
                          <w:i/>
                          <w:sz w:val="22"/>
                        </w:rPr>
                        <w:t>bars from three internal repeats</w:t>
                      </w:r>
                      <w:proofErr w:type="gramEnd"/>
                      <w:r>
                        <w:rPr>
                          <w:i/>
                          <w:sz w:val="22"/>
                        </w:rPr>
                        <w:t xml:space="preserve"> of one experiment. CPA4 was also increased in expression compared to control cells in every repeat.</w:t>
                      </w:r>
                    </w:p>
                  </w:txbxContent>
                </v:textbox>
                <w10:wrap type="square"/>
              </v:shape>
            </w:pict>
          </mc:Fallback>
        </mc:AlternateContent>
      </w:r>
      <w:r>
        <w:rPr>
          <w:noProof/>
          <w:lang w:val="en-US"/>
        </w:rPr>
        <w:drawing>
          <wp:anchor distT="0" distB="0" distL="114300" distR="114300" simplePos="0" relativeHeight="252169216" behindDoc="0" locked="0" layoutInCell="1" allowOverlap="1" wp14:anchorId="5EE03D04" wp14:editId="2E340718">
            <wp:simplePos x="0" y="0"/>
            <wp:positionH relativeFrom="column">
              <wp:posOffset>-114300</wp:posOffset>
            </wp:positionH>
            <wp:positionV relativeFrom="paragraph">
              <wp:posOffset>-457200</wp:posOffset>
            </wp:positionV>
            <wp:extent cx="2971800" cy="3543300"/>
            <wp:effectExtent l="0" t="0" r="25400" b="12700"/>
            <wp:wrapTopAndBottom/>
            <wp:docPr id="382" name="Chart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14:sizeRelH relativeFrom="page">
              <wp14:pctWidth>0</wp14:pctWidth>
            </wp14:sizeRelH>
            <wp14:sizeRelV relativeFrom="page">
              <wp14:pctHeight>0</wp14:pctHeight>
            </wp14:sizeRelV>
          </wp:anchor>
        </w:drawing>
      </w:r>
    </w:p>
    <w:p w14:paraId="5ED53A23" w14:textId="77777777" w:rsidR="007C58EA" w:rsidRPr="005F2031" w:rsidRDefault="007C58EA" w:rsidP="002F41C6">
      <w:pPr>
        <w:pStyle w:val="ListParagraph"/>
        <w:numPr>
          <w:ilvl w:val="0"/>
          <w:numId w:val="28"/>
        </w:numPr>
        <w:spacing w:line="360" w:lineRule="auto"/>
        <w:jc w:val="both"/>
        <w:rPr>
          <w:rFonts w:asciiTheme="majorHAnsi" w:hAnsiTheme="majorHAnsi"/>
          <w:b/>
          <w:i/>
        </w:rPr>
      </w:pPr>
      <w:r w:rsidRPr="005F2031">
        <w:rPr>
          <w:rFonts w:asciiTheme="majorHAnsi" w:hAnsiTheme="majorHAnsi"/>
          <w:b/>
          <w:i/>
        </w:rPr>
        <w:t>Study limitations and future directions</w:t>
      </w:r>
    </w:p>
    <w:p w14:paraId="0DD4E0FE" w14:textId="0ADD2646" w:rsidR="00852D5C" w:rsidRDefault="007C58EA" w:rsidP="007C58EA">
      <w:pPr>
        <w:spacing w:line="360" w:lineRule="auto"/>
        <w:jc w:val="both"/>
        <w:rPr>
          <w:rFonts w:asciiTheme="majorHAnsi" w:hAnsiTheme="majorHAnsi"/>
        </w:rPr>
      </w:pPr>
      <w:r>
        <w:rPr>
          <w:rFonts w:asciiTheme="majorHAnsi" w:hAnsiTheme="majorHAnsi"/>
        </w:rPr>
        <w:t xml:space="preserve">It would have been useful to test the hits from the </w:t>
      </w:r>
      <w:r w:rsidRPr="00D02990">
        <w:rPr>
          <w:rFonts w:asciiTheme="majorHAnsi" w:hAnsiTheme="majorHAnsi"/>
          <w:i/>
        </w:rPr>
        <w:t>SRCAP</w:t>
      </w:r>
      <w:r w:rsidR="00D34949">
        <w:rPr>
          <w:rFonts w:asciiTheme="majorHAnsi" w:hAnsiTheme="majorHAnsi"/>
        </w:rPr>
        <w:t xml:space="preserve"> over-</w:t>
      </w:r>
      <w:r>
        <w:rPr>
          <w:rFonts w:asciiTheme="majorHAnsi" w:hAnsiTheme="majorHAnsi"/>
        </w:rPr>
        <w:t xml:space="preserve">expression arrays on new </w:t>
      </w:r>
      <w:r w:rsidRPr="00D02990">
        <w:rPr>
          <w:rFonts w:asciiTheme="majorHAnsi" w:hAnsiTheme="majorHAnsi"/>
          <w:i/>
        </w:rPr>
        <w:t>YFP SRCAP</w:t>
      </w:r>
      <w:r>
        <w:rPr>
          <w:rFonts w:asciiTheme="majorHAnsi" w:hAnsiTheme="majorHAnsi"/>
        </w:rPr>
        <w:t xml:space="preserve"> positive samples from FACS, however due to time and financ</w:t>
      </w:r>
      <w:r w:rsidR="009B0254">
        <w:rPr>
          <w:rFonts w:asciiTheme="majorHAnsi" w:hAnsiTheme="majorHAnsi"/>
        </w:rPr>
        <w:t xml:space="preserve">es this could not be preformed. This would therefore </w:t>
      </w:r>
      <w:r w:rsidR="00355BE2">
        <w:rPr>
          <w:rFonts w:asciiTheme="majorHAnsi" w:hAnsiTheme="majorHAnsi"/>
        </w:rPr>
        <w:t>be a vital</w:t>
      </w:r>
      <w:r w:rsidR="009B0254">
        <w:rPr>
          <w:rFonts w:asciiTheme="majorHAnsi" w:hAnsiTheme="majorHAnsi"/>
        </w:rPr>
        <w:t xml:space="preserve"> piece of work to be conducted before moving on the any other assays with </w:t>
      </w:r>
      <w:r w:rsidR="00355BE2">
        <w:rPr>
          <w:rFonts w:asciiTheme="majorHAnsi" w:hAnsiTheme="majorHAnsi"/>
        </w:rPr>
        <w:t xml:space="preserve">either </w:t>
      </w:r>
      <w:r w:rsidR="009B0254" w:rsidRPr="009B0254">
        <w:rPr>
          <w:rFonts w:asciiTheme="majorHAnsi" w:hAnsiTheme="majorHAnsi"/>
          <w:i/>
        </w:rPr>
        <w:t>SOX4</w:t>
      </w:r>
      <w:r w:rsidR="009B0254">
        <w:rPr>
          <w:rFonts w:asciiTheme="majorHAnsi" w:hAnsiTheme="majorHAnsi"/>
        </w:rPr>
        <w:t xml:space="preserve"> or </w:t>
      </w:r>
      <w:r w:rsidR="009B0254" w:rsidRPr="009B0254">
        <w:rPr>
          <w:rFonts w:asciiTheme="majorHAnsi" w:hAnsiTheme="majorHAnsi"/>
          <w:i/>
        </w:rPr>
        <w:t>CPA4</w:t>
      </w:r>
      <w:r w:rsidR="009B0254">
        <w:rPr>
          <w:rFonts w:asciiTheme="majorHAnsi" w:hAnsiTheme="majorHAnsi"/>
        </w:rPr>
        <w:t xml:space="preserve">. </w:t>
      </w:r>
      <w:r w:rsidR="002C2E2A">
        <w:rPr>
          <w:rFonts w:asciiTheme="majorHAnsi" w:hAnsiTheme="majorHAnsi"/>
        </w:rPr>
        <w:t>With regards to the knock</w:t>
      </w:r>
      <w:r w:rsidR="005F2031">
        <w:rPr>
          <w:rFonts w:asciiTheme="majorHAnsi" w:hAnsiTheme="majorHAnsi"/>
        </w:rPr>
        <w:t xml:space="preserve">down hits, these would need further validation with different siRNA to </w:t>
      </w:r>
      <w:r w:rsidR="005F2031" w:rsidRPr="005F2031">
        <w:rPr>
          <w:rFonts w:asciiTheme="majorHAnsi" w:hAnsiTheme="majorHAnsi"/>
          <w:i/>
        </w:rPr>
        <w:t>SRCAP</w:t>
      </w:r>
      <w:r w:rsidR="005F2031">
        <w:rPr>
          <w:rFonts w:asciiTheme="majorHAnsi" w:hAnsiTheme="majorHAnsi"/>
        </w:rPr>
        <w:t xml:space="preserve"> in order to check that </w:t>
      </w:r>
      <w:r w:rsidR="00FD0C71">
        <w:rPr>
          <w:rFonts w:asciiTheme="majorHAnsi" w:hAnsiTheme="majorHAnsi"/>
        </w:rPr>
        <w:t>these are</w:t>
      </w:r>
      <w:r w:rsidR="005F2031">
        <w:rPr>
          <w:rFonts w:asciiTheme="majorHAnsi" w:hAnsiTheme="majorHAnsi"/>
        </w:rPr>
        <w:t xml:space="preserve"> not off target effect</w:t>
      </w:r>
      <w:r w:rsidR="00FD0C71">
        <w:rPr>
          <w:rFonts w:asciiTheme="majorHAnsi" w:hAnsiTheme="majorHAnsi"/>
        </w:rPr>
        <w:t>s</w:t>
      </w:r>
      <w:r w:rsidR="005F2031">
        <w:rPr>
          <w:rFonts w:asciiTheme="majorHAnsi" w:hAnsiTheme="majorHAnsi"/>
        </w:rPr>
        <w:t xml:space="preserve"> of si6. </w:t>
      </w:r>
      <w:r w:rsidR="00CF0E37">
        <w:rPr>
          <w:rFonts w:asciiTheme="majorHAnsi" w:hAnsiTheme="majorHAnsi"/>
        </w:rPr>
        <w:t xml:space="preserve">It would also then be useful to check this at the protein level, before moving on to functional assays. </w:t>
      </w:r>
      <w:r w:rsidR="000A33A1" w:rsidRPr="00E83A72">
        <w:rPr>
          <w:rFonts w:asciiTheme="majorHAnsi" w:hAnsiTheme="majorHAnsi"/>
        </w:rPr>
        <w:t>L</w:t>
      </w:r>
      <w:r w:rsidR="00852D5C" w:rsidRPr="00E83A72">
        <w:rPr>
          <w:rFonts w:asciiTheme="majorHAnsi" w:hAnsiTheme="majorHAnsi"/>
        </w:rPr>
        <w:t>ooking back at the fold change data</w:t>
      </w:r>
      <w:r w:rsidR="000A33A1" w:rsidRPr="00E83A72">
        <w:rPr>
          <w:rFonts w:asciiTheme="majorHAnsi" w:hAnsiTheme="majorHAnsi"/>
        </w:rPr>
        <w:t xml:space="preserve"> (highlights fold changes of 1/-1 or more)</w:t>
      </w:r>
      <w:r w:rsidR="00852D5C" w:rsidRPr="00E83A72">
        <w:rPr>
          <w:rFonts w:asciiTheme="majorHAnsi" w:hAnsiTheme="majorHAnsi"/>
        </w:rPr>
        <w:t xml:space="preserve"> </w:t>
      </w:r>
      <w:r w:rsidR="00F8630F" w:rsidRPr="00E83A72">
        <w:rPr>
          <w:rFonts w:asciiTheme="majorHAnsi" w:hAnsiTheme="majorHAnsi"/>
        </w:rPr>
        <w:t xml:space="preserve">neither the over-expressing or knockdown samples highlighted any changes to </w:t>
      </w:r>
      <w:r w:rsidR="00F8630F" w:rsidRPr="00E83A72">
        <w:rPr>
          <w:rFonts w:asciiTheme="majorHAnsi" w:hAnsiTheme="majorHAnsi"/>
          <w:i/>
        </w:rPr>
        <w:t>SRCAP</w:t>
      </w:r>
      <w:r w:rsidR="00F8630F" w:rsidRPr="00E83A72">
        <w:rPr>
          <w:rFonts w:asciiTheme="majorHAnsi" w:hAnsiTheme="majorHAnsi"/>
        </w:rPr>
        <w:t xml:space="preserve"> expression levels compared to control, even though they would be expected to be increased in the </w:t>
      </w:r>
      <w:r w:rsidR="00F8630F" w:rsidRPr="00E83A72">
        <w:rPr>
          <w:rFonts w:asciiTheme="majorHAnsi" w:hAnsiTheme="majorHAnsi"/>
          <w:i/>
        </w:rPr>
        <w:t>YFP SRCAP</w:t>
      </w:r>
      <w:r w:rsidR="00F8630F" w:rsidRPr="00E83A72">
        <w:rPr>
          <w:rFonts w:asciiTheme="majorHAnsi" w:hAnsiTheme="majorHAnsi"/>
        </w:rPr>
        <w:t xml:space="preserve"> samples and decreased in the si6 knock down samples</w:t>
      </w:r>
      <w:r w:rsidR="000A33A1" w:rsidRPr="00E83A72">
        <w:rPr>
          <w:rFonts w:asciiTheme="majorHAnsi" w:hAnsiTheme="majorHAnsi"/>
        </w:rPr>
        <w:t>, and these differences in expression were proved b</w:t>
      </w:r>
      <w:r w:rsidR="00EA2C44" w:rsidRPr="00E83A72">
        <w:rPr>
          <w:rFonts w:asciiTheme="majorHAnsi" w:hAnsiTheme="majorHAnsi"/>
        </w:rPr>
        <w:t>y Taqman PCR pre and post microarray</w:t>
      </w:r>
      <w:r w:rsidR="00F8630F" w:rsidRPr="00E83A72">
        <w:rPr>
          <w:rFonts w:asciiTheme="majorHAnsi" w:hAnsiTheme="majorHAnsi"/>
        </w:rPr>
        <w:t xml:space="preserve">.  </w:t>
      </w:r>
      <w:r w:rsidR="000A33A1" w:rsidRPr="00E83A72">
        <w:rPr>
          <w:rFonts w:asciiTheme="majorHAnsi" w:hAnsiTheme="majorHAnsi"/>
        </w:rPr>
        <w:t>It isn’t known why differences to SRCAP expression weren’t picked up within the microarray, but this would need to be followed up further by assessing the original data file to look at whether the fold changes were lower than 1/-1 or whether a difference in expression wasn’t picked up at all, and the possibilities of why this could have occurred</w:t>
      </w:r>
      <w:r w:rsidR="00EA2C44" w:rsidRPr="00E83A72">
        <w:rPr>
          <w:rFonts w:asciiTheme="majorHAnsi" w:hAnsiTheme="majorHAnsi"/>
        </w:rPr>
        <w:t>.</w:t>
      </w:r>
    </w:p>
    <w:p w14:paraId="747C5532" w14:textId="77777777" w:rsidR="009B0254" w:rsidRDefault="009B0254" w:rsidP="007C58EA">
      <w:pPr>
        <w:spacing w:line="360" w:lineRule="auto"/>
        <w:jc w:val="both"/>
        <w:rPr>
          <w:rFonts w:asciiTheme="majorHAnsi" w:hAnsiTheme="majorHAnsi"/>
        </w:rPr>
      </w:pPr>
    </w:p>
    <w:p w14:paraId="4B55DE02" w14:textId="2CB33D82" w:rsidR="00AE465B" w:rsidRDefault="00AE465B" w:rsidP="00AE465B">
      <w:pPr>
        <w:spacing w:line="360" w:lineRule="auto"/>
        <w:jc w:val="both"/>
        <w:rPr>
          <w:rFonts w:asciiTheme="majorHAnsi" w:hAnsiTheme="majorHAnsi"/>
        </w:rPr>
      </w:pPr>
      <w:r>
        <w:rPr>
          <w:rFonts w:asciiTheme="majorHAnsi" w:hAnsiTheme="majorHAnsi"/>
        </w:rPr>
        <w:t xml:space="preserve">As mentioned in the introduction to this chapter, </w:t>
      </w:r>
      <w:r w:rsidR="002C2E2A">
        <w:rPr>
          <w:rFonts w:asciiTheme="majorHAnsi" w:hAnsiTheme="majorHAnsi"/>
        </w:rPr>
        <w:t>knock</w:t>
      </w:r>
      <w:r w:rsidR="009967FD">
        <w:rPr>
          <w:rFonts w:asciiTheme="majorHAnsi" w:hAnsiTheme="majorHAnsi"/>
        </w:rPr>
        <w:t xml:space="preserve">down </w:t>
      </w:r>
      <w:r>
        <w:rPr>
          <w:rFonts w:asciiTheme="majorHAnsi" w:hAnsiTheme="majorHAnsi"/>
        </w:rPr>
        <w:t xml:space="preserve">of </w:t>
      </w:r>
      <w:r w:rsidRPr="009967FD">
        <w:rPr>
          <w:rFonts w:asciiTheme="majorHAnsi" w:hAnsiTheme="majorHAnsi"/>
          <w:i/>
        </w:rPr>
        <w:t>p400</w:t>
      </w:r>
      <w:r>
        <w:rPr>
          <w:rFonts w:asciiTheme="majorHAnsi" w:hAnsiTheme="majorHAnsi"/>
        </w:rPr>
        <w:t xml:space="preserve"> </w:t>
      </w:r>
      <w:r w:rsidR="009967FD">
        <w:rPr>
          <w:rFonts w:asciiTheme="majorHAnsi" w:hAnsiTheme="majorHAnsi"/>
        </w:rPr>
        <w:t xml:space="preserve">in a HCT116 RNA microarray </w:t>
      </w:r>
      <w:r>
        <w:rPr>
          <w:rFonts w:asciiTheme="majorHAnsi" w:hAnsiTheme="majorHAnsi"/>
        </w:rPr>
        <w:t xml:space="preserve">resulted in </w:t>
      </w:r>
      <w:r w:rsidR="009967FD">
        <w:rPr>
          <w:rFonts w:asciiTheme="majorHAnsi" w:hAnsiTheme="majorHAnsi"/>
        </w:rPr>
        <w:t>differential expre</w:t>
      </w:r>
      <w:r w:rsidR="00642915">
        <w:rPr>
          <w:rFonts w:asciiTheme="majorHAnsi" w:hAnsiTheme="majorHAnsi"/>
        </w:rPr>
        <w:t>ssion of WNT</w:t>
      </w:r>
      <w:r w:rsidR="009967FD">
        <w:rPr>
          <w:rFonts w:asciiTheme="majorHAnsi" w:hAnsiTheme="majorHAnsi"/>
        </w:rPr>
        <w:t xml:space="preserve"> target genes. Therefore it was hypothesised that this pathway would be enric</w:t>
      </w:r>
      <w:r w:rsidR="002C2E2A">
        <w:rPr>
          <w:rFonts w:asciiTheme="majorHAnsi" w:hAnsiTheme="majorHAnsi"/>
        </w:rPr>
        <w:t>hed in this data set from knock</w:t>
      </w:r>
      <w:r w:rsidR="009967FD">
        <w:rPr>
          <w:rFonts w:asciiTheme="majorHAnsi" w:hAnsiTheme="majorHAnsi"/>
        </w:rPr>
        <w:t xml:space="preserve">down of </w:t>
      </w:r>
      <w:r w:rsidR="009967FD" w:rsidRPr="009967FD">
        <w:rPr>
          <w:rFonts w:asciiTheme="majorHAnsi" w:hAnsiTheme="majorHAnsi"/>
          <w:i/>
        </w:rPr>
        <w:t>SRCAP</w:t>
      </w:r>
      <w:r w:rsidR="009967FD">
        <w:rPr>
          <w:rFonts w:asciiTheme="majorHAnsi" w:hAnsiTheme="majorHAnsi"/>
        </w:rPr>
        <w:t>, due to its similar role in H2A.Z depo</w:t>
      </w:r>
      <w:r w:rsidR="00642915">
        <w:rPr>
          <w:rFonts w:asciiTheme="majorHAnsi" w:hAnsiTheme="majorHAnsi"/>
        </w:rPr>
        <w:t>sition as p400. However, the WNT</w:t>
      </w:r>
      <w:r w:rsidR="009967FD">
        <w:rPr>
          <w:rFonts w:asciiTheme="majorHAnsi" w:hAnsiTheme="majorHAnsi"/>
        </w:rPr>
        <w:t xml:space="preserve"> pathway was not highlighted in the STRING enrichment analysis. Therefore manual searching through the list of fold changes f</w:t>
      </w:r>
      <w:r w:rsidR="00642915">
        <w:rPr>
          <w:rFonts w:asciiTheme="majorHAnsi" w:hAnsiTheme="majorHAnsi"/>
        </w:rPr>
        <w:t>or genes associated with the WNT</w:t>
      </w:r>
      <w:r w:rsidR="009967FD">
        <w:rPr>
          <w:rFonts w:asciiTheme="majorHAnsi" w:hAnsiTheme="majorHAnsi"/>
        </w:rPr>
        <w:t xml:space="preserve"> pathway was conducted. There were </w:t>
      </w:r>
      <w:r w:rsidR="002C2E2A">
        <w:rPr>
          <w:rFonts w:asciiTheme="majorHAnsi" w:hAnsiTheme="majorHAnsi"/>
        </w:rPr>
        <w:t>several identified in the knock</w:t>
      </w:r>
      <w:r w:rsidR="009967FD">
        <w:rPr>
          <w:rFonts w:asciiTheme="majorHAnsi" w:hAnsiTheme="majorHAnsi"/>
        </w:rPr>
        <w:t>down data set, but only 3 had negative fold changes across all three repeats, and were therefore increased in expression when SRCAP was knocked down. These were</w:t>
      </w:r>
      <w:r w:rsidR="00355BE2">
        <w:rPr>
          <w:rFonts w:asciiTheme="majorHAnsi" w:hAnsiTheme="majorHAnsi"/>
        </w:rPr>
        <w:t>:</w:t>
      </w:r>
      <w:r w:rsidR="009967FD">
        <w:rPr>
          <w:rFonts w:asciiTheme="majorHAnsi" w:hAnsiTheme="majorHAnsi"/>
        </w:rPr>
        <w:t xml:space="preserve"> </w:t>
      </w:r>
      <w:r w:rsidR="009967FD" w:rsidRPr="009967FD">
        <w:rPr>
          <w:rFonts w:asciiTheme="majorHAnsi" w:hAnsiTheme="majorHAnsi"/>
          <w:i/>
        </w:rPr>
        <w:t>AXIN-2</w:t>
      </w:r>
      <w:r w:rsidR="009967FD">
        <w:rPr>
          <w:rFonts w:asciiTheme="majorHAnsi" w:hAnsiTheme="majorHAnsi"/>
        </w:rPr>
        <w:t xml:space="preserve">, </w:t>
      </w:r>
      <w:r w:rsidR="009967FD" w:rsidRPr="009967FD">
        <w:rPr>
          <w:rFonts w:asciiTheme="majorHAnsi" w:hAnsiTheme="majorHAnsi"/>
          <w:i/>
        </w:rPr>
        <w:t>DKK1</w:t>
      </w:r>
      <w:r w:rsidR="009967FD">
        <w:rPr>
          <w:rFonts w:asciiTheme="majorHAnsi" w:hAnsiTheme="majorHAnsi"/>
        </w:rPr>
        <w:t xml:space="preserve"> and </w:t>
      </w:r>
      <w:r w:rsidR="009967FD" w:rsidRPr="009967FD">
        <w:rPr>
          <w:rFonts w:asciiTheme="majorHAnsi" w:hAnsiTheme="majorHAnsi"/>
          <w:i/>
        </w:rPr>
        <w:t>LRP6</w:t>
      </w:r>
      <w:r w:rsidR="009967FD">
        <w:rPr>
          <w:rFonts w:asciiTheme="majorHAnsi" w:hAnsiTheme="majorHAnsi"/>
          <w:i/>
        </w:rPr>
        <w:t xml:space="preserve">. </w:t>
      </w:r>
      <w:r w:rsidR="009967FD">
        <w:rPr>
          <w:rFonts w:asciiTheme="majorHAnsi" w:hAnsiTheme="majorHAnsi"/>
        </w:rPr>
        <w:t>Interestingly</w:t>
      </w:r>
      <w:r w:rsidR="00642915">
        <w:rPr>
          <w:rFonts w:asciiTheme="majorHAnsi" w:hAnsiTheme="majorHAnsi"/>
        </w:rPr>
        <w:t xml:space="preserve"> DKK1 is an inhibitor of the WNT</w:t>
      </w:r>
      <w:r w:rsidR="009967FD">
        <w:rPr>
          <w:rFonts w:asciiTheme="majorHAnsi" w:hAnsiTheme="majorHAnsi"/>
        </w:rPr>
        <w:t xml:space="preserve"> pathway, by inhibiting LRP5/6 interaction </w:t>
      </w:r>
      <w:r w:rsidR="00642915">
        <w:rPr>
          <w:rFonts w:asciiTheme="majorHAnsi" w:hAnsiTheme="majorHAnsi"/>
        </w:rPr>
        <w:t>with WNT</w:t>
      </w:r>
      <w:r w:rsidR="009967FD">
        <w:rPr>
          <w:rFonts w:asciiTheme="majorHAnsi" w:hAnsiTheme="majorHAnsi"/>
        </w:rPr>
        <w:t xml:space="preserve"> ligands</w:t>
      </w:r>
      <w:r w:rsidR="00687E29">
        <w:rPr>
          <w:rFonts w:asciiTheme="majorHAnsi" w:hAnsiTheme="majorHAnsi"/>
        </w:rPr>
        <w:t xml:space="preserve">, so the fact that this is increased could contribute to the decrease in cell growth over time after </w:t>
      </w:r>
      <w:r w:rsidR="00687E29" w:rsidRPr="00687E29">
        <w:rPr>
          <w:rFonts w:asciiTheme="majorHAnsi" w:hAnsiTheme="majorHAnsi"/>
          <w:i/>
        </w:rPr>
        <w:t>SRCAP</w:t>
      </w:r>
      <w:r w:rsidR="002C2E2A">
        <w:rPr>
          <w:rFonts w:asciiTheme="majorHAnsi" w:hAnsiTheme="majorHAnsi"/>
        </w:rPr>
        <w:t xml:space="preserve"> knock</w:t>
      </w:r>
      <w:r w:rsidR="00687E29">
        <w:rPr>
          <w:rFonts w:asciiTheme="majorHAnsi" w:hAnsiTheme="majorHAnsi"/>
        </w:rPr>
        <w:t xml:space="preserve">down. There were also two genes that were decreased in expression across all three repeats when </w:t>
      </w:r>
      <w:r w:rsidR="00687E29" w:rsidRPr="00687E29">
        <w:rPr>
          <w:rFonts w:asciiTheme="majorHAnsi" w:hAnsiTheme="majorHAnsi"/>
          <w:i/>
        </w:rPr>
        <w:t>SRCAP</w:t>
      </w:r>
      <w:r w:rsidR="00355BE2">
        <w:rPr>
          <w:rFonts w:asciiTheme="majorHAnsi" w:hAnsiTheme="majorHAnsi"/>
        </w:rPr>
        <w:t xml:space="preserve"> was knocked down:</w:t>
      </w:r>
      <w:r w:rsidR="00687E29">
        <w:rPr>
          <w:rFonts w:asciiTheme="majorHAnsi" w:hAnsiTheme="majorHAnsi"/>
        </w:rPr>
        <w:t xml:space="preserve"> </w:t>
      </w:r>
      <w:r w:rsidR="00687E29" w:rsidRPr="00FE25C2">
        <w:rPr>
          <w:rFonts w:asciiTheme="majorHAnsi" w:hAnsiTheme="majorHAnsi"/>
          <w:i/>
        </w:rPr>
        <w:t>MYCBP</w:t>
      </w:r>
      <w:r w:rsidR="00687E29">
        <w:rPr>
          <w:rFonts w:asciiTheme="majorHAnsi" w:hAnsiTheme="majorHAnsi"/>
        </w:rPr>
        <w:t xml:space="preserve"> and </w:t>
      </w:r>
      <w:r w:rsidR="00687E29" w:rsidRPr="00FE25C2">
        <w:rPr>
          <w:rFonts w:asciiTheme="majorHAnsi" w:hAnsiTheme="majorHAnsi"/>
          <w:i/>
        </w:rPr>
        <w:t>TIAM1</w:t>
      </w:r>
      <w:r w:rsidR="00687E29">
        <w:rPr>
          <w:rFonts w:asciiTheme="majorHAnsi" w:hAnsiTheme="majorHAnsi"/>
        </w:rPr>
        <w:t xml:space="preserve">. </w:t>
      </w:r>
      <w:r w:rsidR="00DF0E5C" w:rsidRPr="00FE25C2">
        <w:rPr>
          <w:rFonts w:asciiTheme="majorHAnsi" w:hAnsiTheme="majorHAnsi"/>
          <w:i/>
        </w:rPr>
        <w:t>TIAM1</w:t>
      </w:r>
      <w:r w:rsidR="00DF0E5C">
        <w:rPr>
          <w:rFonts w:asciiTheme="majorHAnsi" w:hAnsiTheme="majorHAnsi"/>
        </w:rPr>
        <w:t xml:space="preserve"> has previously been shown to reduce growth of CRC cells when knocked down </w:t>
      </w:r>
      <w:r w:rsidR="00FE25C2">
        <w:rPr>
          <w:rFonts w:asciiTheme="majorHAnsi" w:hAnsiTheme="majorHAnsi"/>
        </w:rPr>
        <w:fldChar w:fldCharType="begin"/>
      </w:r>
      <w:r w:rsidR="00FE25C2">
        <w:rPr>
          <w:rFonts w:asciiTheme="majorHAnsi" w:hAnsiTheme="majorHAnsi"/>
        </w:rPr>
        <w:instrText xml:space="preserve"> ADDIN EN.CITE &lt;EndNote&gt;&lt;Cite&gt;&lt;Author&gt;Malliri&lt;/Author&gt;&lt;Year&gt;2006&lt;/Year&gt;&lt;IDText&gt;The rac activator Tiam1 is a Wnt-responsive gene that modifies intestinal tumor development&lt;/IDText&gt;&lt;DisplayText&gt;(Malliri et al., 2006)&lt;/DisplayText&gt;&lt;record&gt;&lt;dates&gt;&lt;pub-dates&gt;&lt;date&gt;Jan&lt;/date&gt;&lt;/pub-dates&gt;&lt;year&gt;2006&lt;/year&gt;&lt;/dates&gt;&lt;keywords&gt;&lt;keyword&gt;Adenoma&lt;/keyword&gt;&lt;keyword&gt;Animals&lt;/keyword&gt;&lt;keyword&gt;Cells, Cultured&lt;/keyword&gt;&lt;keyword&gt;Colorectal Neoplasms&lt;/keyword&gt;&lt;keyword&gt;Gene Expression Regulation, Neoplastic&lt;/keyword&gt;&lt;keyword&gt;Guanine Nucleotide Exchange Factors&lt;/keyword&gt;&lt;keyword&gt;Mice&lt;/keyword&gt;&lt;keyword&gt;Mice, Inbred C57BL&lt;/keyword&gt;&lt;keyword&gt;Mice, Mutant Strains&lt;/keyword&gt;&lt;keyword&gt;Neoplasm Proteins&lt;/keyword&gt;&lt;keyword&gt;Signal Transduction&lt;/keyword&gt;&lt;keyword&gt;T-Lymphoma Invasion and Metastasis-inducing Protein 1&lt;/keyword&gt;&lt;keyword&gt;Transfection&lt;/keyword&gt;&lt;keyword&gt;Wnt Proteins&lt;/keyword&gt;&lt;keyword&gt;rac GTP-Binding Proteins&lt;/keyword&gt;&lt;/keywords&gt;&lt;urls&gt;&lt;related-urls&gt;&lt;url&gt;https://www.ncbi.nlm.nih.gov/pubmed/16249175&lt;/url&gt;&lt;/related-urls&gt;&lt;/urls&gt;&lt;isbn&gt;0021-9258&lt;/isbn&gt;&lt;titles&gt;&lt;title&gt;The rac activator Tiam1 is a Wnt-responsive gene that modifies intestinal tumor development&lt;/title&gt;&lt;secondary-title&gt;J Biol Chem&lt;/secondary-title&gt;&lt;/titles&gt;&lt;pages&gt;543-8&lt;/pages&gt;&lt;number&gt;1&lt;/number&gt;&lt;contributors&gt;&lt;authors&gt;&lt;author&gt;Malliri, A.&lt;/author&gt;&lt;author&gt;Rygiel, T. P.&lt;/author&gt;&lt;author&gt;van der Kammen, R. A.&lt;/author&gt;&lt;author&gt;Song, J. Y.&lt;/author&gt;&lt;author&gt;Engers, R.&lt;/author&gt;&lt;author&gt;Hurlstone, A. F.&lt;/author&gt;&lt;author&gt;Clevers, H.&lt;/author&gt;&lt;author&gt;Collard, J. G.&lt;/author&gt;&lt;/authors&gt;&lt;/contributors&gt;&lt;edition&gt;2005/10/25&lt;/edition&gt;&lt;language&gt;eng&lt;/language&gt;&lt;added-date format="utc"&gt;1512483082&lt;/added-date&gt;&lt;ref-type name="Journal Article"&gt;17&lt;/ref-type&gt;&lt;rec-number&gt;385&lt;/rec-number&gt;&lt;last-updated-date format="utc"&gt;1512483082&lt;/last-updated-date&gt;&lt;accession-num&gt;16249175&lt;/accession-num&gt;&lt;electronic-resource-num&gt;10.1074/jbc.M507582200&lt;/electronic-resource-num&gt;&lt;volume&gt;281&lt;/volume&gt;&lt;/record&gt;&lt;/Cite&gt;&lt;/EndNote&gt;</w:instrText>
      </w:r>
      <w:r w:rsidR="00FE25C2">
        <w:rPr>
          <w:rFonts w:asciiTheme="majorHAnsi" w:hAnsiTheme="majorHAnsi"/>
        </w:rPr>
        <w:fldChar w:fldCharType="separate"/>
      </w:r>
      <w:r w:rsidR="00FE25C2">
        <w:rPr>
          <w:rFonts w:asciiTheme="majorHAnsi" w:hAnsiTheme="majorHAnsi"/>
          <w:noProof/>
        </w:rPr>
        <w:t>(Malliri et al., 2006)</w:t>
      </w:r>
      <w:r w:rsidR="00FE25C2">
        <w:rPr>
          <w:rFonts w:asciiTheme="majorHAnsi" w:hAnsiTheme="majorHAnsi"/>
        </w:rPr>
        <w:fldChar w:fldCharType="end"/>
      </w:r>
      <w:r w:rsidR="00DF0E5C">
        <w:rPr>
          <w:rFonts w:asciiTheme="majorHAnsi" w:hAnsiTheme="majorHAnsi"/>
        </w:rPr>
        <w:t xml:space="preserve">, so could also be an interesting gene for further follow up. </w:t>
      </w:r>
      <w:r w:rsidR="00FE25C2">
        <w:rPr>
          <w:rFonts w:asciiTheme="majorHAnsi" w:hAnsiTheme="majorHAnsi"/>
        </w:rPr>
        <w:t>Again sever</w:t>
      </w:r>
      <w:r w:rsidR="00642915">
        <w:rPr>
          <w:rFonts w:asciiTheme="majorHAnsi" w:hAnsiTheme="majorHAnsi"/>
        </w:rPr>
        <w:t>al WNT</w:t>
      </w:r>
      <w:r w:rsidR="00FE25C2">
        <w:rPr>
          <w:rFonts w:asciiTheme="majorHAnsi" w:hAnsiTheme="majorHAnsi"/>
        </w:rPr>
        <w:t xml:space="preserve"> genes were</w:t>
      </w:r>
      <w:r w:rsidR="00D34949">
        <w:rPr>
          <w:rFonts w:asciiTheme="majorHAnsi" w:hAnsiTheme="majorHAnsi"/>
        </w:rPr>
        <w:t xml:space="preserve"> identified throughout the over-</w:t>
      </w:r>
      <w:r w:rsidR="00FE25C2">
        <w:rPr>
          <w:rFonts w:asciiTheme="majorHAnsi" w:hAnsiTheme="majorHAnsi"/>
        </w:rPr>
        <w:t xml:space="preserve">expression data, however there were none that decreased in expression across all three repeats, however </w:t>
      </w:r>
      <w:r w:rsidR="00FE25C2" w:rsidRPr="00FE25C2">
        <w:rPr>
          <w:rFonts w:asciiTheme="majorHAnsi" w:hAnsiTheme="majorHAnsi"/>
          <w:i/>
        </w:rPr>
        <w:t>AXIN-2</w:t>
      </w:r>
      <w:r w:rsidR="00FE25C2">
        <w:rPr>
          <w:rFonts w:asciiTheme="majorHAnsi" w:hAnsiTheme="majorHAnsi"/>
        </w:rPr>
        <w:t xml:space="preserve"> and </w:t>
      </w:r>
      <w:r w:rsidR="00FE25C2" w:rsidRPr="00FE25C2">
        <w:rPr>
          <w:rFonts w:asciiTheme="majorHAnsi" w:hAnsiTheme="majorHAnsi"/>
          <w:i/>
        </w:rPr>
        <w:t>MSI1</w:t>
      </w:r>
      <w:r w:rsidR="00FE25C2">
        <w:rPr>
          <w:rFonts w:asciiTheme="majorHAnsi" w:hAnsiTheme="majorHAnsi"/>
        </w:rPr>
        <w:t xml:space="preserve"> were decreased in repeat 1 and 2. </w:t>
      </w:r>
      <w:r w:rsidR="00FE25C2" w:rsidRPr="00FE25C2">
        <w:rPr>
          <w:rFonts w:asciiTheme="majorHAnsi" w:hAnsiTheme="majorHAnsi"/>
          <w:i/>
        </w:rPr>
        <w:t>EDN1</w:t>
      </w:r>
      <w:r w:rsidR="00D34949">
        <w:rPr>
          <w:rFonts w:asciiTheme="majorHAnsi" w:hAnsiTheme="majorHAnsi"/>
        </w:rPr>
        <w:t xml:space="preserve"> was over-</w:t>
      </w:r>
      <w:r w:rsidR="00FE25C2">
        <w:rPr>
          <w:rFonts w:asciiTheme="majorHAnsi" w:hAnsiTheme="majorHAnsi"/>
        </w:rPr>
        <w:t xml:space="preserve">expressed when </w:t>
      </w:r>
      <w:r w:rsidR="00FE25C2" w:rsidRPr="00FE25C2">
        <w:rPr>
          <w:rFonts w:asciiTheme="majorHAnsi" w:hAnsiTheme="majorHAnsi"/>
          <w:i/>
        </w:rPr>
        <w:t>SRCAP</w:t>
      </w:r>
      <w:r w:rsidR="00D34949">
        <w:rPr>
          <w:rFonts w:asciiTheme="majorHAnsi" w:hAnsiTheme="majorHAnsi"/>
        </w:rPr>
        <w:t xml:space="preserve"> was over-</w:t>
      </w:r>
      <w:r w:rsidR="00FE25C2">
        <w:rPr>
          <w:rFonts w:asciiTheme="majorHAnsi" w:hAnsiTheme="majorHAnsi"/>
        </w:rPr>
        <w:t>expressed in all three repeats, and again could be foll</w:t>
      </w:r>
      <w:r w:rsidR="00D34949">
        <w:rPr>
          <w:rFonts w:asciiTheme="majorHAnsi" w:hAnsiTheme="majorHAnsi"/>
        </w:rPr>
        <w:t>owed up further due to its over-</w:t>
      </w:r>
      <w:r w:rsidR="00FE25C2">
        <w:rPr>
          <w:rFonts w:asciiTheme="majorHAnsi" w:hAnsiTheme="majorHAnsi"/>
        </w:rPr>
        <w:t>expression leading to increased cell proliferation and migration within zebra fish models of hepatocarcinogenesis</w:t>
      </w:r>
      <w:r w:rsidR="00BB385C">
        <w:rPr>
          <w:rFonts w:asciiTheme="majorHAnsi" w:hAnsiTheme="majorHAnsi"/>
        </w:rPr>
        <w:t xml:space="preserve"> </w:t>
      </w:r>
      <w:r w:rsidR="00BB385C">
        <w:rPr>
          <w:rFonts w:asciiTheme="majorHAnsi" w:hAnsiTheme="majorHAnsi"/>
        </w:rPr>
        <w:fldChar w:fldCharType="begin"/>
      </w:r>
      <w:r w:rsidR="00BB385C">
        <w:rPr>
          <w:rFonts w:asciiTheme="majorHAnsi" w:hAnsiTheme="majorHAnsi"/>
        </w:rPr>
        <w:instrText xml:space="preserve"> ADDIN EN.CITE &lt;EndNote&gt;&lt;Cite&gt;&lt;Author&gt;Lu&lt;/Author&gt;&lt;Year&gt;2014&lt;/Year&gt;&lt;IDText&gt;Overexpression of endothelin 1 triggers hepatocarcinogenesis in zebrafish and promotes cell proliferation and migration through the AKT pathway&lt;/IDText&gt;&lt;DisplayText&gt;(Lu et al., 2014)&lt;/DisplayText&gt;&lt;record&gt;&lt;keywords&gt;&lt;keyword&gt;Animals&lt;/keyword&gt;&lt;keyword&gt;Carcinoma, Hepatocellular&lt;/keyword&gt;&lt;keyword&gt;Cell Cycle&lt;/keyword&gt;&lt;keyword&gt;Cell Movement&lt;/keyword&gt;&lt;keyword&gt;Cell Proliferation&lt;/keyword&gt;&lt;keyword&gt;Endothelin-1&lt;/keyword&gt;&lt;keyword&gt;Fatty Liver&lt;/keyword&gt;&lt;keyword&gt;Gene Expression&lt;/keyword&gt;&lt;keyword&gt;HEK293 Cells&lt;/keyword&gt;&lt;keyword&gt;Humans&lt;/keyword&gt;&lt;keyword&gt;Liver Cirrhosis&lt;/keyword&gt;&lt;keyword&gt;Liver Neoplasms&lt;/keyword&gt;&lt;keyword&gt;MicroRNAs&lt;/keyword&gt;&lt;keyword&gt;Phosphatidylinositol 3-Kinases&lt;/keyword&gt;&lt;keyword&gt;Protein Kinase Inhibitors&lt;/keyword&gt;&lt;keyword&gt;Proto-Oncogene Proteins c-akt&lt;/keyword&gt;&lt;keyword&gt;Unfolded Protein Response&lt;/keyword&gt;&lt;keyword&gt;Zebrafish&lt;/keyword&gt;&lt;keyword&gt;Zebrafish Proteins&lt;/keyword&gt;&lt;/keywords&gt;&lt;urls&gt;&lt;related-urls&gt;&lt;url&gt;https://www.ncbi.nlm.nih.gov/pubmed/24416389&lt;/url&gt;&lt;/related-urls&gt;&lt;/urls&gt;&lt;isbn&gt;1932-6203&lt;/isbn&gt;&lt;custom2&gt;PMC3885696&lt;/custom2&gt;&lt;titles&gt;&lt;title&gt;Overexpression of endothelin 1 triggers hepatocarcinogenesis in zebrafish and promotes cell proliferation and migration through the AKT pathway&lt;/title&gt;&lt;secondary-title&gt;PLoS One&lt;/secondary-title&gt;&lt;/titles&gt;&lt;pages&gt;e85318&lt;/pages&gt;&lt;number&gt;1&lt;/number&gt;&lt;contributors&gt;&lt;authors&gt;&lt;author&gt;Lu, J. W.&lt;/author&gt;&lt;author&gt;Liao, C. Y.&lt;/author&gt;&lt;author&gt;Yang, W. Y.&lt;/author&gt;&lt;author&gt;Lin, Y. M.&lt;/author&gt;&lt;author&gt;Jin, S. L.&lt;/author&gt;&lt;author&gt;Wang, H. D.&lt;/author&gt;&lt;author&gt;Yuh, C. H.&lt;/author&gt;&lt;/authors&gt;&lt;/contributors&gt;&lt;edition&gt;2014/01/08&lt;/edition&gt;&lt;language&gt;eng&lt;/language&gt;&lt;added-date format="utc"&gt;1512483696&lt;/added-date&gt;&lt;ref-type name="Journal Article"&gt;17&lt;/ref-type&gt;&lt;dates&gt;&lt;year&gt;2014&lt;/year&gt;&lt;/dates&gt;&lt;rec-number&gt;386&lt;/rec-number&gt;&lt;last-updated-date format="utc"&gt;1512483696&lt;/last-updated-date&gt;&lt;accession-num&gt;24416389&lt;/accession-num&gt;&lt;electronic-resource-num&gt;10.1371/journal.pone.0085318&lt;/electronic-resource-num&gt;&lt;volume&gt;9&lt;/volume&gt;&lt;/record&gt;&lt;/Cite&gt;&lt;/EndNote&gt;</w:instrText>
      </w:r>
      <w:r w:rsidR="00BB385C">
        <w:rPr>
          <w:rFonts w:asciiTheme="majorHAnsi" w:hAnsiTheme="majorHAnsi"/>
        </w:rPr>
        <w:fldChar w:fldCharType="separate"/>
      </w:r>
      <w:r w:rsidR="00BB385C">
        <w:rPr>
          <w:rFonts w:asciiTheme="majorHAnsi" w:hAnsiTheme="majorHAnsi"/>
          <w:noProof/>
        </w:rPr>
        <w:t>(Lu et al., 2014)</w:t>
      </w:r>
      <w:r w:rsidR="00BB385C">
        <w:rPr>
          <w:rFonts w:asciiTheme="majorHAnsi" w:hAnsiTheme="majorHAnsi"/>
        </w:rPr>
        <w:fldChar w:fldCharType="end"/>
      </w:r>
      <w:r w:rsidR="00BB385C">
        <w:rPr>
          <w:rFonts w:asciiTheme="majorHAnsi" w:hAnsiTheme="majorHAnsi"/>
        </w:rPr>
        <w:t>.</w:t>
      </w:r>
      <w:r w:rsidR="00FE25C2">
        <w:rPr>
          <w:rFonts w:asciiTheme="majorHAnsi" w:hAnsiTheme="majorHAnsi"/>
        </w:rPr>
        <w:t xml:space="preserve"> </w:t>
      </w:r>
      <w:r w:rsidR="00355BE2">
        <w:rPr>
          <w:rFonts w:asciiTheme="majorHAnsi" w:hAnsiTheme="majorHAnsi"/>
        </w:rPr>
        <w:t>These data therefore suggest that there is potential</w:t>
      </w:r>
      <w:r w:rsidR="00FE25C2">
        <w:rPr>
          <w:rFonts w:asciiTheme="majorHAnsi" w:hAnsiTheme="majorHAnsi"/>
        </w:rPr>
        <w:t xml:space="preserve"> </w:t>
      </w:r>
      <w:r w:rsidR="00642915">
        <w:rPr>
          <w:rFonts w:asciiTheme="majorHAnsi" w:hAnsiTheme="majorHAnsi"/>
        </w:rPr>
        <w:t>aberrant expression of WNT</w:t>
      </w:r>
      <w:r w:rsidR="00BB385C">
        <w:rPr>
          <w:rFonts w:asciiTheme="majorHAnsi" w:hAnsiTheme="majorHAnsi"/>
        </w:rPr>
        <w:t xml:space="preserve"> target genes when </w:t>
      </w:r>
      <w:r w:rsidR="00BB385C" w:rsidRPr="00BB385C">
        <w:rPr>
          <w:rFonts w:asciiTheme="majorHAnsi" w:hAnsiTheme="majorHAnsi"/>
          <w:i/>
        </w:rPr>
        <w:t>SRCAP</w:t>
      </w:r>
      <w:r w:rsidR="00BB385C">
        <w:rPr>
          <w:rFonts w:asciiTheme="majorHAnsi" w:hAnsiTheme="majorHAnsi"/>
        </w:rPr>
        <w:t xml:space="preserve"> is differentially expressed. However, this is only touching the surface of the analysis that could be </w:t>
      </w:r>
      <w:r w:rsidR="00355BE2">
        <w:rPr>
          <w:rFonts w:asciiTheme="majorHAnsi" w:hAnsiTheme="majorHAnsi"/>
        </w:rPr>
        <w:t>carried out</w:t>
      </w:r>
      <w:r w:rsidR="00642915">
        <w:rPr>
          <w:rFonts w:asciiTheme="majorHAnsi" w:hAnsiTheme="majorHAnsi"/>
        </w:rPr>
        <w:t xml:space="preserve"> on the WNT</w:t>
      </w:r>
      <w:r w:rsidR="00BB385C">
        <w:rPr>
          <w:rFonts w:asciiTheme="majorHAnsi" w:hAnsiTheme="majorHAnsi"/>
        </w:rPr>
        <w:t xml:space="preserve"> genes from the microarray data, indeed other online enrichment tools could be utilised along with further validation of the genes </w:t>
      </w:r>
      <w:r w:rsidR="00FD0C71">
        <w:rPr>
          <w:rFonts w:asciiTheme="majorHAnsi" w:hAnsiTheme="majorHAnsi"/>
        </w:rPr>
        <w:t>mentioned</w:t>
      </w:r>
      <w:r w:rsidR="00BB385C">
        <w:rPr>
          <w:rFonts w:asciiTheme="majorHAnsi" w:hAnsiTheme="majorHAnsi"/>
        </w:rPr>
        <w:t xml:space="preserve"> above. </w:t>
      </w:r>
    </w:p>
    <w:p w14:paraId="0A9D66ED" w14:textId="77777777" w:rsidR="00FE25C2" w:rsidRDefault="00FE25C2" w:rsidP="00AE465B">
      <w:pPr>
        <w:spacing w:line="360" w:lineRule="auto"/>
        <w:jc w:val="both"/>
        <w:rPr>
          <w:rFonts w:asciiTheme="majorHAnsi" w:hAnsiTheme="majorHAnsi"/>
        </w:rPr>
      </w:pPr>
    </w:p>
    <w:p w14:paraId="068F9E23" w14:textId="2DFA3459" w:rsidR="00AE465B" w:rsidRDefault="007C58EA" w:rsidP="00BB385C">
      <w:pPr>
        <w:spacing w:line="360" w:lineRule="auto"/>
        <w:jc w:val="both"/>
        <w:rPr>
          <w:rFonts w:asciiTheme="majorHAnsi" w:hAnsiTheme="majorHAnsi"/>
          <w:lang w:val="en-US"/>
        </w:rPr>
      </w:pPr>
      <w:r>
        <w:rPr>
          <w:rFonts w:asciiTheme="majorHAnsi" w:hAnsiTheme="majorHAnsi"/>
        </w:rPr>
        <w:t>There are many other aspects that could be explored using the data produced for example the gene enrichment analysis needs to be verified on other databases. It would also be interes</w:t>
      </w:r>
      <w:r w:rsidR="00D34949">
        <w:rPr>
          <w:rFonts w:asciiTheme="majorHAnsi" w:hAnsiTheme="majorHAnsi"/>
        </w:rPr>
        <w:t>ting to try to achieve RNA over-</w:t>
      </w:r>
      <w:r>
        <w:rPr>
          <w:rFonts w:asciiTheme="majorHAnsi" w:hAnsiTheme="majorHAnsi"/>
        </w:rPr>
        <w:t xml:space="preserve">expression samples which were much more closely matched in SRCAP expression and run these through the microarray in order to see whether more closely correlated findings could be produced. The genes that were validated were put into the free online database </w:t>
      </w:r>
      <w:proofErr w:type="spellStart"/>
      <w:r>
        <w:rPr>
          <w:rFonts w:asciiTheme="majorHAnsi" w:hAnsiTheme="majorHAnsi"/>
        </w:rPr>
        <w:t>cBioportal</w:t>
      </w:r>
      <w:proofErr w:type="spellEnd"/>
      <w:r>
        <w:rPr>
          <w:rFonts w:asciiTheme="majorHAnsi" w:hAnsiTheme="majorHAnsi"/>
        </w:rPr>
        <w:t xml:space="preserve"> to assess any annotated copy number variation or mutational data of any of these genes within CRC. However, each gene only produced around a 1-2% </w:t>
      </w:r>
      <w:r w:rsidRPr="0076787E">
        <w:rPr>
          <w:rFonts w:asciiTheme="majorHAnsi" w:hAnsiTheme="majorHAnsi"/>
          <w:lang w:val="en-US"/>
        </w:rPr>
        <w:t xml:space="preserve">frequency </w:t>
      </w:r>
      <w:r>
        <w:rPr>
          <w:rFonts w:asciiTheme="majorHAnsi" w:hAnsiTheme="majorHAnsi"/>
          <w:lang w:val="en-US"/>
        </w:rPr>
        <w:t>alteration, so out of the 200</w:t>
      </w:r>
      <w:r w:rsidRPr="0076787E">
        <w:rPr>
          <w:rFonts w:asciiTheme="majorHAnsi" w:hAnsiTheme="majorHAnsi"/>
          <w:lang w:val="en-US"/>
        </w:rPr>
        <w:t xml:space="preserve"> CRC patients </w:t>
      </w:r>
      <w:r w:rsidR="00FE10D7">
        <w:rPr>
          <w:rFonts w:asciiTheme="majorHAnsi" w:hAnsiTheme="majorHAnsi"/>
          <w:lang w:val="en-US"/>
        </w:rPr>
        <w:t xml:space="preserve">annotated with the </w:t>
      </w:r>
      <w:proofErr w:type="spellStart"/>
      <w:r w:rsidR="00FE10D7">
        <w:rPr>
          <w:rFonts w:asciiTheme="majorHAnsi" w:hAnsiTheme="majorHAnsi"/>
          <w:lang w:val="en-US"/>
        </w:rPr>
        <w:t>cBiop</w:t>
      </w:r>
      <w:r w:rsidR="00355BE2">
        <w:rPr>
          <w:rFonts w:asciiTheme="majorHAnsi" w:hAnsiTheme="majorHAnsi"/>
          <w:lang w:val="en-US"/>
        </w:rPr>
        <w:t>ortal</w:t>
      </w:r>
      <w:proofErr w:type="spellEnd"/>
      <w:r w:rsidR="00355BE2">
        <w:rPr>
          <w:rFonts w:asciiTheme="majorHAnsi" w:hAnsiTheme="majorHAnsi"/>
          <w:lang w:val="en-US"/>
        </w:rPr>
        <w:t xml:space="preserve"> database, deletions, amplifications or </w:t>
      </w:r>
      <w:r w:rsidRPr="0076787E">
        <w:rPr>
          <w:rFonts w:asciiTheme="majorHAnsi" w:hAnsiTheme="majorHAnsi"/>
          <w:lang w:val="en-US"/>
        </w:rPr>
        <w:t>mutations are only seen in 1-2 patients</w:t>
      </w:r>
      <w:r>
        <w:rPr>
          <w:rFonts w:asciiTheme="majorHAnsi" w:hAnsiTheme="majorHAnsi"/>
          <w:lang w:val="en-US"/>
        </w:rPr>
        <w:t xml:space="preserve"> for these genes. However, this is not expression data and therefore does not mean that </w:t>
      </w:r>
      <w:r w:rsidR="00FD0C71">
        <w:rPr>
          <w:rFonts w:asciiTheme="majorHAnsi" w:hAnsiTheme="majorHAnsi"/>
          <w:lang w:val="en-US"/>
        </w:rPr>
        <w:t>the deregulation of SRCAP does no</w:t>
      </w:r>
      <w:r>
        <w:rPr>
          <w:rFonts w:asciiTheme="majorHAnsi" w:hAnsiTheme="majorHAnsi"/>
          <w:lang w:val="en-US"/>
        </w:rPr>
        <w:t xml:space="preserve">t have the affects that were uncovered here. </w:t>
      </w:r>
      <w:r w:rsidR="00AE465B">
        <w:rPr>
          <w:rFonts w:asciiTheme="majorHAnsi" w:hAnsiTheme="majorHAnsi"/>
          <w:lang w:val="en-US"/>
        </w:rPr>
        <w:t>The data from the microarrays here is by no means conclusive but it does uncover some interesting findings and validated genes that woul</w:t>
      </w:r>
      <w:r w:rsidR="00BB385C">
        <w:rPr>
          <w:rFonts w:asciiTheme="majorHAnsi" w:hAnsiTheme="majorHAnsi"/>
          <w:lang w:val="en-US"/>
        </w:rPr>
        <w:t>d be intriguing to take forward.</w:t>
      </w:r>
    </w:p>
    <w:p w14:paraId="1644A483" w14:textId="77777777" w:rsidR="00452052" w:rsidRDefault="00452052" w:rsidP="00BB385C">
      <w:pPr>
        <w:spacing w:line="360" w:lineRule="auto"/>
        <w:jc w:val="both"/>
        <w:rPr>
          <w:rFonts w:asciiTheme="majorHAnsi" w:hAnsiTheme="majorHAnsi"/>
          <w:lang w:val="en-US"/>
        </w:rPr>
      </w:pPr>
    </w:p>
    <w:p w14:paraId="6F3A6052" w14:textId="5F25CF43" w:rsidR="00452052" w:rsidRDefault="008D3EE8" w:rsidP="00BB385C">
      <w:pPr>
        <w:spacing w:line="360" w:lineRule="auto"/>
        <w:jc w:val="both"/>
        <w:rPr>
          <w:rFonts w:asciiTheme="majorHAnsi" w:hAnsiTheme="majorHAnsi"/>
          <w:lang w:val="en-US"/>
        </w:rPr>
      </w:pPr>
      <w:r w:rsidRPr="00E83A72">
        <w:rPr>
          <w:rFonts w:asciiTheme="majorHAnsi" w:hAnsiTheme="majorHAnsi"/>
          <w:lang w:val="en-US"/>
        </w:rPr>
        <w:t>In order to assess w</w:t>
      </w:r>
      <w:r w:rsidR="0078229F" w:rsidRPr="00E83A72">
        <w:rPr>
          <w:rFonts w:asciiTheme="majorHAnsi" w:hAnsiTheme="majorHAnsi"/>
          <w:lang w:val="en-US"/>
        </w:rPr>
        <w:t>h</w:t>
      </w:r>
      <w:r w:rsidR="000A33A1" w:rsidRPr="00E83A72">
        <w:rPr>
          <w:rFonts w:asciiTheme="majorHAnsi" w:hAnsiTheme="majorHAnsi"/>
          <w:lang w:val="en-US"/>
        </w:rPr>
        <w:t xml:space="preserve">ether SRCAP levels were actually influencing the expression of the hits we found, and they were not merely off targets effects, we would need to use reporter assays. </w:t>
      </w:r>
      <w:r w:rsidR="005853A4" w:rsidRPr="00E83A72">
        <w:rPr>
          <w:rFonts w:asciiTheme="majorHAnsi" w:hAnsiTheme="majorHAnsi"/>
          <w:lang w:val="en-US"/>
        </w:rPr>
        <w:t xml:space="preserve">Here the </w:t>
      </w:r>
      <w:r w:rsidR="00552E65" w:rsidRPr="00E83A72">
        <w:rPr>
          <w:rFonts w:asciiTheme="majorHAnsi" w:hAnsiTheme="majorHAnsi"/>
          <w:lang w:val="en-US"/>
        </w:rPr>
        <w:t>promoter</w:t>
      </w:r>
      <w:r w:rsidR="00901FC2" w:rsidRPr="00E83A72">
        <w:rPr>
          <w:rFonts w:asciiTheme="majorHAnsi" w:hAnsiTheme="majorHAnsi"/>
          <w:lang w:val="en-US"/>
        </w:rPr>
        <w:t xml:space="preserve"> sequence of the gene of interest, for example ELK3, PHLDA2 or CPA4</w:t>
      </w:r>
      <w:r w:rsidR="00183BC5" w:rsidRPr="00E83A72">
        <w:rPr>
          <w:rFonts w:asciiTheme="majorHAnsi" w:hAnsiTheme="majorHAnsi"/>
          <w:lang w:val="en-US"/>
        </w:rPr>
        <w:t xml:space="preserve"> is cloned into a vector upstream of the reporter gene, and this is transfected into the cells</w:t>
      </w:r>
      <w:r w:rsidR="00901FC2" w:rsidRPr="00E83A72">
        <w:rPr>
          <w:rFonts w:asciiTheme="majorHAnsi" w:hAnsiTheme="majorHAnsi"/>
          <w:lang w:val="en-US"/>
        </w:rPr>
        <w:t xml:space="preserve">. </w:t>
      </w:r>
      <w:r w:rsidR="00183BC5" w:rsidRPr="00E83A72">
        <w:rPr>
          <w:rFonts w:asciiTheme="majorHAnsi" w:hAnsiTheme="majorHAnsi"/>
          <w:lang w:val="en-US"/>
        </w:rPr>
        <w:t xml:space="preserve">Then expression </w:t>
      </w:r>
      <w:r w:rsidR="00901FC2" w:rsidRPr="00E83A72">
        <w:rPr>
          <w:rFonts w:asciiTheme="majorHAnsi" w:hAnsiTheme="majorHAnsi"/>
          <w:lang w:val="en-US"/>
        </w:rPr>
        <w:t>levels of the reporter can be analysed when SRCAP is up regulated or knocked down. Common reporter assays include luciferase, where this enzyme catalyses the conversion of luciferin to oxyluciferin and light</w:t>
      </w:r>
      <w:r w:rsidR="00183BC5" w:rsidRPr="00E83A72">
        <w:rPr>
          <w:rFonts w:asciiTheme="majorHAnsi" w:hAnsiTheme="majorHAnsi"/>
          <w:lang w:val="en-US"/>
        </w:rPr>
        <w:t xml:space="preserve">, and this emitted light is quantified or blue-white </w:t>
      </w:r>
      <w:r w:rsidR="00183BC5" w:rsidRPr="00E83A72">
        <w:rPr>
          <w:rFonts w:ascii="Calibri" w:hAnsi="Calibri"/>
          <w:lang w:val="en-US"/>
        </w:rPr>
        <w:t>β</w:t>
      </w:r>
      <w:r w:rsidR="00183BC5" w:rsidRPr="00E83A72">
        <w:rPr>
          <w:rFonts w:asciiTheme="majorHAnsi" w:hAnsiTheme="majorHAnsi"/>
          <w:lang w:val="en-US"/>
        </w:rPr>
        <w:t xml:space="preserve">-galactosidase, when the gene of interest is being expressed and the cells are placed in media containing </w:t>
      </w:r>
      <w:proofErr w:type="spellStart"/>
      <w:r w:rsidR="00183BC5" w:rsidRPr="00E83A72">
        <w:rPr>
          <w:rFonts w:asciiTheme="majorHAnsi" w:hAnsiTheme="majorHAnsi"/>
          <w:lang w:val="en-US"/>
        </w:rPr>
        <w:t>galactosides</w:t>
      </w:r>
      <w:proofErr w:type="spellEnd"/>
      <w:r w:rsidR="00183BC5" w:rsidRPr="00E83A72">
        <w:rPr>
          <w:rFonts w:asciiTheme="majorHAnsi" w:hAnsiTheme="majorHAnsi"/>
          <w:lang w:val="en-US"/>
        </w:rPr>
        <w:t xml:space="preserve">, the expression of the reporter </w:t>
      </w:r>
      <w:proofErr w:type="spellStart"/>
      <w:r w:rsidR="00183BC5" w:rsidRPr="00E83A72">
        <w:rPr>
          <w:rFonts w:asciiTheme="majorHAnsi" w:hAnsiTheme="majorHAnsi"/>
          <w:i/>
          <w:lang w:val="en-US"/>
        </w:rPr>
        <w:t>lacZ</w:t>
      </w:r>
      <w:proofErr w:type="spellEnd"/>
      <w:r w:rsidR="00183BC5" w:rsidRPr="00E83A72">
        <w:rPr>
          <w:rFonts w:asciiTheme="majorHAnsi" w:hAnsiTheme="majorHAnsi"/>
          <w:lang w:val="en-US"/>
        </w:rPr>
        <w:t xml:space="preserve"> converts the X-gal to a blue product which again can be quantified. </w:t>
      </w:r>
      <w:r w:rsidR="00552E65" w:rsidRPr="00E83A72">
        <w:rPr>
          <w:rFonts w:ascii="Calibri" w:hAnsi="Calibri" w:cs="Calibri"/>
          <w:lang w:val="en-US"/>
        </w:rPr>
        <w:t xml:space="preserve">Assays such as these could test the hypothesis that SCRAP is acting as a transcription factor. In order to test the hypothesis that the effects of SRCAP on gene expression are acting through alterations in chromatin structure, more extensive micrococcal nuclease assays would be required in conjunction with experiments to alter chromatin structure (perhaps by altering levels of DNA methyl-transferases or histone </w:t>
      </w:r>
      <w:proofErr w:type="spellStart"/>
      <w:r w:rsidR="00552E65" w:rsidRPr="00E83A72">
        <w:rPr>
          <w:rFonts w:ascii="Calibri" w:hAnsi="Calibri" w:cs="Calibri"/>
          <w:lang w:val="en-US"/>
        </w:rPr>
        <w:t>acetylase</w:t>
      </w:r>
      <w:proofErr w:type="spellEnd"/>
      <w:r w:rsidR="00552E65" w:rsidRPr="00E83A72">
        <w:rPr>
          <w:rFonts w:ascii="Calibri" w:hAnsi="Calibri" w:cs="Calibri"/>
          <w:lang w:val="en-US"/>
        </w:rPr>
        <w:t xml:space="preserve"> activity), and examining expression of the endogenous genes of interest.</w:t>
      </w:r>
    </w:p>
    <w:p w14:paraId="6267F6B3" w14:textId="77777777" w:rsidR="00452052" w:rsidRDefault="00452052" w:rsidP="00BB385C">
      <w:pPr>
        <w:spacing w:line="360" w:lineRule="auto"/>
        <w:jc w:val="both"/>
        <w:rPr>
          <w:rFonts w:asciiTheme="majorHAnsi" w:hAnsiTheme="majorHAnsi"/>
          <w:lang w:val="en-US"/>
        </w:rPr>
      </w:pPr>
    </w:p>
    <w:p w14:paraId="49702B4F" w14:textId="77777777" w:rsidR="00452052" w:rsidRDefault="00452052" w:rsidP="00BB385C">
      <w:pPr>
        <w:spacing w:line="360" w:lineRule="auto"/>
        <w:jc w:val="both"/>
        <w:rPr>
          <w:rFonts w:asciiTheme="majorHAnsi" w:hAnsiTheme="majorHAnsi"/>
          <w:lang w:val="en-US"/>
        </w:rPr>
        <w:sectPr w:rsidR="00452052" w:rsidSect="00F70FA9">
          <w:headerReference w:type="default" r:id="rId174"/>
          <w:pgSz w:w="11900" w:h="16840"/>
          <w:pgMar w:top="1440" w:right="1134" w:bottom="1440" w:left="2268" w:header="709" w:footer="709" w:gutter="0"/>
          <w:cols w:space="708"/>
          <w:docGrid w:linePitch="360"/>
        </w:sectPr>
      </w:pPr>
    </w:p>
    <w:p w14:paraId="517D22CA" w14:textId="77777777" w:rsidR="002C01B6" w:rsidRPr="00A77502" w:rsidRDefault="002C01B6" w:rsidP="002C01B6">
      <w:pPr>
        <w:pStyle w:val="Title"/>
        <w:rPr>
          <w:color w:val="auto"/>
        </w:rPr>
      </w:pPr>
      <w:r w:rsidRPr="00A77502">
        <w:rPr>
          <w:color w:val="auto"/>
        </w:rPr>
        <w:t>Results Chapter Summaries</w:t>
      </w:r>
    </w:p>
    <w:p w14:paraId="48AC9120" w14:textId="77777777" w:rsidR="002C01B6" w:rsidRDefault="002C01B6" w:rsidP="002C01B6">
      <w:pPr>
        <w:spacing w:line="360" w:lineRule="auto"/>
        <w:rPr>
          <w:rFonts w:asciiTheme="majorHAnsi" w:hAnsiTheme="majorHAnsi"/>
          <w:b/>
        </w:rPr>
      </w:pPr>
    </w:p>
    <w:p w14:paraId="1F484820" w14:textId="00E834DA" w:rsidR="002C01B6" w:rsidRPr="00A77502" w:rsidRDefault="002C01B6" w:rsidP="002C01B6">
      <w:pPr>
        <w:spacing w:line="360" w:lineRule="auto"/>
        <w:rPr>
          <w:rFonts w:asciiTheme="majorHAnsi" w:hAnsiTheme="majorHAnsi"/>
          <w:b/>
        </w:rPr>
      </w:pPr>
      <w:r w:rsidRPr="00A77502">
        <w:rPr>
          <w:rFonts w:asciiTheme="majorHAnsi" w:hAnsiTheme="majorHAnsi"/>
          <w:b/>
        </w:rPr>
        <w:t>Chapter 3-</w:t>
      </w:r>
      <w:r w:rsidR="006E0476">
        <w:rPr>
          <w:rFonts w:asciiTheme="majorHAnsi" w:hAnsiTheme="majorHAnsi"/>
          <w:b/>
        </w:rPr>
        <w:t xml:space="preserve"> </w:t>
      </w:r>
      <w:proofErr w:type="gramStart"/>
      <w:r w:rsidR="006E0476">
        <w:rPr>
          <w:rFonts w:asciiTheme="majorHAnsi" w:hAnsiTheme="majorHAnsi"/>
          <w:b/>
        </w:rPr>
        <w:t>Studying</w:t>
      </w:r>
      <w:proofErr w:type="gramEnd"/>
      <w:r w:rsidR="006E0476">
        <w:rPr>
          <w:rFonts w:asciiTheme="majorHAnsi" w:hAnsiTheme="majorHAnsi"/>
          <w:b/>
        </w:rPr>
        <w:t xml:space="preserve"> the effects of SRCAP o</w:t>
      </w:r>
      <w:r w:rsidRPr="00A77502">
        <w:rPr>
          <w:rFonts w:asciiTheme="majorHAnsi" w:hAnsiTheme="majorHAnsi"/>
          <w:b/>
        </w:rPr>
        <w:t>ver</w:t>
      </w:r>
      <w:r w:rsidR="00D34949">
        <w:rPr>
          <w:rFonts w:asciiTheme="majorHAnsi" w:hAnsiTheme="majorHAnsi"/>
          <w:b/>
        </w:rPr>
        <w:t>-</w:t>
      </w:r>
      <w:r w:rsidRPr="00A77502">
        <w:rPr>
          <w:rFonts w:asciiTheme="majorHAnsi" w:hAnsiTheme="majorHAnsi"/>
          <w:b/>
        </w:rPr>
        <w:t>expression</w:t>
      </w:r>
    </w:p>
    <w:p w14:paraId="3303C2C0" w14:textId="25D7C2D8" w:rsidR="002C01B6" w:rsidRDefault="002C01B6" w:rsidP="002C01B6">
      <w:pPr>
        <w:spacing w:line="360" w:lineRule="auto"/>
        <w:jc w:val="both"/>
        <w:rPr>
          <w:rFonts w:asciiTheme="majorHAnsi" w:hAnsiTheme="majorHAnsi"/>
          <w:i/>
        </w:rPr>
      </w:pPr>
      <w:r>
        <w:rPr>
          <w:rFonts w:asciiTheme="majorHAnsi" w:hAnsiTheme="majorHAnsi"/>
          <w:i/>
        </w:rPr>
        <w:t>Transient transfection of YFP, MYC or FLAG tagged SRCA</w:t>
      </w:r>
      <w:r w:rsidR="00FE10D7">
        <w:rPr>
          <w:rFonts w:asciiTheme="majorHAnsi" w:hAnsiTheme="majorHAnsi"/>
          <w:i/>
        </w:rPr>
        <w:t>P cDNA produced no protein over-</w:t>
      </w:r>
      <w:r>
        <w:rPr>
          <w:rFonts w:asciiTheme="majorHAnsi" w:hAnsiTheme="majorHAnsi"/>
          <w:i/>
        </w:rPr>
        <w:t xml:space="preserve">expression, indicating a problem with the construct. After further investigation it was found that there was a </w:t>
      </w:r>
      <w:r w:rsidR="00566B5F">
        <w:rPr>
          <w:rFonts w:asciiTheme="majorHAnsi" w:hAnsiTheme="majorHAnsi"/>
          <w:i/>
        </w:rPr>
        <w:t xml:space="preserve">Kozak sequence </w:t>
      </w:r>
      <w:r>
        <w:rPr>
          <w:rFonts w:asciiTheme="majorHAnsi" w:hAnsiTheme="majorHAnsi"/>
          <w:i/>
        </w:rPr>
        <w:t>in the supplied SRCAP cDNA</w:t>
      </w:r>
      <w:r w:rsidR="00FE10D7">
        <w:rPr>
          <w:rFonts w:asciiTheme="majorHAnsi" w:hAnsiTheme="majorHAnsi"/>
          <w:i/>
        </w:rPr>
        <w:t>,</w:t>
      </w:r>
      <w:r>
        <w:rPr>
          <w:rFonts w:asciiTheme="majorHAnsi" w:hAnsiTheme="majorHAnsi"/>
          <w:i/>
        </w:rPr>
        <w:t xml:space="preserve"> probably interfering </w:t>
      </w:r>
      <w:r w:rsidR="00566B5F">
        <w:rPr>
          <w:rFonts w:asciiTheme="majorHAnsi" w:hAnsiTheme="majorHAnsi"/>
          <w:i/>
        </w:rPr>
        <w:t>with translation from the tags K</w:t>
      </w:r>
      <w:r>
        <w:rPr>
          <w:rFonts w:asciiTheme="majorHAnsi" w:hAnsiTheme="majorHAnsi"/>
          <w:i/>
        </w:rPr>
        <w:t>ozak. Using XL10 ultra competent cells, which are often used to express plasmids encoding la</w:t>
      </w:r>
      <w:r w:rsidR="00566B5F">
        <w:rPr>
          <w:rFonts w:asciiTheme="majorHAnsi" w:hAnsiTheme="majorHAnsi"/>
          <w:i/>
        </w:rPr>
        <w:t>rge proteins, plus the mutated K</w:t>
      </w:r>
      <w:r>
        <w:rPr>
          <w:rFonts w:asciiTheme="majorHAnsi" w:hAnsiTheme="majorHAnsi"/>
          <w:i/>
        </w:rPr>
        <w:t>ozak construct, t</w:t>
      </w:r>
      <w:r w:rsidRPr="00A77502">
        <w:rPr>
          <w:rFonts w:asciiTheme="majorHAnsi" w:hAnsiTheme="majorHAnsi"/>
          <w:i/>
        </w:rPr>
        <w:t>ransient transfection o</w:t>
      </w:r>
      <w:r>
        <w:rPr>
          <w:rFonts w:asciiTheme="majorHAnsi" w:hAnsiTheme="majorHAnsi"/>
          <w:i/>
        </w:rPr>
        <w:t>f MYC and YFP tagged SRCAP showed</w:t>
      </w:r>
      <w:r w:rsidRPr="00A77502">
        <w:rPr>
          <w:rFonts w:asciiTheme="majorHAnsi" w:hAnsiTheme="majorHAnsi"/>
          <w:i/>
        </w:rPr>
        <w:t xml:space="preserve"> over</w:t>
      </w:r>
      <w:r w:rsidR="00FE10D7">
        <w:rPr>
          <w:rFonts w:asciiTheme="majorHAnsi" w:hAnsiTheme="majorHAnsi"/>
          <w:i/>
        </w:rPr>
        <w:t>-</w:t>
      </w:r>
      <w:r w:rsidRPr="00A77502">
        <w:rPr>
          <w:rFonts w:asciiTheme="majorHAnsi" w:hAnsiTheme="majorHAnsi"/>
          <w:i/>
        </w:rPr>
        <w:t>expression of SRCAP mRNA levels</w:t>
      </w:r>
      <w:r w:rsidR="00FE10D7">
        <w:rPr>
          <w:rFonts w:asciiTheme="majorHAnsi" w:hAnsiTheme="majorHAnsi"/>
          <w:i/>
        </w:rPr>
        <w:t>,</w:t>
      </w:r>
      <w:r w:rsidRPr="00A77502">
        <w:rPr>
          <w:rFonts w:asciiTheme="majorHAnsi" w:hAnsiTheme="majorHAnsi"/>
          <w:i/>
        </w:rPr>
        <w:t xml:space="preserve"> and nuclear localisation of YFP </w:t>
      </w:r>
      <w:r>
        <w:rPr>
          <w:rFonts w:asciiTheme="majorHAnsi" w:hAnsiTheme="majorHAnsi"/>
          <w:i/>
        </w:rPr>
        <w:t>with</w:t>
      </w:r>
      <w:r w:rsidRPr="00A77502">
        <w:rPr>
          <w:rFonts w:asciiTheme="majorHAnsi" w:hAnsiTheme="majorHAnsi"/>
          <w:i/>
        </w:rPr>
        <w:t>in IF im</w:t>
      </w:r>
      <w:r w:rsidR="00FE10D7">
        <w:rPr>
          <w:rFonts w:asciiTheme="majorHAnsi" w:hAnsiTheme="majorHAnsi"/>
          <w:i/>
        </w:rPr>
        <w:t>ages. Protein expression could no</w:t>
      </w:r>
      <w:r w:rsidRPr="00A77502">
        <w:rPr>
          <w:rFonts w:asciiTheme="majorHAnsi" w:hAnsiTheme="majorHAnsi"/>
          <w:i/>
        </w:rPr>
        <w:t>t be seen</w:t>
      </w:r>
      <w:r w:rsidR="00355BE2">
        <w:rPr>
          <w:rFonts w:asciiTheme="majorHAnsi" w:hAnsiTheme="majorHAnsi"/>
          <w:i/>
        </w:rPr>
        <w:t xml:space="preserve"> by western blot</w:t>
      </w:r>
      <w:r w:rsidRPr="00A77502">
        <w:rPr>
          <w:rFonts w:asciiTheme="majorHAnsi" w:hAnsiTheme="majorHAnsi"/>
          <w:i/>
        </w:rPr>
        <w:t xml:space="preserve"> however</w:t>
      </w:r>
      <w:r w:rsidR="00355BE2">
        <w:rPr>
          <w:rFonts w:asciiTheme="majorHAnsi" w:hAnsiTheme="majorHAnsi"/>
          <w:i/>
        </w:rPr>
        <w:t>,</w:t>
      </w:r>
      <w:r w:rsidRPr="00A77502">
        <w:rPr>
          <w:rFonts w:asciiTheme="majorHAnsi" w:hAnsiTheme="majorHAnsi"/>
          <w:i/>
        </w:rPr>
        <w:t xml:space="preserve"> and when cell cycle profiling was conducted over 72hrs there was a significant increase in the sub G1 population with a decrease in G1 in cells that had </w:t>
      </w:r>
      <w:r>
        <w:rPr>
          <w:rFonts w:asciiTheme="majorHAnsi" w:hAnsiTheme="majorHAnsi"/>
          <w:i/>
        </w:rPr>
        <w:t>been transfected with YFP or MYC</w:t>
      </w:r>
      <w:r w:rsidRPr="00A77502">
        <w:rPr>
          <w:rFonts w:asciiTheme="majorHAnsi" w:hAnsiTheme="majorHAnsi"/>
          <w:i/>
        </w:rPr>
        <w:t xml:space="preserve"> SRCAP compared to mock transfected cells. Using a</w:t>
      </w:r>
      <w:r>
        <w:rPr>
          <w:rFonts w:asciiTheme="majorHAnsi" w:hAnsiTheme="majorHAnsi"/>
          <w:i/>
        </w:rPr>
        <w:t>n alternative stable</w:t>
      </w:r>
      <w:r w:rsidRPr="00A77502">
        <w:rPr>
          <w:rFonts w:asciiTheme="majorHAnsi" w:hAnsiTheme="majorHAnsi"/>
          <w:i/>
        </w:rPr>
        <w:t xml:space="preserve"> tetracycline</w:t>
      </w:r>
      <w:r w:rsidR="00D34949">
        <w:rPr>
          <w:rFonts w:asciiTheme="majorHAnsi" w:hAnsiTheme="majorHAnsi"/>
          <w:i/>
        </w:rPr>
        <w:t xml:space="preserve"> induction system of SRCAP over-</w:t>
      </w:r>
      <w:r w:rsidRPr="00A77502">
        <w:rPr>
          <w:rFonts w:asciiTheme="majorHAnsi" w:hAnsiTheme="majorHAnsi"/>
          <w:i/>
        </w:rPr>
        <w:t>expression there was no difference in DNA damage marker</w:t>
      </w:r>
      <w:r>
        <w:rPr>
          <w:rFonts w:asciiTheme="majorHAnsi" w:hAnsiTheme="majorHAnsi"/>
          <w:i/>
        </w:rPr>
        <w:t>s in cells over</w:t>
      </w:r>
      <w:r w:rsidR="00FE10D7">
        <w:rPr>
          <w:rFonts w:asciiTheme="majorHAnsi" w:hAnsiTheme="majorHAnsi"/>
          <w:i/>
        </w:rPr>
        <w:t>-</w:t>
      </w:r>
      <w:r>
        <w:rPr>
          <w:rFonts w:asciiTheme="majorHAnsi" w:hAnsiTheme="majorHAnsi"/>
          <w:i/>
        </w:rPr>
        <w:t xml:space="preserve">expressing </w:t>
      </w:r>
      <w:r w:rsidR="00FE10D7">
        <w:rPr>
          <w:rFonts w:asciiTheme="majorHAnsi" w:hAnsiTheme="majorHAnsi"/>
          <w:i/>
        </w:rPr>
        <w:t xml:space="preserve">YFP </w:t>
      </w:r>
      <w:r>
        <w:rPr>
          <w:rFonts w:asciiTheme="majorHAnsi" w:hAnsiTheme="majorHAnsi"/>
          <w:i/>
        </w:rPr>
        <w:t>SRCAP</w:t>
      </w:r>
      <w:r w:rsidRPr="00A77502">
        <w:rPr>
          <w:rFonts w:asciiTheme="majorHAnsi" w:hAnsiTheme="majorHAnsi"/>
          <w:i/>
        </w:rPr>
        <w:t xml:space="preserve"> after 72hrs of Tet induction</w:t>
      </w:r>
      <w:r>
        <w:rPr>
          <w:rFonts w:asciiTheme="majorHAnsi" w:hAnsiTheme="majorHAnsi"/>
          <w:i/>
        </w:rPr>
        <w:t xml:space="preserve"> compared to un-induced controls</w:t>
      </w:r>
      <w:r w:rsidRPr="00A77502">
        <w:rPr>
          <w:rFonts w:asciiTheme="majorHAnsi" w:hAnsiTheme="majorHAnsi"/>
          <w:i/>
        </w:rPr>
        <w:t>.</w:t>
      </w:r>
      <w:r>
        <w:rPr>
          <w:rFonts w:asciiTheme="majorHAnsi" w:hAnsiTheme="majorHAnsi"/>
          <w:i/>
        </w:rPr>
        <w:t xml:space="preserve"> Throughout these investigations there was a v</w:t>
      </w:r>
      <w:r w:rsidR="00FA1353">
        <w:rPr>
          <w:rFonts w:asciiTheme="majorHAnsi" w:hAnsiTheme="majorHAnsi"/>
          <w:i/>
        </w:rPr>
        <w:t>ery low transfection efficiency</w:t>
      </w:r>
      <w:r w:rsidR="00355BE2">
        <w:rPr>
          <w:rFonts w:asciiTheme="majorHAnsi" w:hAnsiTheme="majorHAnsi"/>
          <w:i/>
        </w:rPr>
        <w:t xml:space="preserve"> or expression homogeneity</w:t>
      </w:r>
      <w:r w:rsidR="00FA1353">
        <w:rPr>
          <w:rFonts w:asciiTheme="majorHAnsi" w:hAnsiTheme="majorHAnsi"/>
          <w:i/>
        </w:rPr>
        <w:t xml:space="preserve">, </w:t>
      </w:r>
      <w:r>
        <w:rPr>
          <w:rFonts w:asciiTheme="majorHAnsi" w:hAnsiTheme="majorHAnsi"/>
          <w:i/>
        </w:rPr>
        <w:t>which may have impacted the results of these studies.</w:t>
      </w:r>
    </w:p>
    <w:p w14:paraId="32531266" w14:textId="77777777" w:rsidR="002C01B6" w:rsidRDefault="002C01B6" w:rsidP="002C01B6">
      <w:pPr>
        <w:spacing w:line="360" w:lineRule="auto"/>
        <w:jc w:val="both"/>
        <w:rPr>
          <w:rFonts w:asciiTheme="majorHAnsi" w:hAnsiTheme="majorHAnsi"/>
          <w:i/>
        </w:rPr>
      </w:pPr>
    </w:p>
    <w:p w14:paraId="37F593F2" w14:textId="70605DC3" w:rsidR="002C01B6" w:rsidRPr="00EF3064" w:rsidRDefault="002C01B6" w:rsidP="002C01B6">
      <w:pPr>
        <w:spacing w:line="360" w:lineRule="auto"/>
        <w:jc w:val="both"/>
        <w:rPr>
          <w:rFonts w:asciiTheme="majorHAnsi" w:hAnsiTheme="majorHAnsi"/>
        </w:rPr>
      </w:pPr>
      <w:r w:rsidRPr="00A77502">
        <w:rPr>
          <w:rFonts w:asciiTheme="majorHAnsi" w:hAnsiTheme="majorHAnsi"/>
          <w:i/>
        </w:rPr>
        <w:t>Over</w:t>
      </w:r>
      <w:r w:rsidR="00D34949">
        <w:rPr>
          <w:rFonts w:asciiTheme="majorHAnsi" w:hAnsiTheme="majorHAnsi"/>
          <w:i/>
        </w:rPr>
        <w:t>-</w:t>
      </w:r>
      <w:r w:rsidRPr="00A77502">
        <w:rPr>
          <w:rFonts w:asciiTheme="majorHAnsi" w:hAnsiTheme="majorHAnsi"/>
          <w:i/>
        </w:rPr>
        <w:t>expressing SRCAP CRISPR/dCas9 HCT116</w:t>
      </w:r>
      <w:r>
        <w:rPr>
          <w:rFonts w:asciiTheme="majorHAnsi" w:hAnsiTheme="majorHAnsi"/>
          <w:i/>
        </w:rPr>
        <w:t xml:space="preserve"> and SW480 cells were successfully produced.</w:t>
      </w:r>
      <w:r w:rsidR="004160EE">
        <w:rPr>
          <w:rFonts w:asciiTheme="majorHAnsi" w:hAnsiTheme="majorHAnsi"/>
          <w:i/>
        </w:rPr>
        <w:t xml:space="preserve"> I</w:t>
      </w:r>
      <w:r>
        <w:rPr>
          <w:rFonts w:asciiTheme="majorHAnsi" w:hAnsiTheme="majorHAnsi"/>
          <w:i/>
        </w:rPr>
        <w:t>n HCT116 SRCAP over</w:t>
      </w:r>
      <w:r w:rsidR="004160EE">
        <w:rPr>
          <w:rFonts w:asciiTheme="majorHAnsi" w:hAnsiTheme="majorHAnsi"/>
          <w:i/>
        </w:rPr>
        <w:t>-</w:t>
      </w:r>
      <w:r>
        <w:rPr>
          <w:rFonts w:asciiTheme="majorHAnsi" w:hAnsiTheme="majorHAnsi"/>
          <w:i/>
        </w:rPr>
        <w:t>expressing cells there was</w:t>
      </w:r>
      <w:r w:rsidRPr="00A77502">
        <w:rPr>
          <w:rFonts w:asciiTheme="majorHAnsi" w:hAnsiTheme="majorHAnsi"/>
          <w:i/>
        </w:rPr>
        <w:t xml:space="preserve"> no difference in growth rates between these and the parental cells. There was a significant increase in </w:t>
      </w:r>
      <w:r w:rsidR="00566B5F" w:rsidRPr="00A77502">
        <w:rPr>
          <w:rFonts w:asciiTheme="majorHAnsi" w:hAnsiTheme="majorHAnsi"/>
          <w:i/>
        </w:rPr>
        <w:t xml:space="preserve">yH2AX </w:t>
      </w:r>
      <w:r w:rsidR="00566B5F">
        <w:rPr>
          <w:rFonts w:asciiTheme="majorHAnsi" w:hAnsiTheme="majorHAnsi"/>
          <w:i/>
        </w:rPr>
        <w:t xml:space="preserve">and </w:t>
      </w:r>
      <w:r w:rsidRPr="00A77502">
        <w:rPr>
          <w:rFonts w:asciiTheme="majorHAnsi" w:hAnsiTheme="majorHAnsi"/>
          <w:i/>
        </w:rPr>
        <w:t>53BP1 foci when SRCAP was over</w:t>
      </w:r>
      <w:r w:rsidR="004160EE">
        <w:rPr>
          <w:rFonts w:asciiTheme="majorHAnsi" w:hAnsiTheme="majorHAnsi"/>
          <w:i/>
        </w:rPr>
        <w:t>-</w:t>
      </w:r>
      <w:r w:rsidRPr="00A77502">
        <w:rPr>
          <w:rFonts w:asciiTheme="majorHAnsi" w:hAnsiTheme="majorHAnsi"/>
          <w:i/>
        </w:rPr>
        <w:t xml:space="preserve">expressed; this </w:t>
      </w:r>
      <w:r w:rsidR="00566B5F">
        <w:rPr>
          <w:rFonts w:asciiTheme="majorHAnsi" w:hAnsiTheme="majorHAnsi"/>
          <w:i/>
        </w:rPr>
        <w:t>significant increase in DNA damage</w:t>
      </w:r>
      <w:r w:rsidRPr="00A77502">
        <w:rPr>
          <w:rFonts w:asciiTheme="majorHAnsi" w:hAnsiTheme="majorHAnsi"/>
          <w:i/>
        </w:rPr>
        <w:t xml:space="preserve"> was echoed in </w:t>
      </w:r>
      <w:r>
        <w:rPr>
          <w:rFonts w:asciiTheme="majorHAnsi" w:hAnsiTheme="majorHAnsi"/>
          <w:i/>
        </w:rPr>
        <w:t xml:space="preserve">a comet assay, and </w:t>
      </w:r>
      <w:r w:rsidR="00EA7CDB">
        <w:rPr>
          <w:rFonts w:asciiTheme="majorHAnsi" w:hAnsiTheme="majorHAnsi"/>
          <w:i/>
        </w:rPr>
        <w:t>a trend</w:t>
      </w:r>
      <w:r w:rsidRPr="00A77502">
        <w:rPr>
          <w:rFonts w:asciiTheme="majorHAnsi" w:hAnsiTheme="majorHAnsi"/>
          <w:i/>
        </w:rPr>
        <w:t xml:space="preserve"> in </w:t>
      </w:r>
      <w:r w:rsidR="00EA7CDB">
        <w:rPr>
          <w:rFonts w:asciiTheme="majorHAnsi" w:hAnsiTheme="majorHAnsi"/>
          <w:i/>
        </w:rPr>
        <w:t xml:space="preserve">increased </w:t>
      </w:r>
      <w:r w:rsidRPr="00A77502">
        <w:rPr>
          <w:rFonts w:asciiTheme="majorHAnsi" w:hAnsiTheme="majorHAnsi"/>
          <w:i/>
        </w:rPr>
        <w:t xml:space="preserve">nuclear abnormalities. </w:t>
      </w:r>
      <w:r w:rsidR="004160EE">
        <w:rPr>
          <w:rFonts w:asciiTheme="majorHAnsi" w:hAnsiTheme="majorHAnsi"/>
          <w:i/>
        </w:rPr>
        <w:t>There were also</w:t>
      </w:r>
      <w:r w:rsidRPr="00A77502">
        <w:rPr>
          <w:rFonts w:asciiTheme="majorHAnsi" w:hAnsiTheme="majorHAnsi"/>
          <w:i/>
        </w:rPr>
        <w:t xml:space="preserve"> no difference</w:t>
      </w:r>
      <w:r w:rsidR="004160EE">
        <w:rPr>
          <w:rFonts w:asciiTheme="majorHAnsi" w:hAnsiTheme="majorHAnsi"/>
          <w:i/>
        </w:rPr>
        <w:t>s</w:t>
      </w:r>
      <w:r w:rsidRPr="00A77502">
        <w:rPr>
          <w:rFonts w:asciiTheme="majorHAnsi" w:hAnsiTheme="majorHAnsi"/>
          <w:i/>
        </w:rPr>
        <w:t xml:space="preserve"> in </w:t>
      </w:r>
      <w:r w:rsidR="00355BE2">
        <w:rPr>
          <w:rFonts w:asciiTheme="majorHAnsi" w:hAnsiTheme="majorHAnsi"/>
          <w:i/>
        </w:rPr>
        <w:t xml:space="preserve">cell cycle </w:t>
      </w:r>
      <w:r w:rsidRPr="00A77502">
        <w:rPr>
          <w:rFonts w:asciiTheme="majorHAnsi" w:hAnsiTheme="majorHAnsi"/>
          <w:i/>
        </w:rPr>
        <w:t xml:space="preserve">profiles or in apoptosis levels. </w:t>
      </w:r>
      <w:r w:rsidR="004160EE">
        <w:rPr>
          <w:rFonts w:asciiTheme="majorHAnsi" w:hAnsiTheme="majorHAnsi"/>
          <w:i/>
        </w:rPr>
        <w:t>Problematically, SRCAP over-</w:t>
      </w:r>
      <w:r w:rsidRPr="00A77502">
        <w:rPr>
          <w:rFonts w:asciiTheme="majorHAnsi" w:hAnsiTheme="majorHAnsi"/>
          <w:i/>
        </w:rPr>
        <w:t>expression</w:t>
      </w:r>
      <w:r>
        <w:rPr>
          <w:rFonts w:asciiTheme="majorHAnsi" w:hAnsiTheme="majorHAnsi"/>
          <w:i/>
        </w:rPr>
        <w:t xml:space="preserve"> </w:t>
      </w:r>
      <w:r w:rsidRPr="00A77502">
        <w:rPr>
          <w:rFonts w:asciiTheme="majorHAnsi" w:hAnsiTheme="majorHAnsi"/>
          <w:i/>
        </w:rPr>
        <w:t>reduced to normal levels after six weeks in culture and could not be rescued by antibiotic selection.</w:t>
      </w:r>
      <w:r>
        <w:rPr>
          <w:rFonts w:asciiTheme="majorHAnsi" w:hAnsiTheme="majorHAnsi"/>
          <w:i/>
        </w:rPr>
        <w:t xml:space="preserve"> This somewhat </w:t>
      </w:r>
      <w:r w:rsidR="004160EE">
        <w:rPr>
          <w:rFonts w:asciiTheme="majorHAnsi" w:hAnsiTheme="majorHAnsi"/>
          <w:i/>
        </w:rPr>
        <w:t>cast doubt on</w:t>
      </w:r>
      <w:r>
        <w:rPr>
          <w:rFonts w:asciiTheme="majorHAnsi" w:hAnsiTheme="majorHAnsi"/>
          <w:i/>
        </w:rPr>
        <w:t xml:space="preserve"> the re</w:t>
      </w:r>
      <w:r w:rsidR="004160EE">
        <w:rPr>
          <w:rFonts w:asciiTheme="majorHAnsi" w:hAnsiTheme="majorHAnsi"/>
          <w:i/>
        </w:rPr>
        <w:t>sults of the assays, as it was no</w:t>
      </w:r>
      <w:r>
        <w:rPr>
          <w:rFonts w:asciiTheme="majorHAnsi" w:hAnsiTheme="majorHAnsi"/>
          <w:i/>
        </w:rPr>
        <w:t xml:space="preserve">t </w:t>
      </w:r>
      <w:r w:rsidR="004160EE">
        <w:rPr>
          <w:rFonts w:asciiTheme="majorHAnsi" w:hAnsiTheme="majorHAnsi"/>
          <w:i/>
        </w:rPr>
        <w:t>clear as to when the cells lost over-</w:t>
      </w:r>
      <w:r>
        <w:rPr>
          <w:rFonts w:asciiTheme="majorHAnsi" w:hAnsiTheme="majorHAnsi"/>
          <w:i/>
        </w:rPr>
        <w:t>expression.</w:t>
      </w:r>
    </w:p>
    <w:p w14:paraId="0EAC2745" w14:textId="77777777" w:rsidR="00355BE2" w:rsidRDefault="00355BE2" w:rsidP="002C01B6">
      <w:pPr>
        <w:spacing w:line="360" w:lineRule="auto"/>
        <w:rPr>
          <w:rFonts w:asciiTheme="majorHAnsi" w:hAnsiTheme="majorHAnsi"/>
          <w:b/>
        </w:rPr>
      </w:pPr>
    </w:p>
    <w:p w14:paraId="633969ED" w14:textId="57A51716" w:rsidR="002C01B6" w:rsidRPr="00A77502" w:rsidRDefault="002C01B6" w:rsidP="002C01B6">
      <w:pPr>
        <w:spacing w:line="360" w:lineRule="auto"/>
        <w:rPr>
          <w:rFonts w:asciiTheme="majorHAnsi" w:hAnsiTheme="majorHAnsi"/>
          <w:b/>
        </w:rPr>
      </w:pPr>
      <w:r w:rsidRPr="00A77502">
        <w:rPr>
          <w:rFonts w:asciiTheme="majorHAnsi" w:hAnsiTheme="majorHAnsi"/>
          <w:b/>
        </w:rPr>
        <w:t>Chapter 4- Investigating the effect of SRCAP knockdown on the DDR in CRC cells</w:t>
      </w:r>
    </w:p>
    <w:p w14:paraId="2CA1A016" w14:textId="152657E9" w:rsidR="002C01B6" w:rsidRDefault="002C01B6" w:rsidP="002C01B6">
      <w:pPr>
        <w:spacing w:line="360" w:lineRule="auto"/>
        <w:jc w:val="both"/>
        <w:rPr>
          <w:rFonts w:asciiTheme="majorHAnsi" w:hAnsiTheme="majorHAnsi"/>
          <w:i/>
        </w:rPr>
      </w:pPr>
      <w:r w:rsidRPr="00A77502">
        <w:rPr>
          <w:rFonts w:asciiTheme="majorHAnsi" w:hAnsiTheme="majorHAnsi"/>
          <w:i/>
        </w:rPr>
        <w:t xml:space="preserve">SRCAP </w:t>
      </w:r>
      <w:r>
        <w:rPr>
          <w:rFonts w:asciiTheme="majorHAnsi" w:hAnsiTheme="majorHAnsi"/>
          <w:i/>
        </w:rPr>
        <w:t xml:space="preserve">was successfully </w:t>
      </w:r>
      <w:r w:rsidRPr="00A77502">
        <w:rPr>
          <w:rFonts w:asciiTheme="majorHAnsi" w:hAnsiTheme="majorHAnsi"/>
          <w:i/>
        </w:rPr>
        <w:t>knocked down in both HCT116 and SW480 CRC ce</w:t>
      </w:r>
      <w:r w:rsidR="007846B7">
        <w:rPr>
          <w:rFonts w:asciiTheme="majorHAnsi" w:hAnsiTheme="majorHAnsi"/>
          <w:i/>
        </w:rPr>
        <w:t>ll lines. This knock</w:t>
      </w:r>
      <w:r>
        <w:rPr>
          <w:rFonts w:asciiTheme="majorHAnsi" w:hAnsiTheme="majorHAnsi"/>
          <w:i/>
        </w:rPr>
        <w:t>down induced</w:t>
      </w:r>
      <w:r w:rsidRPr="00A77502">
        <w:rPr>
          <w:rFonts w:asciiTheme="majorHAnsi" w:hAnsiTheme="majorHAnsi"/>
          <w:i/>
        </w:rPr>
        <w:t xml:space="preserve"> significant genome instability in the form of </w:t>
      </w:r>
      <w:r w:rsidR="00EA7CDB">
        <w:rPr>
          <w:rFonts w:asciiTheme="majorHAnsi" w:hAnsiTheme="majorHAnsi"/>
          <w:i/>
        </w:rPr>
        <w:t xml:space="preserve">increased </w:t>
      </w:r>
      <w:r w:rsidRPr="00A77502">
        <w:rPr>
          <w:rFonts w:asciiTheme="majorHAnsi" w:hAnsiTheme="majorHAnsi"/>
          <w:i/>
        </w:rPr>
        <w:t>DNA damage and nuclear abnormalities</w:t>
      </w:r>
      <w:r>
        <w:rPr>
          <w:rFonts w:asciiTheme="majorHAnsi" w:hAnsiTheme="majorHAnsi"/>
          <w:i/>
        </w:rPr>
        <w:t>. SRCAP depletion also appeared</w:t>
      </w:r>
      <w:r w:rsidRPr="00A77502">
        <w:rPr>
          <w:rFonts w:asciiTheme="majorHAnsi" w:hAnsiTheme="majorHAnsi"/>
          <w:i/>
        </w:rPr>
        <w:t xml:space="preserve"> to inhibit micrococcal nuclease digestion</w:t>
      </w:r>
      <w:r w:rsidR="00FA1353">
        <w:rPr>
          <w:rFonts w:asciiTheme="majorHAnsi" w:hAnsiTheme="majorHAnsi"/>
          <w:i/>
        </w:rPr>
        <w:t xml:space="preserve"> in SW480 cells</w:t>
      </w:r>
      <w:r>
        <w:rPr>
          <w:rFonts w:asciiTheme="majorHAnsi" w:hAnsiTheme="majorHAnsi"/>
          <w:i/>
        </w:rPr>
        <w:t xml:space="preserve">, possibly by creating </w:t>
      </w:r>
      <w:proofErr w:type="gramStart"/>
      <w:r>
        <w:rPr>
          <w:rFonts w:asciiTheme="majorHAnsi" w:hAnsiTheme="majorHAnsi"/>
          <w:i/>
        </w:rPr>
        <w:t>a mor</w:t>
      </w:r>
      <w:r w:rsidR="009F3BD4">
        <w:rPr>
          <w:rFonts w:asciiTheme="majorHAnsi" w:hAnsiTheme="majorHAnsi"/>
          <w:i/>
        </w:rPr>
        <w:t>e</w:t>
      </w:r>
      <w:proofErr w:type="gramEnd"/>
      <w:r w:rsidR="009F3BD4">
        <w:rPr>
          <w:rFonts w:asciiTheme="majorHAnsi" w:hAnsiTheme="majorHAnsi"/>
          <w:i/>
        </w:rPr>
        <w:t xml:space="preserve"> closed chromatin architecture.</w:t>
      </w:r>
      <w:r>
        <w:rPr>
          <w:rFonts w:asciiTheme="majorHAnsi" w:hAnsiTheme="majorHAnsi"/>
          <w:i/>
        </w:rPr>
        <w:t xml:space="preserve"> Depletion of SRCAP significantly reduced cel</w:t>
      </w:r>
      <w:r w:rsidR="009F3BD4">
        <w:rPr>
          <w:rFonts w:asciiTheme="majorHAnsi" w:hAnsiTheme="majorHAnsi"/>
          <w:i/>
        </w:rPr>
        <w:t>lular growth, however this was no</w:t>
      </w:r>
      <w:r>
        <w:rPr>
          <w:rFonts w:asciiTheme="majorHAnsi" w:hAnsiTheme="majorHAnsi"/>
          <w:i/>
        </w:rPr>
        <w:t>t due to any differences in apoptosis</w:t>
      </w:r>
      <w:r w:rsidR="009F3BD4">
        <w:rPr>
          <w:rFonts w:asciiTheme="majorHAnsi" w:hAnsiTheme="majorHAnsi"/>
          <w:i/>
        </w:rPr>
        <w:t xml:space="preserve"> levels</w:t>
      </w:r>
      <w:r>
        <w:rPr>
          <w:rFonts w:asciiTheme="majorHAnsi" w:hAnsiTheme="majorHAnsi"/>
          <w:i/>
        </w:rPr>
        <w:t xml:space="preserve">. It was </w:t>
      </w:r>
      <w:r w:rsidR="00EA7CDB">
        <w:rPr>
          <w:rFonts w:asciiTheme="majorHAnsi" w:hAnsiTheme="majorHAnsi"/>
          <w:i/>
        </w:rPr>
        <w:t>hypothesised</w:t>
      </w:r>
      <w:r>
        <w:rPr>
          <w:rFonts w:asciiTheme="majorHAnsi" w:hAnsiTheme="majorHAnsi"/>
          <w:i/>
        </w:rPr>
        <w:t xml:space="preserve"> that </w:t>
      </w:r>
      <w:r w:rsidR="00EA7CDB">
        <w:rPr>
          <w:rFonts w:asciiTheme="majorHAnsi" w:hAnsiTheme="majorHAnsi"/>
          <w:i/>
        </w:rPr>
        <w:t>SRCAP depleted</w:t>
      </w:r>
      <w:r>
        <w:rPr>
          <w:rFonts w:asciiTheme="majorHAnsi" w:hAnsiTheme="majorHAnsi"/>
          <w:i/>
        </w:rPr>
        <w:t xml:space="preserve"> cells might be cycling slower, and indeed in HCT116 cells there was a decrease in S</w:t>
      </w:r>
      <w:r w:rsidR="00A9566E">
        <w:rPr>
          <w:rFonts w:asciiTheme="majorHAnsi" w:hAnsiTheme="majorHAnsi"/>
          <w:i/>
        </w:rPr>
        <w:t xml:space="preserve"> phase cells following PI staining</w:t>
      </w:r>
      <w:r>
        <w:rPr>
          <w:rFonts w:asciiTheme="majorHAnsi" w:hAnsiTheme="majorHAnsi"/>
          <w:i/>
        </w:rPr>
        <w:t>. However, the</w:t>
      </w:r>
      <w:r w:rsidR="009F3BD4">
        <w:rPr>
          <w:rFonts w:asciiTheme="majorHAnsi" w:hAnsiTheme="majorHAnsi"/>
          <w:i/>
        </w:rPr>
        <w:t xml:space="preserve"> decrease in S phase cells was no</w:t>
      </w:r>
      <w:r>
        <w:rPr>
          <w:rFonts w:asciiTheme="majorHAnsi" w:hAnsiTheme="majorHAnsi"/>
          <w:i/>
        </w:rPr>
        <w:t xml:space="preserve">t </w:t>
      </w:r>
      <w:r w:rsidR="00EA7CDB">
        <w:rPr>
          <w:rFonts w:asciiTheme="majorHAnsi" w:hAnsiTheme="majorHAnsi"/>
          <w:i/>
        </w:rPr>
        <w:t>recapitulated</w:t>
      </w:r>
      <w:r>
        <w:rPr>
          <w:rFonts w:asciiTheme="majorHAnsi" w:hAnsiTheme="majorHAnsi"/>
          <w:i/>
        </w:rPr>
        <w:t xml:space="preserve"> in an EdU incorporation assay</w:t>
      </w:r>
      <w:r w:rsidR="00EA7CDB">
        <w:rPr>
          <w:rFonts w:asciiTheme="majorHAnsi" w:hAnsiTheme="majorHAnsi"/>
          <w:i/>
        </w:rPr>
        <w:t>, although</w:t>
      </w:r>
      <w:r>
        <w:rPr>
          <w:rFonts w:asciiTheme="majorHAnsi" w:hAnsiTheme="majorHAnsi"/>
          <w:i/>
        </w:rPr>
        <w:t xml:space="preserve"> there </w:t>
      </w:r>
      <w:r w:rsidR="00EA7CDB">
        <w:rPr>
          <w:rFonts w:asciiTheme="majorHAnsi" w:hAnsiTheme="majorHAnsi"/>
          <w:i/>
        </w:rPr>
        <w:t>were</w:t>
      </w:r>
      <w:r>
        <w:rPr>
          <w:rFonts w:asciiTheme="majorHAnsi" w:hAnsiTheme="majorHAnsi"/>
          <w:i/>
        </w:rPr>
        <w:t xml:space="preserve"> significantly </w:t>
      </w:r>
      <w:r w:rsidR="009F3BD4">
        <w:rPr>
          <w:rFonts w:asciiTheme="majorHAnsi" w:hAnsiTheme="majorHAnsi"/>
          <w:i/>
        </w:rPr>
        <w:t>fewer</w:t>
      </w:r>
      <w:r>
        <w:rPr>
          <w:rFonts w:asciiTheme="majorHAnsi" w:hAnsiTheme="majorHAnsi"/>
          <w:i/>
        </w:rPr>
        <w:t xml:space="preserve"> mitotic cells when assessed by pH3 positivity by flow cytometry, indicating definite cell cycle changes. SW480 cells again showed no difference in S phase cells by EdU staining but a decreased mitotic fraction. However, PI staining</w:t>
      </w:r>
      <w:r w:rsidR="007846B7">
        <w:rPr>
          <w:rFonts w:asciiTheme="majorHAnsi" w:hAnsiTheme="majorHAnsi"/>
          <w:i/>
        </w:rPr>
        <w:t xml:space="preserve"> of</w:t>
      </w:r>
      <w:r>
        <w:rPr>
          <w:rFonts w:asciiTheme="majorHAnsi" w:hAnsiTheme="majorHAnsi"/>
          <w:i/>
        </w:rPr>
        <w:t xml:space="preserve"> SW480 cells</w:t>
      </w:r>
      <w:r w:rsidR="007846B7">
        <w:rPr>
          <w:rFonts w:asciiTheme="majorHAnsi" w:hAnsiTheme="majorHAnsi"/>
          <w:i/>
        </w:rPr>
        <w:t>,</w:t>
      </w:r>
      <w:r w:rsidR="00A9566E">
        <w:rPr>
          <w:rFonts w:asciiTheme="majorHAnsi" w:hAnsiTheme="majorHAnsi"/>
          <w:i/>
        </w:rPr>
        <w:t xml:space="preserve"> </w:t>
      </w:r>
      <w:r w:rsidR="007846B7">
        <w:rPr>
          <w:rFonts w:asciiTheme="majorHAnsi" w:hAnsiTheme="majorHAnsi"/>
          <w:i/>
        </w:rPr>
        <w:t xml:space="preserve">unlike HCT116 cells, </w:t>
      </w:r>
      <w:r w:rsidR="009F3BD4">
        <w:rPr>
          <w:rFonts w:asciiTheme="majorHAnsi" w:hAnsiTheme="majorHAnsi"/>
          <w:i/>
        </w:rPr>
        <w:t xml:space="preserve">did not show cell cycle changes, </w:t>
      </w:r>
      <w:r w:rsidR="007846B7">
        <w:rPr>
          <w:rFonts w:asciiTheme="majorHAnsi" w:hAnsiTheme="majorHAnsi"/>
          <w:i/>
        </w:rPr>
        <w:t xml:space="preserve">indicating an effect of SRCAP knockdown that may differ according to genetic background. </w:t>
      </w:r>
    </w:p>
    <w:p w14:paraId="4F87308D" w14:textId="77777777" w:rsidR="002C01B6" w:rsidRDefault="002C01B6" w:rsidP="002C01B6">
      <w:pPr>
        <w:spacing w:line="360" w:lineRule="auto"/>
        <w:jc w:val="both"/>
        <w:rPr>
          <w:rFonts w:asciiTheme="majorHAnsi" w:hAnsiTheme="majorHAnsi"/>
          <w:i/>
        </w:rPr>
      </w:pPr>
    </w:p>
    <w:p w14:paraId="105E72C8" w14:textId="74A17F90" w:rsidR="002C01B6" w:rsidRPr="00A77502" w:rsidRDefault="002C01B6" w:rsidP="002C01B6">
      <w:pPr>
        <w:spacing w:line="360" w:lineRule="auto"/>
        <w:jc w:val="both"/>
        <w:rPr>
          <w:rFonts w:asciiTheme="majorHAnsi" w:hAnsiTheme="majorHAnsi"/>
          <w:i/>
        </w:rPr>
      </w:pPr>
      <w:r w:rsidRPr="00A77502">
        <w:rPr>
          <w:rFonts w:asciiTheme="majorHAnsi" w:hAnsiTheme="majorHAnsi"/>
          <w:i/>
        </w:rPr>
        <w:t>HCT116 cells</w:t>
      </w:r>
      <w:r>
        <w:rPr>
          <w:rFonts w:asciiTheme="majorHAnsi" w:hAnsiTheme="majorHAnsi"/>
          <w:i/>
        </w:rPr>
        <w:t xml:space="preserve"> depleted of SRCAP were</w:t>
      </w:r>
      <w:r w:rsidRPr="00A77502">
        <w:rPr>
          <w:rFonts w:asciiTheme="majorHAnsi" w:hAnsiTheme="majorHAnsi"/>
          <w:i/>
        </w:rPr>
        <w:t xml:space="preserve"> sensitise</w:t>
      </w:r>
      <w:r>
        <w:rPr>
          <w:rFonts w:asciiTheme="majorHAnsi" w:hAnsiTheme="majorHAnsi"/>
          <w:i/>
        </w:rPr>
        <w:t>d to 5-FU and cisplatin</w:t>
      </w:r>
      <w:r w:rsidR="007846B7">
        <w:rPr>
          <w:rFonts w:asciiTheme="majorHAnsi" w:hAnsiTheme="majorHAnsi"/>
          <w:i/>
        </w:rPr>
        <w:t xml:space="preserve"> shown</w:t>
      </w:r>
      <w:r w:rsidR="007846B7" w:rsidRPr="00A77502">
        <w:rPr>
          <w:rFonts w:asciiTheme="majorHAnsi" w:hAnsiTheme="majorHAnsi"/>
          <w:i/>
        </w:rPr>
        <w:t xml:space="preserve"> by both MTT </w:t>
      </w:r>
      <w:r w:rsidR="007846B7">
        <w:rPr>
          <w:rFonts w:asciiTheme="majorHAnsi" w:hAnsiTheme="majorHAnsi"/>
          <w:i/>
        </w:rPr>
        <w:t>cytotoxicity and clonogenic survival assays</w:t>
      </w:r>
      <w:r>
        <w:rPr>
          <w:rFonts w:asciiTheme="majorHAnsi" w:hAnsiTheme="majorHAnsi"/>
          <w:i/>
        </w:rPr>
        <w:t xml:space="preserve">, </w:t>
      </w:r>
      <w:r w:rsidRPr="00A77502">
        <w:rPr>
          <w:rFonts w:asciiTheme="majorHAnsi" w:hAnsiTheme="majorHAnsi"/>
          <w:i/>
        </w:rPr>
        <w:t>however</w:t>
      </w:r>
      <w:r w:rsidR="007846B7">
        <w:rPr>
          <w:rFonts w:asciiTheme="majorHAnsi" w:hAnsiTheme="majorHAnsi"/>
          <w:i/>
        </w:rPr>
        <w:t>,</w:t>
      </w:r>
      <w:r w:rsidRPr="00A77502">
        <w:rPr>
          <w:rFonts w:asciiTheme="majorHAnsi" w:hAnsiTheme="majorHAnsi"/>
          <w:i/>
        </w:rPr>
        <w:t xml:space="preserve"> SW480 </w:t>
      </w:r>
      <w:r>
        <w:rPr>
          <w:rFonts w:asciiTheme="majorHAnsi" w:hAnsiTheme="majorHAnsi"/>
          <w:i/>
        </w:rPr>
        <w:t xml:space="preserve">SRCAP depleted </w:t>
      </w:r>
      <w:r w:rsidRPr="00A77502">
        <w:rPr>
          <w:rFonts w:asciiTheme="majorHAnsi" w:hAnsiTheme="majorHAnsi"/>
          <w:i/>
        </w:rPr>
        <w:t>cells either show</w:t>
      </w:r>
      <w:r>
        <w:rPr>
          <w:rFonts w:asciiTheme="majorHAnsi" w:hAnsiTheme="majorHAnsi"/>
          <w:i/>
        </w:rPr>
        <w:t>ed</w:t>
      </w:r>
      <w:r w:rsidRPr="00A77502">
        <w:rPr>
          <w:rFonts w:asciiTheme="majorHAnsi" w:hAnsiTheme="majorHAnsi"/>
          <w:i/>
        </w:rPr>
        <w:t xml:space="preserve"> no difference compared to parental cells</w:t>
      </w:r>
      <w:r>
        <w:rPr>
          <w:rFonts w:asciiTheme="majorHAnsi" w:hAnsiTheme="majorHAnsi"/>
          <w:i/>
        </w:rPr>
        <w:t>,</w:t>
      </w:r>
      <w:r w:rsidRPr="00A77502">
        <w:rPr>
          <w:rFonts w:asciiTheme="majorHAnsi" w:hAnsiTheme="majorHAnsi"/>
          <w:i/>
        </w:rPr>
        <w:t xml:space="preserve"> or become more resistant to the</w:t>
      </w:r>
      <w:r>
        <w:rPr>
          <w:rFonts w:asciiTheme="majorHAnsi" w:hAnsiTheme="majorHAnsi"/>
          <w:i/>
        </w:rPr>
        <w:t>se</w:t>
      </w:r>
      <w:r w:rsidRPr="00A77502">
        <w:rPr>
          <w:rFonts w:asciiTheme="majorHAnsi" w:hAnsiTheme="majorHAnsi"/>
          <w:i/>
        </w:rPr>
        <w:t xml:space="preserve"> </w:t>
      </w:r>
      <w:r>
        <w:rPr>
          <w:rFonts w:asciiTheme="majorHAnsi" w:hAnsiTheme="majorHAnsi"/>
          <w:i/>
        </w:rPr>
        <w:t>agents</w:t>
      </w:r>
      <w:r w:rsidRPr="00A77502">
        <w:rPr>
          <w:rFonts w:asciiTheme="majorHAnsi" w:hAnsiTheme="majorHAnsi"/>
          <w:i/>
        </w:rPr>
        <w:t>. One of the diffe</w:t>
      </w:r>
      <w:r w:rsidR="007846B7">
        <w:rPr>
          <w:rFonts w:asciiTheme="majorHAnsi" w:hAnsiTheme="majorHAnsi"/>
          <w:i/>
        </w:rPr>
        <w:t>rences between the cell</w:t>
      </w:r>
      <w:r>
        <w:rPr>
          <w:rFonts w:asciiTheme="majorHAnsi" w:hAnsiTheme="majorHAnsi"/>
          <w:i/>
        </w:rPr>
        <w:t xml:space="preserve"> lines is TP</w:t>
      </w:r>
      <w:r w:rsidRPr="00A77502">
        <w:rPr>
          <w:rFonts w:asciiTheme="majorHAnsi" w:hAnsiTheme="majorHAnsi"/>
          <w:i/>
        </w:rPr>
        <w:t>53 status</w:t>
      </w:r>
      <w:r>
        <w:rPr>
          <w:rFonts w:asciiTheme="majorHAnsi" w:hAnsiTheme="majorHAnsi"/>
          <w:i/>
        </w:rPr>
        <w:t>, with SW480 cells being TP</w:t>
      </w:r>
      <w:r w:rsidRPr="00A77502">
        <w:rPr>
          <w:rFonts w:asciiTheme="majorHAnsi" w:hAnsiTheme="majorHAnsi"/>
          <w:i/>
        </w:rPr>
        <w:t>53 def</w:t>
      </w:r>
      <w:r>
        <w:rPr>
          <w:rFonts w:asciiTheme="majorHAnsi" w:hAnsiTheme="majorHAnsi"/>
          <w:i/>
        </w:rPr>
        <w:t xml:space="preserve">icient. </w:t>
      </w:r>
      <w:r w:rsidR="007846B7">
        <w:rPr>
          <w:rFonts w:asciiTheme="majorHAnsi" w:hAnsiTheme="majorHAnsi"/>
          <w:i/>
        </w:rPr>
        <w:t xml:space="preserve">Therefore using an isogenic TP53 deficient HCT116 cell line a significant resistance was seen to 5-FU and cisplatin via an MTT, </w:t>
      </w:r>
      <w:r w:rsidR="00EA7CDB">
        <w:rPr>
          <w:rFonts w:asciiTheme="majorHAnsi" w:hAnsiTheme="majorHAnsi"/>
          <w:i/>
        </w:rPr>
        <w:t xml:space="preserve">following depletion of SRCAP, but only with one siRNA used. </w:t>
      </w:r>
      <w:r w:rsidRPr="00A77502">
        <w:rPr>
          <w:rFonts w:asciiTheme="majorHAnsi" w:hAnsiTheme="majorHAnsi"/>
          <w:i/>
        </w:rPr>
        <w:t xml:space="preserve">This is therefore different to the sensitisation seen in HCT116 </w:t>
      </w:r>
      <w:r>
        <w:rPr>
          <w:rFonts w:asciiTheme="majorHAnsi" w:hAnsiTheme="majorHAnsi"/>
          <w:i/>
        </w:rPr>
        <w:t>TP53 wild type cells. Clonogenic survival</w:t>
      </w:r>
      <w:r w:rsidRPr="00A77502">
        <w:rPr>
          <w:rFonts w:asciiTheme="majorHAnsi" w:hAnsiTheme="majorHAnsi"/>
          <w:i/>
        </w:rPr>
        <w:t xml:space="preserve"> showed </w:t>
      </w:r>
      <w:r w:rsidR="007846B7">
        <w:rPr>
          <w:rFonts w:asciiTheme="majorHAnsi" w:hAnsiTheme="majorHAnsi"/>
          <w:i/>
        </w:rPr>
        <w:t xml:space="preserve">a consistent </w:t>
      </w:r>
      <w:r w:rsidRPr="00A77502">
        <w:rPr>
          <w:rFonts w:asciiTheme="majorHAnsi" w:hAnsiTheme="majorHAnsi"/>
          <w:i/>
        </w:rPr>
        <w:t xml:space="preserve">significant </w:t>
      </w:r>
      <w:r w:rsidR="007846B7">
        <w:rPr>
          <w:rFonts w:asciiTheme="majorHAnsi" w:hAnsiTheme="majorHAnsi"/>
          <w:i/>
        </w:rPr>
        <w:t>resistance</w:t>
      </w:r>
      <w:r w:rsidRPr="00A77502">
        <w:rPr>
          <w:rFonts w:asciiTheme="majorHAnsi" w:hAnsiTheme="majorHAnsi"/>
          <w:i/>
        </w:rPr>
        <w:t xml:space="preserve"> to contr</w:t>
      </w:r>
      <w:r>
        <w:rPr>
          <w:rFonts w:asciiTheme="majorHAnsi" w:hAnsiTheme="majorHAnsi"/>
          <w:i/>
        </w:rPr>
        <w:t>ol cells with 5-FU</w:t>
      </w:r>
      <w:r w:rsidR="007846B7">
        <w:rPr>
          <w:rFonts w:asciiTheme="majorHAnsi" w:hAnsiTheme="majorHAnsi"/>
          <w:i/>
        </w:rPr>
        <w:t xml:space="preserve"> and SRCAP knockdown</w:t>
      </w:r>
      <w:r>
        <w:rPr>
          <w:rFonts w:asciiTheme="majorHAnsi" w:hAnsiTheme="majorHAnsi"/>
          <w:i/>
        </w:rPr>
        <w:t xml:space="preserve"> in the TP</w:t>
      </w:r>
      <w:r w:rsidRPr="00A77502">
        <w:rPr>
          <w:rFonts w:asciiTheme="majorHAnsi" w:hAnsiTheme="majorHAnsi"/>
          <w:i/>
        </w:rPr>
        <w:t>53-/- cells</w:t>
      </w:r>
      <w:r w:rsidR="007846B7">
        <w:rPr>
          <w:rFonts w:asciiTheme="majorHAnsi" w:hAnsiTheme="majorHAnsi"/>
          <w:i/>
        </w:rPr>
        <w:t>. However,</w:t>
      </w:r>
      <w:r w:rsidRPr="00A77502">
        <w:rPr>
          <w:rFonts w:asciiTheme="majorHAnsi" w:hAnsiTheme="majorHAnsi"/>
          <w:i/>
        </w:rPr>
        <w:t xml:space="preserve"> there was a significant sensitisation</w:t>
      </w:r>
      <w:r w:rsidR="002C2E2A">
        <w:rPr>
          <w:rFonts w:asciiTheme="majorHAnsi" w:hAnsiTheme="majorHAnsi"/>
          <w:i/>
        </w:rPr>
        <w:t xml:space="preserve"> with cisplatin and SRCAP knock</w:t>
      </w:r>
      <w:r w:rsidRPr="00A77502">
        <w:rPr>
          <w:rFonts w:asciiTheme="majorHAnsi" w:hAnsiTheme="majorHAnsi"/>
          <w:i/>
        </w:rPr>
        <w:t>down in this cell line, which</w:t>
      </w:r>
      <w:r w:rsidR="007846B7">
        <w:rPr>
          <w:rFonts w:asciiTheme="majorHAnsi" w:hAnsiTheme="majorHAnsi"/>
          <w:i/>
        </w:rPr>
        <w:t xml:space="preserve"> is inconsistent with the other results</w:t>
      </w:r>
      <w:r w:rsidRPr="00A77502">
        <w:rPr>
          <w:rFonts w:asciiTheme="majorHAnsi" w:hAnsiTheme="majorHAnsi"/>
          <w:i/>
        </w:rPr>
        <w:t xml:space="preserve">. </w:t>
      </w:r>
      <w:r>
        <w:rPr>
          <w:rFonts w:asciiTheme="majorHAnsi" w:hAnsiTheme="majorHAnsi"/>
          <w:i/>
        </w:rPr>
        <w:t xml:space="preserve">The other clinical drug camptothecin showed no difference in sensitisation when SRCAP was knocked down compared to parental cells. </w:t>
      </w:r>
    </w:p>
    <w:p w14:paraId="1266292B" w14:textId="77777777" w:rsidR="002C01B6" w:rsidRDefault="002C01B6" w:rsidP="002C01B6">
      <w:pPr>
        <w:spacing w:line="360" w:lineRule="auto"/>
        <w:rPr>
          <w:rFonts w:asciiTheme="majorHAnsi" w:hAnsiTheme="majorHAnsi"/>
          <w:b/>
        </w:rPr>
      </w:pPr>
    </w:p>
    <w:p w14:paraId="0E5F190C" w14:textId="77777777" w:rsidR="00EA7CDB" w:rsidRDefault="00EA7CDB" w:rsidP="002C01B6">
      <w:pPr>
        <w:spacing w:line="360" w:lineRule="auto"/>
        <w:rPr>
          <w:rFonts w:asciiTheme="majorHAnsi" w:hAnsiTheme="majorHAnsi"/>
          <w:b/>
        </w:rPr>
      </w:pPr>
    </w:p>
    <w:p w14:paraId="7FD8A368" w14:textId="77777777" w:rsidR="00A9566E" w:rsidRDefault="00A9566E" w:rsidP="002C01B6">
      <w:pPr>
        <w:spacing w:line="360" w:lineRule="auto"/>
        <w:rPr>
          <w:rFonts w:asciiTheme="majorHAnsi" w:hAnsiTheme="majorHAnsi"/>
          <w:b/>
        </w:rPr>
      </w:pPr>
    </w:p>
    <w:p w14:paraId="7446072C" w14:textId="77777777" w:rsidR="002C01B6" w:rsidRPr="00A77502" w:rsidRDefault="002C01B6" w:rsidP="002C01B6">
      <w:pPr>
        <w:spacing w:line="360" w:lineRule="auto"/>
        <w:rPr>
          <w:rFonts w:asciiTheme="majorHAnsi" w:hAnsiTheme="majorHAnsi"/>
          <w:b/>
        </w:rPr>
      </w:pPr>
      <w:r w:rsidRPr="00A77502">
        <w:rPr>
          <w:rFonts w:asciiTheme="majorHAnsi" w:hAnsiTheme="majorHAnsi"/>
          <w:b/>
        </w:rPr>
        <w:t>Chapter 5-</w:t>
      </w:r>
      <w:r w:rsidRPr="00A77502">
        <w:rPr>
          <w:rFonts w:asciiTheme="majorHAnsi" w:hAnsiTheme="majorHAnsi"/>
          <w:b/>
          <w:sz w:val="44"/>
          <w:szCs w:val="44"/>
        </w:rPr>
        <w:t xml:space="preserve"> </w:t>
      </w:r>
      <w:r w:rsidRPr="00A77502">
        <w:rPr>
          <w:rFonts w:asciiTheme="majorHAnsi" w:hAnsiTheme="majorHAnsi"/>
          <w:b/>
        </w:rPr>
        <w:t>Biological consequences of SRCAP levels in RAS oncogene activated cells</w:t>
      </w:r>
    </w:p>
    <w:p w14:paraId="3D8E17CC" w14:textId="7B00931E" w:rsidR="002C01B6" w:rsidRDefault="002C01B6" w:rsidP="002C01B6">
      <w:pPr>
        <w:spacing w:line="360" w:lineRule="auto"/>
        <w:jc w:val="both"/>
        <w:rPr>
          <w:rFonts w:asciiTheme="majorHAnsi" w:hAnsiTheme="majorHAnsi"/>
          <w:i/>
        </w:rPr>
      </w:pPr>
      <w:r w:rsidRPr="00A77502">
        <w:rPr>
          <w:rFonts w:asciiTheme="majorHAnsi" w:hAnsiTheme="majorHAnsi"/>
          <w:i/>
        </w:rPr>
        <w:t>SW480 and HCT116 CRC cell</w:t>
      </w:r>
      <w:r>
        <w:rPr>
          <w:rFonts w:asciiTheme="majorHAnsi" w:hAnsiTheme="majorHAnsi"/>
          <w:i/>
        </w:rPr>
        <w:t>s</w:t>
      </w:r>
      <w:r w:rsidRPr="00A77502">
        <w:rPr>
          <w:rFonts w:asciiTheme="majorHAnsi" w:hAnsiTheme="majorHAnsi"/>
          <w:i/>
        </w:rPr>
        <w:t xml:space="preserve"> and MRC5 norma</w:t>
      </w:r>
      <w:r>
        <w:rPr>
          <w:rFonts w:asciiTheme="majorHAnsi" w:hAnsiTheme="majorHAnsi"/>
          <w:i/>
        </w:rPr>
        <w:t xml:space="preserve">l cells were </w:t>
      </w:r>
      <w:r w:rsidR="00EA7CDB">
        <w:rPr>
          <w:rFonts w:asciiTheme="majorHAnsi" w:hAnsiTheme="majorHAnsi"/>
          <w:i/>
        </w:rPr>
        <w:t>genetically manipulated</w:t>
      </w:r>
      <w:r w:rsidR="007846B7">
        <w:rPr>
          <w:rFonts w:asciiTheme="majorHAnsi" w:hAnsiTheme="majorHAnsi"/>
          <w:i/>
        </w:rPr>
        <w:t xml:space="preserve"> to over-</w:t>
      </w:r>
      <w:r w:rsidRPr="00A77502">
        <w:rPr>
          <w:rFonts w:asciiTheme="majorHAnsi" w:hAnsiTheme="majorHAnsi"/>
          <w:i/>
        </w:rPr>
        <w:t xml:space="preserve">express </w:t>
      </w:r>
      <w:r>
        <w:rPr>
          <w:rFonts w:asciiTheme="majorHAnsi" w:hAnsiTheme="majorHAnsi"/>
          <w:i/>
        </w:rPr>
        <w:t xml:space="preserve">the </w:t>
      </w:r>
      <w:r w:rsidRPr="00A77502">
        <w:rPr>
          <w:rFonts w:asciiTheme="majorHAnsi" w:hAnsiTheme="majorHAnsi"/>
          <w:i/>
        </w:rPr>
        <w:t>RAS</w:t>
      </w:r>
      <w:r>
        <w:rPr>
          <w:rFonts w:asciiTheme="majorHAnsi" w:hAnsiTheme="majorHAnsi"/>
          <w:i/>
        </w:rPr>
        <w:t xml:space="preserve"> oncogene</w:t>
      </w:r>
      <w:r w:rsidRPr="00A77502">
        <w:rPr>
          <w:rFonts w:asciiTheme="majorHAnsi" w:hAnsiTheme="majorHAnsi"/>
          <w:i/>
        </w:rPr>
        <w:t>. These cells displayed the same mRNA endogenous SRCAP expression as parental cell</w:t>
      </w:r>
      <w:r>
        <w:rPr>
          <w:rFonts w:asciiTheme="majorHAnsi" w:hAnsiTheme="majorHAnsi"/>
          <w:i/>
        </w:rPr>
        <w:t>s</w:t>
      </w:r>
      <w:r w:rsidR="007846B7">
        <w:rPr>
          <w:rFonts w:asciiTheme="majorHAnsi" w:hAnsiTheme="majorHAnsi"/>
          <w:i/>
        </w:rPr>
        <w:t>,</w:t>
      </w:r>
      <w:r w:rsidRPr="00A77502">
        <w:rPr>
          <w:rFonts w:asciiTheme="majorHAnsi" w:hAnsiTheme="majorHAnsi"/>
          <w:i/>
        </w:rPr>
        <w:t xml:space="preserve"> and SRCAP </w:t>
      </w:r>
      <w:r w:rsidR="00EA7CDB">
        <w:rPr>
          <w:rFonts w:asciiTheme="majorHAnsi" w:hAnsiTheme="majorHAnsi"/>
          <w:i/>
        </w:rPr>
        <w:t>was</w:t>
      </w:r>
      <w:r w:rsidRPr="00A77502">
        <w:rPr>
          <w:rFonts w:asciiTheme="majorHAnsi" w:hAnsiTheme="majorHAnsi"/>
          <w:i/>
        </w:rPr>
        <w:t xml:space="preserve"> knocked down in all </w:t>
      </w:r>
      <w:proofErr w:type="gramStart"/>
      <w:r w:rsidRPr="00A77502">
        <w:rPr>
          <w:rFonts w:asciiTheme="majorHAnsi" w:hAnsiTheme="majorHAnsi"/>
          <w:i/>
        </w:rPr>
        <w:t>three cell</w:t>
      </w:r>
      <w:proofErr w:type="gramEnd"/>
      <w:r w:rsidRPr="00A77502">
        <w:rPr>
          <w:rFonts w:asciiTheme="majorHAnsi" w:hAnsiTheme="majorHAnsi"/>
          <w:i/>
        </w:rPr>
        <w:t xml:space="preserve"> lines. SW480 RAS over</w:t>
      </w:r>
      <w:r w:rsidR="00D34949">
        <w:rPr>
          <w:rFonts w:asciiTheme="majorHAnsi" w:hAnsiTheme="majorHAnsi"/>
          <w:i/>
        </w:rPr>
        <w:t>-</w:t>
      </w:r>
      <w:r w:rsidRPr="00A77502">
        <w:rPr>
          <w:rFonts w:asciiTheme="majorHAnsi" w:hAnsiTheme="majorHAnsi"/>
          <w:i/>
        </w:rPr>
        <w:t xml:space="preserve">expressing cells </w:t>
      </w:r>
      <w:r w:rsidR="00EA7CDB">
        <w:rPr>
          <w:rFonts w:asciiTheme="majorHAnsi" w:hAnsiTheme="majorHAnsi"/>
          <w:i/>
        </w:rPr>
        <w:t>exhibited</w:t>
      </w:r>
      <w:r w:rsidRPr="00A77502">
        <w:rPr>
          <w:rFonts w:asciiTheme="majorHAnsi" w:hAnsiTheme="majorHAnsi"/>
          <w:i/>
        </w:rPr>
        <w:t xml:space="preserve"> an increase in DNA damage markers and this was increased to further significance when SRCAP was also knocked down. HCT116 cells again had increased DNA d</w:t>
      </w:r>
      <w:r w:rsidR="00D34949">
        <w:rPr>
          <w:rFonts w:asciiTheme="majorHAnsi" w:hAnsiTheme="majorHAnsi"/>
          <w:i/>
        </w:rPr>
        <w:t>amage markers when RAS was over-</w:t>
      </w:r>
      <w:r w:rsidRPr="00A77502">
        <w:rPr>
          <w:rFonts w:asciiTheme="majorHAnsi" w:hAnsiTheme="majorHAnsi"/>
          <w:i/>
        </w:rPr>
        <w:t>expressed but when SRCAP was knocked down there was a</w:t>
      </w:r>
      <w:r w:rsidR="008C6A24">
        <w:rPr>
          <w:rFonts w:asciiTheme="majorHAnsi" w:hAnsiTheme="majorHAnsi"/>
          <w:i/>
        </w:rPr>
        <w:t xml:space="preserve"> non-significant</w:t>
      </w:r>
      <w:r w:rsidRPr="00A77502">
        <w:rPr>
          <w:rFonts w:asciiTheme="majorHAnsi" w:hAnsiTheme="majorHAnsi"/>
          <w:i/>
        </w:rPr>
        <w:t xml:space="preserve"> trend towards a decreased </w:t>
      </w:r>
      <w:r>
        <w:rPr>
          <w:rFonts w:asciiTheme="majorHAnsi" w:hAnsiTheme="majorHAnsi"/>
          <w:i/>
        </w:rPr>
        <w:t xml:space="preserve">DNA </w:t>
      </w:r>
      <w:r w:rsidRPr="00A77502">
        <w:rPr>
          <w:rFonts w:asciiTheme="majorHAnsi" w:hAnsiTheme="majorHAnsi"/>
          <w:i/>
        </w:rPr>
        <w:t>damage level. MRC5 cells had an inc</w:t>
      </w:r>
      <w:r w:rsidR="008C6A24">
        <w:rPr>
          <w:rFonts w:asciiTheme="majorHAnsi" w:hAnsiTheme="majorHAnsi"/>
          <w:i/>
        </w:rPr>
        <w:t>rease in damage, but there did no</w:t>
      </w:r>
      <w:r w:rsidRPr="00A77502">
        <w:rPr>
          <w:rFonts w:asciiTheme="majorHAnsi" w:hAnsiTheme="majorHAnsi"/>
          <w:i/>
        </w:rPr>
        <w:t>t appear to be a difference whether RAS was over</w:t>
      </w:r>
      <w:r w:rsidR="00D34949">
        <w:rPr>
          <w:rFonts w:asciiTheme="majorHAnsi" w:hAnsiTheme="majorHAnsi"/>
          <w:i/>
        </w:rPr>
        <w:t>-</w:t>
      </w:r>
      <w:r w:rsidRPr="00A77502">
        <w:rPr>
          <w:rFonts w:asciiTheme="majorHAnsi" w:hAnsiTheme="majorHAnsi"/>
          <w:i/>
        </w:rPr>
        <w:t xml:space="preserve">expressed </w:t>
      </w:r>
      <w:r w:rsidR="00EA7CDB">
        <w:rPr>
          <w:rFonts w:asciiTheme="majorHAnsi" w:hAnsiTheme="majorHAnsi"/>
          <w:i/>
        </w:rPr>
        <w:t xml:space="preserve">alone </w:t>
      </w:r>
      <w:r w:rsidRPr="00A77502">
        <w:rPr>
          <w:rFonts w:asciiTheme="majorHAnsi" w:hAnsiTheme="majorHAnsi"/>
          <w:i/>
        </w:rPr>
        <w:t xml:space="preserve">or </w:t>
      </w:r>
      <w:r>
        <w:rPr>
          <w:rFonts w:asciiTheme="majorHAnsi" w:hAnsiTheme="majorHAnsi"/>
          <w:i/>
        </w:rPr>
        <w:t xml:space="preserve">in combination with </w:t>
      </w:r>
      <w:r w:rsidRPr="00A77502">
        <w:rPr>
          <w:rFonts w:asciiTheme="majorHAnsi" w:hAnsiTheme="majorHAnsi"/>
          <w:i/>
        </w:rPr>
        <w:t xml:space="preserve">SRCAP knockdown. </w:t>
      </w:r>
      <w:r w:rsidR="008C6A24">
        <w:rPr>
          <w:rFonts w:asciiTheme="majorHAnsi" w:hAnsiTheme="majorHAnsi"/>
          <w:i/>
        </w:rPr>
        <w:t>T</w:t>
      </w:r>
      <w:r w:rsidRPr="00A77502">
        <w:rPr>
          <w:rFonts w:asciiTheme="majorHAnsi" w:hAnsiTheme="majorHAnsi"/>
          <w:i/>
        </w:rPr>
        <w:t xml:space="preserve">here was an increase </w:t>
      </w:r>
      <w:r w:rsidR="008C6A24">
        <w:rPr>
          <w:rFonts w:asciiTheme="majorHAnsi" w:hAnsiTheme="majorHAnsi"/>
          <w:i/>
        </w:rPr>
        <w:t xml:space="preserve">in nuclear abnormalities </w:t>
      </w:r>
      <w:r w:rsidRPr="00A77502">
        <w:rPr>
          <w:rFonts w:asciiTheme="majorHAnsi" w:hAnsiTheme="majorHAnsi"/>
          <w:i/>
        </w:rPr>
        <w:t>when RAS was over</w:t>
      </w:r>
      <w:r w:rsidR="008C6A24">
        <w:rPr>
          <w:rFonts w:asciiTheme="majorHAnsi" w:hAnsiTheme="majorHAnsi"/>
          <w:i/>
        </w:rPr>
        <w:t>-</w:t>
      </w:r>
      <w:r w:rsidRPr="00A77502">
        <w:rPr>
          <w:rFonts w:asciiTheme="majorHAnsi" w:hAnsiTheme="majorHAnsi"/>
          <w:i/>
        </w:rPr>
        <w:t>expressed with</w:t>
      </w:r>
      <w:r w:rsidR="00A9566E">
        <w:rPr>
          <w:rFonts w:asciiTheme="majorHAnsi" w:hAnsiTheme="majorHAnsi"/>
          <w:i/>
        </w:rPr>
        <w:t xml:space="preserve"> </w:t>
      </w:r>
      <w:r w:rsidR="002C2E2A">
        <w:rPr>
          <w:rFonts w:asciiTheme="majorHAnsi" w:hAnsiTheme="majorHAnsi"/>
          <w:i/>
        </w:rPr>
        <w:t>SRCAP knock</w:t>
      </w:r>
      <w:r w:rsidRPr="00A77502">
        <w:rPr>
          <w:rFonts w:asciiTheme="majorHAnsi" w:hAnsiTheme="majorHAnsi"/>
          <w:i/>
        </w:rPr>
        <w:t xml:space="preserve">down in SW480 and HCT116 cells. In MRC5 cells there was no significant increase in nuclear </w:t>
      </w:r>
      <w:r w:rsidR="008C6A24">
        <w:rPr>
          <w:rFonts w:asciiTheme="majorHAnsi" w:hAnsiTheme="majorHAnsi"/>
          <w:i/>
        </w:rPr>
        <w:t>abnormalities when RAS was over-</w:t>
      </w:r>
      <w:r w:rsidRPr="00A77502">
        <w:rPr>
          <w:rFonts w:asciiTheme="majorHAnsi" w:hAnsiTheme="majorHAnsi"/>
          <w:i/>
        </w:rPr>
        <w:t>expressed but when SRCAP was knocked down as well there was a significant increase.</w:t>
      </w:r>
      <w:r w:rsidR="00A9566E">
        <w:rPr>
          <w:rFonts w:asciiTheme="majorHAnsi" w:hAnsiTheme="majorHAnsi"/>
          <w:i/>
        </w:rPr>
        <w:t xml:space="preserve"> MRC5 also showed an increase in a sub G1 population, but no other cell cycle changes</w:t>
      </w:r>
      <w:r w:rsidRPr="00A77502">
        <w:rPr>
          <w:rFonts w:asciiTheme="majorHAnsi" w:hAnsiTheme="majorHAnsi"/>
          <w:i/>
        </w:rPr>
        <w:t xml:space="preserve">. </w:t>
      </w:r>
      <w:r w:rsidR="008C6A24">
        <w:rPr>
          <w:rFonts w:asciiTheme="majorHAnsi" w:hAnsiTheme="majorHAnsi"/>
          <w:i/>
        </w:rPr>
        <w:t>In contrast,</w:t>
      </w:r>
      <w:r w:rsidRPr="00A77502">
        <w:rPr>
          <w:rFonts w:asciiTheme="majorHAnsi" w:hAnsiTheme="majorHAnsi"/>
          <w:i/>
        </w:rPr>
        <w:t xml:space="preserve"> the percentage of SW480 cells in G1 was significantly less than the parental cells </w:t>
      </w:r>
      <w:r w:rsidR="00A7504F">
        <w:rPr>
          <w:rFonts w:asciiTheme="majorHAnsi" w:hAnsiTheme="majorHAnsi"/>
          <w:i/>
        </w:rPr>
        <w:t xml:space="preserve">with clone 13, </w:t>
      </w:r>
      <w:r w:rsidRPr="00A77502">
        <w:rPr>
          <w:rFonts w:asciiTheme="majorHAnsi" w:hAnsiTheme="majorHAnsi"/>
          <w:i/>
        </w:rPr>
        <w:t>with significantly more cells in G2-M. HCT116 cells had an increase in sub G1 when SRCAP was knocked down as well as RAS over</w:t>
      </w:r>
      <w:r w:rsidR="008C6A24">
        <w:rPr>
          <w:rFonts w:asciiTheme="majorHAnsi" w:hAnsiTheme="majorHAnsi"/>
          <w:i/>
        </w:rPr>
        <w:t>-expression</w:t>
      </w:r>
      <w:r w:rsidRPr="00A77502">
        <w:rPr>
          <w:rFonts w:asciiTheme="majorHAnsi" w:hAnsiTheme="majorHAnsi"/>
          <w:i/>
        </w:rPr>
        <w:t xml:space="preserve">. </w:t>
      </w:r>
      <w:r w:rsidR="00EA7CDB">
        <w:rPr>
          <w:rFonts w:asciiTheme="majorHAnsi" w:hAnsiTheme="majorHAnsi"/>
          <w:i/>
        </w:rPr>
        <w:t>These data therefore highlight</w:t>
      </w:r>
      <w:r>
        <w:rPr>
          <w:rFonts w:asciiTheme="majorHAnsi" w:hAnsiTheme="majorHAnsi"/>
          <w:i/>
        </w:rPr>
        <w:t xml:space="preserve"> that the consequences of SRCAP depletion in RAS activated cells differ between cell types. </w:t>
      </w:r>
    </w:p>
    <w:p w14:paraId="0F33CDD8" w14:textId="77777777" w:rsidR="002C01B6" w:rsidRDefault="002C01B6" w:rsidP="002C01B6">
      <w:pPr>
        <w:spacing w:line="360" w:lineRule="auto"/>
        <w:jc w:val="both"/>
        <w:rPr>
          <w:rFonts w:asciiTheme="majorHAnsi" w:hAnsiTheme="majorHAnsi"/>
          <w:i/>
        </w:rPr>
      </w:pPr>
    </w:p>
    <w:p w14:paraId="516C9E0D" w14:textId="027C0D9F" w:rsidR="002C01B6" w:rsidRPr="00A77502" w:rsidRDefault="008C6A24" w:rsidP="002C01B6">
      <w:pPr>
        <w:spacing w:line="360" w:lineRule="auto"/>
        <w:jc w:val="both"/>
        <w:rPr>
          <w:rFonts w:asciiTheme="majorHAnsi" w:hAnsiTheme="majorHAnsi"/>
        </w:rPr>
      </w:pPr>
      <w:r>
        <w:rPr>
          <w:rFonts w:asciiTheme="majorHAnsi" w:hAnsiTheme="majorHAnsi"/>
          <w:i/>
        </w:rPr>
        <w:t>The e</w:t>
      </w:r>
      <w:r w:rsidR="002C01B6">
        <w:rPr>
          <w:rFonts w:asciiTheme="majorHAnsi" w:hAnsiTheme="majorHAnsi"/>
          <w:i/>
        </w:rPr>
        <w:t xml:space="preserve">ffect of </w:t>
      </w:r>
      <w:r>
        <w:rPr>
          <w:rFonts w:asciiTheme="majorHAnsi" w:hAnsiTheme="majorHAnsi"/>
          <w:i/>
        </w:rPr>
        <w:t>SRCAP knock</w:t>
      </w:r>
      <w:r w:rsidR="002C01B6" w:rsidRPr="00A77502">
        <w:rPr>
          <w:rFonts w:asciiTheme="majorHAnsi" w:hAnsiTheme="majorHAnsi"/>
          <w:i/>
        </w:rPr>
        <w:t>down</w:t>
      </w:r>
      <w:r w:rsidR="002C01B6">
        <w:rPr>
          <w:rFonts w:asciiTheme="majorHAnsi" w:hAnsiTheme="majorHAnsi"/>
          <w:i/>
        </w:rPr>
        <w:t xml:space="preserve"> alone was investigated</w:t>
      </w:r>
      <w:r w:rsidR="002C01B6" w:rsidRPr="00A77502">
        <w:rPr>
          <w:rFonts w:asciiTheme="majorHAnsi" w:hAnsiTheme="majorHAnsi"/>
          <w:i/>
        </w:rPr>
        <w:t xml:space="preserve"> in MRC5 cells</w:t>
      </w:r>
      <w:r w:rsidR="002C01B6">
        <w:rPr>
          <w:rFonts w:asciiTheme="majorHAnsi" w:hAnsiTheme="majorHAnsi"/>
          <w:i/>
        </w:rPr>
        <w:t xml:space="preserve"> and</w:t>
      </w:r>
      <w:r w:rsidR="002C01B6" w:rsidRPr="00A77502">
        <w:rPr>
          <w:rFonts w:asciiTheme="majorHAnsi" w:hAnsiTheme="majorHAnsi"/>
          <w:i/>
        </w:rPr>
        <w:t xml:space="preserve"> there was a </w:t>
      </w:r>
      <w:r>
        <w:rPr>
          <w:rFonts w:asciiTheme="majorHAnsi" w:hAnsiTheme="majorHAnsi"/>
          <w:i/>
        </w:rPr>
        <w:t>large</w:t>
      </w:r>
      <w:r w:rsidR="002C01B6" w:rsidRPr="00A77502">
        <w:rPr>
          <w:rFonts w:asciiTheme="majorHAnsi" w:hAnsiTheme="majorHAnsi"/>
          <w:i/>
        </w:rPr>
        <w:t xml:space="preserve"> increase in nuclear abnormalities, suggesting that SRCAP alone is sufficient to induce high levels </w:t>
      </w:r>
      <w:r w:rsidR="002C01B6">
        <w:rPr>
          <w:rFonts w:asciiTheme="majorHAnsi" w:hAnsiTheme="majorHAnsi"/>
          <w:i/>
        </w:rPr>
        <w:t>of</w:t>
      </w:r>
      <w:r w:rsidR="002C01B6" w:rsidRPr="00A77502">
        <w:rPr>
          <w:rFonts w:asciiTheme="majorHAnsi" w:hAnsiTheme="majorHAnsi"/>
          <w:i/>
        </w:rPr>
        <w:t xml:space="preserve"> nuclear abnormalities</w:t>
      </w:r>
      <w:r w:rsidR="00EA7CDB">
        <w:rPr>
          <w:rFonts w:asciiTheme="majorHAnsi" w:hAnsiTheme="majorHAnsi"/>
          <w:i/>
        </w:rPr>
        <w:t>, which was not further exacerbated by</w:t>
      </w:r>
      <w:r>
        <w:rPr>
          <w:rFonts w:asciiTheme="majorHAnsi" w:hAnsiTheme="majorHAnsi"/>
          <w:i/>
        </w:rPr>
        <w:t xml:space="preserve"> RAS over-</w:t>
      </w:r>
      <w:r w:rsidR="002C01B6" w:rsidRPr="00A77502">
        <w:rPr>
          <w:rFonts w:asciiTheme="majorHAnsi" w:hAnsiTheme="majorHAnsi"/>
          <w:i/>
        </w:rPr>
        <w:t xml:space="preserve">expression. </w:t>
      </w:r>
      <w:r w:rsidR="002C01B6">
        <w:rPr>
          <w:rFonts w:asciiTheme="majorHAnsi" w:hAnsiTheme="majorHAnsi"/>
          <w:i/>
        </w:rPr>
        <w:t xml:space="preserve">It was therefore concluded that </w:t>
      </w:r>
      <w:r w:rsidR="002C01B6" w:rsidRPr="00A77502">
        <w:rPr>
          <w:rFonts w:asciiTheme="majorHAnsi" w:hAnsiTheme="majorHAnsi"/>
          <w:i/>
        </w:rPr>
        <w:t xml:space="preserve">the added oncogenic stress </w:t>
      </w:r>
      <w:r w:rsidR="002C01B6">
        <w:rPr>
          <w:rFonts w:asciiTheme="majorHAnsi" w:hAnsiTheme="majorHAnsi"/>
          <w:i/>
        </w:rPr>
        <w:t>from RAS over</w:t>
      </w:r>
      <w:r>
        <w:rPr>
          <w:rFonts w:asciiTheme="majorHAnsi" w:hAnsiTheme="majorHAnsi"/>
          <w:i/>
        </w:rPr>
        <w:t>-</w:t>
      </w:r>
      <w:r w:rsidR="002C01B6">
        <w:rPr>
          <w:rFonts w:asciiTheme="majorHAnsi" w:hAnsiTheme="majorHAnsi"/>
          <w:i/>
        </w:rPr>
        <w:t>expression had</w:t>
      </w:r>
      <w:r w:rsidR="002C01B6" w:rsidRPr="00A77502">
        <w:rPr>
          <w:rFonts w:asciiTheme="majorHAnsi" w:hAnsiTheme="majorHAnsi"/>
          <w:i/>
        </w:rPr>
        <w:t xml:space="preserve"> no overt bearing on nu</w:t>
      </w:r>
      <w:r w:rsidR="002C01B6">
        <w:rPr>
          <w:rFonts w:asciiTheme="majorHAnsi" w:hAnsiTheme="majorHAnsi"/>
          <w:i/>
        </w:rPr>
        <w:t>clear abnormalities when SRCAP wa</w:t>
      </w:r>
      <w:r w:rsidR="002C01B6" w:rsidRPr="00A77502">
        <w:rPr>
          <w:rFonts w:asciiTheme="majorHAnsi" w:hAnsiTheme="majorHAnsi"/>
          <w:i/>
        </w:rPr>
        <w:t>s knocked down</w:t>
      </w:r>
      <w:r w:rsidR="00EA7CDB">
        <w:rPr>
          <w:rFonts w:asciiTheme="majorHAnsi" w:hAnsiTheme="majorHAnsi"/>
          <w:i/>
        </w:rPr>
        <w:t xml:space="preserve"> within an MRC5 cell background</w:t>
      </w:r>
      <w:r w:rsidR="002C01B6">
        <w:rPr>
          <w:rFonts w:asciiTheme="majorHAnsi" w:hAnsiTheme="majorHAnsi"/>
          <w:i/>
        </w:rPr>
        <w:t>.</w:t>
      </w:r>
    </w:p>
    <w:p w14:paraId="4EF8369B" w14:textId="77777777" w:rsidR="002C01B6" w:rsidRPr="00A77502" w:rsidRDefault="002C01B6" w:rsidP="002C01B6">
      <w:pPr>
        <w:spacing w:line="360" w:lineRule="auto"/>
        <w:jc w:val="both"/>
        <w:rPr>
          <w:rFonts w:asciiTheme="majorHAnsi" w:hAnsiTheme="majorHAnsi"/>
        </w:rPr>
      </w:pPr>
    </w:p>
    <w:p w14:paraId="2353C901" w14:textId="77777777" w:rsidR="002C01B6" w:rsidRPr="00A77502" w:rsidRDefault="002C01B6" w:rsidP="002C01B6">
      <w:pPr>
        <w:rPr>
          <w:rFonts w:asciiTheme="majorHAnsi" w:hAnsiTheme="majorHAnsi"/>
        </w:rPr>
      </w:pPr>
    </w:p>
    <w:p w14:paraId="6052E608" w14:textId="77777777" w:rsidR="002C01B6" w:rsidRDefault="002C01B6" w:rsidP="002C01B6">
      <w:pPr>
        <w:spacing w:line="360" w:lineRule="auto"/>
        <w:rPr>
          <w:rFonts w:asciiTheme="majorHAnsi" w:hAnsiTheme="majorHAnsi"/>
          <w:b/>
        </w:rPr>
      </w:pPr>
    </w:p>
    <w:p w14:paraId="674FA35C" w14:textId="77777777" w:rsidR="002C01B6" w:rsidRDefault="002C01B6" w:rsidP="002C01B6">
      <w:pPr>
        <w:spacing w:line="360" w:lineRule="auto"/>
        <w:rPr>
          <w:rFonts w:asciiTheme="majorHAnsi" w:hAnsiTheme="majorHAnsi"/>
          <w:b/>
        </w:rPr>
      </w:pPr>
    </w:p>
    <w:p w14:paraId="753AF42F" w14:textId="77777777" w:rsidR="002C01B6" w:rsidRDefault="002C01B6" w:rsidP="002C01B6">
      <w:pPr>
        <w:spacing w:line="360" w:lineRule="auto"/>
        <w:rPr>
          <w:rFonts w:asciiTheme="majorHAnsi" w:hAnsiTheme="majorHAnsi"/>
          <w:b/>
        </w:rPr>
      </w:pPr>
    </w:p>
    <w:p w14:paraId="71B6A143" w14:textId="640B77F8" w:rsidR="002C01B6" w:rsidRPr="006E0476" w:rsidRDefault="002C01B6" w:rsidP="002C01B6">
      <w:pPr>
        <w:spacing w:line="360" w:lineRule="auto"/>
        <w:rPr>
          <w:rFonts w:asciiTheme="majorHAnsi" w:hAnsiTheme="majorHAnsi"/>
          <w:b/>
        </w:rPr>
      </w:pPr>
      <w:r w:rsidRPr="006E0476">
        <w:rPr>
          <w:rFonts w:asciiTheme="majorHAnsi" w:hAnsiTheme="majorHAnsi"/>
          <w:b/>
        </w:rPr>
        <w:t xml:space="preserve">Chapter 6- </w:t>
      </w:r>
      <w:r w:rsidR="006E0476" w:rsidRPr="006E0476">
        <w:rPr>
          <w:rFonts w:asciiTheme="majorHAnsi" w:hAnsiTheme="majorHAnsi"/>
          <w:b/>
        </w:rPr>
        <w:t>Transcriptomic analysis of the effects of SRCAP deregulation</w:t>
      </w:r>
    </w:p>
    <w:p w14:paraId="065580A7" w14:textId="7BE94E6C" w:rsidR="002C01B6" w:rsidRDefault="008C6A24" w:rsidP="002C01B6">
      <w:pPr>
        <w:spacing w:line="360" w:lineRule="auto"/>
        <w:jc w:val="both"/>
        <w:rPr>
          <w:rFonts w:asciiTheme="majorHAnsi" w:hAnsiTheme="majorHAnsi"/>
          <w:i/>
        </w:rPr>
      </w:pPr>
      <w:r>
        <w:rPr>
          <w:rFonts w:asciiTheme="majorHAnsi" w:hAnsiTheme="majorHAnsi"/>
          <w:i/>
        </w:rPr>
        <w:t>SRCAP over-</w:t>
      </w:r>
      <w:r w:rsidR="002C01B6" w:rsidRPr="00E301FB">
        <w:rPr>
          <w:rFonts w:asciiTheme="majorHAnsi" w:hAnsiTheme="majorHAnsi"/>
          <w:i/>
        </w:rPr>
        <w:t>expressing samples were collected by transient transfection of</w:t>
      </w:r>
      <w:r w:rsidR="00EA7CDB">
        <w:rPr>
          <w:rFonts w:asciiTheme="majorHAnsi" w:hAnsiTheme="majorHAnsi"/>
          <w:i/>
        </w:rPr>
        <w:t xml:space="preserve"> </w:t>
      </w:r>
      <w:proofErr w:type="gramStart"/>
      <w:r w:rsidR="00EA7CDB">
        <w:rPr>
          <w:rFonts w:asciiTheme="majorHAnsi" w:hAnsiTheme="majorHAnsi"/>
          <w:i/>
        </w:rPr>
        <w:t>a</w:t>
      </w:r>
      <w:proofErr w:type="gramEnd"/>
      <w:r w:rsidR="002C01B6" w:rsidRPr="00E301FB">
        <w:rPr>
          <w:rFonts w:asciiTheme="majorHAnsi" w:hAnsiTheme="majorHAnsi"/>
          <w:i/>
        </w:rPr>
        <w:t xml:space="preserve"> YFP SRCAP </w:t>
      </w:r>
      <w:r w:rsidR="00EA7CDB">
        <w:rPr>
          <w:rFonts w:asciiTheme="majorHAnsi" w:hAnsiTheme="majorHAnsi"/>
          <w:i/>
        </w:rPr>
        <w:t xml:space="preserve">plasmid </w:t>
      </w:r>
      <w:r w:rsidR="002C01B6">
        <w:rPr>
          <w:rFonts w:asciiTheme="majorHAnsi" w:hAnsiTheme="majorHAnsi"/>
          <w:i/>
        </w:rPr>
        <w:t xml:space="preserve">in HCT116 cells </w:t>
      </w:r>
      <w:r w:rsidR="002C01B6" w:rsidRPr="00E301FB">
        <w:rPr>
          <w:rFonts w:asciiTheme="majorHAnsi" w:hAnsiTheme="majorHAnsi"/>
          <w:i/>
        </w:rPr>
        <w:t>and the subsequent fluorescent ac</w:t>
      </w:r>
      <w:r w:rsidR="002C01B6">
        <w:rPr>
          <w:rFonts w:asciiTheme="majorHAnsi" w:hAnsiTheme="majorHAnsi"/>
          <w:i/>
        </w:rPr>
        <w:t xml:space="preserve">tivated cell sorting of the YFP positive cells. These samples together with control or SRCAP siRNA transfected HCT116 cells were analysed using an Affymetrix Genechip microarray system in order to </w:t>
      </w:r>
      <w:r w:rsidR="00EA7CDB">
        <w:rPr>
          <w:rFonts w:asciiTheme="majorHAnsi" w:hAnsiTheme="majorHAnsi"/>
          <w:i/>
        </w:rPr>
        <w:t>determine</w:t>
      </w:r>
      <w:r w:rsidR="002C01B6">
        <w:rPr>
          <w:rFonts w:asciiTheme="majorHAnsi" w:hAnsiTheme="majorHAnsi"/>
          <w:i/>
        </w:rPr>
        <w:t xml:space="preserve"> genome-wide transcript levels. The microarray produced </w:t>
      </w:r>
      <w:r>
        <w:rPr>
          <w:rFonts w:asciiTheme="majorHAnsi" w:hAnsiTheme="majorHAnsi"/>
          <w:i/>
        </w:rPr>
        <w:t>well-correlated</w:t>
      </w:r>
      <w:r w:rsidR="002C01B6">
        <w:rPr>
          <w:rFonts w:asciiTheme="majorHAnsi" w:hAnsiTheme="majorHAnsi"/>
          <w:i/>
        </w:rPr>
        <w:t xml:space="preserve"> fold change results bet</w:t>
      </w:r>
      <w:r>
        <w:rPr>
          <w:rFonts w:asciiTheme="majorHAnsi" w:hAnsiTheme="majorHAnsi"/>
          <w:i/>
        </w:rPr>
        <w:t>ween each control and si6 repeat.</w:t>
      </w:r>
      <w:r w:rsidR="002C01B6">
        <w:rPr>
          <w:rFonts w:asciiTheme="majorHAnsi" w:hAnsiTheme="majorHAnsi"/>
          <w:i/>
        </w:rPr>
        <w:t xml:space="preserve"> </w:t>
      </w:r>
      <w:r>
        <w:rPr>
          <w:rFonts w:asciiTheme="majorHAnsi" w:hAnsiTheme="majorHAnsi"/>
          <w:i/>
        </w:rPr>
        <w:t>W</w:t>
      </w:r>
      <w:r w:rsidR="002C01B6">
        <w:rPr>
          <w:rFonts w:asciiTheme="majorHAnsi" w:hAnsiTheme="majorHAnsi"/>
          <w:i/>
        </w:rPr>
        <w:t xml:space="preserve">hen the top twenty </w:t>
      </w:r>
      <w:r w:rsidR="00EA7CDB">
        <w:rPr>
          <w:rFonts w:asciiTheme="majorHAnsi" w:hAnsiTheme="majorHAnsi"/>
          <w:i/>
        </w:rPr>
        <w:t xml:space="preserve">genes with </w:t>
      </w:r>
      <w:r w:rsidR="002C01B6">
        <w:rPr>
          <w:rFonts w:asciiTheme="majorHAnsi" w:hAnsiTheme="majorHAnsi"/>
          <w:i/>
        </w:rPr>
        <w:t>negative and positive fold changes were investigated</w:t>
      </w:r>
      <w:r>
        <w:rPr>
          <w:rFonts w:asciiTheme="majorHAnsi" w:hAnsiTheme="majorHAnsi"/>
          <w:i/>
        </w:rPr>
        <w:t>,</w:t>
      </w:r>
      <w:r w:rsidR="002C01B6">
        <w:rPr>
          <w:rFonts w:asciiTheme="majorHAnsi" w:hAnsiTheme="majorHAnsi"/>
          <w:i/>
        </w:rPr>
        <w:t xml:space="preserve"> there were 6 positive and 9 negative genes </w:t>
      </w:r>
      <w:r>
        <w:rPr>
          <w:rFonts w:asciiTheme="majorHAnsi" w:hAnsiTheme="majorHAnsi"/>
          <w:i/>
        </w:rPr>
        <w:t>identified</w:t>
      </w:r>
      <w:r w:rsidR="002C01B6">
        <w:rPr>
          <w:rFonts w:asciiTheme="majorHAnsi" w:hAnsiTheme="majorHAnsi"/>
          <w:i/>
        </w:rPr>
        <w:t xml:space="preserve"> across all repeats as </w:t>
      </w:r>
      <w:r>
        <w:rPr>
          <w:rFonts w:asciiTheme="majorHAnsi" w:hAnsiTheme="majorHAnsi"/>
          <w:i/>
        </w:rPr>
        <w:t>having large</w:t>
      </w:r>
      <w:r w:rsidR="002C01B6">
        <w:rPr>
          <w:rFonts w:asciiTheme="majorHAnsi" w:hAnsiTheme="majorHAnsi"/>
          <w:i/>
        </w:rPr>
        <w:t xml:space="preserve"> fold changes compared to the control samples. Among these genes were several which already had implications </w:t>
      </w:r>
      <w:r>
        <w:rPr>
          <w:rFonts w:asciiTheme="majorHAnsi" w:hAnsiTheme="majorHAnsi"/>
          <w:i/>
        </w:rPr>
        <w:t>for</w:t>
      </w:r>
      <w:r w:rsidR="002C01B6">
        <w:rPr>
          <w:rFonts w:asciiTheme="majorHAnsi" w:hAnsiTheme="majorHAnsi"/>
          <w:i/>
        </w:rPr>
        <w:t xml:space="preserve"> cancer progression and so these were </w:t>
      </w:r>
      <w:r>
        <w:rPr>
          <w:rFonts w:asciiTheme="majorHAnsi" w:hAnsiTheme="majorHAnsi"/>
          <w:i/>
        </w:rPr>
        <w:t>selected</w:t>
      </w:r>
      <w:r w:rsidR="002C01B6">
        <w:rPr>
          <w:rFonts w:asciiTheme="majorHAnsi" w:hAnsiTheme="majorHAnsi"/>
          <w:i/>
        </w:rPr>
        <w:t xml:space="preserve"> for further validation. STRING database analysis showed a g</w:t>
      </w:r>
      <w:r>
        <w:rPr>
          <w:rFonts w:asciiTheme="majorHAnsi" w:hAnsiTheme="majorHAnsi"/>
          <w:i/>
        </w:rPr>
        <w:t>ood proof of concept that knock</w:t>
      </w:r>
      <w:r w:rsidR="002C01B6">
        <w:rPr>
          <w:rFonts w:asciiTheme="majorHAnsi" w:hAnsiTheme="majorHAnsi"/>
          <w:i/>
        </w:rPr>
        <w:t>down of SRCAP decreased expression of genes associated with the nucleosome</w:t>
      </w:r>
      <w:r>
        <w:rPr>
          <w:rFonts w:asciiTheme="majorHAnsi" w:hAnsiTheme="majorHAnsi"/>
          <w:i/>
        </w:rPr>
        <w:t>,</w:t>
      </w:r>
      <w:r w:rsidR="002C01B6">
        <w:rPr>
          <w:rFonts w:asciiTheme="majorHAnsi" w:hAnsiTheme="majorHAnsi"/>
          <w:i/>
        </w:rPr>
        <w:t xml:space="preserve"> and also affected cellular cycling, </w:t>
      </w:r>
      <w:r>
        <w:rPr>
          <w:rFonts w:asciiTheme="majorHAnsi" w:hAnsiTheme="majorHAnsi"/>
          <w:i/>
        </w:rPr>
        <w:t>(</w:t>
      </w:r>
      <w:r w:rsidR="002C01B6">
        <w:rPr>
          <w:rFonts w:asciiTheme="majorHAnsi" w:hAnsiTheme="majorHAnsi"/>
          <w:i/>
        </w:rPr>
        <w:t>especially mitosis</w:t>
      </w:r>
      <w:r>
        <w:rPr>
          <w:rFonts w:asciiTheme="majorHAnsi" w:hAnsiTheme="majorHAnsi"/>
          <w:i/>
        </w:rPr>
        <w:t>)</w:t>
      </w:r>
      <w:r w:rsidR="002C01B6">
        <w:rPr>
          <w:rFonts w:asciiTheme="majorHAnsi" w:hAnsiTheme="majorHAnsi"/>
          <w:i/>
        </w:rPr>
        <w:t xml:space="preserve"> which was seen in experimental data in </w:t>
      </w:r>
      <w:r>
        <w:rPr>
          <w:rFonts w:asciiTheme="majorHAnsi" w:hAnsiTheme="majorHAnsi"/>
          <w:i/>
        </w:rPr>
        <w:t>Chapter 4</w:t>
      </w:r>
      <w:r w:rsidR="008367FC">
        <w:rPr>
          <w:rFonts w:asciiTheme="majorHAnsi" w:hAnsiTheme="majorHAnsi"/>
          <w:i/>
        </w:rPr>
        <w:t>. Validation results</w:t>
      </w:r>
      <w:r w:rsidR="00CD05AA">
        <w:rPr>
          <w:rFonts w:asciiTheme="majorHAnsi" w:hAnsiTheme="majorHAnsi"/>
          <w:i/>
        </w:rPr>
        <w:t xml:space="preserve"> </w:t>
      </w:r>
      <w:r w:rsidR="008367FC">
        <w:rPr>
          <w:rFonts w:asciiTheme="majorHAnsi" w:hAnsiTheme="majorHAnsi"/>
          <w:i/>
        </w:rPr>
        <w:t xml:space="preserve">in both the original and new HCT116 RNA samples, as well as SW480 samples </w:t>
      </w:r>
      <w:r w:rsidR="00EA7CDB">
        <w:rPr>
          <w:rFonts w:asciiTheme="majorHAnsi" w:hAnsiTheme="majorHAnsi"/>
          <w:i/>
        </w:rPr>
        <w:t>identified</w:t>
      </w:r>
      <w:r w:rsidR="008367FC">
        <w:rPr>
          <w:rFonts w:asciiTheme="majorHAnsi" w:hAnsiTheme="majorHAnsi"/>
          <w:i/>
        </w:rPr>
        <w:t xml:space="preserve"> ELK3 and PHLDA2 </w:t>
      </w:r>
      <w:r w:rsidR="00EA7CDB">
        <w:rPr>
          <w:rFonts w:asciiTheme="majorHAnsi" w:hAnsiTheme="majorHAnsi"/>
          <w:i/>
        </w:rPr>
        <w:t>as</w:t>
      </w:r>
      <w:r w:rsidR="008367FC">
        <w:rPr>
          <w:rFonts w:asciiTheme="majorHAnsi" w:hAnsiTheme="majorHAnsi"/>
          <w:i/>
        </w:rPr>
        <w:t xml:space="preserve"> positive hits from the microarray, and </w:t>
      </w:r>
      <w:r>
        <w:rPr>
          <w:rFonts w:asciiTheme="majorHAnsi" w:hAnsiTheme="majorHAnsi"/>
          <w:i/>
        </w:rPr>
        <w:t xml:space="preserve">these </w:t>
      </w:r>
      <w:r w:rsidR="008367FC">
        <w:rPr>
          <w:rFonts w:asciiTheme="majorHAnsi" w:hAnsiTheme="majorHAnsi"/>
          <w:i/>
        </w:rPr>
        <w:t xml:space="preserve">were decreased in expression when SRCAP was depleted. </w:t>
      </w:r>
    </w:p>
    <w:p w14:paraId="19353D25" w14:textId="77777777" w:rsidR="002C01B6" w:rsidRDefault="002C01B6" w:rsidP="002C01B6">
      <w:pPr>
        <w:spacing w:line="360" w:lineRule="auto"/>
        <w:jc w:val="both"/>
        <w:rPr>
          <w:rFonts w:asciiTheme="majorHAnsi" w:hAnsiTheme="majorHAnsi"/>
          <w:i/>
        </w:rPr>
      </w:pPr>
    </w:p>
    <w:p w14:paraId="55F81BDC" w14:textId="2121DEEA" w:rsidR="006A36EF" w:rsidRPr="000D5D03" w:rsidRDefault="002C01B6" w:rsidP="007C58EA">
      <w:pPr>
        <w:spacing w:line="360" w:lineRule="auto"/>
        <w:jc w:val="both"/>
        <w:rPr>
          <w:rFonts w:asciiTheme="majorHAnsi" w:hAnsiTheme="majorHAnsi"/>
          <w:i/>
        </w:rPr>
        <w:sectPr w:rsidR="006A36EF" w:rsidRPr="000D5D03" w:rsidSect="00F70FA9">
          <w:headerReference w:type="default" r:id="rId175"/>
          <w:pgSz w:w="11900" w:h="16840"/>
          <w:pgMar w:top="1440" w:right="1134" w:bottom="1440" w:left="2268" w:header="709" w:footer="709" w:gutter="0"/>
          <w:cols w:space="708"/>
          <w:docGrid w:linePitch="360"/>
        </w:sectPr>
      </w:pPr>
      <w:r>
        <w:rPr>
          <w:rFonts w:asciiTheme="majorHAnsi" w:hAnsiTheme="majorHAnsi"/>
          <w:i/>
        </w:rPr>
        <w:t>The data from control vs. YFP SRCAP had very little correlation</w:t>
      </w:r>
      <w:r w:rsidR="008C6A24">
        <w:rPr>
          <w:rFonts w:asciiTheme="majorHAnsi" w:hAnsiTheme="majorHAnsi"/>
          <w:i/>
        </w:rPr>
        <w:t xml:space="preserve"> across repeats</w:t>
      </w:r>
      <w:r>
        <w:rPr>
          <w:rFonts w:asciiTheme="majorHAnsi" w:hAnsiTheme="majorHAnsi"/>
          <w:i/>
        </w:rPr>
        <w:t xml:space="preserve">; with the third independent experimental repeat exhibiting </w:t>
      </w:r>
      <w:r w:rsidR="008C6A24">
        <w:rPr>
          <w:rFonts w:asciiTheme="majorHAnsi" w:hAnsiTheme="majorHAnsi"/>
          <w:i/>
        </w:rPr>
        <w:t>many more fold changes. It is no</w:t>
      </w:r>
      <w:r>
        <w:rPr>
          <w:rFonts w:asciiTheme="majorHAnsi" w:hAnsiTheme="majorHAnsi"/>
          <w:i/>
        </w:rPr>
        <w:t xml:space="preserve">t clear however whether this is due to an intrinsic problem that occurred within the </w:t>
      </w:r>
      <w:r w:rsidR="008C6A24">
        <w:rPr>
          <w:rFonts w:asciiTheme="majorHAnsi" w:hAnsiTheme="majorHAnsi"/>
          <w:i/>
        </w:rPr>
        <w:t>microarray,</w:t>
      </w:r>
      <w:r>
        <w:rPr>
          <w:rFonts w:asciiTheme="majorHAnsi" w:hAnsiTheme="majorHAnsi"/>
          <w:i/>
        </w:rPr>
        <w:t xml:space="preserve"> </w:t>
      </w:r>
      <w:r w:rsidR="008C6A24">
        <w:rPr>
          <w:rFonts w:asciiTheme="majorHAnsi" w:hAnsiTheme="majorHAnsi"/>
          <w:i/>
        </w:rPr>
        <w:t xml:space="preserve">which had </w:t>
      </w:r>
      <w:r>
        <w:rPr>
          <w:rFonts w:asciiTheme="majorHAnsi" w:hAnsiTheme="majorHAnsi"/>
          <w:i/>
        </w:rPr>
        <w:t>the larger variation in relative signal</w:t>
      </w:r>
      <w:r w:rsidR="008C6A24">
        <w:rPr>
          <w:rFonts w:asciiTheme="majorHAnsi" w:hAnsiTheme="majorHAnsi"/>
          <w:i/>
        </w:rPr>
        <w:t>,</w:t>
      </w:r>
      <w:r>
        <w:rPr>
          <w:rFonts w:asciiTheme="majorHAnsi" w:hAnsiTheme="majorHAnsi"/>
          <w:i/>
        </w:rPr>
        <w:t xml:space="preserve"> or due to this sample having the</w:t>
      </w:r>
      <w:r w:rsidR="00D34949">
        <w:rPr>
          <w:rFonts w:asciiTheme="majorHAnsi" w:hAnsiTheme="majorHAnsi"/>
          <w:i/>
        </w:rPr>
        <w:t xml:space="preserve"> largest increase in SRCAP over-</w:t>
      </w:r>
      <w:r>
        <w:rPr>
          <w:rFonts w:asciiTheme="majorHAnsi" w:hAnsiTheme="majorHAnsi"/>
          <w:i/>
        </w:rPr>
        <w:t>expression. There were no genes which were in the top twenty across all three repeats for positive fold change, only SOX4 across repeats 1 and 2, and only one across all three (CPA4) for negative fold c</w:t>
      </w:r>
      <w:r w:rsidR="008C6A24">
        <w:rPr>
          <w:rFonts w:asciiTheme="majorHAnsi" w:hAnsiTheme="majorHAnsi"/>
          <w:i/>
        </w:rPr>
        <w:t>hange. The STRING analysis did no</w:t>
      </w:r>
      <w:r>
        <w:rPr>
          <w:rFonts w:asciiTheme="majorHAnsi" w:hAnsiTheme="majorHAnsi"/>
          <w:i/>
        </w:rPr>
        <w:t xml:space="preserve">t uncover any strong networks or enrichments. The two genes mentioned were </w:t>
      </w:r>
      <w:r w:rsidR="00CD05AA">
        <w:rPr>
          <w:rFonts w:asciiTheme="majorHAnsi" w:hAnsiTheme="majorHAnsi"/>
          <w:i/>
        </w:rPr>
        <w:t>taken on for further validation using RT-PCR and Taqman assessment on the original RNA samples. SOX4 did not show the same pattern of a decrease in</w:t>
      </w:r>
      <w:r w:rsidR="00D34949">
        <w:rPr>
          <w:rFonts w:asciiTheme="majorHAnsi" w:hAnsiTheme="majorHAnsi"/>
          <w:i/>
        </w:rPr>
        <w:t xml:space="preserve"> expression when SRCAP was over-</w:t>
      </w:r>
      <w:r w:rsidR="00CD05AA">
        <w:rPr>
          <w:rFonts w:asciiTheme="majorHAnsi" w:hAnsiTheme="majorHAnsi"/>
          <w:i/>
        </w:rPr>
        <w:t xml:space="preserve">expressed as was shown in the microarray, possibly suggesting it was a false positive. However, CPA4 was validated through these studies, and therefore could be an interesting gene for further analysis. </w:t>
      </w:r>
    </w:p>
    <w:p w14:paraId="5068654B" w14:textId="1CD759A5" w:rsidR="00ED0E50" w:rsidRPr="0088168C" w:rsidRDefault="00EA75E4" w:rsidP="0088168C">
      <w:pPr>
        <w:pStyle w:val="Title"/>
        <w:rPr>
          <w:color w:val="auto"/>
          <w:lang w:val="en-US"/>
        </w:rPr>
      </w:pPr>
      <w:r>
        <w:rPr>
          <w:color w:val="auto"/>
          <w:lang w:val="en-US"/>
        </w:rPr>
        <w:t xml:space="preserve">Chapter 7: </w:t>
      </w:r>
      <w:r w:rsidR="0088168C" w:rsidRPr="0088168C">
        <w:rPr>
          <w:color w:val="auto"/>
          <w:lang w:val="en-US"/>
        </w:rPr>
        <w:t>Discussion and Future Perspectives</w:t>
      </w:r>
    </w:p>
    <w:p w14:paraId="3FBF31DB" w14:textId="77777777" w:rsidR="00C524BC" w:rsidRDefault="00C524BC" w:rsidP="00C524BC">
      <w:pPr>
        <w:spacing w:line="360" w:lineRule="auto"/>
        <w:jc w:val="both"/>
        <w:rPr>
          <w:rFonts w:asciiTheme="majorHAnsi" w:hAnsiTheme="majorHAnsi"/>
          <w:b/>
          <w:u w:val="single"/>
          <w:lang w:val="en-US"/>
        </w:rPr>
      </w:pPr>
    </w:p>
    <w:p w14:paraId="0CE4F055" w14:textId="292E0BD1" w:rsidR="007053FB" w:rsidRPr="007053FB" w:rsidRDefault="007053FB" w:rsidP="007053FB">
      <w:pPr>
        <w:rPr>
          <w:rFonts w:asciiTheme="majorHAnsi" w:hAnsiTheme="majorHAnsi"/>
          <w:lang w:val="en-US"/>
        </w:rPr>
      </w:pPr>
      <w:r>
        <w:rPr>
          <w:rFonts w:asciiTheme="majorHAnsi" w:hAnsiTheme="majorHAnsi"/>
          <w:u w:val="single"/>
          <w:lang w:val="en-US"/>
        </w:rPr>
        <w:t>7.1 SRCAP</w:t>
      </w:r>
      <w:r w:rsidRPr="00CE7BFC">
        <w:rPr>
          <w:rFonts w:asciiTheme="majorHAnsi" w:hAnsiTheme="majorHAnsi"/>
          <w:u w:val="single"/>
          <w:lang w:val="en-US"/>
        </w:rPr>
        <w:t xml:space="preserve"> as a </w:t>
      </w:r>
      <w:r w:rsidR="0028321A">
        <w:rPr>
          <w:rFonts w:asciiTheme="majorHAnsi" w:hAnsiTheme="majorHAnsi"/>
          <w:u w:val="single"/>
          <w:lang w:val="en-US"/>
        </w:rPr>
        <w:t>Potential D</w:t>
      </w:r>
      <w:r w:rsidRPr="00CE7BFC">
        <w:rPr>
          <w:rFonts w:asciiTheme="majorHAnsi" w:hAnsiTheme="majorHAnsi"/>
          <w:u w:val="single"/>
          <w:lang w:val="en-US"/>
        </w:rPr>
        <w:t>river of CRC</w:t>
      </w:r>
    </w:p>
    <w:p w14:paraId="45E4ACCB" w14:textId="77777777" w:rsidR="007053FB" w:rsidRPr="00CE7BFC" w:rsidRDefault="007053FB" w:rsidP="007053FB">
      <w:pPr>
        <w:spacing w:line="360" w:lineRule="auto"/>
        <w:jc w:val="both"/>
        <w:rPr>
          <w:rFonts w:asciiTheme="majorHAnsi" w:hAnsiTheme="majorHAnsi"/>
          <w:u w:val="single"/>
          <w:lang w:val="en-US"/>
        </w:rPr>
      </w:pPr>
    </w:p>
    <w:p w14:paraId="42D696D1" w14:textId="6A02B11E" w:rsidR="0054324F" w:rsidRDefault="0054324F" w:rsidP="0054324F">
      <w:pPr>
        <w:spacing w:line="360" w:lineRule="auto"/>
        <w:jc w:val="both"/>
        <w:rPr>
          <w:rFonts w:asciiTheme="majorHAnsi" w:hAnsiTheme="majorHAnsi"/>
          <w:lang w:val="en-US"/>
        </w:rPr>
      </w:pPr>
      <w:r>
        <w:rPr>
          <w:rFonts w:asciiTheme="majorHAnsi" w:hAnsiTheme="majorHAnsi"/>
          <w:lang w:val="en-US"/>
        </w:rPr>
        <w:t xml:space="preserve">CRC is the third most prevalent cancer in England </w:t>
      </w:r>
      <w:r>
        <w:rPr>
          <w:rFonts w:asciiTheme="majorHAnsi" w:hAnsiTheme="majorHAnsi"/>
          <w:lang w:val="en-US"/>
        </w:rPr>
        <w:fldChar w:fldCharType="begin"/>
      </w:r>
      <w:r>
        <w:rPr>
          <w:rFonts w:asciiTheme="majorHAnsi" w:hAnsiTheme="majorHAnsi"/>
          <w:lang w:val="en-US"/>
        </w:rPr>
        <w:instrText xml:space="preserve"> ADDIN EN.CITE &lt;EndNote&gt;&lt;Cite&gt;&lt;Author&gt;OfficeforNationalStatistics&lt;/Author&gt;&lt;Year&gt;2015&lt;/Year&gt;&lt;IDText&gt;Cancer Registration Statistics, England: 2015&lt;/IDText&gt;&lt;DisplayText&gt;(OfficeforNationalStatistics, 2015)&lt;/DisplayText&gt;&lt;record&gt;&lt;urls&gt;&lt;related-urls&gt;&lt;url&gt;https://www.ons.gov.uk/peoplepopulationandcommunity/healthandsocialcare/conditionsanddiseases/bulletins/cancerregistrationstatisticsengland/2015&lt;/url&gt;&lt;/related-urls&gt;&lt;/urls&gt;&lt;titles&gt;&lt;title&gt;Cancer Registration Statistics, England: 2015&lt;/title&gt;&lt;/titles&gt;&lt;contributors&gt;&lt;authors&gt;&lt;author&gt;OfficeforNationalStatistics&lt;/author&gt;&lt;/authors&gt;&lt;/contributors&gt;&lt;added-date format="utc"&gt;1508932537&lt;/added-date&gt;&lt;ref-type name="Generic"&gt;13&lt;/ref-type&gt;&lt;dates&gt;&lt;year&gt;2015&lt;/year&gt;&lt;/dates&gt;&lt;rec-number&gt;301&lt;/rec-number&gt;&lt;last-updated-date format="utc"&gt;1515417893&lt;/last-updated-date&gt;&lt;/record&gt;&lt;/Cite&gt;&lt;/EndNote&gt;</w:instrText>
      </w:r>
      <w:r>
        <w:rPr>
          <w:rFonts w:asciiTheme="majorHAnsi" w:hAnsiTheme="majorHAnsi"/>
          <w:lang w:val="en-US"/>
        </w:rPr>
        <w:fldChar w:fldCharType="separate"/>
      </w:r>
      <w:r>
        <w:rPr>
          <w:rFonts w:asciiTheme="majorHAnsi" w:hAnsiTheme="majorHAnsi"/>
          <w:noProof/>
          <w:lang w:val="en-US"/>
        </w:rPr>
        <w:t>(OfficeforNationalStatistics, 2015)</w:t>
      </w:r>
      <w:r>
        <w:rPr>
          <w:rFonts w:asciiTheme="majorHAnsi" w:hAnsiTheme="majorHAnsi"/>
          <w:lang w:val="en-US"/>
        </w:rPr>
        <w:fldChar w:fldCharType="end"/>
      </w:r>
      <w:r>
        <w:rPr>
          <w:rFonts w:asciiTheme="majorHAnsi" w:hAnsiTheme="majorHAnsi"/>
          <w:lang w:val="en-US"/>
        </w:rPr>
        <w:t xml:space="preserve"> and although advancements in combination treatments have been seen over the last decade, these have only increased response rates to 50% in advanced disease </w:t>
      </w:r>
      <w:r>
        <w:rPr>
          <w:rFonts w:asciiTheme="majorHAnsi" w:hAnsiTheme="majorHAnsi"/>
          <w:lang w:val="en-US"/>
        </w:rPr>
        <w:fldChar w:fldCharType="begin">
          <w:fldData xml:space="preserve">PEVuZE5vdGU+PENpdGU+PEF1dGhvcj5HaWFjY2hldHRpPC9BdXRob3I+PFllYXI+MjAwMDwvWWVh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</w:fldData>
        </w:fldChar>
      </w:r>
      <w:r>
        <w:rPr>
          <w:rFonts w:asciiTheme="majorHAnsi" w:hAnsiTheme="majorHAnsi"/>
          <w:lang w:val="en-US"/>
        </w:rPr>
        <w:instrText xml:space="preserve"> ADDIN EN.CITE </w:instrText>
      </w:r>
      <w:r>
        <w:rPr>
          <w:rFonts w:asciiTheme="majorHAnsi" w:hAnsiTheme="majorHAnsi"/>
          <w:lang w:val="en-US"/>
        </w:rPr>
        <w:fldChar w:fldCharType="begin">
          <w:fldData xml:space="preserve">PEVuZE5vdGU+PENpdGU+PEF1dGhvcj5HaWFjY2hldHRpPC9BdXRob3I+PFllYXI+MjAwMDwvWWVh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</w:fldData>
        </w:fldChar>
      </w:r>
      <w:r>
        <w:rPr>
          <w:rFonts w:asciiTheme="majorHAnsi" w:hAnsiTheme="majorHAnsi"/>
          <w:lang w:val="en-US"/>
        </w:rPr>
        <w:instrText xml:space="preserve"> ADDIN EN.CITE.DATA </w:instrText>
      </w:r>
      <w:r>
        <w:rPr>
          <w:rFonts w:asciiTheme="majorHAnsi" w:hAnsiTheme="majorHAnsi"/>
          <w:lang w:val="en-US"/>
        </w:rPr>
      </w:r>
      <w:r>
        <w:rPr>
          <w:rFonts w:asciiTheme="majorHAnsi" w:hAnsiTheme="majorHAnsi"/>
          <w:lang w:val="en-US"/>
        </w:rPr>
        <w:fldChar w:fldCharType="end"/>
      </w:r>
      <w:r>
        <w:rPr>
          <w:rFonts w:asciiTheme="majorHAnsi" w:hAnsiTheme="majorHAnsi"/>
          <w:lang w:val="en-US"/>
        </w:rPr>
      </w:r>
      <w:r>
        <w:rPr>
          <w:rFonts w:asciiTheme="majorHAnsi" w:hAnsiTheme="majorHAnsi"/>
          <w:lang w:val="en-US"/>
        </w:rPr>
        <w:fldChar w:fldCharType="separate"/>
      </w:r>
      <w:r>
        <w:rPr>
          <w:rFonts w:asciiTheme="majorHAnsi" w:hAnsiTheme="majorHAnsi"/>
          <w:noProof/>
          <w:lang w:val="en-US"/>
        </w:rPr>
        <w:t>(Giacchetti et al., 2000, Douillard et al., 2000)</w:t>
      </w:r>
      <w:r>
        <w:rPr>
          <w:rFonts w:asciiTheme="majorHAnsi" w:hAnsiTheme="majorHAnsi"/>
          <w:lang w:val="en-US"/>
        </w:rPr>
        <w:fldChar w:fldCharType="end"/>
      </w:r>
      <w:r>
        <w:rPr>
          <w:rFonts w:asciiTheme="majorHAnsi" w:hAnsiTheme="majorHAnsi"/>
          <w:lang w:val="en-US"/>
        </w:rPr>
        <w:t xml:space="preserve">. The genetics of CRC has been widely studied, from Vogelstein’s early multistage clonal expansion model </w:t>
      </w:r>
      <w:r>
        <w:rPr>
          <w:rFonts w:asciiTheme="majorHAnsi" w:hAnsiTheme="majorHAnsi"/>
          <w:lang w:val="en-US"/>
        </w:rPr>
        <w:fldChar w:fldCharType="begin"/>
      </w:r>
      <w:r>
        <w:rPr>
          <w:rFonts w:asciiTheme="majorHAnsi" w:hAnsiTheme="majorHAnsi"/>
          <w:lang w:val="en-US"/>
        </w:rPr>
        <w:instrText xml:space="preserve"> ADDIN EN.CITE &lt;EndNote&gt;&lt;Cite&gt;&lt;Author&gt;Fearon&lt;/Author&gt;&lt;Year&gt;1990&lt;/Year&gt;&lt;IDText&gt;A genetic model for colorectal tumorigenesis&lt;/IDText&gt;&lt;DisplayText&gt;(Fearon and Vogelstein, 1990)&lt;/DisplayText&gt;&lt;record&gt;&lt;dates&gt;&lt;pub-dates&gt;&lt;date&gt;Jun&lt;/date&gt;&lt;/pub-dates&gt;&lt;year&gt;1990&lt;/year&gt;&lt;/dates&gt;&lt;keywords&gt;&lt;keyword&gt;Alleles&lt;/keyword&gt;&lt;keyword&gt;Chromosome Deletion&lt;/keyword&gt;&lt;keyword&gt;Colorectal Neoplasms&lt;/keyword&gt;&lt;keyword&gt;Heterozygote&lt;/keyword&gt;&lt;keyword&gt;Humans&lt;/keyword&gt;&lt;keyword&gt;Models, Genetic&lt;/keyword&gt;&lt;keyword&gt;Mutation&lt;/keyword&gt;&lt;keyword&gt;Oncogenes&lt;/keyword&gt;&lt;keyword&gt;Suppression, Genetic&lt;/keyword&gt;&lt;/keywords&gt;&lt;urls&gt;&lt;related-urls&gt;&lt;url&gt;http://www.ncbi.nlm.nih.gov/pubmed/2188735&lt;/url&gt;&lt;/related-urls&gt;&lt;/urls&gt;&lt;isbn&gt;0092-8674&lt;/isbn&gt;&lt;titles&gt;&lt;title&gt;A genetic model for colorectal tumorigenesis&lt;/title&gt;&lt;secondary-title&gt;Cell&lt;/secondary-title&gt;&lt;/titles&gt;&lt;pages&gt;759-67&lt;/pages&gt;&lt;number&gt;5&lt;/number&gt;&lt;contributors&gt;&lt;authors&gt;&lt;author&gt;Fearon, E. R.&lt;/author&gt;&lt;author&gt;Vogelstein, B.&lt;/author&gt;&lt;/authors&gt;&lt;/contributors&gt;&lt;language&gt;eng&lt;/language&gt;&lt;added-date format="utc"&gt;1425981548&lt;/added-date&gt;&lt;ref-type name="Journal Article"&gt;17&lt;/ref-type&gt;&lt;rec-number&gt;33&lt;/rec-number&gt;&lt;last-updated-date format="utc"&gt;1447344549&lt;/last-updated-date&gt;&lt;accession-num&gt;2188735&lt;/accession-num&gt;&lt;volume&gt;61&lt;/volume&gt;&lt;/record&gt;&lt;/Cite&gt;&lt;/EndNote&gt;</w:instrText>
      </w:r>
      <w:r>
        <w:rPr>
          <w:rFonts w:asciiTheme="majorHAnsi" w:hAnsiTheme="majorHAnsi"/>
          <w:lang w:val="en-US"/>
        </w:rPr>
        <w:fldChar w:fldCharType="separate"/>
      </w:r>
      <w:r>
        <w:rPr>
          <w:rFonts w:asciiTheme="majorHAnsi" w:hAnsiTheme="majorHAnsi"/>
          <w:noProof/>
          <w:lang w:val="en-US"/>
        </w:rPr>
        <w:t>(Fearon and Vogelstein, 1990)</w:t>
      </w:r>
      <w:r>
        <w:rPr>
          <w:rFonts w:asciiTheme="majorHAnsi" w:hAnsiTheme="majorHAnsi"/>
          <w:lang w:val="en-US"/>
        </w:rPr>
        <w:fldChar w:fldCharType="end"/>
      </w:r>
      <w:r>
        <w:rPr>
          <w:rFonts w:asciiTheme="majorHAnsi" w:hAnsiTheme="majorHAnsi"/>
          <w:lang w:val="en-US"/>
        </w:rPr>
        <w:t xml:space="preserve"> to current molecular subtyping of this heterogeneous disease </w:t>
      </w:r>
      <w:r>
        <w:rPr>
          <w:rFonts w:asciiTheme="majorHAnsi" w:hAnsiTheme="majorHAnsi"/>
          <w:lang w:val="en-US"/>
        </w:rPr>
        <w:fldChar w:fldCharType="begin">
          <w:fldData xml:space="preserve">PEVuZE5vdGU+PENpdGU+PEF1dGhvcj5HdWlubmV5PC9BdXRob3I+PFllYXI+MjAxNTwvWWVhcj48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</w:fldData>
        </w:fldChar>
      </w:r>
      <w:r w:rsidR="001F465A">
        <w:rPr>
          <w:rFonts w:asciiTheme="majorHAnsi" w:hAnsiTheme="majorHAnsi"/>
          <w:lang w:val="en-US"/>
        </w:rPr>
        <w:instrText xml:space="preserve"> ADDIN EN.CITE </w:instrText>
      </w:r>
      <w:r w:rsidR="001F465A">
        <w:rPr>
          <w:rFonts w:asciiTheme="majorHAnsi" w:hAnsiTheme="majorHAnsi"/>
          <w:lang w:val="en-US"/>
        </w:rPr>
        <w:fldChar w:fldCharType="begin">
          <w:fldData xml:space="preserve">PEVuZE5vdGU+PENpdGU+PEF1dGhvcj5HdWlubmV5PC9BdXRob3I+PFllYXI+MjAxNTwvWWVhcj48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</w:fldData>
        </w:fldChar>
      </w:r>
      <w:r w:rsidR="001F465A">
        <w:rPr>
          <w:rFonts w:asciiTheme="majorHAnsi" w:hAnsiTheme="majorHAnsi"/>
          <w:lang w:val="en-US"/>
        </w:rPr>
        <w:instrText xml:space="preserve"> ADDIN EN.CITE.DATA </w:instrText>
      </w:r>
      <w:r w:rsidR="001F465A">
        <w:rPr>
          <w:rFonts w:asciiTheme="majorHAnsi" w:hAnsiTheme="majorHAnsi"/>
          <w:lang w:val="en-US"/>
        </w:rPr>
      </w:r>
      <w:r w:rsidR="001F465A">
        <w:rPr>
          <w:rFonts w:asciiTheme="majorHAnsi" w:hAnsiTheme="majorHAnsi"/>
          <w:lang w:val="en-US"/>
        </w:rPr>
        <w:fldChar w:fldCharType="end"/>
      </w:r>
      <w:r>
        <w:rPr>
          <w:rFonts w:asciiTheme="majorHAnsi" w:hAnsiTheme="majorHAnsi"/>
          <w:lang w:val="en-US"/>
        </w:rPr>
      </w:r>
      <w:r>
        <w:rPr>
          <w:rFonts w:asciiTheme="majorHAnsi" w:hAnsiTheme="majorHAnsi"/>
          <w:lang w:val="en-US"/>
        </w:rPr>
        <w:fldChar w:fldCharType="separate"/>
      </w:r>
      <w:r w:rsidR="001F465A">
        <w:rPr>
          <w:rFonts w:asciiTheme="majorHAnsi" w:hAnsiTheme="majorHAnsi"/>
          <w:noProof/>
          <w:lang w:val="en-US"/>
        </w:rPr>
        <w:t>(Guinney et al., 2015)</w:t>
      </w:r>
      <w:r>
        <w:rPr>
          <w:rFonts w:asciiTheme="majorHAnsi" w:hAnsiTheme="majorHAnsi"/>
          <w:lang w:val="en-US"/>
        </w:rPr>
        <w:fldChar w:fldCharType="end"/>
      </w:r>
      <w:r>
        <w:rPr>
          <w:rFonts w:asciiTheme="majorHAnsi" w:hAnsiTheme="majorHAnsi"/>
          <w:lang w:val="en-US"/>
        </w:rPr>
        <w:t xml:space="preserve">. However, it is clear that half of </w:t>
      </w:r>
      <w:r w:rsidR="00235EBF">
        <w:rPr>
          <w:rFonts w:asciiTheme="majorHAnsi" w:hAnsiTheme="majorHAnsi"/>
          <w:lang w:val="en-US"/>
        </w:rPr>
        <w:t xml:space="preserve">CRC </w:t>
      </w:r>
      <w:r>
        <w:rPr>
          <w:rFonts w:asciiTheme="majorHAnsi" w:hAnsiTheme="majorHAnsi"/>
          <w:lang w:val="en-US"/>
        </w:rPr>
        <w:t>patients are not benefiting from the treatments used in the clinic today, and therefore more research into the drivers of tumour progression</w:t>
      </w:r>
      <w:r w:rsidR="00235EBF">
        <w:rPr>
          <w:rFonts w:asciiTheme="majorHAnsi" w:hAnsiTheme="majorHAnsi"/>
          <w:lang w:val="en-US"/>
        </w:rPr>
        <w:t>,</w:t>
      </w:r>
      <w:r>
        <w:rPr>
          <w:rFonts w:asciiTheme="majorHAnsi" w:hAnsiTheme="majorHAnsi"/>
          <w:lang w:val="en-US"/>
        </w:rPr>
        <w:t xml:space="preserve"> and how these could be utilized for individualized t</w:t>
      </w:r>
      <w:r w:rsidR="00235EBF">
        <w:rPr>
          <w:rFonts w:asciiTheme="majorHAnsi" w:hAnsiTheme="majorHAnsi"/>
          <w:lang w:val="en-US"/>
        </w:rPr>
        <w:t>reatment regimes, is much needed</w:t>
      </w:r>
      <w:r>
        <w:rPr>
          <w:rFonts w:asciiTheme="majorHAnsi" w:hAnsiTheme="majorHAnsi"/>
          <w:lang w:val="en-US"/>
        </w:rPr>
        <w:t xml:space="preserve">. Although it is now </w:t>
      </w:r>
      <w:r w:rsidR="00235EBF">
        <w:rPr>
          <w:rFonts w:asciiTheme="majorHAnsi" w:hAnsiTheme="majorHAnsi"/>
          <w:lang w:val="en-US"/>
        </w:rPr>
        <w:t xml:space="preserve">relatively </w:t>
      </w:r>
      <w:r>
        <w:rPr>
          <w:rFonts w:asciiTheme="majorHAnsi" w:hAnsiTheme="majorHAnsi"/>
          <w:lang w:val="en-US"/>
        </w:rPr>
        <w:t xml:space="preserve">easy to be able to profile the genetic aberrations found in tumours through </w:t>
      </w:r>
      <w:proofErr w:type="spellStart"/>
      <w:r>
        <w:rPr>
          <w:rFonts w:asciiTheme="majorHAnsi" w:hAnsiTheme="majorHAnsi"/>
          <w:lang w:val="en-US"/>
        </w:rPr>
        <w:t>aCGH</w:t>
      </w:r>
      <w:proofErr w:type="spellEnd"/>
      <w:r>
        <w:rPr>
          <w:rFonts w:asciiTheme="majorHAnsi" w:hAnsiTheme="majorHAnsi"/>
          <w:lang w:val="en-US"/>
        </w:rPr>
        <w:t xml:space="preserve"> or next-generation sequencing</w:t>
      </w:r>
      <w:r w:rsidR="00235EBF">
        <w:rPr>
          <w:rFonts w:asciiTheme="majorHAnsi" w:hAnsiTheme="majorHAnsi"/>
          <w:lang w:val="en-US"/>
        </w:rPr>
        <w:t xml:space="preserve"> </w:t>
      </w:r>
      <w:r w:rsidR="00235EBF">
        <w:rPr>
          <w:rFonts w:asciiTheme="majorHAnsi" w:hAnsiTheme="majorHAnsi"/>
          <w:lang w:val="en-US"/>
        </w:rPr>
        <w:fldChar w:fldCharType="begin"/>
      </w:r>
      <w:r w:rsidR="00235EBF">
        <w:rPr>
          <w:rFonts w:asciiTheme="majorHAnsi" w:hAnsiTheme="majorHAnsi"/>
          <w:lang w:val="en-US"/>
        </w:rPr>
        <w:instrText xml:space="preserve"> ADDIN EN.CITE &lt;EndNote&gt;&lt;Cite&gt;&lt;Author&gt;Stratton&lt;/Author&gt;&lt;Year&gt;2009&lt;/Year&gt;&lt;IDText&gt;The cancer genome&lt;/IDText&gt;&lt;DisplayText&gt;(Stratton et al., 2009)&lt;/DisplayText&gt;&lt;record&gt;&lt;dates&gt;&lt;pub-dates&gt;&lt;date&gt;Apr&lt;/date&gt;&lt;/pub-dates&gt;&lt;year&gt;2009&lt;/year&gt;&lt;/dates&gt;&lt;keywords&gt;&lt;keyword&gt;Genes, Neoplasm&lt;/keyword&gt;&lt;keyword&gt;Genome, Human&lt;/keyword&gt;&lt;keyword&gt;Genomics&lt;/keyword&gt;&lt;keyword&gt;Humans&lt;/keyword&gt;&lt;keyword&gt;Mutation&lt;/keyword&gt;&lt;keyword&gt;Neoplasms&lt;/keyword&gt;&lt;keyword&gt;Sequence Analysis&lt;/keyword&gt;&lt;/keywords&gt;&lt;urls&gt;&lt;related-urls&gt;&lt;url&gt;https://www.ncbi.nlm.nih.gov/pubmed/19360079&lt;/url&gt;&lt;/related-urls&gt;&lt;/urls&gt;&lt;isbn&gt;1476-4687&lt;/isbn&gt;&lt;custom2&gt;PMC2821689&lt;/custom2&gt;&lt;titles&gt;&lt;title&gt;The cancer genome&lt;/title&gt;&lt;secondary-title&gt;Nature&lt;/secondary-title&gt;&lt;/titles&gt;&lt;pages&gt;719-24&lt;/pages&gt;&lt;number&gt;7239&lt;/number&gt;&lt;contributors&gt;&lt;authors&gt;&lt;author&gt;Stratton, M. R.&lt;/author&gt;&lt;author&gt;Campbell, P. J.&lt;/author&gt;&lt;author&gt;Futreal, P. A.&lt;/author&gt;&lt;/authors&gt;&lt;/contributors&gt;&lt;language&gt;eng&lt;/language&gt;&lt;added-date format="utc"&gt;1469461383&lt;/added-date&gt;&lt;ref-type name="Journal Article"&gt;17&lt;/ref-type&gt;&lt;rec-number&gt;174&lt;/rec-number&gt;&lt;last-updated-date format="utc"&gt;1470753718&lt;/last-updated-date&gt;&lt;accession-num&gt;19360079&lt;/accession-num&gt;&lt;electronic-resource-num&gt;10.1038/nature07943&lt;/electronic-resource-num&gt;&lt;volume&gt;458&lt;/volume&gt;&lt;/record&gt;&lt;/Cite&gt;&lt;/EndNote&gt;</w:instrText>
      </w:r>
      <w:r w:rsidR="00235EBF">
        <w:rPr>
          <w:rFonts w:asciiTheme="majorHAnsi" w:hAnsiTheme="majorHAnsi"/>
          <w:lang w:val="en-US"/>
        </w:rPr>
        <w:fldChar w:fldCharType="separate"/>
      </w:r>
      <w:r w:rsidR="00235EBF">
        <w:rPr>
          <w:rFonts w:asciiTheme="majorHAnsi" w:hAnsiTheme="majorHAnsi"/>
          <w:noProof/>
          <w:lang w:val="en-US"/>
        </w:rPr>
        <w:t>(Stratton et al., 2009)</w:t>
      </w:r>
      <w:r w:rsidR="00235EBF">
        <w:rPr>
          <w:rFonts w:asciiTheme="majorHAnsi" w:hAnsiTheme="majorHAnsi"/>
          <w:lang w:val="en-US"/>
        </w:rPr>
        <w:fldChar w:fldCharType="end"/>
      </w:r>
      <w:r>
        <w:rPr>
          <w:rFonts w:asciiTheme="majorHAnsi" w:hAnsiTheme="majorHAnsi"/>
          <w:lang w:val="en-US"/>
        </w:rPr>
        <w:t xml:space="preserve">, it is important to prove that the amplification of specific genes, in this case </w:t>
      </w:r>
      <w:r w:rsidRPr="00D60C3B">
        <w:rPr>
          <w:rFonts w:asciiTheme="majorHAnsi" w:hAnsiTheme="majorHAnsi"/>
          <w:i/>
          <w:lang w:val="en-US"/>
        </w:rPr>
        <w:t>SRCAP</w:t>
      </w:r>
      <w:r>
        <w:rPr>
          <w:rFonts w:asciiTheme="majorHAnsi" w:hAnsiTheme="majorHAnsi"/>
          <w:lang w:val="en-US"/>
        </w:rPr>
        <w:t xml:space="preserve">, has a biological function towards tumour progression and that the genes are not merely passenger mutations. Therefore, in this thesis we sought to investigate how the over-expression and knockdown of </w:t>
      </w:r>
      <w:r w:rsidRPr="00D60C3B">
        <w:rPr>
          <w:rFonts w:asciiTheme="majorHAnsi" w:hAnsiTheme="majorHAnsi"/>
          <w:i/>
          <w:lang w:val="en-US"/>
        </w:rPr>
        <w:t>SRCAP</w:t>
      </w:r>
      <w:r>
        <w:rPr>
          <w:rFonts w:asciiTheme="majorHAnsi" w:hAnsiTheme="majorHAnsi"/>
          <w:i/>
          <w:lang w:val="en-US"/>
        </w:rPr>
        <w:t xml:space="preserve"> </w:t>
      </w:r>
      <w:r>
        <w:rPr>
          <w:rFonts w:asciiTheme="majorHAnsi" w:hAnsiTheme="majorHAnsi"/>
          <w:lang w:val="en-US"/>
        </w:rPr>
        <w:t>in CRC cell line models impacted on various hallmarks of cancer such as genomic instability and cellular cycling, and whether it had the p</w:t>
      </w:r>
      <w:r w:rsidR="00235EBF">
        <w:rPr>
          <w:rFonts w:asciiTheme="majorHAnsi" w:hAnsiTheme="majorHAnsi"/>
          <w:lang w:val="en-US"/>
        </w:rPr>
        <w:t>otential to be a novel drug</w:t>
      </w:r>
      <w:r>
        <w:rPr>
          <w:rFonts w:asciiTheme="majorHAnsi" w:hAnsiTheme="majorHAnsi"/>
          <w:lang w:val="en-US"/>
        </w:rPr>
        <w:t xml:space="preserve"> target. </w:t>
      </w:r>
    </w:p>
    <w:p w14:paraId="3D649DA0" w14:textId="77777777" w:rsidR="0054324F" w:rsidRDefault="0054324F" w:rsidP="0054324F">
      <w:pPr>
        <w:spacing w:line="360" w:lineRule="auto"/>
        <w:jc w:val="both"/>
        <w:rPr>
          <w:rFonts w:asciiTheme="majorHAnsi" w:hAnsiTheme="majorHAnsi"/>
          <w:lang w:val="en-US"/>
        </w:rPr>
      </w:pPr>
    </w:p>
    <w:p w14:paraId="70C5BF42" w14:textId="16B35AD1" w:rsidR="007053FB" w:rsidRDefault="007053FB" w:rsidP="007053FB">
      <w:pPr>
        <w:spacing w:line="360" w:lineRule="auto"/>
        <w:jc w:val="both"/>
        <w:rPr>
          <w:rFonts w:asciiTheme="majorHAnsi" w:hAnsiTheme="majorHAnsi"/>
          <w:lang w:val="en-US"/>
        </w:rPr>
      </w:pPr>
      <w:r>
        <w:rPr>
          <w:rFonts w:asciiTheme="majorHAnsi" w:hAnsiTheme="majorHAnsi"/>
          <w:lang w:val="en-US"/>
        </w:rPr>
        <w:t xml:space="preserve">The </w:t>
      </w:r>
      <w:r w:rsidRPr="000670CD">
        <w:rPr>
          <w:rFonts w:asciiTheme="majorHAnsi" w:hAnsiTheme="majorHAnsi"/>
          <w:i/>
          <w:lang w:val="en-US"/>
        </w:rPr>
        <w:t>SRCAP</w:t>
      </w:r>
      <w:r>
        <w:rPr>
          <w:rFonts w:asciiTheme="majorHAnsi" w:hAnsiTheme="majorHAnsi"/>
          <w:lang w:val="en-US"/>
        </w:rPr>
        <w:t xml:space="preserve"> gene was hypothesized to be a driver of CRC tumour progressi</w:t>
      </w:r>
      <w:r w:rsidR="00EA7CDB">
        <w:rPr>
          <w:rFonts w:asciiTheme="majorHAnsi" w:hAnsiTheme="majorHAnsi"/>
          <w:lang w:val="en-US"/>
        </w:rPr>
        <w:t>on due to experimental findings derived</w:t>
      </w:r>
      <w:r w:rsidR="008D1E3B">
        <w:rPr>
          <w:rFonts w:asciiTheme="majorHAnsi" w:hAnsiTheme="majorHAnsi"/>
          <w:lang w:val="en-US"/>
        </w:rPr>
        <w:t xml:space="preserve"> from a CNA</w:t>
      </w:r>
      <w:r>
        <w:rPr>
          <w:rFonts w:asciiTheme="majorHAnsi" w:hAnsiTheme="majorHAnsi"/>
          <w:lang w:val="en-US"/>
        </w:rPr>
        <w:t xml:space="preserve"> screen of patient tumour samples </w:t>
      </w:r>
      <w:r w:rsidR="0028321A">
        <w:rPr>
          <w:rFonts w:asciiTheme="majorHAnsi" w:hAnsiTheme="majorHAnsi"/>
          <w:lang w:val="en-US"/>
        </w:rPr>
        <w:fldChar w:fldCharType="begin"/>
      </w:r>
      <w:r w:rsidR="0028321A">
        <w:rPr>
          <w:rFonts w:asciiTheme="majorHAnsi" w:hAnsiTheme="majorHAnsi"/>
          <w:lang w:val="en-US"/>
        </w:rPr>
        <w:instrText xml:space="preserve"> ADDIN EN.CITE &lt;EndNote&gt;&lt;Cite&gt;&lt;Author&gt;Burghel&lt;/Author&gt;&lt;Year&gt;2013&lt;/Year&gt;&lt;IDText&gt;Identification of candidate driver genes in common focal chromosomal aberrations of microsatellite stable colorectal cancer&lt;/IDText&gt;&lt;DisplayText&gt;(Burghel et al., 2013)&lt;/DisplayText&gt;&lt;record&gt;&lt;keywords&gt;&lt;keyword&gt;Colorectal Neoplasms&lt;/keyword&gt;&lt;keyword&gt;Comparative Genomic Hybridization&lt;/keyword&gt;&lt;keyword&gt;Genes, Neoplasm&lt;/keyword&gt;&lt;keyword&gt;Genomics&lt;/keyword&gt;&lt;keyword&gt;Humans&lt;/keyword&gt;&lt;keyword&gt;Microsatellite Instability&lt;/keyword&gt;&lt;keyword&gt;Microsatellite Repeats&lt;/keyword&gt;&lt;keyword&gt;Mutation&lt;/keyword&gt;&lt;keyword&gt;Oligonucleotide Array Sequence Analysis&lt;/keyword&gt;&lt;keyword&gt;Recurrence&lt;/keyword&gt;&lt;/keywords&gt;&lt;urls&gt;&lt;related-urls&gt;&lt;url&gt;http://www.ncbi.nlm.nih.gov/pubmed/24367615&lt;/url&gt;&lt;/related-urls&gt;&lt;/urls&gt;&lt;isbn&gt;1932-6203&lt;/isbn&gt;&lt;custom2&gt;PMC3867468&lt;/custom2&gt;&lt;titles&gt;&lt;title&gt;Identification of candidate driver genes in common focal chromosomal aberrations of microsatellite stable colorectal cancer&lt;/title&gt;&lt;secondary-title&gt;PLoS One&lt;/secondary-title&gt;&lt;/titles&gt;&lt;pages&gt;e83859&lt;/pages&gt;&lt;number&gt;12&lt;/number&gt;&lt;contributors&gt;&lt;authors&gt;&lt;author&gt;Burghel, G. J.&lt;/author&gt;&lt;author&gt;Lin, W. Y.&lt;/author&gt;&lt;author&gt;Whitehouse, H.&lt;/author&gt;&lt;author&gt;Brock, I.&lt;/author&gt;&lt;author&gt;Hammond, D.&lt;/author&gt;&lt;author&gt;Bury, J.&lt;/author&gt;&lt;author&gt;Stephenson, Y.&lt;/author&gt;&lt;author&gt;George, R.&lt;/author&gt;&lt;author&gt;Cox, A.&lt;/author&gt;&lt;/authors&gt;&lt;/contributors&gt;&lt;language&gt;eng&lt;/language&gt;&lt;added-date format="utc"&gt;1425918643&lt;/added-date&gt;&lt;ref-type name="Journal Article"&gt;17&lt;/ref-type&gt;&lt;dates&gt;&lt;year&gt;2013&lt;/year&gt;&lt;/dates&gt;&lt;rec-number&gt;20&lt;/rec-number&gt;&lt;last-updated-date format="utc"&gt;1447343679&lt;/last-updated-date&gt;&lt;accession-num&gt;24367615&lt;/accession-num&gt;&lt;electronic-resource-num&gt;10.1371/journal.pone.0083859&lt;/electronic-resource-num&gt;&lt;volume&gt;8&lt;/volume&gt;&lt;/record&gt;&lt;/Cite&gt;&lt;/EndNote&gt;</w:instrText>
      </w:r>
      <w:r w:rsidR="0028321A">
        <w:rPr>
          <w:rFonts w:asciiTheme="majorHAnsi" w:hAnsiTheme="majorHAnsi"/>
          <w:lang w:val="en-US"/>
        </w:rPr>
        <w:fldChar w:fldCharType="separate"/>
      </w:r>
      <w:r w:rsidR="0028321A">
        <w:rPr>
          <w:rFonts w:asciiTheme="majorHAnsi" w:hAnsiTheme="majorHAnsi"/>
          <w:noProof/>
          <w:lang w:val="en-US"/>
        </w:rPr>
        <w:t>(Burghel et al., 2013)</w:t>
      </w:r>
      <w:r w:rsidR="0028321A">
        <w:rPr>
          <w:rFonts w:asciiTheme="majorHAnsi" w:hAnsiTheme="majorHAnsi"/>
          <w:lang w:val="en-US"/>
        </w:rPr>
        <w:fldChar w:fldCharType="end"/>
      </w:r>
      <w:r w:rsidR="0028321A">
        <w:rPr>
          <w:rFonts w:asciiTheme="majorHAnsi" w:hAnsiTheme="majorHAnsi"/>
          <w:lang w:val="en-US"/>
        </w:rPr>
        <w:t xml:space="preserve"> </w:t>
      </w:r>
      <w:r>
        <w:rPr>
          <w:rFonts w:asciiTheme="majorHAnsi" w:hAnsiTheme="majorHAnsi"/>
          <w:lang w:val="en-US"/>
        </w:rPr>
        <w:t>and a genomic instability cell line screen</w:t>
      </w:r>
      <w:r w:rsidR="0028321A">
        <w:rPr>
          <w:rFonts w:asciiTheme="majorHAnsi" w:hAnsiTheme="majorHAnsi"/>
          <w:lang w:val="en-US"/>
        </w:rPr>
        <w:t xml:space="preserve"> </w:t>
      </w:r>
      <w:r w:rsidR="0028321A">
        <w:rPr>
          <w:rFonts w:asciiTheme="majorHAnsi" w:hAnsiTheme="majorHAnsi" w:cs="Helvetica"/>
        </w:rPr>
        <w:fldChar w:fldCharType="begin">
          <w:fldData xml:space="preserve">PEVuZE5vdGU+PENpdGU+PEF1dGhvcj5TdGFwbGVzPC9BdXRob3I+PFllYXI+MjAxMjwvWWVhcj48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==
</w:fldData>
        </w:fldChar>
      </w:r>
      <w:r w:rsidR="0028321A">
        <w:rPr>
          <w:rFonts w:asciiTheme="majorHAnsi" w:hAnsiTheme="majorHAnsi" w:cs="Helvetica"/>
        </w:rPr>
        <w:instrText xml:space="preserve"> ADDIN EN.CITE </w:instrText>
      </w:r>
      <w:r w:rsidR="0028321A">
        <w:rPr>
          <w:rFonts w:asciiTheme="majorHAnsi" w:hAnsiTheme="majorHAnsi" w:cs="Helvetica"/>
        </w:rPr>
        <w:fldChar w:fldCharType="begin">
          <w:fldData xml:space="preserve">PEVuZE5vdGU+PENpdGU+PEF1dGhvcj5TdGFwbGVzPC9BdXRob3I+PFllYXI+MjAxMjwvWWVhcj48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==
</w:fldData>
        </w:fldChar>
      </w:r>
      <w:r w:rsidR="0028321A">
        <w:rPr>
          <w:rFonts w:asciiTheme="majorHAnsi" w:hAnsiTheme="majorHAnsi" w:cs="Helvetica"/>
        </w:rPr>
        <w:instrText xml:space="preserve"> ADDIN EN.CITE.DATA </w:instrText>
      </w:r>
      <w:r w:rsidR="0028321A">
        <w:rPr>
          <w:rFonts w:asciiTheme="majorHAnsi" w:hAnsiTheme="majorHAnsi" w:cs="Helvetica"/>
        </w:rPr>
      </w:r>
      <w:r w:rsidR="0028321A">
        <w:rPr>
          <w:rFonts w:asciiTheme="majorHAnsi" w:hAnsiTheme="majorHAnsi" w:cs="Helvetica"/>
        </w:rPr>
        <w:fldChar w:fldCharType="end"/>
      </w:r>
      <w:r w:rsidR="0028321A">
        <w:rPr>
          <w:rFonts w:asciiTheme="majorHAnsi" w:hAnsiTheme="majorHAnsi" w:cs="Helvetica"/>
        </w:rPr>
      </w:r>
      <w:r w:rsidR="0028321A">
        <w:rPr>
          <w:rFonts w:asciiTheme="majorHAnsi" w:hAnsiTheme="majorHAnsi" w:cs="Helvetica"/>
        </w:rPr>
        <w:fldChar w:fldCharType="separate"/>
      </w:r>
      <w:r w:rsidR="0028321A">
        <w:rPr>
          <w:rFonts w:asciiTheme="majorHAnsi" w:hAnsiTheme="majorHAnsi" w:cs="Helvetica"/>
          <w:noProof/>
        </w:rPr>
        <w:t>(Staples et al., 2012, Staples et al., 2014, Barone et al., 2016, Myers et al., 2016, Staples et al., 2016)</w:t>
      </w:r>
      <w:r w:rsidR="0028321A">
        <w:rPr>
          <w:rFonts w:asciiTheme="majorHAnsi" w:hAnsiTheme="majorHAnsi" w:cs="Helvetica"/>
        </w:rPr>
        <w:fldChar w:fldCharType="end"/>
      </w:r>
      <w:r>
        <w:rPr>
          <w:rFonts w:asciiTheme="majorHAnsi" w:hAnsiTheme="majorHAnsi"/>
          <w:lang w:val="en-US"/>
        </w:rPr>
        <w:t xml:space="preserve">, plus </w:t>
      </w:r>
      <w:r w:rsidR="00235EBF">
        <w:rPr>
          <w:rFonts w:asciiTheme="majorHAnsi" w:hAnsiTheme="majorHAnsi"/>
          <w:lang w:val="en-US"/>
        </w:rPr>
        <w:t xml:space="preserve">our </w:t>
      </w:r>
      <w:r>
        <w:rPr>
          <w:rFonts w:asciiTheme="majorHAnsi" w:hAnsiTheme="majorHAnsi"/>
          <w:lang w:val="en-US"/>
        </w:rPr>
        <w:t xml:space="preserve">additional bioinformatic analysis. </w:t>
      </w:r>
      <w:r w:rsidRPr="00664ECC">
        <w:rPr>
          <w:rFonts w:asciiTheme="majorHAnsi" w:hAnsiTheme="majorHAnsi"/>
          <w:i/>
          <w:lang w:val="en-US"/>
        </w:rPr>
        <w:t>SRCAP</w:t>
      </w:r>
      <w:r>
        <w:rPr>
          <w:rFonts w:asciiTheme="majorHAnsi" w:hAnsiTheme="majorHAnsi"/>
          <w:lang w:val="en-US"/>
        </w:rPr>
        <w:t xml:space="preserve"> was amplified in patient samples, and </w:t>
      </w:r>
      <w:r w:rsidR="001162CB">
        <w:rPr>
          <w:rFonts w:asciiTheme="majorHAnsi" w:hAnsiTheme="majorHAnsi"/>
          <w:lang w:val="en-US"/>
        </w:rPr>
        <w:t xml:space="preserve">depletion of </w:t>
      </w:r>
      <w:r w:rsidR="001162CB" w:rsidRPr="001162CB">
        <w:rPr>
          <w:rFonts w:asciiTheme="majorHAnsi" w:hAnsiTheme="majorHAnsi"/>
          <w:i/>
          <w:lang w:val="en-US"/>
        </w:rPr>
        <w:t>SRCAP</w:t>
      </w:r>
      <w:r>
        <w:rPr>
          <w:rFonts w:asciiTheme="majorHAnsi" w:hAnsiTheme="majorHAnsi"/>
          <w:lang w:val="en-US"/>
        </w:rPr>
        <w:t xml:space="preserve"> in HCT116 cells induced high levels of DNA damage</w:t>
      </w:r>
      <w:r w:rsidR="00EA7CDB">
        <w:rPr>
          <w:rFonts w:asciiTheme="majorHAnsi" w:hAnsiTheme="majorHAnsi"/>
          <w:lang w:val="en-US"/>
        </w:rPr>
        <w:t>, a common feature of increased genome instability</w:t>
      </w:r>
      <w:r w:rsidR="0028321A">
        <w:rPr>
          <w:rFonts w:asciiTheme="majorHAnsi" w:hAnsiTheme="majorHAnsi"/>
          <w:lang w:val="en-US"/>
        </w:rPr>
        <w:t xml:space="preserve"> </w:t>
      </w:r>
      <w:r w:rsidR="0028321A">
        <w:rPr>
          <w:rFonts w:asciiTheme="majorHAnsi" w:hAnsiTheme="majorHAnsi"/>
          <w:lang w:val="en-US"/>
        </w:rPr>
        <w:fldChar w:fldCharType="begin"/>
      </w:r>
      <w:r w:rsidR="0028321A">
        <w:rPr>
          <w:rFonts w:asciiTheme="majorHAnsi" w:hAnsiTheme="majorHAnsi"/>
          <w:lang w:val="en-US"/>
        </w:rPr>
        <w:instrText xml:space="preserve"> ADDIN EN.CITE &lt;EndNote&gt;&lt;Cite&gt;&lt;Author&gt;Jeggo&lt;/Author&gt;&lt;Year&gt;2016&lt;/Year&gt;&lt;IDText&gt;DNA repair, genome stability and cancer: a historical perspective&lt;/IDText&gt;&lt;DisplayText&gt;(Jeggo et al., 2016)&lt;/DisplayText&gt;&lt;record&gt;&lt;dates&gt;&lt;pub-dates&gt;&lt;date&gt;01&lt;/date&gt;&lt;/pub-dates&gt;&lt;year&gt;2016&lt;/year&gt;&lt;/dates&gt;&lt;keywords&gt;&lt;keyword&gt;Animals&lt;/keyword&gt;&lt;keyword&gt;DNA Repair&lt;/keyword&gt;&lt;keyword&gt;Genetic Research&lt;/keyword&gt;&lt;keyword&gt;Genomic Instability&lt;/keyword&gt;&lt;keyword&gt;History, 20th Century&lt;/keyword&gt;&lt;keyword&gt;Humans&lt;/keyword&gt;&lt;keyword&gt;Neoplasms&lt;/keyword&gt;&lt;/keywords&gt;&lt;urls&gt;&lt;related-urls&gt;&lt;url&gt;https://www.ncbi.nlm.nih.gov/pubmed/26667849&lt;/url&gt;&lt;/related-urls&gt;&lt;/urls&gt;&lt;isbn&gt;1474-1768&lt;/isbn&gt;&lt;titles&gt;&lt;title&gt;DNA repair, genome stability and cancer: a historical perspective&lt;/title&gt;&lt;secondary-title&gt;Nat Rev Cancer&lt;/secondary-title&gt;&lt;/titles&gt;&lt;pages&gt;35-42&lt;/pages&gt;&lt;number&gt;1&lt;/number&gt;&lt;contributors&gt;&lt;authors&gt;&lt;author&gt;Jeggo, P. A.&lt;/author&gt;&lt;author&gt;Pearl, L. H.&lt;/author&gt;&lt;author&gt;Carr, A. M.&lt;/author&gt;&lt;/authors&gt;&lt;/contributors&gt;&lt;edition&gt;2015/12/15&lt;/edition&gt;&lt;language&gt;eng&lt;/language&gt;&lt;added-date format="utc"&gt;1517574462&lt;/added-date&gt;&lt;ref-type name="Journal Article"&gt;17&lt;/ref-type&gt;&lt;rec-number&gt;393&lt;/rec-number&gt;&lt;last-updated-date format="utc"&gt;1517574462&lt;/last-updated-date&gt;&lt;accession-num&gt;26667849&lt;/accession-num&gt;&lt;electronic-resource-num&gt;10.1038/nrc.2015.4&lt;/electronic-resource-num&gt;&lt;volume&gt;16&lt;/volume&gt;&lt;/record&gt;&lt;/Cite&gt;&lt;/EndNote&gt;</w:instrText>
      </w:r>
      <w:r w:rsidR="0028321A">
        <w:rPr>
          <w:rFonts w:asciiTheme="majorHAnsi" w:hAnsiTheme="majorHAnsi"/>
          <w:lang w:val="en-US"/>
        </w:rPr>
        <w:fldChar w:fldCharType="separate"/>
      </w:r>
      <w:r w:rsidR="0028321A">
        <w:rPr>
          <w:rFonts w:asciiTheme="majorHAnsi" w:hAnsiTheme="majorHAnsi"/>
          <w:noProof/>
          <w:lang w:val="en-US"/>
        </w:rPr>
        <w:t>(Jeggo et al., 2016)</w:t>
      </w:r>
      <w:r w:rsidR="0028321A">
        <w:rPr>
          <w:rFonts w:asciiTheme="majorHAnsi" w:hAnsiTheme="majorHAnsi"/>
          <w:lang w:val="en-US"/>
        </w:rPr>
        <w:fldChar w:fldCharType="end"/>
      </w:r>
      <w:r>
        <w:rPr>
          <w:rFonts w:asciiTheme="majorHAnsi" w:hAnsiTheme="majorHAnsi"/>
          <w:lang w:val="en-US"/>
        </w:rPr>
        <w:t xml:space="preserve">. </w:t>
      </w:r>
      <w:r w:rsidR="00EA7CDB" w:rsidRPr="00664ECC">
        <w:rPr>
          <w:rFonts w:asciiTheme="majorHAnsi" w:hAnsiTheme="majorHAnsi"/>
          <w:i/>
          <w:lang w:val="en-US"/>
        </w:rPr>
        <w:t>SRCAP</w:t>
      </w:r>
      <w:r w:rsidR="00EA7CDB">
        <w:rPr>
          <w:rFonts w:asciiTheme="majorHAnsi" w:hAnsiTheme="majorHAnsi"/>
          <w:lang w:val="en-US"/>
        </w:rPr>
        <w:t xml:space="preserve"> was the gene chosen for further investigation out of a list of five genes (Appendix 1), due to already published resear</w:t>
      </w:r>
      <w:r w:rsidR="001162CB">
        <w:rPr>
          <w:rFonts w:asciiTheme="majorHAnsi" w:hAnsiTheme="majorHAnsi"/>
          <w:lang w:val="en-US"/>
        </w:rPr>
        <w:t>ch that showed it was also over-</w:t>
      </w:r>
      <w:r w:rsidR="00EA7CDB">
        <w:rPr>
          <w:rFonts w:asciiTheme="majorHAnsi" w:hAnsiTheme="majorHAnsi"/>
          <w:lang w:val="en-US"/>
        </w:rPr>
        <w:t>expressed in a variety of different cancers including ovarian and breast</w:t>
      </w:r>
      <w:r w:rsidR="002A5200">
        <w:rPr>
          <w:rFonts w:asciiTheme="majorHAnsi" w:hAnsiTheme="majorHAnsi"/>
          <w:lang w:val="en-US"/>
        </w:rPr>
        <w:t xml:space="preserve"> cancer</w:t>
      </w:r>
      <w:r w:rsidR="00EA7CDB">
        <w:rPr>
          <w:rFonts w:asciiTheme="majorHAnsi" w:hAnsiTheme="majorHAnsi"/>
          <w:lang w:val="en-US"/>
        </w:rPr>
        <w:t xml:space="preserve"> </w:t>
      </w:r>
      <w:r w:rsidR="00EA7CDB">
        <w:rPr>
          <w:rFonts w:asciiTheme="majorHAnsi" w:hAnsiTheme="majorHAnsi"/>
          <w:lang w:val="en-US"/>
        </w:rPr>
        <w:fldChar w:fldCharType="begin">
          <w:fldData xml:space="preserve">PEVuZE5vdGU+PENpdGU+PEF1dGhvcj5TYW50aW48L0F1dGhvcj48WWVhcj4yMDA0PC9ZZWFyPjxJ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</w:fldData>
        </w:fldChar>
      </w:r>
      <w:r w:rsidR="00EA7CDB">
        <w:rPr>
          <w:rFonts w:asciiTheme="majorHAnsi" w:hAnsiTheme="majorHAnsi"/>
          <w:lang w:val="en-US"/>
        </w:rPr>
        <w:instrText xml:space="preserve"> ADDIN EN.CITE </w:instrText>
      </w:r>
      <w:r w:rsidR="00EA7CDB">
        <w:rPr>
          <w:rFonts w:asciiTheme="majorHAnsi" w:hAnsiTheme="majorHAnsi"/>
          <w:lang w:val="en-US"/>
        </w:rPr>
        <w:fldChar w:fldCharType="begin">
          <w:fldData xml:space="preserve">PEVuZE5vdGU+PENpdGU+PEF1dGhvcj5TYW50aW48L0F1dGhvcj48WWVhcj4yMDA0PC9ZZWFyPjxJ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</w:fldData>
        </w:fldChar>
      </w:r>
      <w:r w:rsidR="00EA7CDB">
        <w:rPr>
          <w:rFonts w:asciiTheme="majorHAnsi" w:hAnsiTheme="majorHAnsi"/>
          <w:lang w:val="en-US"/>
        </w:rPr>
        <w:instrText xml:space="preserve"> ADDIN EN.CITE.DATA </w:instrText>
      </w:r>
      <w:r w:rsidR="00EA7CDB">
        <w:rPr>
          <w:rFonts w:asciiTheme="majorHAnsi" w:hAnsiTheme="majorHAnsi"/>
          <w:lang w:val="en-US"/>
        </w:rPr>
      </w:r>
      <w:r w:rsidR="00EA7CDB">
        <w:rPr>
          <w:rFonts w:asciiTheme="majorHAnsi" w:hAnsiTheme="majorHAnsi"/>
          <w:lang w:val="en-US"/>
        </w:rPr>
        <w:fldChar w:fldCharType="end"/>
      </w:r>
      <w:r w:rsidR="00EA7CDB">
        <w:rPr>
          <w:rFonts w:asciiTheme="majorHAnsi" w:hAnsiTheme="majorHAnsi"/>
          <w:lang w:val="en-US"/>
        </w:rPr>
      </w:r>
      <w:r w:rsidR="00EA7CDB">
        <w:rPr>
          <w:rFonts w:asciiTheme="majorHAnsi" w:hAnsiTheme="majorHAnsi"/>
          <w:lang w:val="en-US"/>
        </w:rPr>
        <w:fldChar w:fldCharType="separate"/>
      </w:r>
      <w:r w:rsidR="00EA7CDB">
        <w:rPr>
          <w:rFonts w:asciiTheme="majorHAnsi" w:hAnsiTheme="majorHAnsi"/>
          <w:noProof/>
          <w:lang w:val="en-US"/>
        </w:rPr>
        <w:t>(Santin et al., 2004, Zucchi et al., 2004)</w:t>
      </w:r>
      <w:r w:rsidR="00EA7CDB">
        <w:rPr>
          <w:rFonts w:asciiTheme="majorHAnsi" w:hAnsiTheme="majorHAnsi"/>
          <w:lang w:val="en-US"/>
        </w:rPr>
        <w:fldChar w:fldCharType="end"/>
      </w:r>
      <w:r w:rsidR="00EA7CDB">
        <w:rPr>
          <w:rFonts w:asciiTheme="majorHAnsi" w:hAnsiTheme="majorHAnsi"/>
          <w:lang w:val="en-US"/>
        </w:rPr>
        <w:t xml:space="preserve">.  </w:t>
      </w:r>
      <w:r w:rsidR="00EA7CDB" w:rsidRPr="00D60C3B">
        <w:rPr>
          <w:rFonts w:asciiTheme="majorHAnsi" w:hAnsiTheme="majorHAnsi"/>
          <w:i/>
          <w:lang w:val="en-US"/>
        </w:rPr>
        <w:t>SRCAP</w:t>
      </w:r>
      <w:r w:rsidR="001162CB">
        <w:rPr>
          <w:rFonts w:asciiTheme="majorHAnsi" w:hAnsiTheme="majorHAnsi"/>
          <w:i/>
          <w:lang w:val="en-US"/>
        </w:rPr>
        <w:t xml:space="preserve"> </w:t>
      </w:r>
      <w:r w:rsidR="001162CB">
        <w:rPr>
          <w:rFonts w:asciiTheme="majorHAnsi" w:hAnsiTheme="majorHAnsi"/>
          <w:lang w:val="en-US"/>
        </w:rPr>
        <w:t>over-</w:t>
      </w:r>
      <w:r w:rsidR="00EA7CDB">
        <w:rPr>
          <w:rFonts w:asciiTheme="majorHAnsi" w:hAnsiTheme="majorHAnsi"/>
          <w:lang w:val="en-US"/>
        </w:rPr>
        <w:t xml:space="preserve">expression in prostate cancer </w:t>
      </w:r>
      <w:r w:rsidR="00235EBF">
        <w:rPr>
          <w:rFonts w:asciiTheme="majorHAnsi" w:hAnsiTheme="majorHAnsi"/>
          <w:lang w:val="en-US"/>
        </w:rPr>
        <w:t xml:space="preserve">has </w:t>
      </w:r>
      <w:r w:rsidR="00EA7CDB">
        <w:rPr>
          <w:rFonts w:asciiTheme="majorHAnsi" w:hAnsiTheme="majorHAnsi"/>
          <w:lang w:val="en-US"/>
        </w:rPr>
        <w:t xml:space="preserve">also </w:t>
      </w:r>
      <w:r w:rsidR="00235EBF">
        <w:rPr>
          <w:rFonts w:asciiTheme="majorHAnsi" w:hAnsiTheme="majorHAnsi"/>
          <w:lang w:val="en-US"/>
        </w:rPr>
        <w:t xml:space="preserve">been shown to correlate with </w:t>
      </w:r>
      <w:r w:rsidR="00EA7CDB">
        <w:rPr>
          <w:rFonts w:asciiTheme="majorHAnsi" w:hAnsiTheme="majorHAnsi"/>
          <w:lang w:val="en-US"/>
        </w:rPr>
        <w:t>a pro-proliferative role</w:t>
      </w:r>
      <w:r w:rsidR="002A5200">
        <w:rPr>
          <w:rFonts w:asciiTheme="majorHAnsi" w:hAnsiTheme="majorHAnsi"/>
          <w:lang w:val="en-US"/>
        </w:rPr>
        <w:t>, and its subsequent knock</w:t>
      </w:r>
      <w:r w:rsidR="00EA7CDB">
        <w:rPr>
          <w:rFonts w:asciiTheme="majorHAnsi" w:hAnsiTheme="majorHAnsi"/>
          <w:lang w:val="en-US"/>
        </w:rPr>
        <w:t xml:space="preserve">down resulted in a decrease in cellular growth </w:t>
      </w:r>
      <w:r w:rsidR="00EA7CDB">
        <w:rPr>
          <w:rFonts w:asciiTheme="majorHAnsi" w:hAnsiTheme="majorHAnsi"/>
          <w:lang w:val="en-US"/>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sidR="00EA7CDB">
        <w:rPr>
          <w:rFonts w:asciiTheme="majorHAnsi" w:hAnsiTheme="majorHAnsi"/>
          <w:lang w:val="en-US"/>
        </w:rPr>
        <w:instrText xml:space="preserve"> ADDIN EN.CITE </w:instrText>
      </w:r>
      <w:r w:rsidR="00EA7CDB">
        <w:rPr>
          <w:rFonts w:asciiTheme="majorHAnsi" w:hAnsiTheme="majorHAnsi"/>
          <w:lang w:val="en-US"/>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sidR="00EA7CDB">
        <w:rPr>
          <w:rFonts w:asciiTheme="majorHAnsi" w:hAnsiTheme="majorHAnsi"/>
          <w:lang w:val="en-US"/>
        </w:rPr>
        <w:instrText xml:space="preserve"> ADDIN EN.CITE.DATA </w:instrText>
      </w:r>
      <w:r w:rsidR="00EA7CDB">
        <w:rPr>
          <w:rFonts w:asciiTheme="majorHAnsi" w:hAnsiTheme="majorHAnsi"/>
          <w:lang w:val="en-US"/>
        </w:rPr>
      </w:r>
      <w:r w:rsidR="00EA7CDB">
        <w:rPr>
          <w:rFonts w:asciiTheme="majorHAnsi" w:hAnsiTheme="majorHAnsi"/>
          <w:lang w:val="en-US"/>
        </w:rPr>
        <w:fldChar w:fldCharType="end"/>
      </w:r>
      <w:r w:rsidR="00EA7CDB">
        <w:rPr>
          <w:rFonts w:asciiTheme="majorHAnsi" w:hAnsiTheme="majorHAnsi"/>
          <w:lang w:val="en-US"/>
        </w:rPr>
      </w:r>
      <w:r w:rsidR="00EA7CDB">
        <w:rPr>
          <w:rFonts w:asciiTheme="majorHAnsi" w:hAnsiTheme="majorHAnsi"/>
          <w:lang w:val="en-US"/>
        </w:rPr>
        <w:fldChar w:fldCharType="separate"/>
      </w:r>
      <w:r w:rsidR="00EA7CDB">
        <w:rPr>
          <w:rFonts w:asciiTheme="majorHAnsi" w:hAnsiTheme="majorHAnsi"/>
          <w:noProof/>
          <w:lang w:val="en-US"/>
        </w:rPr>
        <w:t>(Slupianek et al., 2010)</w:t>
      </w:r>
      <w:r w:rsidR="00EA7CDB">
        <w:rPr>
          <w:rFonts w:asciiTheme="majorHAnsi" w:hAnsiTheme="majorHAnsi"/>
          <w:lang w:val="en-US"/>
        </w:rPr>
        <w:fldChar w:fldCharType="end"/>
      </w:r>
      <w:r w:rsidR="002A5200">
        <w:rPr>
          <w:rFonts w:asciiTheme="majorHAnsi" w:hAnsiTheme="majorHAnsi"/>
          <w:lang w:val="en-US"/>
        </w:rPr>
        <w:t>, i</w:t>
      </w:r>
      <w:r w:rsidR="00EA7CDB">
        <w:rPr>
          <w:rFonts w:asciiTheme="majorHAnsi" w:hAnsiTheme="majorHAnsi"/>
          <w:lang w:val="en-US"/>
        </w:rPr>
        <w:t xml:space="preserve">ndicating it may play a vital role in tumour progression. </w:t>
      </w:r>
      <w:r w:rsidR="002A5200">
        <w:rPr>
          <w:rFonts w:asciiTheme="majorHAnsi" w:hAnsiTheme="majorHAnsi"/>
          <w:lang w:val="en-US"/>
        </w:rPr>
        <w:t>SRCAP</w:t>
      </w:r>
      <w:r w:rsidR="00581C53">
        <w:rPr>
          <w:rFonts w:asciiTheme="majorHAnsi" w:hAnsiTheme="majorHAnsi"/>
          <w:lang w:val="en-US"/>
        </w:rPr>
        <w:t>’</w:t>
      </w:r>
      <w:r w:rsidR="002A5200">
        <w:rPr>
          <w:rFonts w:asciiTheme="majorHAnsi" w:hAnsiTheme="majorHAnsi"/>
          <w:lang w:val="en-US"/>
        </w:rPr>
        <w:t>s</w:t>
      </w:r>
      <w:r>
        <w:rPr>
          <w:rFonts w:asciiTheme="majorHAnsi" w:hAnsiTheme="majorHAnsi"/>
          <w:lang w:val="en-US"/>
        </w:rPr>
        <w:t xml:space="preserve"> function is to utilize ATP hydrolysis to </w:t>
      </w:r>
      <w:r w:rsidR="00BD3DDF">
        <w:rPr>
          <w:rFonts w:asciiTheme="majorHAnsi" w:hAnsiTheme="majorHAnsi"/>
          <w:lang w:val="en-US"/>
        </w:rPr>
        <w:t>exchange</w:t>
      </w:r>
      <w:r>
        <w:rPr>
          <w:rFonts w:asciiTheme="majorHAnsi" w:hAnsiTheme="majorHAnsi"/>
          <w:lang w:val="en-US"/>
        </w:rPr>
        <w:t xml:space="preserve"> the H2A-H2B dimer for the variant H2A.Z-H2B in the nucleosome; the inclusion of this variant within the nucleosome has been shown to both positively and negatively regulate transcription depending on other factors of the histone code which are in play </w:t>
      </w:r>
      <w:r>
        <w:rPr>
          <w:rFonts w:asciiTheme="majorHAnsi" w:hAnsiTheme="majorHAnsi"/>
          <w:lang w:val="en-US"/>
        </w:rPr>
        <w:fldChar w:fldCharType="begin"/>
      </w:r>
      <w:r>
        <w:rPr>
          <w:rFonts w:asciiTheme="majorHAnsi" w:hAnsiTheme="majorHAnsi"/>
          <w:lang w:val="en-US"/>
        </w:rPr>
        <w:instrText xml:space="preserve"> ADDIN EN.CITE &lt;EndNote&gt;&lt;Cite&gt;&lt;Author&gt;Brahma&lt;/Author&gt;&lt;Year&gt;2017&lt;/Year&gt;&lt;IDText&gt;INO80 exchanges H2A.Z for H2A by translocating on DNA proximal to histone dimers&lt;/IDText&gt;&lt;DisplayText&gt;(Brahma et al., 2017)&lt;/DisplayText&gt;&lt;record&gt;&lt;dates&gt;&lt;pub-dates&gt;&lt;date&gt;Jun&lt;/date&gt;&lt;/pub-dates&gt;&lt;year&gt;2017&lt;/year&gt;&lt;/dates&gt;&lt;urls&gt;&lt;related-urls&gt;&lt;url&gt;https://www.ncbi.nlm.nih.gov/pubmed/28604691&lt;/url&gt;&lt;/related-urls&gt;&lt;/urls&gt;&lt;isbn&gt;2041-1723&lt;/isbn&gt;&lt;custom2&gt;PMC5472786&lt;/custom2&gt;&lt;titles&gt;&lt;title&gt;INO80 exchanges H2A.Z for H2A by translocating on DNA proximal to histone dimers&lt;/title&gt;&lt;secondary-title&gt;Nat Commun&lt;/secondary-title&gt;&lt;/titles&gt;&lt;pages&gt;15616&lt;/pages&gt;&lt;contributors&gt;&lt;authors&gt;&lt;author&gt;Brahma, S.&lt;/author&gt;&lt;author&gt;Udugama, M. I.&lt;/author&gt;&lt;author&gt;Kim, J.&lt;/author&gt;&lt;author&gt;Hada, A.&lt;/author&gt;&lt;author&gt;Bhardwaj, S. K.&lt;/author&gt;&lt;author&gt;Hailu, S. G.&lt;/author&gt;&lt;author&gt;Lee, T. H.&lt;/author&gt;&lt;author&gt;Bartholomew, B.&lt;/author&gt;&lt;/authors&gt;&lt;/contributors&gt;&lt;edition&gt;2017/06/12&lt;/edition&gt;&lt;language&gt;eng&lt;/language&gt;&lt;added-date format="utc"&gt;1509984335&lt;/added-date&gt;&lt;ref-type name="Journal Article"&gt;17&lt;/ref-type&gt;&lt;rec-number&gt;341&lt;/rec-number&gt;&lt;last-updated-date format="utc"&gt;1509984335&lt;/last-updated-date&gt;&lt;accession-num&gt;28604691&lt;/accession-num&gt;&lt;electronic-resource-num&gt;10.1038/ncomms15616&lt;/electronic-resource-num&gt;&lt;volume&gt;8&lt;/volume&gt;&lt;/record&gt;&lt;/Cite&gt;&lt;/EndNote&gt;</w:instrText>
      </w:r>
      <w:r>
        <w:rPr>
          <w:rFonts w:asciiTheme="majorHAnsi" w:hAnsiTheme="majorHAnsi"/>
          <w:lang w:val="en-US"/>
        </w:rPr>
        <w:fldChar w:fldCharType="separate"/>
      </w:r>
      <w:r>
        <w:rPr>
          <w:rFonts w:asciiTheme="majorHAnsi" w:hAnsiTheme="majorHAnsi"/>
          <w:noProof/>
          <w:lang w:val="en-US"/>
        </w:rPr>
        <w:t>(Brahma et al., 2017)</w:t>
      </w:r>
      <w:r>
        <w:rPr>
          <w:rFonts w:asciiTheme="majorHAnsi" w:hAnsiTheme="majorHAnsi"/>
          <w:lang w:val="en-US"/>
        </w:rPr>
        <w:fldChar w:fldCharType="end"/>
      </w:r>
      <w:r>
        <w:rPr>
          <w:rFonts w:asciiTheme="majorHAnsi" w:hAnsiTheme="majorHAnsi"/>
          <w:lang w:val="en-US"/>
        </w:rPr>
        <w:t xml:space="preserve">. </w:t>
      </w:r>
      <w:r w:rsidR="00581C53">
        <w:rPr>
          <w:rFonts w:asciiTheme="majorHAnsi" w:hAnsiTheme="majorHAnsi"/>
          <w:lang w:val="en-US"/>
        </w:rPr>
        <w:t xml:space="preserve">SRCAP has also has been reported to play a role in DNA repair mechanisms (Dong et al., 2014). </w:t>
      </w:r>
      <w:r w:rsidR="00BD3DDF">
        <w:rPr>
          <w:rFonts w:asciiTheme="majorHAnsi" w:hAnsiTheme="majorHAnsi"/>
          <w:lang w:val="en-US"/>
        </w:rPr>
        <w:t>As such, alterations in SRCAP expression could impact expression of genes involved in tumour development and/or progression.</w:t>
      </w:r>
    </w:p>
    <w:p w14:paraId="465FBDAB" w14:textId="77777777" w:rsidR="0054324F" w:rsidRDefault="0054324F" w:rsidP="007053FB">
      <w:pPr>
        <w:spacing w:line="360" w:lineRule="auto"/>
        <w:jc w:val="both"/>
        <w:rPr>
          <w:rFonts w:asciiTheme="majorHAnsi" w:hAnsiTheme="majorHAnsi"/>
          <w:lang w:val="en-US"/>
        </w:rPr>
      </w:pPr>
    </w:p>
    <w:p w14:paraId="57FFEAD3" w14:textId="77D48ECF" w:rsidR="0054324F" w:rsidRDefault="0054324F" w:rsidP="007053FB">
      <w:pPr>
        <w:spacing w:line="360" w:lineRule="auto"/>
        <w:jc w:val="both"/>
        <w:rPr>
          <w:rFonts w:asciiTheme="majorHAnsi" w:hAnsiTheme="majorHAnsi"/>
          <w:lang w:val="en-US"/>
        </w:rPr>
      </w:pPr>
      <w:r>
        <w:rPr>
          <w:rFonts w:asciiTheme="majorHAnsi" w:hAnsiTheme="majorHAnsi"/>
          <w:lang w:val="en-US"/>
        </w:rPr>
        <w:t xml:space="preserve">Research into </w:t>
      </w:r>
      <w:r w:rsidR="00CF3BBD" w:rsidRPr="00CF3BBD">
        <w:rPr>
          <w:rFonts w:asciiTheme="majorHAnsi" w:hAnsiTheme="majorHAnsi"/>
          <w:i/>
          <w:lang w:val="en-US"/>
        </w:rPr>
        <w:t>SRCAP</w:t>
      </w:r>
      <w:r>
        <w:rPr>
          <w:rFonts w:asciiTheme="majorHAnsi" w:hAnsiTheme="majorHAnsi"/>
          <w:lang w:val="en-US"/>
        </w:rPr>
        <w:t xml:space="preserve"> is </w:t>
      </w:r>
      <w:r w:rsidR="00581C53">
        <w:rPr>
          <w:rFonts w:asciiTheme="majorHAnsi" w:hAnsiTheme="majorHAnsi"/>
          <w:lang w:val="en-US"/>
        </w:rPr>
        <w:t>currently very</w:t>
      </w:r>
      <w:r>
        <w:rPr>
          <w:rFonts w:asciiTheme="majorHAnsi" w:hAnsiTheme="majorHAnsi"/>
          <w:lang w:val="en-US"/>
        </w:rPr>
        <w:t xml:space="preserve"> relevant</w:t>
      </w:r>
      <w:r w:rsidR="00CF3BBD">
        <w:rPr>
          <w:rFonts w:asciiTheme="majorHAnsi" w:hAnsiTheme="majorHAnsi"/>
          <w:lang w:val="en-US"/>
        </w:rPr>
        <w:t>,</w:t>
      </w:r>
      <w:r>
        <w:rPr>
          <w:rFonts w:asciiTheme="majorHAnsi" w:hAnsiTheme="majorHAnsi"/>
          <w:lang w:val="en-US"/>
        </w:rPr>
        <w:t xml:space="preserve"> as cancer drug discovery utilizing epigenetic targets and especially chromatin remodelers </w:t>
      </w:r>
      <w:r w:rsidR="00E52A05">
        <w:rPr>
          <w:rFonts w:asciiTheme="majorHAnsi" w:hAnsiTheme="majorHAnsi"/>
          <w:lang w:val="en-US"/>
        </w:rPr>
        <w:t xml:space="preserve">is coming to the forefront of therapeutics </w:t>
      </w:r>
      <w:r w:rsidR="00E52A05">
        <w:rPr>
          <w:rFonts w:asciiTheme="majorHAnsi" w:hAnsiTheme="majorHAnsi"/>
          <w:lang w:val="en-US"/>
        </w:rPr>
        <w:fldChar w:fldCharType="begin"/>
      </w:r>
      <w:r w:rsidR="00E52A05">
        <w:rPr>
          <w:rFonts w:asciiTheme="majorHAnsi" w:hAnsiTheme="majorHAnsi"/>
          <w:lang w:val="en-US"/>
        </w:rPr>
        <w:instrText xml:space="preserve"> ADDIN EN.CITE &lt;EndNote&gt;&lt;Cite&gt;&lt;Author&gt;Bhattacharjee&lt;/Author&gt;&lt;Year&gt;2016&lt;/Year&gt;&lt;IDText&gt;DNA Methylation and Chromatin Remodeling: The Blueprint of Cancer Epigenetics&lt;/IDText&gt;&lt;DisplayText&gt;(Bhattacharjee et al., 2016)&lt;/DisplayText&gt;&lt;record&gt;&lt;urls&gt;&lt;related-urls&gt;&lt;url&gt;https://www.ncbi.nlm.nih.gov/pubmed/27119045&lt;/url&gt;&lt;/related-urls&gt;&lt;/urls&gt;&lt;isbn&gt;2090-908X&lt;/isbn&gt;&lt;custom2&gt;PMC4826949&lt;/custom2&gt;&lt;titles&gt;&lt;title&gt;DNA Methylation and Chromatin Remodeling: The Blueprint of Cancer Epigenetics&lt;/title&gt;&lt;secondary-title&gt;Scientifica (Cairo)&lt;/secondary-title&gt;&lt;/titles&gt;&lt;pages&gt;6072357&lt;/pages&gt;&lt;contributors&gt;&lt;authors&gt;&lt;author&gt;Bhattacharjee, D.&lt;/author&gt;&lt;author&gt;Shenoy, S.&lt;/author&gt;&lt;author&gt;Bairy, K. L.&lt;/author&gt;&lt;/authors&gt;&lt;/contributors&gt;&lt;language&gt;eng&lt;/language&gt;&lt;added-date format="utc"&gt;1469460136&lt;/added-date&gt;&lt;ref-type name="Journal Article"&gt;17&lt;/ref-type&gt;&lt;dates&gt;&lt;year&gt;2016&lt;/year&gt;&lt;/dates&gt;&lt;rec-number&gt;164&lt;/rec-number&gt;&lt;last-updated-date format="utc"&gt;1469460136&lt;/last-updated-date&gt;&lt;accession-num&gt;27119045&lt;/accession-num&gt;&lt;electronic-resource-num&gt;10.1155/2016/6072357&lt;/electronic-resource-num&gt;&lt;volume&gt;2016&lt;/volume&gt;&lt;/record&gt;&lt;/Cite&gt;&lt;/EndNote&gt;</w:instrText>
      </w:r>
      <w:r w:rsidR="00E52A05">
        <w:rPr>
          <w:rFonts w:asciiTheme="majorHAnsi" w:hAnsiTheme="majorHAnsi"/>
          <w:lang w:val="en-US"/>
        </w:rPr>
        <w:fldChar w:fldCharType="separate"/>
      </w:r>
      <w:r w:rsidR="00E52A05">
        <w:rPr>
          <w:rFonts w:asciiTheme="majorHAnsi" w:hAnsiTheme="majorHAnsi"/>
          <w:noProof/>
          <w:lang w:val="en-US"/>
        </w:rPr>
        <w:t>(Bhattacharjee et al., 2016)</w:t>
      </w:r>
      <w:r w:rsidR="00E52A05">
        <w:rPr>
          <w:rFonts w:asciiTheme="majorHAnsi" w:hAnsiTheme="majorHAnsi"/>
          <w:lang w:val="en-US"/>
        </w:rPr>
        <w:fldChar w:fldCharType="end"/>
      </w:r>
      <w:r w:rsidR="00E52A05">
        <w:rPr>
          <w:rFonts w:asciiTheme="majorHAnsi" w:hAnsiTheme="majorHAnsi"/>
          <w:lang w:val="en-US"/>
        </w:rPr>
        <w:t xml:space="preserve">. In fact HDACi are now approved by the FDA </w:t>
      </w:r>
      <w:r w:rsidR="00CF3BBD">
        <w:rPr>
          <w:rFonts w:asciiTheme="majorHAnsi" w:hAnsiTheme="majorHAnsi"/>
          <w:lang w:val="en-US"/>
        </w:rPr>
        <w:t>for</w:t>
      </w:r>
      <w:r w:rsidR="00E52A05">
        <w:rPr>
          <w:rFonts w:asciiTheme="majorHAnsi" w:hAnsiTheme="majorHAnsi"/>
          <w:lang w:val="en-US"/>
        </w:rPr>
        <w:t xml:space="preserve"> hematological malignancies</w:t>
      </w:r>
      <w:r w:rsidR="00CF3BBD">
        <w:rPr>
          <w:rFonts w:asciiTheme="majorHAnsi" w:hAnsiTheme="majorHAnsi"/>
          <w:lang w:val="en-US"/>
        </w:rPr>
        <w:t>,</w:t>
      </w:r>
      <w:r w:rsidR="00E52A05">
        <w:rPr>
          <w:rFonts w:asciiTheme="majorHAnsi" w:hAnsiTheme="majorHAnsi"/>
          <w:lang w:val="en-US"/>
        </w:rPr>
        <w:t xml:space="preserve"> and are in clinical trials for solid malignancies </w:t>
      </w:r>
      <w:r w:rsidR="00E52A05">
        <w:rPr>
          <w:rFonts w:asciiTheme="majorHAnsi" w:hAnsiTheme="majorHAnsi"/>
          <w:lang w:val="en-US"/>
        </w:rPr>
        <w:fldChar w:fldCharType="begin"/>
      </w:r>
      <w:r w:rsidR="00E52A05">
        <w:rPr>
          <w:rFonts w:asciiTheme="majorHAnsi" w:hAnsiTheme="majorHAnsi"/>
          <w:lang w:val="en-US"/>
        </w:rPr>
        <w:instrText xml:space="preserve"> ADDIN EN.CITE &lt;EndNote&gt;&lt;Cite&gt;&lt;Author&gt;Morel&lt;/Author&gt;&lt;Year&gt;2017&lt;/Year&gt;&lt;IDText&gt;Targeting chromatin defects in selected solid tumors based on oncogene addiction, synthetic lethality and epigenetic antagonism&lt;/IDText&gt;&lt;DisplayText&gt;(Morel et al., 2017)&lt;/DisplayText&gt;&lt;record&gt;&lt;dates&gt;&lt;pub-dates&gt;&lt;date&gt;02&lt;/date&gt;&lt;/pub-dates&gt;&lt;year&gt;2017&lt;/year&gt;&lt;/dates&gt;&lt;urls&gt;&lt;related-urls&gt;&lt;url&gt;https://www.ncbi.nlm.nih.gov/pubmed/28426098&lt;/url&gt;&lt;/related-urls&gt;&lt;/urls&gt;&lt;isbn&gt;1569-8041&lt;/isbn&gt;&lt;titles&gt;&lt;title&gt;Targeting chromatin defects in selected solid tumors based on oncogene addiction, synthetic lethality and epigenetic antagonism&lt;/title&gt;&lt;secondary-title&gt;Ann Oncol&lt;/secondary-title&gt;&lt;/titles&gt;&lt;pages&gt;254-269&lt;/pages&gt;&lt;number&gt;2&lt;/number&gt;&lt;contributors&gt;&lt;authors&gt;&lt;author&gt;Morel, D.&lt;/author&gt;&lt;author&gt;Almouzni, G.&lt;/author&gt;&lt;author&gt;Soria, J. C.&lt;/author&gt;&lt;author&gt;Postel-Vinay, S.&lt;/author&gt;&lt;/authors&gt;&lt;/contributors&gt;&lt;language&gt;eng&lt;/language&gt;&lt;added-date format="utc"&gt;1509456889&lt;/added-date&gt;&lt;ref-type name="Journal Article"&gt;17&lt;/ref-type&gt;&lt;rec-number&gt;323&lt;/rec-number&gt;&lt;last-updated-date format="utc"&gt;1509456889&lt;/last-updated-date&gt;&lt;accession-num&gt;28426098&lt;/accession-num&gt;&lt;electronic-resource-num&gt;10.1093/annonc/mdw552&lt;/electronic-resource-num&gt;&lt;volume&gt;28&lt;/volume&gt;&lt;/record&gt;&lt;/Cite&gt;&lt;/EndNote&gt;</w:instrText>
      </w:r>
      <w:r w:rsidR="00E52A05">
        <w:rPr>
          <w:rFonts w:asciiTheme="majorHAnsi" w:hAnsiTheme="majorHAnsi"/>
          <w:lang w:val="en-US"/>
        </w:rPr>
        <w:fldChar w:fldCharType="separate"/>
      </w:r>
      <w:r w:rsidR="00E52A05">
        <w:rPr>
          <w:rFonts w:asciiTheme="majorHAnsi" w:hAnsiTheme="majorHAnsi"/>
          <w:noProof/>
          <w:lang w:val="en-US"/>
        </w:rPr>
        <w:t>(Morel et al., 2017)</w:t>
      </w:r>
      <w:r w:rsidR="00E52A05">
        <w:rPr>
          <w:rFonts w:asciiTheme="majorHAnsi" w:hAnsiTheme="majorHAnsi"/>
          <w:lang w:val="en-US"/>
        </w:rPr>
        <w:fldChar w:fldCharType="end"/>
      </w:r>
      <w:r w:rsidR="00E52A05">
        <w:rPr>
          <w:rFonts w:asciiTheme="majorHAnsi" w:hAnsiTheme="majorHAnsi"/>
          <w:lang w:val="en-US"/>
        </w:rPr>
        <w:t xml:space="preserve">.  ATP-chromatin remodelers, such as SRCAP, have recently been found to be frequently mutated across all cancer types </w:t>
      </w:r>
      <w:r w:rsidR="00E52A05">
        <w:rPr>
          <w:rFonts w:asciiTheme="majorHAnsi" w:hAnsiTheme="majorHAnsi"/>
          <w:lang w:val="en-US"/>
        </w:rPr>
        <w:fldChar w:fldCharType="begin"/>
      </w:r>
      <w:r w:rsidR="00E52A05">
        <w:rPr>
          <w:rFonts w:asciiTheme="majorHAnsi" w:hAnsiTheme="majorHAnsi"/>
          <w:lang w:val="en-US"/>
        </w:rPr>
        <w:instrText xml:space="preserve"> ADDIN EN.CITE &lt;EndNote&gt;&lt;Cite&gt;&lt;Author&gt;Kadoch&lt;/Author&gt;&lt;Year&gt;2013&lt;/Year&gt;&lt;IDText&gt;Proteomic and bioinformatic analysis of mammalian SWI/SNF complexes identifies extensive roles in human malignancy&lt;/IDText&gt;&lt;DisplayText&gt;(Kadoch et al., 2013)&lt;/DisplayText&gt;&lt;record&gt;&lt;dates&gt;&lt;pub-dates&gt;&lt;date&gt;Jun&lt;/date&gt;&lt;/pub-dates&gt;&lt;year&gt;2013&lt;/year&gt;&lt;/dates&gt;&lt;keywords&gt;&lt;keyword&gt;Animals&lt;/keyword&gt;&lt;keyword&gt;Cells, Cultured&lt;/keyword&gt;&lt;keyword&gt;Chromosomal Proteins, Non-Histone&lt;/keyword&gt;&lt;keyword&gt;Gene Frequency&lt;/keyword&gt;&lt;keyword&gt;Genes, Tumor Suppressor&lt;/keyword&gt;&lt;keyword&gt;Humans&lt;/keyword&gt;&lt;keyword&gt;Mice&lt;/keyword&gt;&lt;keyword&gt;Mutation&lt;/keyword&gt;&lt;keyword&gt;Neoplasms&lt;/keyword&gt;&lt;keyword&gt;Oncogenes&lt;/keyword&gt;&lt;keyword&gt;Protein Subunits&lt;/keyword&gt;&lt;keyword&gt;Proteomics&lt;/keyword&gt;&lt;keyword&gt;Transcription Factors&lt;/keyword&gt;&lt;/keywords&gt;&lt;urls&gt;&lt;related-urls&gt;&lt;url&gt;https://www.ncbi.nlm.nih.gov/pubmed/23644491&lt;/url&gt;&lt;/related-urls&gt;&lt;/urls&gt;&lt;isbn&gt;1546-1718&lt;/isbn&gt;&lt;custom2&gt;PMC3667980&lt;/custom2&gt;&lt;titles&gt;&lt;title&gt;Proteomic and bioinformatic analysis of mammalian SWI/SNF complexes identifies extensive roles in human malignancy&lt;/title&gt;&lt;secondary-title&gt;Nat Genet&lt;/secondary-title&gt;&lt;/titles&gt;&lt;pages&gt;592-601&lt;/pages&gt;&lt;number&gt;6&lt;/number&gt;&lt;contributors&gt;&lt;authors&gt;&lt;author&gt;Kadoch, C.&lt;/author&gt;&lt;author&gt;Hargreaves, D. C.&lt;/author&gt;&lt;author&gt;Hodges, C.&lt;/author&gt;&lt;author&gt;Elias, L.&lt;/author&gt;&lt;author&gt;Ho, L.&lt;/author&gt;&lt;author&gt;Ranish, J.&lt;/author&gt;&lt;author&gt;Crabtree, G. R.&lt;/author&gt;&lt;/authors&gt;&lt;/contributors&gt;&lt;edition&gt;2013/05/05&lt;/edition&gt;&lt;language&gt;eng&lt;/language&gt;&lt;added-date format="utc"&gt;1497885685&lt;/added-date&gt;&lt;ref-type name="Journal Article"&gt;17&lt;/ref-type&gt;&lt;rec-number&gt;184&lt;/rec-number&gt;&lt;last-updated-date format="utc"&gt;1497885685&lt;/last-updated-date&gt;&lt;accession-num&gt;23644491&lt;/accession-num&gt;&lt;electronic-resource-num&gt;10.1038/ng.2628&lt;/electronic-resource-num&gt;&lt;volume&gt;45&lt;/volume&gt;&lt;/record&gt;&lt;/Cite&gt;&lt;/EndNote&gt;</w:instrText>
      </w:r>
      <w:r w:rsidR="00E52A05">
        <w:rPr>
          <w:rFonts w:asciiTheme="majorHAnsi" w:hAnsiTheme="majorHAnsi"/>
          <w:lang w:val="en-US"/>
        </w:rPr>
        <w:fldChar w:fldCharType="separate"/>
      </w:r>
      <w:r w:rsidR="00E52A05">
        <w:rPr>
          <w:rFonts w:asciiTheme="majorHAnsi" w:hAnsiTheme="majorHAnsi"/>
          <w:noProof/>
          <w:lang w:val="en-US"/>
        </w:rPr>
        <w:t>(Kadoch et al., 2013)</w:t>
      </w:r>
      <w:r w:rsidR="00E52A05">
        <w:rPr>
          <w:rFonts w:asciiTheme="majorHAnsi" w:hAnsiTheme="majorHAnsi"/>
          <w:lang w:val="en-US"/>
        </w:rPr>
        <w:fldChar w:fldCharType="end"/>
      </w:r>
      <w:r w:rsidR="00E52A05">
        <w:rPr>
          <w:rFonts w:asciiTheme="majorHAnsi" w:hAnsiTheme="majorHAnsi"/>
          <w:lang w:val="en-US"/>
        </w:rPr>
        <w:t xml:space="preserve">, and so could </w:t>
      </w:r>
      <w:r w:rsidR="00CF3BBD">
        <w:rPr>
          <w:rFonts w:asciiTheme="majorHAnsi" w:hAnsiTheme="majorHAnsi"/>
          <w:lang w:val="en-US"/>
        </w:rPr>
        <w:t>represent</w:t>
      </w:r>
      <w:r w:rsidR="00E52A05">
        <w:rPr>
          <w:rFonts w:asciiTheme="majorHAnsi" w:hAnsiTheme="majorHAnsi"/>
          <w:lang w:val="en-US"/>
        </w:rPr>
        <w:t xml:space="preserve"> a pool of untapped driver genes with therapeutic potential. </w:t>
      </w:r>
      <w:r w:rsidR="00CF3BBD">
        <w:rPr>
          <w:rFonts w:asciiTheme="majorHAnsi" w:hAnsiTheme="majorHAnsi"/>
          <w:lang w:val="en-US"/>
        </w:rPr>
        <w:t>However, no ATP-chromatin remodeler therapeutics are currently clinically used or in trials, as the mechanistic understanding is still deficient.</w:t>
      </w:r>
    </w:p>
    <w:p w14:paraId="39AE5D31" w14:textId="77777777" w:rsidR="007053FB" w:rsidRDefault="007053FB" w:rsidP="007053FB">
      <w:pPr>
        <w:spacing w:line="360" w:lineRule="auto"/>
        <w:jc w:val="both"/>
        <w:rPr>
          <w:rFonts w:asciiTheme="majorHAnsi" w:hAnsiTheme="majorHAnsi"/>
          <w:lang w:val="en-US"/>
        </w:rPr>
      </w:pPr>
    </w:p>
    <w:p w14:paraId="7139E97B" w14:textId="116950C9" w:rsidR="007053FB" w:rsidRDefault="007053FB" w:rsidP="007053FB">
      <w:pPr>
        <w:spacing w:line="360" w:lineRule="auto"/>
        <w:jc w:val="both"/>
        <w:rPr>
          <w:rFonts w:asciiTheme="majorHAnsi" w:hAnsiTheme="majorHAnsi"/>
          <w:u w:val="single"/>
          <w:lang w:val="en-US"/>
        </w:rPr>
      </w:pPr>
      <w:r>
        <w:rPr>
          <w:rFonts w:asciiTheme="majorHAnsi" w:hAnsiTheme="majorHAnsi"/>
          <w:u w:val="single"/>
          <w:lang w:val="en-US"/>
        </w:rPr>
        <w:t xml:space="preserve">7.2 </w:t>
      </w:r>
      <w:r w:rsidR="003F6AA5">
        <w:rPr>
          <w:rFonts w:asciiTheme="majorHAnsi" w:hAnsiTheme="majorHAnsi"/>
          <w:u w:val="single"/>
          <w:lang w:val="en-US"/>
        </w:rPr>
        <w:t>SRCAP over-</w:t>
      </w:r>
      <w:r w:rsidRPr="00CE7BFC">
        <w:rPr>
          <w:rFonts w:asciiTheme="majorHAnsi" w:hAnsiTheme="majorHAnsi"/>
          <w:u w:val="single"/>
          <w:lang w:val="en-US"/>
        </w:rPr>
        <w:t>expression</w:t>
      </w:r>
    </w:p>
    <w:p w14:paraId="55BEF4DD" w14:textId="77777777" w:rsidR="007053FB" w:rsidRPr="00CE7BFC" w:rsidRDefault="007053FB" w:rsidP="007053FB">
      <w:pPr>
        <w:spacing w:line="360" w:lineRule="auto"/>
        <w:jc w:val="both"/>
        <w:rPr>
          <w:rFonts w:asciiTheme="majorHAnsi" w:hAnsiTheme="majorHAnsi"/>
          <w:u w:val="single"/>
          <w:lang w:val="en-US"/>
        </w:rPr>
      </w:pPr>
    </w:p>
    <w:p w14:paraId="727EB7C1" w14:textId="0533A569" w:rsidR="00FD7648" w:rsidRDefault="0046517D" w:rsidP="007053FB">
      <w:pPr>
        <w:spacing w:line="360" w:lineRule="auto"/>
        <w:jc w:val="both"/>
        <w:rPr>
          <w:rFonts w:asciiTheme="majorHAnsi" w:hAnsiTheme="majorHAnsi"/>
          <w:lang w:val="en-US"/>
        </w:rPr>
      </w:pPr>
      <w:r>
        <w:rPr>
          <w:rFonts w:asciiTheme="majorHAnsi" w:hAnsiTheme="majorHAnsi"/>
          <w:lang w:val="en-US"/>
        </w:rPr>
        <w:t xml:space="preserve">SRCAP </w:t>
      </w:r>
      <w:proofErr w:type="gramStart"/>
      <w:r>
        <w:rPr>
          <w:rFonts w:asciiTheme="majorHAnsi" w:hAnsiTheme="majorHAnsi"/>
          <w:lang w:val="en-US"/>
        </w:rPr>
        <w:t>has previously been shown to be over-expressed</w:t>
      </w:r>
      <w:proofErr w:type="gramEnd"/>
      <w:r>
        <w:rPr>
          <w:rFonts w:asciiTheme="majorHAnsi" w:hAnsiTheme="majorHAnsi"/>
          <w:lang w:val="en-US"/>
        </w:rPr>
        <w:t xml:space="preserve"> in primary prostate samples, and confers a pro-proliferative role through interaction with the PSA promoter </w:t>
      </w:r>
      <w:r>
        <w:rPr>
          <w:rFonts w:asciiTheme="majorHAnsi" w:hAnsiTheme="majorHAnsi"/>
          <w:lang w:val="en-US"/>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Pr>
          <w:rFonts w:asciiTheme="majorHAnsi" w:hAnsiTheme="majorHAnsi"/>
          <w:lang w:val="en-US"/>
        </w:rPr>
        <w:instrText xml:space="preserve"> ADDIN EN.CITE </w:instrText>
      </w:r>
      <w:r>
        <w:rPr>
          <w:rFonts w:asciiTheme="majorHAnsi" w:hAnsiTheme="majorHAnsi"/>
          <w:lang w:val="en-US"/>
        </w:rPr>
        <w:fldChar w:fldCharType="begin">
          <w:fldData xml:space="preserve">PEVuZE5vdGU+PENpdGU+PEF1dGhvcj5TbHVwaWFuZWs8L0F1dGhvcj48WWVhcj4yMDEwPC9ZZWFy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</w:fldData>
        </w:fldChar>
      </w:r>
      <w:r>
        <w:rPr>
          <w:rFonts w:asciiTheme="majorHAnsi" w:hAnsiTheme="majorHAnsi"/>
          <w:lang w:val="en-US"/>
        </w:rPr>
        <w:instrText xml:space="preserve"> ADDIN EN.CITE.DATA </w:instrText>
      </w:r>
      <w:r>
        <w:rPr>
          <w:rFonts w:asciiTheme="majorHAnsi" w:hAnsiTheme="majorHAnsi"/>
          <w:lang w:val="en-US"/>
        </w:rPr>
      </w:r>
      <w:r>
        <w:rPr>
          <w:rFonts w:asciiTheme="majorHAnsi" w:hAnsiTheme="majorHAnsi"/>
          <w:lang w:val="en-US"/>
        </w:rPr>
        <w:fldChar w:fldCharType="end"/>
      </w:r>
      <w:r>
        <w:rPr>
          <w:rFonts w:asciiTheme="majorHAnsi" w:hAnsiTheme="majorHAnsi"/>
          <w:lang w:val="en-US"/>
        </w:rPr>
      </w:r>
      <w:r>
        <w:rPr>
          <w:rFonts w:asciiTheme="majorHAnsi" w:hAnsiTheme="majorHAnsi"/>
          <w:lang w:val="en-US"/>
        </w:rPr>
        <w:fldChar w:fldCharType="separate"/>
      </w:r>
      <w:r>
        <w:rPr>
          <w:rFonts w:asciiTheme="majorHAnsi" w:hAnsiTheme="majorHAnsi"/>
          <w:noProof/>
          <w:lang w:val="en-US"/>
        </w:rPr>
        <w:t>(Slupianek et al., 2010)</w:t>
      </w:r>
      <w:r>
        <w:rPr>
          <w:rFonts w:asciiTheme="majorHAnsi" w:hAnsiTheme="majorHAnsi"/>
          <w:lang w:val="en-US"/>
        </w:rPr>
        <w:fldChar w:fldCharType="end"/>
      </w:r>
      <w:r>
        <w:rPr>
          <w:rFonts w:asciiTheme="majorHAnsi" w:hAnsiTheme="majorHAnsi"/>
          <w:lang w:val="en-US"/>
        </w:rPr>
        <w:t>. Therefore</w:t>
      </w:r>
      <w:r w:rsidR="008B00BA">
        <w:rPr>
          <w:rFonts w:asciiTheme="majorHAnsi" w:hAnsiTheme="majorHAnsi"/>
          <w:lang w:val="en-US"/>
        </w:rPr>
        <w:t>, the establishment of over-</w:t>
      </w:r>
      <w:r w:rsidR="007053FB">
        <w:rPr>
          <w:rFonts w:asciiTheme="majorHAnsi" w:hAnsiTheme="majorHAnsi"/>
          <w:lang w:val="en-US"/>
        </w:rPr>
        <w:t>expressing CRC cells was attempted</w:t>
      </w:r>
      <w:r>
        <w:rPr>
          <w:rFonts w:asciiTheme="majorHAnsi" w:hAnsiTheme="majorHAnsi"/>
          <w:lang w:val="en-US"/>
        </w:rPr>
        <w:t xml:space="preserve"> in order to assess if this increase in SRCAP </w:t>
      </w:r>
      <w:r w:rsidR="000068B1">
        <w:rPr>
          <w:rFonts w:asciiTheme="majorHAnsi" w:hAnsiTheme="majorHAnsi"/>
          <w:lang w:val="en-US"/>
        </w:rPr>
        <w:t xml:space="preserve">levels in turn </w:t>
      </w:r>
      <w:r>
        <w:rPr>
          <w:rFonts w:asciiTheme="majorHAnsi" w:hAnsiTheme="majorHAnsi"/>
          <w:lang w:val="en-US"/>
        </w:rPr>
        <w:t>increased cellular growth, along with evaluation of other hallmarks of cancer</w:t>
      </w:r>
      <w:r w:rsidR="00B41667">
        <w:rPr>
          <w:rFonts w:asciiTheme="majorHAnsi" w:hAnsiTheme="majorHAnsi"/>
          <w:lang w:val="en-US"/>
        </w:rPr>
        <w:t xml:space="preserve"> in a colorectal model</w:t>
      </w:r>
      <w:r w:rsidR="007053FB">
        <w:rPr>
          <w:rFonts w:asciiTheme="majorHAnsi" w:hAnsiTheme="majorHAnsi"/>
          <w:lang w:val="en-US"/>
        </w:rPr>
        <w:t>.</w:t>
      </w:r>
      <w:r w:rsidR="00554B8E">
        <w:rPr>
          <w:rFonts w:asciiTheme="majorHAnsi" w:hAnsiTheme="majorHAnsi"/>
          <w:lang w:val="en-US"/>
        </w:rPr>
        <w:t xml:space="preserve"> However, in these studies over-</w:t>
      </w:r>
      <w:r w:rsidR="007053FB">
        <w:rPr>
          <w:rFonts w:asciiTheme="majorHAnsi" w:hAnsiTheme="majorHAnsi"/>
          <w:lang w:val="en-US"/>
        </w:rPr>
        <w:t xml:space="preserve">expressing </w:t>
      </w:r>
      <w:r w:rsidR="007053FB" w:rsidRPr="00004979">
        <w:rPr>
          <w:rFonts w:asciiTheme="majorHAnsi" w:hAnsiTheme="majorHAnsi"/>
          <w:i/>
          <w:lang w:val="en-US"/>
        </w:rPr>
        <w:t>SRCAP</w:t>
      </w:r>
      <w:r w:rsidR="007053FB">
        <w:rPr>
          <w:rFonts w:asciiTheme="majorHAnsi" w:hAnsiTheme="majorHAnsi"/>
          <w:lang w:val="en-US"/>
        </w:rPr>
        <w:t xml:space="preserve"> via the transfection of cDNA vectors proved to be difficult due to the size of the gene, the lack of commercially validated antibodies, </w:t>
      </w:r>
      <w:r w:rsidR="00BD3DDF">
        <w:rPr>
          <w:rFonts w:asciiTheme="majorHAnsi" w:hAnsiTheme="majorHAnsi"/>
          <w:lang w:val="en-US"/>
        </w:rPr>
        <w:t xml:space="preserve">poor </w:t>
      </w:r>
      <w:r w:rsidR="007053FB">
        <w:rPr>
          <w:rFonts w:asciiTheme="majorHAnsi" w:hAnsiTheme="majorHAnsi"/>
          <w:lang w:val="en-US"/>
        </w:rPr>
        <w:t>transfection efficiency</w:t>
      </w:r>
      <w:r w:rsidR="00BD3DDF">
        <w:rPr>
          <w:rFonts w:asciiTheme="majorHAnsi" w:hAnsiTheme="majorHAnsi"/>
          <w:lang w:val="en-US"/>
        </w:rPr>
        <w:t xml:space="preserve"> and cytotoxicity associated with expression of </w:t>
      </w:r>
      <w:r w:rsidR="00BD3DDF" w:rsidRPr="00BD3DDF">
        <w:rPr>
          <w:rFonts w:asciiTheme="majorHAnsi" w:hAnsiTheme="majorHAnsi"/>
          <w:i/>
          <w:lang w:val="en-US"/>
        </w:rPr>
        <w:t>SRCAP</w:t>
      </w:r>
      <w:r w:rsidR="00BD3DDF">
        <w:rPr>
          <w:rFonts w:asciiTheme="majorHAnsi" w:hAnsiTheme="majorHAnsi"/>
          <w:lang w:val="en-US"/>
        </w:rPr>
        <w:t xml:space="preserve"> cDNA</w:t>
      </w:r>
      <w:r w:rsidR="007053FB">
        <w:rPr>
          <w:rFonts w:asciiTheme="majorHAnsi" w:hAnsiTheme="majorHAnsi"/>
          <w:lang w:val="en-US"/>
        </w:rPr>
        <w:t>. Using a tetracycline induction</w:t>
      </w:r>
      <w:r w:rsidR="00554B8E">
        <w:rPr>
          <w:rFonts w:asciiTheme="majorHAnsi" w:hAnsiTheme="majorHAnsi"/>
          <w:lang w:val="en-US"/>
        </w:rPr>
        <w:t xml:space="preserve"> system, protein over-</w:t>
      </w:r>
      <w:r w:rsidR="007053FB">
        <w:rPr>
          <w:rFonts w:asciiTheme="majorHAnsi" w:hAnsiTheme="majorHAnsi"/>
          <w:lang w:val="en-US"/>
        </w:rPr>
        <w:t xml:space="preserve">expression was </w:t>
      </w:r>
      <w:r w:rsidR="00BD3DDF">
        <w:rPr>
          <w:rFonts w:asciiTheme="majorHAnsi" w:hAnsiTheme="majorHAnsi"/>
          <w:lang w:val="en-US"/>
        </w:rPr>
        <w:t xml:space="preserve">achieved, however, </w:t>
      </w:r>
      <w:r w:rsidR="007053FB">
        <w:rPr>
          <w:rFonts w:asciiTheme="majorHAnsi" w:hAnsiTheme="majorHAnsi"/>
          <w:lang w:val="en-US"/>
        </w:rPr>
        <w:t xml:space="preserve">no differences </w:t>
      </w:r>
      <w:r w:rsidR="00BD3DDF">
        <w:rPr>
          <w:rFonts w:asciiTheme="majorHAnsi" w:hAnsiTheme="majorHAnsi"/>
          <w:lang w:val="en-US"/>
        </w:rPr>
        <w:t xml:space="preserve">in DNA damage levels were observed </w:t>
      </w:r>
      <w:r w:rsidR="00D34949">
        <w:rPr>
          <w:rFonts w:asciiTheme="majorHAnsi" w:hAnsiTheme="majorHAnsi"/>
          <w:lang w:val="en-US"/>
        </w:rPr>
        <w:t>between cells over-</w:t>
      </w:r>
      <w:r w:rsidR="007053FB">
        <w:rPr>
          <w:rFonts w:asciiTheme="majorHAnsi" w:hAnsiTheme="majorHAnsi"/>
          <w:lang w:val="en-US"/>
        </w:rPr>
        <w:t xml:space="preserve">expressing SRCAP and those </w:t>
      </w:r>
      <w:r w:rsidR="00BD3DDF">
        <w:rPr>
          <w:rFonts w:asciiTheme="majorHAnsi" w:hAnsiTheme="majorHAnsi"/>
          <w:lang w:val="en-US"/>
        </w:rPr>
        <w:t>with basal levels</w:t>
      </w:r>
      <w:r w:rsidR="007053FB">
        <w:rPr>
          <w:rFonts w:asciiTheme="majorHAnsi" w:hAnsiTheme="majorHAnsi"/>
          <w:lang w:val="en-US"/>
        </w:rPr>
        <w:t xml:space="preserve">. </w:t>
      </w:r>
      <w:r w:rsidR="00BD3DDF">
        <w:rPr>
          <w:rFonts w:asciiTheme="majorHAnsi" w:hAnsiTheme="majorHAnsi"/>
          <w:lang w:val="en-US"/>
        </w:rPr>
        <w:t>This</w:t>
      </w:r>
      <w:r w:rsidR="007053FB">
        <w:rPr>
          <w:rFonts w:asciiTheme="majorHAnsi" w:hAnsiTheme="majorHAnsi"/>
          <w:lang w:val="en-US"/>
        </w:rPr>
        <w:t xml:space="preserve"> is not what would be expected if SRCAP were driving tumour progression, it would be </w:t>
      </w:r>
      <w:r w:rsidR="008B00BA">
        <w:rPr>
          <w:rFonts w:asciiTheme="majorHAnsi" w:hAnsiTheme="majorHAnsi"/>
          <w:lang w:val="en-US"/>
        </w:rPr>
        <w:t>expected</w:t>
      </w:r>
      <w:r w:rsidR="007053FB">
        <w:rPr>
          <w:rFonts w:asciiTheme="majorHAnsi" w:hAnsiTheme="majorHAnsi"/>
          <w:lang w:val="en-US"/>
        </w:rPr>
        <w:t xml:space="preserve"> that genome instability mechanisms would be increased. </w:t>
      </w:r>
      <w:r w:rsidR="00FD7648">
        <w:rPr>
          <w:rFonts w:asciiTheme="majorHAnsi" w:hAnsiTheme="majorHAnsi"/>
          <w:lang w:val="en-US"/>
        </w:rPr>
        <w:t xml:space="preserve">Although, it may be that SRCAP over-expression has to persist for a much longer period of time </w:t>
      </w:r>
      <w:r w:rsidR="00235EBF">
        <w:rPr>
          <w:rFonts w:asciiTheme="majorHAnsi" w:hAnsiTheme="majorHAnsi"/>
          <w:lang w:val="en-US"/>
        </w:rPr>
        <w:t xml:space="preserve">than the 72hrs achieved in our system </w:t>
      </w:r>
      <w:r w:rsidR="00FD7648">
        <w:rPr>
          <w:rFonts w:asciiTheme="majorHAnsi" w:hAnsiTheme="majorHAnsi"/>
          <w:lang w:val="en-US"/>
        </w:rPr>
        <w:t xml:space="preserve">for it to show effects on genomic instability. </w:t>
      </w:r>
    </w:p>
    <w:p w14:paraId="2D0E6A85" w14:textId="77777777" w:rsidR="00FD7648" w:rsidRDefault="00FD7648" w:rsidP="007053FB">
      <w:pPr>
        <w:spacing w:line="360" w:lineRule="auto"/>
        <w:jc w:val="both"/>
        <w:rPr>
          <w:rFonts w:asciiTheme="majorHAnsi" w:hAnsiTheme="majorHAnsi"/>
          <w:lang w:val="en-US"/>
        </w:rPr>
      </w:pPr>
    </w:p>
    <w:p w14:paraId="5BE502C4" w14:textId="0DA9118C" w:rsidR="00CF3BBD" w:rsidRDefault="00235EBF" w:rsidP="007053FB">
      <w:pPr>
        <w:spacing w:line="360" w:lineRule="auto"/>
        <w:jc w:val="both"/>
        <w:rPr>
          <w:rFonts w:asciiTheme="majorHAnsi" w:hAnsiTheme="majorHAnsi"/>
          <w:lang w:val="en-US"/>
        </w:rPr>
      </w:pPr>
      <w:r>
        <w:rPr>
          <w:rFonts w:asciiTheme="majorHAnsi" w:hAnsiTheme="majorHAnsi"/>
          <w:lang w:val="en-US"/>
        </w:rPr>
        <w:t>Several</w:t>
      </w:r>
      <w:r w:rsidR="000068B1">
        <w:rPr>
          <w:rFonts w:asciiTheme="majorHAnsi" w:hAnsiTheme="majorHAnsi"/>
          <w:lang w:val="en-US"/>
        </w:rPr>
        <w:t xml:space="preserve"> groups have shown SRCAP over expression using vector transfection and with the same transfection agents used in this thesis</w:t>
      </w:r>
      <w:r w:rsidR="00B41667">
        <w:rPr>
          <w:rFonts w:asciiTheme="majorHAnsi" w:hAnsiTheme="majorHAnsi"/>
          <w:lang w:val="en-US"/>
        </w:rPr>
        <w:t xml:space="preserve"> </w:t>
      </w:r>
      <w:r w:rsidR="00B41667">
        <w:rPr>
          <w:rFonts w:asciiTheme="majorHAnsi" w:hAnsiTheme="majorHAnsi"/>
          <w:lang w:val="en-US"/>
        </w:rPr>
        <w:fldChar w:fldCharType="begin">
          <w:fldData xml:space="preserve">PEVuZE5vdGU+PENpdGU+PEF1dGhvcj5Nb25yb3k8L0F1dGhvcj48WWVhcj4yMDAzPC9ZZWFyPjxJ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</w:fldData>
        </w:fldChar>
      </w:r>
      <w:r w:rsidR="00B41667">
        <w:rPr>
          <w:rFonts w:asciiTheme="majorHAnsi" w:hAnsiTheme="majorHAnsi"/>
          <w:lang w:val="en-US"/>
        </w:rPr>
        <w:instrText xml:space="preserve"> ADDIN EN.CITE </w:instrText>
      </w:r>
      <w:r w:rsidR="00B41667">
        <w:rPr>
          <w:rFonts w:asciiTheme="majorHAnsi" w:hAnsiTheme="majorHAnsi"/>
          <w:lang w:val="en-US"/>
        </w:rPr>
        <w:fldChar w:fldCharType="begin">
          <w:fldData xml:space="preserve">PEVuZE5vdGU+PENpdGU+PEF1dGhvcj5Nb25yb3k8L0F1dGhvcj48WWVhcj4yMDAzPC9ZZWFyPjxJ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</w:fldData>
        </w:fldChar>
      </w:r>
      <w:r w:rsidR="00B41667">
        <w:rPr>
          <w:rFonts w:asciiTheme="majorHAnsi" w:hAnsiTheme="majorHAnsi"/>
          <w:lang w:val="en-US"/>
        </w:rPr>
        <w:instrText xml:space="preserve"> ADDIN EN.CITE.DATA </w:instrText>
      </w:r>
      <w:r w:rsidR="00B41667">
        <w:rPr>
          <w:rFonts w:asciiTheme="majorHAnsi" w:hAnsiTheme="majorHAnsi"/>
          <w:lang w:val="en-US"/>
        </w:rPr>
      </w:r>
      <w:r w:rsidR="00B41667">
        <w:rPr>
          <w:rFonts w:asciiTheme="majorHAnsi" w:hAnsiTheme="majorHAnsi"/>
          <w:lang w:val="en-US"/>
        </w:rPr>
        <w:fldChar w:fldCharType="end"/>
      </w:r>
      <w:r w:rsidR="00B41667">
        <w:rPr>
          <w:rFonts w:asciiTheme="majorHAnsi" w:hAnsiTheme="majorHAnsi"/>
          <w:lang w:val="en-US"/>
        </w:rPr>
      </w:r>
      <w:r w:rsidR="00B41667">
        <w:rPr>
          <w:rFonts w:asciiTheme="majorHAnsi" w:hAnsiTheme="majorHAnsi"/>
          <w:lang w:val="en-US"/>
        </w:rPr>
        <w:fldChar w:fldCharType="separate"/>
      </w:r>
      <w:r w:rsidR="00B41667">
        <w:rPr>
          <w:rFonts w:asciiTheme="majorHAnsi" w:hAnsiTheme="majorHAnsi"/>
          <w:noProof/>
          <w:lang w:val="en-US"/>
        </w:rPr>
        <w:t>(Monroy et al., 2003, Johnston et al., 1999a)</w:t>
      </w:r>
      <w:r w:rsidR="00B41667">
        <w:rPr>
          <w:rFonts w:asciiTheme="majorHAnsi" w:hAnsiTheme="majorHAnsi"/>
          <w:lang w:val="en-US"/>
        </w:rPr>
        <w:fldChar w:fldCharType="end"/>
      </w:r>
      <w:r w:rsidR="000068B1">
        <w:rPr>
          <w:rFonts w:asciiTheme="majorHAnsi" w:hAnsiTheme="majorHAnsi"/>
          <w:lang w:val="en-US"/>
        </w:rPr>
        <w:t>. However</w:t>
      </w:r>
      <w:r w:rsidR="005A7BA8">
        <w:rPr>
          <w:rFonts w:asciiTheme="majorHAnsi" w:hAnsiTheme="majorHAnsi"/>
          <w:lang w:val="en-US"/>
        </w:rPr>
        <w:t>,</w:t>
      </w:r>
      <w:r w:rsidR="000068B1">
        <w:rPr>
          <w:rFonts w:asciiTheme="majorHAnsi" w:hAnsiTheme="majorHAnsi"/>
          <w:lang w:val="en-US"/>
        </w:rPr>
        <w:t xml:space="preserve"> as previously mentioned in the Chapter 3 discussion, early papers used </w:t>
      </w:r>
      <w:r w:rsidR="00B41667">
        <w:rPr>
          <w:rFonts w:asciiTheme="majorHAnsi" w:hAnsiTheme="majorHAnsi"/>
          <w:lang w:val="en-US"/>
        </w:rPr>
        <w:t>1-2971 amino acid construct</w:t>
      </w:r>
      <w:r w:rsidR="005A7BA8">
        <w:rPr>
          <w:rFonts w:asciiTheme="majorHAnsi" w:hAnsiTheme="majorHAnsi"/>
          <w:lang w:val="en-US"/>
        </w:rPr>
        <w:t>s instead</w:t>
      </w:r>
      <w:r w:rsidR="00B41667">
        <w:rPr>
          <w:rFonts w:asciiTheme="majorHAnsi" w:hAnsiTheme="majorHAnsi"/>
          <w:lang w:val="en-US"/>
        </w:rPr>
        <w:t xml:space="preserve"> of the </w:t>
      </w:r>
      <w:r w:rsidR="005A7BA8">
        <w:rPr>
          <w:rFonts w:asciiTheme="majorHAnsi" w:hAnsiTheme="majorHAnsi"/>
          <w:lang w:val="en-US"/>
        </w:rPr>
        <w:t xml:space="preserve">full </w:t>
      </w:r>
      <w:r w:rsidR="00B41667">
        <w:rPr>
          <w:rFonts w:asciiTheme="majorHAnsi" w:hAnsiTheme="majorHAnsi"/>
          <w:lang w:val="en-US"/>
        </w:rPr>
        <w:t>3230 amino acid SRCAP</w:t>
      </w:r>
      <w:r w:rsidR="005A7BA8">
        <w:rPr>
          <w:rFonts w:asciiTheme="majorHAnsi" w:hAnsiTheme="majorHAnsi"/>
          <w:lang w:val="en-US"/>
        </w:rPr>
        <w:t xml:space="preserve">, and there is no explanation as to why this </w:t>
      </w:r>
      <w:r>
        <w:rPr>
          <w:rFonts w:asciiTheme="majorHAnsi" w:hAnsiTheme="majorHAnsi"/>
          <w:lang w:val="en-US"/>
        </w:rPr>
        <w:t>curtailed cDNA was used</w:t>
      </w:r>
      <w:r w:rsidR="005A7BA8">
        <w:rPr>
          <w:rFonts w:asciiTheme="majorHAnsi" w:hAnsiTheme="majorHAnsi"/>
          <w:lang w:val="en-US"/>
        </w:rPr>
        <w:t xml:space="preserve"> </w:t>
      </w:r>
      <w:r w:rsidR="005A7BA8">
        <w:rPr>
          <w:rFonts w:asciiTheme="majorHAnsi" w:hAnsiTheme="majorHAnsi"/>
          <w:lang w:val="en-US"/>
        </w:rPr>
        <w:fldChar w:fldCharType="begin">
          <w:fldData xml:space="preserve">PEVuZE5vdGU+PENpdGU+PEF1dGhvcj5Nb25yb3k8L0F1dGhvcj48WWVhcj4yMDAzPC9ZZWFyPjxJ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</w:fldData>
        </w:fldChar>
      </w:r>
      <w:r w:rsidR="005A7BA8">
        <w:rPr>
          <w:rFonts w:asciiTheme="majorHAnsi" w:hAnsiTheme="majorHAnsi"/>
          <w:lang w:val="en-US"/>
        </w:rPr>
        <w:instrText xml:space="preserve"> ADDIN EN.CITE </w:instrText>
      </w:r>
      <w:r w:rsidR="005A7BA8">
        <w:rPr>
          <w:rFonts w:asciiTheme="majorHAnsi" w:hAnsiTheme="majorHAnsi"/>
          <w:lang w:val="en-US"/>
        </w:rPr>
        <w:fldChar w:fldCharType="begin">
          <w:fldData xml:space="preserve">PEVuZE5vdGU+PENpdGU+PEF1dGhvcj5Nb25yb3k8L0F1dGhvcj48WWVhcj4yMDAzPC9ZZWFyPjxJ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</w:fldData>
        </w:fldChar>
      </w:r>
      <w:r w:rsidR="005A7BA8">
        <w:rPr>
          <w:rFonts w:asciiTheme="majorHAnsi" w:hAnsiTheme="majorHAnsi"/>
          <w:lang w:val="en-US"/>
        </w:rPr>
        <w:instrText xml:space="preserve"> ADDIN EN.CITE.DATA </w:instrText>
      </w:r>
      <w:r w:rsidR="005A7BA8">
        <w:rPr>
          <w:rFonts w:asciiTheme="majorHAnsi" w:hAnsiTheme="majorHAnsi"/>
          <w:lang w:val="en-US"/>
        </w:rPr>
      </w:r>
      <w:r w:rsidR="005A7BA8">
        <w:rPr>
          <w:rFonts w:asciiTheme="majorHAnsi" w:hAnsiTheme="majorHAnsi"/>
          <w:lang w:val="en-US"/>
        </w:rPr>
        <w:fldChar w:fldCharType="end"/>
      </w:r>
      <w:r w:rsidR="005A7BA8">
        <w:rPr>
          <w:rFonts w:asciiTheme="majorHAnsi" w:hAnsiTheme="majorHAnsi"/>
          <w:lang w:val="en-US"/>
        </w:rPr>
      </w:r>
      <w:r w:rsidR="005A7BA8">
        <w:rPr>
          <w:rFonts w:asciiTheme="majorHAnsi" w:hAnsiTheme="majorHAnsi"/>
          <w:lang w:val="en-US"/>
        </w:rPr>
        <w:fldChar w:fldCharType="separate"/>
      </w:r>
      <w:r w:rsidR="005A7BA8">
        <w:rPr>
          <w:rFonts w:asciiTheme="majorHAnsi" w:hAnsiTheme="majorHAnsi"/>
          <w:noProof/>
          <w:lang w:val="en-US"/>
        </w:rPr>
        <w:t>(Monroy et al., 2003, Johnston et al., 1999a)</w:t>
      </w:r>
      <w:r w:rsidR="005A7BA8">
        <w:rPr>
          <w:rFonts w:asciiTheme="majorHAnsi" w:hAnsiTheme="majorHAnsi"/>
          <w:lang w:val="en-US"/>
        </w:rPr>
        <w:fldChar w:fldCharType="end"/>
      </w:r>
      <w:r w:rsidR="005A7BA8">
        <w:rPr>
          <w:rFonts w:asciiTheme="majorHAnsi" w:hAnsiTheme="majorHAnsi"/>
          <w:lang w:val="en-US"/>
        </w:rPr>
        <w:t xml:space="preserve">, and continued to be used up to 2011 </w:t>
      </w:r>
      <w:r w:rsidR="005A7BA8">
        <w:rPr>
          <w:rFonts w:asciiTheme="majorHAnsi" w:hAnsiTheme="majorHAnsi"/>
          <w:lang w:val="en-US"/>
        </w:rPr>
        <w:fldChar w:fldCharType="begin"/>
      </w:r>
      <w:r w:rsidR="005A7BA8">
        <w:rPr>
          <w:rFonts w:asciiTheme="majorHAnsi" w:hAnsiTheme="majorHAnsi"/>
          <w:lang w:val="en-US"/>
        </w:rPr>
        <w:instrText xml:space="preserve"> ADDIN EN.CITE &lt;EndNote&gt;&lt;Cite&gt;&lt;Author&gt;Bowman&lt;/Author&gt;&lt;Year&gt;2011&lt;/Year&gt;&lt;IDText&gt;Loss of H2A.Z Is Not Sufficient to Determine Transcriptional Activity of Snf2-Related CBP Activator Protein or p400 Complexes&lt;/IDText&gt;&lt;DisplayText&gt;(Bowman et al., 2011)&lt;/DisplayText&gt;&lt;record&gt;&lt;isbn&gt;1687-8884 (Electronic)&amp;#xD;1687-8876 (Linking)&lt;/isbn&gt;&lt;custom2&gt;PMC3140016&lt;/custom2&gt;&lt;titles&gt;&lt;title&gt;Loss of H2A.Z Is Not Sufficient to Determine Transcriptional Activity of Snf2-Related CBP Activator Protein or p400 Complexes&lt;/title&gt;&lt;secondary-title&gt;Int J Cell Biol&lt;/secondary-title&gt;&lt;/titles&gt;&lt;pages&gt;715642&lt;/pages&gt;&lt;contributors&gt;&lt;authors&gt;&lt;author&gt;Bowman, T. A.&lt;/author&gt;&lt;author&gt;Wong, M. M.&lt;/author&gt;&lt;author&gt;Cox, L. K.&lt;/author&gt;&lt;author&gt;Baldassare, J. J.&lt;/author&gt;&lt;author&gt;Chrivia, J. C.&lt;/author&gt;&lt;/authors&gt;&lt;/contributors&gt;&lt;edition&gt;2011/07/26&lt;/edition&gt;&lt;language&gt;eng&lt;/language&gt;&lt;added-date format="utc"&gt;1425383064&lt;/added-date&gt;&lt;ref-type name="Journal Article"&gt;17&lt;/ref-type&gt;&lt;auth-address&gt;Department of Pharmacological and Physiological Science, Saint Louis University School of Medicine, 1402 South Grand Boulevard, Saint Louis, MO 63104, USA.&lt;/auth-address&gt;&lt;dates&gt;&lt;year&gt;2011&lt;/year&gt;&lt;/dates&gt;&lt;remote-database-provider&gt;NLM&lt;/remote-database-provider&gt;&lt;rec-number&gt;4&lt;/rec-number&gt;&lt;last-updated-date format="utc"&gt;1447343623&lt;/last-updated-date&gt;&lt;accession-num&gt;21785598&lt;/accession-num&gt;&lt;electronic-resource-num&gt;10.1155/2011/715642&lt;/electronic-resource-num&gt;&lt;volume&gt;2011&lt;/volume&gt;&lt;/record&gt;&lt;/Cite&gt;&lt;/EndNote&gt;</w:instrText>
      </w:r>
      <w:r w:rsidR="005A7BA8">
        <w:rPr>
          <w:rFonts w:asciiTheme="majorHAnsi" w:hAnsiTheme="majorHAnsi"/>
          <w:lang w:val="en-US"/>
        </w:rPr>
        <w:fldChar w:fldCharType="separate"/>
      </w:r>
      <w:r w:rsidR="005A7BA8">
        <w:rPr>
          <w:rFonts w:asciiTheme="majorHAnsi" w:hAnsiTheme="majorHAnsi"/>
          <w:noProof/>
          <w:lang w:val="en-US"/>
        </w:rPr>
        <w:t>(Bowman et al., 2011)</w:t>
      </w:r>
      <w:r w:rsidR="005A7BA8">
        <w:rPr>
          <w:rFonts w:asciiTheme="majorHAnsi" w:hAnsiTheme="majorHAnsi"/>
          <w:lang w:val="en-US"/>
        </w:rPr>
        <w:fldChar w:fldCharType="end"/>
      </w:r>
      <w:r w:rsidR="005A7BA8">
        <w:rPr>
          <w:rFonts w:asciiTheme="majorHAnsi" w:hAnsiTheme="majorHAnsi"/>
          <w:lang w:val="en-US"/>
        </w:rPr>
        <w:t>.</w:t>
      </w:r>
      <w:r w:rsidR="00B41667">
        <w:rPr>
          <w:rFonts w:asciiTheme="majorHAnsi" w:hAnsiTheme="majorHAnsi"/>
          <w:lang w:val="en-US"/>
        </w:rPr>
        <w:t xml:space="preserve"> </w:t>
      </w:r>
      <w:r w:rsidR="005A7BA8">
        <w:rPr>
          <w:rFonts w:asciiTheme="majorHAnsi" w:hAnsiTheme="majorHAnsi"/>
          <w:lang w:val="en-US"/>
        </w:rPr>
        <w:t xml:space="preserve">Although these papers show differences in transcription rates of various genes after binding of SRCAP to co-activators through reporter gene CAT assays, there are few that show SRCAP over-expression via western blot analysis and none by immunofluorescence. The </w:t>
      </w:r>
      <w:r w:rsidR="004D1D6B">
        <w:rPr>
          <w:rFonts w:asciiTheme="majorHAnsi" w:hAnsiTheme="majorHAnsi"/>
          <w:lang w:val="en-US"/>
        </w:rPr>
        <w:t>papers that do show over-expression th</w:t>
      </w:r>
      <w:r>
        <w:rPr>
          <w:rFonts w:asciiTheme="majorHAnsi" w:hAnsiTheme="majorHAnsi"/>
          <w:lang w:val="en-US"/>
        </w:rPr>
        <w:t>rough antibody detection use in-</w:t>
      </w:r>
      <w:r w:rsidR="004D1D6B">
        <w:rPr>
          <w:rFonts w:asciiTheme="majorHAnsi" w:hAnsiTheme="majorHAnsi"/>
          <w:lang w:val="en-US"/>
        </w:rPr>
        <w:t>house</w:t>
      </w:r>
      <w:r w:rsidR="005A7BA8">
        <w:rPr>
          <w:rFonts w:asciiTheme="majorHAnsi" w:hAnsiTheme="majorHAnsi"/>
          <w:lang w:val="en-US"/>
        </w:rPr>
        <w:t xml:space="preserve"> antibodies to</w:t>
      </w:r>
      <w:r>
        <w:rPr>
          <w:rFonts w:asciiTheme="majorHAnsi" w:hAnsiTheme="majorHAnsi"/>
          <w:lang w:val="en-US"/>
        </w:rPr>
        <w:t>wards</w:t>
      </w:r>
      <w:r w:rsidR="005A7BA8">
        <w:rPr>
          <w:rFonts w:asciiTheme="majorHAnsi" w:hAnsiTheme="majorHAnsi"/>
          <w:lang w:val="en-US"/>
        </w:rPr>
        <w:t xml:space="preserve"> SRCAP, and although we contacted the laboratory groups for</w:t>
      </w:r>
      <w:r w:rsidR="00581C53">
        <w:rPr>
          <w:rFonts w:asciiTheme="majorHAnsi" w:hAnsiTheme="majorHAnsi"/>
          <w:lang w:val="en-US"/>
        </w:rPr>
        <w:t xml:space="preserve"> use of their reagents and advice, none replied</w:t>
      </w:r>
      <w:r w:rsidR="005A7BA8">
        <w:rPr>
          <w:rFonts w:asciiTheme="majorHAnsi" w:hAnsiTheme="majorHAnsi"/>
          <w:lang w:val="en-US"/>
        </w:rPr>
        <w:t xml:space="preserve"> to us</w:t>
      </w:r>
      <w:r w:rsidR="004D1D6B">
        <w:rPr>
          <w:rFonts w:asciiTheme="majorHAnsi" w:hAnsiTheme="majorHAnsi"/>
          <w:lang w:val="en-US"/>
        </w:rPr>
        <w:t xml:space="preserve"> </w:t>
      </w:r>
      <w:r w:rsidR="004D1D6B">
        <w:rPr>
          <w:rFonts w:asciiTheme="majorHAnsi" w:hAnsiTheme="majorHAnsi"/>
          <w:lang w:val="en-US"/>
        </w:rPr>
        <w:fldChar w:fldCharType="begin">
          <w:fldData xml:space="preserve">PEVuZE5vdGU+PENpdGU+PEF1dGhvcj5Eb25nPC9BdXRob3I+PFllYXI+MjAxNDwvWWVhcj48SURU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</w:fldData>
        </w:fldChar>
      </w:r>
      <w:r w:rsidR="004D1D6B">
        <w:rPr>
          <w:rFonts w:asciiTheme="majorHAnsi" w:hAnsiTheme="majorHAnsi"/>
          <w:lang w:val="en-US"/>
        </w:rPr>
        <w:instrText xml:space="preserve"> ADDIN EN.CITE </w:instrText>
      </w:r>
      <w:r w:rsidR="004D1D6B">
        <w:rPr>
          <w:rFonts w:asciiTheme="majorHAnsi" w:hAnsiTheme="majorHAnsi"/>
          <w:lang w:val="en-US"/>
        </w:rPr>
        <w:fldChar w:fldCharType="begin">
          <w:fldData xml:space="preserve">PEVuZE5vdGU+PENpdGU+PEF1dGhvcj5Eb25nPC9BdXRob3I+PFllYXI+MjAxNDwvWWVhcj48SURU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</w:fldData>
        </w:fldChar>
      </w:r>
      <w:r w:rsidR="004D1D6B">
        <w:rPr>
          <w:rFonts w:asciiTheme="majorHAnsi" w:hAnsiTheme="majorHAnsi"/>
          <w:lang w:val="en-US"/>
        </w:rPr>
        <w:instrText xml:space="preserve"> ADDIN EN.CITE.DATA </w:instrText>
      </w:r>
      <w:r w:rsidR="004D1D6B">
        <w:rPr>
          <w:rFonts w:asciiTheme="majorHAnsi" w:hAnsiTheme="majorHAnsi"/>
          <w:lang w:val="en-US"/>
        </w:rPr>
      </w:r>
      <w:r w:rsidR="004D1D6B">
        <w:rPr>
          <w:rFonts w:asciiTheme="majorHAnsi" w:hAnsiTheme="majorHAnsi"/>
          <w:lang w:val="en-US"/>
        </w:rPr>
        <w:fldChar w:fldCharType="end"/>
      </w:r>
      <w:r w:rsidR="004D1D6B">
        <w:rPr>
          <w:rFonts w:asciiTheme="majorHAnsi" w:hAnsiTheme="majorHAnsi"/>
          <w:lang w:val="en-US"/>
        </w:rPr>
      </w:r>
      <w:r w:rsidR="004D1D6B">
        <w:rPr>
          <w:rFonts w:asciiTheme="majorHAnsi" w:hAnsiTheme="majorHAnsi"/>
          <w:lang w:val="en-US"/>
        </w:rPr>
        <w:fldChar w:fldCharType="separate"/>
      </w:r>
      <w:r w:rsidR="004D1D6B">
        <w:rPr>
          <w:rFonts w:asciiTheme="majorHAnsi" w:hAnsiTheme="majorHAnsi"/>
          <w:noProof/>
          <w:lang w:val="en-US"/>
        </w:rPr>
        <w:t>(Dong et al., 2014, Ruhl et al., 2006)</w:t>
      </w:r>
      <w:r w:rsidR="004D1D6B">
        <w:rPr>
          <w:rFonts w:asciiTheme="majorHAnsi" w:hAnsiTheme="majorHAnsi"/>
          <w:lang w:val="en-US"/>
        </w:rPr>
        <w:fldChar w:fldCharType="end"/>
      </w:r>
      <w:r w:rsidR="005A7BA8">
        <w:rPr>
          <w:rFonts w:asciiTheme="majorHAnsi" w:hAnsiTheme="majorHAnsi"/>
          <w:lang w:val="en-US"/>
        </w:rPr>
        <w:t xml:space="preserve">. </w:t>
      </w:r>
      <w:r w:rsidR="004D1D6B">
        <w:rPr>
          <w:rFonts w:asciiTheme="majorHAnsi" w:hAnsiTheme="majorHAnsi"/>
          <w:lang w:val="en-US"/>
        </w:rPr>
        <w:t>This could therefore indicate that transfection of the full SRCAP gene is not suitable for expression in cell models and/or the commercial antibodies were not efficient enough</w:t>
      </w:r>
      <w:r>
        <w:rPr>
          <w:rFonts w:asciiTheme="majorHAnsi" w:hAnsiTheme="majorHAnsi"/>
          <w:lang w:val="en-US"/>
        </w:rPr>
        <w:t xml:space="preserve"> for robust detection</w:t>
      </w:r>
      <w:r w:rsidR="004D1D6B">
        <w:rPr>
          <w:rFonts w:asciiTheme="majorHAnsi" w:hAnsiTheme="majorHAnsi"/>
          <w:lang w:val="en-US"/>
        </w:rPr>
        <w:t>. However, one paper in 2011 did show over expression using the Santa Cruz antibody described in this thesis and with a 3230 amino acid construct (although the</w:t>
      </w:r>
      <w:r w:rsidR="001F5258">
        <w:rPr>
          <w:rFonts w:asciiTheme="majorHAnsi" w:hAnsiTheme="majorHAnsi"/>
          <w:lang w:val="en-US"/>
        </w:rPr>
        <w:t xml:space="preserve"> construct </w:t>
      </w:r>
      <w:r w:rsidR="00581C53">
        <w:rPr>
          <w:rFonts w:asciiTheme="majorHAnsi" w:hAnsiTheme="majorHAnsi"/>
          <w:lang w:val="en-US"/>
        </w:rPr>
        <w:t xml:space="preserve">started </w:t>
      </w:r>
      <w:r w:rsidR="001F5258">
        <w:rPr>
          <w:rFonts w:asciiTheme="majorHAnsi" w:hAnsiTheme="majorHAnsi"/>
          <w:lang w:val="en-US"/>
        </w:rPr>
        <w:t xml:space="preserve">at amino acid position 198), indicating it should be possible to </w:t>
      </w:r>
      <w:r w:rsidR="00581C53">
        <w:rPr>
          <w:rFonts w:asciiTheme="majorHAnsi" w:hAnsiTheme="majorHAnsi"/>
          <w:lang w:val="en-US"/>
        </w:rPr>
        <w:t>achieve</w:t>
      </w:r>
      <w:r w:rsidR="001F5258">
        <w:rPr>
          <w:rFonts w:asciiTheme="majorHAnsi" w:hAnsiTheme="majorHAnsi"/>
          <w:lang w:val="en-US"/>
        </w:rPr>
        <w:t xml:space="preserve"> </w:t>
      </w:r>
      <w:r w:rsidR="001F5258">
        <w:rPr>
          <w:rFonts w:asciiTheme="majorHAnsi" w:hAnsiTheme="majorHAnsi"/>
          <w:lang w:val="en-US"/>
        </w:rPr>
        <w:fldChar w:fldCharType="begin">
          <w:fldData xml:space="preserve">PEVuZE5vdGU+PENpdGU+PEF1dGhvcj5Jd2FpPC9BdXRob3I+PFllYXI+MjAxMTwvWWVhcj48SURU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</w:fldData>
        </w:fldChar>
      </w:r>
      <w:r w:rsidR="001F5258">
        <w:rPr>
          <w:rFonts w:asciiTheme="majorHAnsi" w:hAnsiTheme="majorHAnsi"/>
          <w:lang w:val="en-US"/>
        </w:rPr>
        <w:instrText xml:space="preserve"> ADDIN EN.CITE </w:instrText>
      </w:r>
      <w:r w:rsidR="001F5258">
        <w:rPr>
          <w:rFonts w:asciiTheme="majorHAnsi" w:hAnsiTheme="majorHAnsi"/>
          <w:lang w:val="en-US"/>
        </w:rPr>
        <w:fldChar w:fldCharType="begin">
          <w:fldData xml:space="preserve">PEVuZE5vdGU+PENpdGU+PEF1dGhvcj5Jd2FpPC9BdXRob3I+PFllYXI+MjAxMTwvWWVhcj48SURU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</w:fldData>
        </w:fldChar>
      </w:r>
      <w:r w:rsidR="001F5258">
        <w:rPr>
          <w:rFonts w:asciiTheme="majorHAnsi" w:hAnsiTheme="majorHAnsi"/>
          <w:lang w:val="en-US"/>
        </w:rPr>
        <w:instrText xml:space="preserve"> ADDIN EN.CITE.DATA </w:instrText>
      </w:r>
      <w:r w:rsidR="001F5258">
        <w:rPr>
          <w:rFonts w:asciiTheme="majorHAnsi" w:hAnsiTheme="majorHAnsi"/>
          <w:lang w:val="en-US"/>
        </w:rPr>
      </w:r>
      <w:r w:rsidR="001F5258">
        <w:rPr>
          <w:rFonts w:asciiTheme="majorHAnsi" w:hAnsiTheme="majorHAnsi"/>
          <w:lang w:val="en-US"/>
        </w:rPr>
        <w:fldChar w:fldCharType="end"/>
      </w:r>
      <w:r w:rsidR="001F5258">
        <w:rPr>
          <w:rFonts w:asciiTheme="majorHAnsi" w:hAnsiTheme="majorHAnsi"/>
          <w:lang w:val="en-US"/>
        </w:rPr>
      </w:r>
      <w:r w:rsidR="001F5258">
        <w:rPr>
          <w:rFonts w:asciiTheme="majorHAnsi" w:hAnsiTheme="majorHAnsi"/>
          <w:lang w:val="en-US"/>
        </w:rPr>
        <w:fldChar w:fldCharType="separate"/>
      </w:r>
      <w:r w:rsidR="001F5258">
        <w:rPr>
          <w:rFonts w:asciiTheme="majorHAnsi" w:hAnsiTheme="majorHAnsi"/>
          <w:noProof/>
          <w:lang w:val="en-US"/>
        </w:rPr>
        <w:t>(Iwai et al., 2011)</w:t>
      </w:r>
      <w:r w:rsidR="001F5258">
        <w:rPr>
          <w:rFonts w:asciiTheme="majorHAnsi" w:hAnsiTheme="majorHAnsi"/>
          <w:lang w:val="en-US"/>
        </w:rPr>
        <w:fldChar w:fldCharType="end"/>
      </w:r>
      <w:r w:rsidR="001F5258">
        <w:rPr>
          <w:rFonts w:asciiTheme="majorHAnsi" w:hAnsiTheme="majorHAnsi"/>
          <w:lang w:val="en-US"/>
        </w:rPr>
        <w:t>. Using the Tet inducible system</w:t>
      </w:r>
      <w:r w:rsidR="00581C53">
        <w:rPr>
          <w:rFonts w:asciiTheme="majorHAnsi" w:hAnsiTheme="majorHAnsi"/>
          <w:lang w:val="en-US"/>
        </w:rPr>
        <w:t>, we did show protein over-</w:t>
      </w:r>
      <w:r w:rsidR="001F5258">
        <w:rPr>
          <w:rFonts w:asciiTheme="majorHAnsi" w:hAnsiTheme="majorHAnsi"/>
          <w:lang w:val="en-US"/>
        </w:rPr>
        <w:t xml:space="preserve">expression after 72hrs of Tet addition, but the transfection efficiency was still low and the model system ‘leaky’ therefore </w:t>
      </w:r>
      <w:r w:rsidR="00581C53">
        <w:rPr>
          <w:rFonts w:asciiTheme="majorHAnsi" w:hAnsiTheme="majorHAnsi"/>
          <w:lang w:val="en-US"/>
        </w:rPr>
        <w:t xml:space="preserve">to date </w:t>
      </w:r>
      <w:r w:rsidR="001F5258">
        <w:rPr>
          <w:rFonts w:asciiTheme="majorHAnsi" w:hAnsiTheme="majorHAnsi"/>
          <w:lang w:val="en-US"/>
        </w:rPr>
        <w:t xml:space="preserve">we have not established a robust enough over-expression model that can be </w:t>
      </w:r>
      <w:r>
        <w:rPr>
          <w:rFonts w:asciiTheme="majorHAnsi" w:hAnsiTheme="majorHAnsi"/>
          <w:lang w:val="en-US"/>
        </w:rPr>
        <w:t>used for such studies</w:t>
      </w:r>
      <w:r w:rsidR="001F5258">
        <w:rPr>
          <w:rFonts w:asciiTheme="majorHAnsi" w:hAnsiTheme="majorHAnsi"/>
          <w:lang w:val="en-US"/>
        </w:rPr>
        <w:t xml:space="preserve">. </w:t>
      </w:r>
    </w:p>
    <w:p w14:paraId="2A12E41A" w14:textId="77777777" w:rsidR="00581C53" w:rsidRDefault="00581C53" w:rsidP="007053FB">
      <w:pPr>
        <w:spacing w:line="360" w:lineRule="auto"/>
        <w:jc w:val="both"/>
        <w:rPr>
          <w:rFonts w:asciiTheme="majorHAnsi" w:hAnsiTheme="majorHAnsi"/>
          <w:lang w:val="en-US"/>
        </w:rPr>
      </w:pPr>
    </w:p>
    <w:p w14:paraId="19C4B2C1" w14:textId="560A25B7" w:rsidR="007053FB" w:rsidRDefault="00BD3DDF" w:rsidP="007053FB">
      <w:pPr>
        <w:spacing w:line="360" w:lineRule="auto"/>
        <w:jc w:val="both"/>
        <w:rPr>
          <w:rFonts w:asciiTheme="majorHAnsi" w:hAnsiTheme="majorHAnsi"/>
          <w:lang w:val="en-US"/>
        </w:rPr>
      </w:pPr>
      <w:r>
        <w:rPr>
          <w:rFonts w:asciiTheme="majorHAnsi" w:hAnsiTheme="majorHAnsi"/>
          <w:lang w:val="en-US"/>
        </w:rPr>
        <w:t>Alternative</w:t>
      </w:r>
      <w:r w:rsidR="00554B8E">
        <w:rPr>
          <w:rFonts w:asciiTheme="majorHAnsi" w:hAnsiTheme="majorHAnsi"/>
          <w:lang w:val="en-US"/>
        </w:rPr>
        <w:t xml:space="preserve"> over-</w:t>
      </w:r>
      <w:r w:rsidR="007053FB">
        <w:rPr>
          <w:rFonts w:asciiTheme="majorHAnsi" w:hAnsiTheme="majorHAnsi"/>
          <w:lang w:val="en-US"/>
        </w:rPr>
        <w:t xml:space="preserve">expression studies using the CRISPR/dCas9 system did show an increase in DNA damage by assessment of well-known markers and direct visualisation </w:t>
      </w:r>
      <w:r>
        <w:rPr>
          <w:rFonts w:asciiTheme="majorHAnsi" w:hAnsiTheme="majorHAnsi"/>
          <w:lang w:val="en-US"/>
        </w:rPr>
        <w:t xml:space="preserve">of DNA breaks by the comet assay. </w:t>
      </w:r>
      <w:r w:rsidR="008B00BA">
        <w:rPr>
          <w:rFonts w:asciiTheme="majorHAnsi" w:hAnsiTheme="majorHAnsi"/>
          <w:lang w:val="en-US"/>
        </w:rPr>
        <w:t>However</w:t>
      </w:r>
      <w:r>
        <w:rPr>
          <w:rFonts w:asciiTheme="majorHAnsi" w:hAnsiTheme="majorHAnsi"/>
          <w:lang w:val="en-US"/>
        </w:rPr>
        <w:t xml:space="preserve">, </w:t>
      </w:r>
      <w:r w:rsidR="007053FB">
        <w:rPr>
          <w:rFonts w:asciiTheme="majorHAnsi" w:hAnsiTheme="majorHAnsi"/>
          <w:lang w:val="en-US"/>
        </w:rPr>
        <w:t xml:space="preserve">no difference in cellular growth </w:t>
      </w:r>
      <w:r>
        <w:rPr>
          <w:rFonts w:asciiTheme="majorHAnsi" w:hAnsiTheme="majorHAnsi"/>
          <w:lang w:val="en-US"/>
        </w:rPr>
        <w:t>was observed in</w:t>
      </w:r>
      <w:r w:rsidR="007053FB">
        <w:rPr>
          <w:rFonts w:asciiTheme="majorHAnsi" w:hAnsiTheme="majorHAnsi"/>
          <w:lang w:val="en-US"/>
        </w:rPr>
        <w:t xml:space="preserve"> </w:t>
      </w:r>
      <w:r w:rsidR="007053FB" w:rsidRPr="00004979">
        <w:rPr>
          <w:rFonts w:asciiTheme="majorHAnsi" w:hAnsiTheme="majorHAnsi"/>
          <w:i/>
          <w:lang w:val="en-US"/>
        </w:rPr>
        <w:t>SRCAP</w:t>
      </w:r>
      <w:r w:rsidR="00554B8E">
        <w:rPr>
          <w:rFonts w:asciiTheme="majorHAnsi" w:hAnsiTheme="majorHAnsi"/>
          <w:lang w:val="en-US"/>
        </w:rPr>
        <w:t xml:space="preserve"> over-</w:t>
      </w:r>
      <w:r w:rsidR="00581C53">
        <w:rPr>
          <w:rFonts w:asciiTheme="majorHAnsi" w:hAnsiTheme="majorHAnsi"/>
          <w:lang w:val="en-US"/>
        </w:rPr>
        <w:t>expressing</w:t>
      </w:r>
      <w:r>
        <w:rPr>
          <w:rFonts w:asciiTheme="majorHAnsi" w:hAnsiTheme="majorHAnsi"/>
          <w:lang w:val="en-US"/>
        </w:rPr>
        <w:t xml:space="preserve"> cells</w:t>
      </w:r>
      <w:r w:rsidR="001F5258">
        <w:rPr>
          <w:rFonts w:asciiTheme="majorHAnsi" w:hAnsiTheme="majorHAnsi"/>
          <w:lang w:val="en-US"/>
        </w:rPr>
        <w:t xml:space="preserve">. </w:t>
      </w:r>
      <w:r w:rsidR="00CF3BBD">
        <w:rPr>
          <w:rFonts w:asciiTheme="majorHAnsi" w:hAnsiTheme="majorHAnsi"/>
          <w:lang w:val="en-US"/>
        </w:rPr>
        <w:t xml:space="preserve">It </w:t>
      </w:r>
      <w:r w:rsidR="001F5258">
        <w:rPr>
          <w:rFonts w:asciiTheme="majorHAnsi" w:hAnsiTheme="majorHAnsi"/>
          <w:lang w:val="en-US"/>
        </w:rPr>
        <w:t>would be</w:t>
      </w:r>
      <w:r w:rsidR="00CF3BBD">
        <w:rPr>
          <w:rFonts w:asciiTheme="majorHAnsi" w:hAnsiTheme="majorHAnsi"/>
          <w:lang w:val="en-US"/>
        </w:rPr>
        <w:t xml:space="preserve"> predicted that the over-expression of SRCAP, if it was indeed a driver of tumour progression, would increase the proliferative nature of the cells, since it has been shown that when H2A.Z was up-regulated, it bound to the p21 promoter and decreased its expression, resulting in a less restricted cell cycle </w:t>
      </w:r>
      <w:r w:rsidR="00CF3BBD">
        <w:rPr>
          <w:rFonts w:asciiTheme="majorHAnsi" w:hAnsiTheme="majorHAnsi"/>
          <w:lang w:val="en-US"/>
        </w:rPr>
        <w:fldChar w:fldCharType="begin">
          <w:fldData xml:space="preserve">PEVuZE5vdGU+PENpdGU+PEF1dGhvcj5Hw6l2cnk8L0F1dGhvcj48WWVhcj4yMDA3PC9ZZWFyPjxJ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</w:fldData>
        </w:fldChar>
      </w:r>
      <w:r w:rsidR="00CF3BBD">
        <w:rPr>
          <w:rFonts w:asciiTheme="majorHAnsi" w:hAnsiTheme="majorHAnsi"/>
          <w:lang w:val="en-US"/>
        </w:rPr>
        <w:instrText xml:space="preserve"> ADDIN EN.CITE </w:instrText>
      </w:r>
      <w:r w:rsidR="00CF3BBD">
        <w:rPr>
          <w:rFonts w:asciiTheme="majorHAnsi" w:hAnsiTheme="majorHAnsi"/>
          <w:lang w:val="en-US"/>
        </w:rPr>
        <w:fldChar w:fldCharType="begin">
          <w:fldData xml:space="preserve">PEVuZE5vdGU+PENpdGU+PEF1dGhvcj5Hw6l2cnk8L0F1dGhvcj48WWVhcj4yMDA3PC9ZZWFyPjxJ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</w:fldData>
        </w:fldChar>
      </w:r>
      <w:r w:rsidR="00CF3BBD">
        <w:rPr>
          <w:rFonts w:asciiTheme="majorHAnsi" w:hAnsiTheme="majorHAnsi"/>
          <w:lang w:val="en-US"/>
        </w:rPr>
        <w:instrText xml:space="preserve"> ADDIN EN.CITE.DATA </w:instrText>
      </w:r>
      <w:r w:rsidR="00CF3BBD">
        <w:rPr>
          <w:rFonts w:asciiTheme="majorHAnsi" w:hAnsiTheme="majorHAnsi"/>
          <w:lang w:val="en-US"/>
        </w:rPr>
      </w:r>
      <w:r w:rsidR="00CF3BBD">
        <w:rPr>
          <w:rFonts w:asciiTheme="majorHAnsi" w:hAnsiTheme="majorHAnsi"/>
          <w:lang w:val="en-US"/>
        </w:rPr>
        <w:fldChar w:fldCharType="end"/>
      </w:r>
      <w:r w:rsidR="00CF3BBD">
        <w:rPr>
          <w:rFonts w:asciiTheme="majorHAnsi" w:hAnsiTheme="majorHAnsi"/>
          <w:lang w:val="en-US"/>
        </w:rPr>
      </w:r>
      <w:r w:rsidR="00CF3BBD">
        <w:rPr>
          <w:rFonts w:asciiTheme="majorHAnsi" w:hAnsiTheme="majorHAnsi"/>
          <w:lang w:val="en-US"/>
        </w:rPr>
        <w:fldChar w:fldCharType="separate"/>
      </w:r>
      <w:r w:rsidR="00CF3BBD">
        <w:rPr>
          <w:rFonts w:asciiTheme="majorHAnsi" w:hAnsiTheme="majorHAnsi"/>
          <w:noProof/>
          <w:lang w:val="en-US"/>
        </w:rPr>
        <w:t>(Gévry et al., 2007, Rangasamy, 2010)</w:t>
      </w:r>
      <w:r w:rsidR="00CF3BBD">
        <w:rPr>
          <w:rFonts w:asciiTheme="majorHAnsi" w:hAnsiTheme="majorHAnsi"/>
          <w:lang w:val="en-US"/>
        </w:rPr>
        <w:fldChar w:fldCharType="end"/>
      </w:r>
      <w:r w:rsidR="00CF3BBD">
        <w:rPr>
          <w:rFonts w:asciiTheme="majorHAnsi" w:hAnsiTheme="majorHAnsi"/>
          <w:lang w:val="en-US"/>
        </w:rPr>
        <w:t>.</w:t>
      </w:r>
      <w:r w:rsidR="0046517D">
        <w:rPr>
          <w:rFonts w:asciiTheme="majorHAnsi" w:hAnsiTheme="majorHAnsi"/>
          <w:lang w:val="en-US"/>
        </w:rPr>
        <w:t xml:space="preserve"> </w:t>
      </w:r>
      <w:r w:rsidR="001F5258">
        <w:rPr>
          <w:rFonts w:asciiTheme="majorHAnsi" w:hAnsiTheme="majorHAnsi"/>
          <w:lang w:val="en-US"/>
        </w:rPr>
        <w:t xml:space="preserve">Therefore if SRCAP </w:t>
      </w:r>
      <w:r w:rsidR="004D7FF4">
        <w:rPr>
          <w:rFonts w:asciiTheme="majorHAnsi" w:hAnsiTheme="majorHAnsi"/>
          <w:lang w:val="en-US"/>
        </w:rPr>
        <w:t>were</w:t>
      </w:r>
      <w:r w:rsidR="001F5258">
        <w:rPr>
          <w:rFonts w:asciiTheme="majorHAnsi" w:hAnsiTheme="majorHAnsi"/>
          <w:lang w:val="en-US"/>
        </w:rPr>
        <w:t xml:space="preserve"> over-expressed it would be hypothesized that H2A.Z deposition into the nucleosom</w:t>
      </w:r>
      <w:r w:rsidR="004D7FF4">
        <w:rPr>
          <w:rFonts w:asciiTheme="majorHAnsi" w:hAnsiTheme="majorHAnsi"/>
          <w:lang w:val="en-US"/>
        </w:rPr>
        <w:t>e would also be up regulated, and</w:t>
      </w:r>
      <w:r w:rsidR="001F5258">
        <w:rPr>
          <w:rFonts w:asciiTheme="majorHAnsi" w:hAnsiTheme="majorHAnsi"/>
          <w:lang w:val="en-US"/>
        </w:rPr>
        <w:t xml:space="preserve"> so increase cells proliferative capacity, yet we did not see this phenotype. However, t</w:t>
      </w:r>
      <w:r w:rsidR="007053FB">
        <w:rPr>
          <w:rFonts w:asciiTheme="majorHAnsi" w:hAnsiTheme="majorHAnsi"/>
          <w:lang w:val="en-US"/>
        </w:rPr>
        <w:t>he results from these assays are tentative, as afte</w:t>
      </w:r>
      <w:r w:rsidR="00554B8E">
        <w:rPr>
          <w:rFonts w:asciiTheme="majorHAnsi" w:hAnsiTheme="majorHAnsi"/>
          <w:lang w:val="en-US"/>
        </w:rPr>
        <w:t>r six weeks in culture the over-</w:t>
      </w:r>
      <w:r w:rsidR="007053FB">
        <w:rPr>
          <w:rFonts w:asciiTheme="majorHAnsi" w:hAnsiTheme="majorHAnsi"/>
          <w:lang w:val="en-US"/>
        </w:rPr>
        <w:t xml:space="preserve">expressing clones had reverted back to normal </w:t>
      </w:r>
      <w:r w:rsidR="007053FB" w:rsidRPr="00785E0D">
        <w:rPr>
          <w:rFonts w:asciiTheme="majorHAnsi" w:hAnsiTheme="majorHAnsi"/>
          <w:i/>
          <w:lang w:val="en-US"/>
        </w:rPr>
        <w:t>SRCAP</w:t>
      </w:r>
      <w:r w:rsidR="007053FB">
        <w:rPr>
          <w:rFonts w:asciiTheme="majorHAnsi" w:hAnsiTheme="majorHAnsi"/>
          <w:lang w:val="en-US"/>
        </w:rPr>
        <w:t xml:space="preserve"> expression levels, and could not be rescued by antibiotic selection</w:t>
      </w:r>
      <w:r>
        <w:rPr>
          <w:rFonts w:asciiTheme="majorHAnsi" w:hAnsiTheme="majorHAnsi"/>
          <w:lang w:val="en-US"/>
        </w:rPr>
        <w:t>, most likely</w:t>
      </w:r>
      <w:r w:rsidR="007053FB">
        <w:rPr>
          <w:rFonts w:asciiTheme="majorHAnsi" w:hAnsiTheme="majorHAnsi"/>
          <w:lang w:val="en-US"/>
        </w:rPr>
        <w:t xml:space="preserve"> explaining the variation </w:t>
      </w:r>
      <w:r w:rsidR="00581C53">
        <w:rPr>
          <w:rFonts w:asciiTheme="majorHAnsi" w:hAnsiTheme="majorHAnsi"/>
          <w:lang w:val="en-US"/>
        </w:rPr>
        <w:t>between</w:t>
      </w:r>
      <w:r w:rsidR="00235EBF">
        <w:rPr>
          <w:rFonts w:asciiTheme="majorHAnsi" w:hAnsiTheme="majorHAnsi"/>
          <w:lang w:val="en-US"/>
        </w:rPr>
        <w:t xml:space="preserve"> </w:t>
      </w:r>
      <w:proofErr w:type="gramStart"/>
      <w:r w:rsidR="007053FB">
        <w:rPr>
          <w:rFonts w:asciiTheme="majorHAnsi" w:hAnsiTheme="majorHAnsi"/>
          <w:lang w:val="en-US"/>
        </w:rPr>
        <w:t>repeat</w:t>
      </w:r>
      <w:proofErr w:type="gramEnd"/>
      <w:r w:rsidR="007053FB">
        <w:rPr>
          <w:rFonts w:asciiTheme="majorHAnsi" w:hAnsiTheme="majorHAnsi"/>
          <w:lang w:val="en-US"/>
        </w:rPr>
        <w:t xml:space="preserve"> </w:t>
      </w:r>
      <w:r w:rsidR="00235EBF">
        <w:rPr>
          <w:rFonts w:asciiTheme="majorHAnsi" w:hAnsiTheme="majorHAnsi"/>
          <w:lang w:val="en-US"/>
        </w:rPr>
        <w:t>experiments</w:t>
      </w:r>
      <w:r w:rsidR="007053FB">
        <w:rPr>
          <w:rFonts w:asciiTheme="majorHAnsi" w:hAnsiTheme="majorHAnsi"/>
          <w:lang w:val="en-US"/>
        </w:rPr>
        <w:t xml:space="preserve">. </w:t>
      </w:r>
      <w:r w:rsidR="00EE5641">
        <w:rPr>
          <w:rFonts w:asciiTheme="majorHAnsi" w:hAnsiTheme="majorHAnsi"/>
          <w:lang w:val="en-US"/>
        </w:rPr>
        <w:t xml:space="preserve">There has been no published work that has documented </w:t>
      </w:r>
      <w:r w:rsidR="00235EBF">
        <w:rPr>
          <w:rFonts w:asciiTheme="majorHAnsi" w:hAnsiTheme="majorHAnsi"/>
          <w:lang w:val="en-US"/>
        </w:rPr>
        <w:t>such</w:t>
      </w:r>
      <w:r w:rsidR="00EE5641">
        <w:rPr>
          <w:rFonts w:asciiTheme="majorHAnsi" w:hAnsiTheme="majorHAnsi"/>
          <w:lang w:val="en-US"/>
        </w:rPr>
        <w:t xml:space="preserve"> depletion of</w:t>
      </w:r>
      <w:r w:rsidR="00235EBF">
        <w:rPr>
          <w:rFonts w:asciiTheme="majorHAnsi" w:hAnsiTheme="majorHAnsi"/>
          <w:lang w:val="en-US"/>
        </w:rPr>
        <w:t xml:space="preserve"> enhanced</w:t>
      </w:r>
      <w:r w:rsidR="00EE5641">
        <w:rPr>
          <w:rFonts w:asciiTheme="majorHAnsi" w:hAnsiTheme="majorHAnsi"/>
          <w:lang w:val="en-US"/>
        </w:rPr>
        <w:t xml:space="preserve"> expression levels</w:t>
      </w:r>
      <w:r w:rsidR="00235EBF">
        <w:rPr>
          <w:rFonts w:asciiTheme="majorHAnsi" w:hAnsiTheme="majorHAnsi"/>
          <w:lang w:val="en-US"/>
        </w:rPr>
        <w:t xml:space="preserve"> using this system</w:t>
      </w:r>
      <w:r w:rsidR="00EE5641">
        <w:rPr>
          <w:rFonts w:asciiTheme="majorHAnsi" w:hAnsiTheme="majorHAnsi"/>
          <w:lang w:val="en-US"/>
        </w:rPr>
        <w:t xml:space="preserve">, and the company </w:t>
      </w:r>
      <w:r w:rsidR="00235EBF">
        <w:rPr>
          <w:rFonts w:asciiTheme="majorHAnsi" w:hAnsiTheme="majorHAnsi"/>
          <w:lang w:val="en-US"/>
        </w:rPr>
        <w:t>could</w:t>
      </w:r>
      <w:r w:rsidR="00EE5641">
        <w:rPr>
          <w:rFonts w:asciiTheme="majorHAnsi" w:hAnsiTheme="majorHAnsi"/>
          <w:lang w:val="en-US"/>
        </w:rPr>
        <w:t xml:space="preserve"> not </w:t>
      </w:r>
      <w:r w:rsidR="00235EBF">
        <w:rPr>
          <w:rFonts w:asciiTheme="majorHAnsi" w:hAnsiTheme="majorHAnsi"/>
          <w:lang w:val="en-US"/>
        </w:rPr>
        <w:t>offer a good</w:t>
      </w:r>
      <w:r w:rsidR="00EE5641">
        <w:rPr>
          <w:rFonts w:asciiTheme="majorHAnsi" w:hAnsiTheme="majorHAnsi"/>
          <w:lang w:val="en-US"/>
        </w:rPr>
        <w:t xml:space="preserve"> </w:t>
      </w:r>
      <w:r w:rsidR="00FD7648">
        <w:rPr>
          <w:rFonts w:asciiTheme="majorHAnsi" w:hAnsiTheme="majorHAnsi"/>
          <w:lang w:val="en-US"/>
        </w:rPr>
        <w:t>explanation</w:t>
      </w:r>
      <w:r w:rsidR="00235EBF">
        <w:rPr>
          <w:rFonts w:asciiTheme="majorHAnsi" w:hAnsiTheme="majorHAnsi"/>
          <w:lang w:val="en-US"/>
        </w:rPr>
        <w:t xml:space="preserve"> for this phenotype</w:t>
      </w:r>
      <w:r w:rsidR="00FD7648">
        <w:rPr>
          <w:rFonts w:asciiTheme="majorHAnsi" w:hAnsiTheme="majorHAnsi"/>
          <w:lang w:val="en-US"/>
        </w:rPr>
        <w:t xml:space="preserve">. It appears that </w:t>
      </w:r>
      <w:r w:rsidR="00581C53">
        <w:rPr>
          <w:rFonts w:asciiTheme="majorHAnsi" w:hAnsiTheme="majorHAnsi"/>
          <w:lang w:val="en-US"/>
        </w:rPr>
        <w:t xml:space="preserve">the loss of expression </w:t>
      </w:r>
      <w:r w:rsidR="00FD7648">
        <w:rPr>
          <w:rFonts w:asciiTheme="majorHAnsi" w:hAnsiTheme="majorHAnsi"/>
          <w:lang w:val="en-US"/>
        </w:rPr>
        <w:t>is not cell line or gene specific t</w:t>
      </w:r>
      <w:r w:rsidR="00235EBF">
        <w:rPr>
          <w:rFonts w:asciiTheme="majorHAnsi" w:hAnsiTheme="majorHAnsi"/>
          <w:lang w:val="en-US"/>
        </w:rPr>
        <w:t xml:space="preserve">hough, as another member of our </w:t>
      </w:r>
      <w:r w:rsidR="00FD7648">
        <w:rPr>
          <w:rFonts w:asciiTheme="majorHAnsi" w:hAnsiTheme="majorHAnsi"/>
          <w:lang w:val="en-US"/>
        </w:rPr>
        <w:t>laboratory saw the same decrease in expression levels using the same system but with a different gene being over-expressed. Perez-</w:t>
      </w:r>
      <w:proofErr w:type="spellStart"/>
      <w:r w:rsidR="00FD7648">
        <w:rPr>
          <w:rFonts w:asciiTheme="majorHAnsi" w:hAnsiTheme="majorHAnsi"/>
          <w:lang w:val="en-US"/>
        </w:rPr>
        <w:t>Pinera</w:t>
      </w:r>
      <w:proofErr w:type="spellEnd"/>
      <w:r w:rsidR="00FD7648">
        <w:rPr>
          <w:rFonts w:asciiTheme="majorHAnsi" w:hAnsiTheme="majorHAnsi"/>
          <w:lang w:val="en-US"/>
        </w:rPr>
        <w:t xml:space="preserve"> (2013) found that transfection of four </w:t>
      </w:r>
      <w:proofErr w:type="spellStart"/>
      <w:r w:rsidR="00FD7648">
        <w:rPr>
          <w:rFonts w:asciiTheme="majorHAnsi" w:hAnsiTheme="majorHAnsi"/>
          <w:lang w:val="en-US"/>
        </w:rPr>
        <w:t>gRNAs</w:t>
      </w:r>
      <w:proofErr w:type="spellEnd"/>
      <w:r w:rsidR="00FD7648">
        <w:rPr>
          <w:rFonts w:asciiTheme="majorHAnsi" w:hAnsiTheme="majorHAnsi"/>
          <w:lang w:val="en-US"/>
        </w:rPr>
        <w:t xml:space="preserve"> to the gene of interest produced an increase in gene expression greater than was seen when one gRNA was used, as was used in our system. Therefore, it could be that this technique could enhance the efficiency of the system and produce stable long-term over-expressing clones. </w:t>
      </w:r>
    </w:p>
    <w:p w14:paraId="2A0A623E" w14:textId="77777777" w:rsidR="007053FB" w:rsidRDefault="007053FB" w:rsidP="007053FB">
      <w:pPr>
        <w:spacing w:line="360" w:lineRule="auto"/>
        <w:jc w:val="both"/>
        <w:rPr>
          <w:rFonts w:asciiTheme="majorHAnsi" w:hAnsiTheme="majorHAnsi"/>
          <w:lang w:val="en-US"/>
        </w:rPr>
      </w:pPr>
    </w:p>
    <w:p w14:paraId="6B67ACFA" w14:textId="40A6CA2A" w:rsidR="007053FB" w:rsidRDefault="007053FB" w:rsidP="007053FB">
      <w:pPr>
        <w:spacing w:line="360" w:lineRule="auto"/>
        <w:jc w:val="both"/>
        <w:rPr>
          <w:rFonts w:asciiTheme="majorHAnsi" w:hAnsiTheme="majorHAnsi"/>
          <w:u w:val="single"/>
          <w:lang w:val="en-US"/>
        </w:rPr>
      </w:pPr>
      <w:r>
        <w:rPr>
          <w:rFonts w:asciiTheme="majorHAnsi" w:hAnsiTheme="majorHAnsi"/>
          <w:u w:val="single"/>
          <w:lang w:val="en-US"/>
        </w:rPr>
        <w:t xml:space="preserve">7.3 </w:t>
      </w:r>
      <w:r w:rsidR="002C2E2A">
        <w:rPr>
          <w:rFonts w:asciiTheme="majorHAnsi" w:hAnsiTheme="majorHAnsi"/>
          <w:u w:val="single"/>
          <w:lang w:val="en-US"/>
        </w:rPr>
        <w:t>SRCAP knock</w:t>
      </w:r>
      <w:r w:rsidRPr="00CE7BFC">
        <w:rPr>
          <w:rFonts w:asciiTheme="majorHAnsi" w:hAnsiTheme="majorHAnsi"/>
          <w:u w:val="single"/>
          <w:lang w:val="en-US"/>
        </w:rPr>
        <w:t>down</w:t>
      </w:r>
    </w:p>
    <w:p w14:paraId="0363E577" w14:textId="77777777" w:rsidR="007053FB" w:rsidRPr="00CE7BFC" w:rsidRDefault="007053FB" w:rsidP="007053FB">
      <w:pPr>
        <w:spacing w:line="360" w:lineRule="auto"/>
        <w:jc w:val="both"/>
        <w:rPr>
          <w:rFonts w:asciiTheme="majorHAnsi" w:hAnsiTheme="majorHAnsi"/>
          <w:u w:val="single"/>
          <w:lang w:val="en-US"/>
        </w:rPr>
      </w:pPr>
    </w:p>
    <w:p w14:paraId="72C5A596" w14:textId="472F0B9F" w:rsidR="00FD7648" w:rsidRDefault="007053FB" w:rsidP="007053FB">
      <w:pPr>
        <w:spacing w:line="360" w:lineRule="auto"/>
        <w:jc w:val="both"/>
        <w:rPr>
          <w:rFonts w:asciiTheme="majorHAnsi" w:hAnsiTheme="majorHAnsi"/>
          <w:lang w:val="en-US"/>
        </w:rPr>
      </w:pPr>
      <w:r>
        <w:rPr>
          <w:rFonts w:asciiTheme="majorHAnsi" w:hAnsiTheme="majorHAnsi"/>
          <w:lang w:val="en-US"/>
        </w:rPr>
        <w:t xml:space="preserve">Dong et al. </w:t>
      </w:r>
      <w:r>
        <w:rPr>
          <w:rFonts w:asciiTheme="majorHAnsi" w:hAnsiTheme="majorHAnsi"/>
          <w:lang w:val="en-US"/>
        </w:rPr>
        <w:fldChar w:fldCharType="begin"/>
      </w:r>
      <w:r>
        <w:rPr>
          <w:rFonts w:asciiTheme="majorHAnsi" w:hAnsiTheme="majorHAnsi"/>
          <w:lang w:val="en-US"/>
        </w:rPr>
        <w:instrText xml:space="preserve"> ADDIN EN.CITE &lt;EndNote&gt;&lt;Cite ExcludeAuth="1"&gt;&lt;Author&gt;Dong&lt;/Author&gt;&lt;Year&gt;2014&lt;/Year&gt;&lt;IDText&gt;The human SRCAP chromatin remodeling complex promotes DNA-end resection&lt;/IDText&gt;&lt;DisplayText&gt;(2014)&lt;/DisplayText&gt;&lt;record&gt;&lt;dates&gt;&lt;pub-dates&gt;&lt;date&gt;Sep&lt;/date&gt;&lt;/pub-dates&gt;&lt;year&gt;2014&lt;/year&gt;&lt;/dates&gt;&lt;keywords&gt;&lt;keyword&gt;Abnormalities, Multiple&lt;/keyword&gt;&lt;keyword&gt;Adenosine Triphosphatases&lt;/keyword&gt;&lt;keyword&gt;Chromatin&lt;/keyword&gt;&lt;keyword&gt;Chromatin Assembly and Disassembly&lt;/keyword&gt;&lt;keyword&gt;Craniofacial Abnormalities&lt;/keyword&gt;&lt;keyword&gt;DNA Breaks, Double-Stranded&lt;/keyword&gt;&lt;keyword&gt;DNA Damage&lt;/keyword&gt;&lt;keyword&gt;Fluorescent Antibody Technique&lt;/keyword&gt;&lt;keyword&gt;Growth Disorders&lt;/keyword&gt;&lt;keyword&gt;HeLa Cells&lt;/keyword&gt;&lt;keyword&gt;Heart Septal Defects, Ventricular&lt;/keyword&gt;&lt;keyword&gt;Homologous Recombination&lt;/keyword&gt;&lt;keyword&gt;Humans&lt;/keyword&gt;&lt;keyword&gt;Polymerase Chain Reaction&lt;/keyword&gt;&lt;/keywords&gt;&lt;urls&gt;&lt;related-urls&gt;&lt;url&gt;http://www.ncbi.nlm.nih.gov/pubmed/25176633&lt;/url&gt;&lt;/related-urls&gt;&lt;/urls&gt;&lt;isbn&gt;1879-0445&lt;/isbn&gt;&lt;titles&gt;&lt;title&gt;The human SRCAP chromatin remodeling complex promotes DNA-end resection&lt;/title&gt;&lt;secondary-title&gt;Curr Biol&lt;/secondary-title&gt;&lt;/titles&gt;&lt;pages&gt;2097-110&lt;/pages&gt;&lt;number&gt;18&lt;/number&gt;&lt;contributors&gt;&lt;authors&gt;&lt;author&gt;Dong, S.&lt;/author&gt;&lt;author&gt;Han, J.&lt;/author&gt;&lt;author&gt;Chen, H.&lt;/author&gt;&lt;author&gt;Liu, T.&lt;/author&gt;&lt;author&gt;Huen, M. S.&lt;/author&gt;&lt;author&gt;Yang, Y.&lt;/author&gt;&lt;author&gt;Guo, C.&lt;/author&gt;&lt;author&gt;Huang, J.&lt;/author&gt;&lt;/authors&gt;&lt;/contributors&gt;&lt;language&gt;eng&lt;/language&gt;&lt;added-date format="utc"&gt;1448295007&lt;/added-date&gt;&lt;ref-type name="Journal Article"&gt;17&lt;/ref-type&gt;&lt;rec-number&gt;144&lt;/rec-number&gt;&lt;last-updated-date format="utc"&gt;1448295007&lt;/last-updated-date&gt;&lt;accession-num&gt;25176633&lt;/accession-num&gt;&lt;electronic-resource-num&gt;10.1016/j.cub.2014.07.081&lt;/electronic-resource-num&gt;&lt;volume&gt;24&lt;/volume&gt;&lt;/record&gt;&lt;/Cite&gt;&lt;/EndNote&gt;</w:instrText>
      </w:r>
      <w:r>
        <w:rPr>
          <w:rFonts w:asciiTheme="majorHAnsi" w:hAnsiTheme="majorHAnsi"/>
          <w:lang w:val="en-US"/>
        </w:rPr>
        <w:fldChar w:fldCharType="separate"/>
      </w:r>
      <w:r>
        <w:rPr>
          <w:rFonts w:asciiTheme="majorHAnsi" w:hAnsiTheme="majorHAnsi"/>
          <w:noProof/>
          <w:lang w:val="en-US"/>
        </w:rPr>
        <w:t>(2014)</w:t>
      </w:r>
      <w:r>
        <w:rPr>
          <w:rFonts w:asciiTheme="majorHAnsi" w:hAnsiTheme="majorHAnsi"/>
          <w:lang w:val="en-US"/>
        </w:rPr>
        <w:fldChar w:fldCharType="end"/>
      </w:r>
      <w:r>
        <w:rPr>
          <w:rFonts w:asciiTheme="majorHAnsi" w:hAnsiTheme="majorHAnsi"/>
          <w:lang w:val="en-US"/>
        </w:rPr>
        <w:t xml:space="preserve"> have previously shown that SRCAP plays a vital role in the DNA damage response in Hela cells by directly interacting with CtIP</w:t>
      </w:r>
      <w:r w:rsidR="008B00BA">
        <w:rPr>
          <w:rFonts w:asciiTheme="majorHAnsi" w:hAnsiTheme="majorHAnsi"/>
          <w:lang w:val="en-US"/>
        </w:rPr>
        <w:t>,</w:t>
      </w:r>
      <w:r>
        <w:rPr>
          <w:rFonts w:asciiTheme="majorHAnsi" w:hAnsiTheme="majorHAnsi"/>
          <w:lang w:val="en-US"/>
        </w:rPr>
        <w:t xml:space="preserve"> and SRCAP </w:t>
      </w:r>
      <w:r w:rsidR="00235EBF">
        <w:rPr>
          <w:rFonts w:asciiTheme="majorHAnsi" w:hAnsiTheme="majorHAnsi"/>
          <w:lang w:val="en-US"/>
        </w:rPr>
        <w:t>depletion led to decreased</w:t>
      </w:r>
      <w:r>
        <w:rPr>
          <w:rFonts w:asciiTheme="majorHAnsi" w:hAnsiTheme="majorHAnsi"/>
          <w:lang w:val="en-US"/>
        </w:rPr>
        <w:t xml:space="preserve"> recruitment of essential repair proteins such as RAD51. </w:t>
      </w:r>
      <w:r w:rsidR="008B00BA">
        <w:rPr>
          <w:rFonts w:asciiTheme="majorHAnsi" w:hAnsiTheme="majorHAnsi"/>
          <w:lang w:val="en-US"/>
        </w:rPr>
        <w:t>Consistent with these results</w:t>
      </w:r>
      <w:r>
        <w:rPr>
          <w:rFonts w:asciiTheme="majorHAnsi" w:hAnsiTheme="majorHAnsi"/>
          <w:lang w:val="en-US"/>
        </w:rPr>
        <w:t xml:space="preserve">, here we show that DNA damage </w:t>
      </w:r>
      <w:proofErr w:type="gramStart"/>
      <w:r>
        <w:rPr>
          <w:rFonts w:asciiTheme="majorHAnsi" w:hAnsiTheme="majorHAnsi"/>
          <w:lang w:val="en-US"/>
        </w:rPr>
        <w:t>markers,</w:t>
      </w:r>
      <w:proofErr w:type="gramEnd"/>
      <w:r>
        <w:rPr>
          <w:rFonts w:asciiTheme="majorHAnsi" w:hAnsiTheme="majorHAnsi"/>
          <w:lang w:val="en-US"/>
        </w:rPr>
        <w:t xml:space="preserve"> direct visualisation of damage and nuclear abnormalities are all increased in CRC cells when SRCAP is knoc</w:t>
      </w:r>
      <w:r w:rsidR="002C2E2A">
        <w:rPr>
          <w:rFonts w:asciiTheme="majorHAnsi" w:hAnsiTheme="majorHAnsi"/>
          <w:lang w:val="en-US"/>
        </w:rPr>
        <w:t>ked down</w:t>
      </w:r>
      <w:r w:rsidR="00FD7648">
        <w:rPr>
          <w:rFonts w:asciiTheme="majorHAnsi" w:hAnsiTheme="majorHAnsi"/>
          <w:lang w:val="en-US"/>
        </w:rPr>
        <w:t xml:space="preserve"> with siRNA</w:t>
      </w:r>
      <w:r w:rsidR="002C2E2A">
        <w:rPr>
          <w:rFonts w:asciiTheme="majorHAnsi" w:hAnsiTheme="majorHAnsi"/>
          <w:lang w:val="en-US"/>
        </w:rPr>
        <w:t>. Furthermore</w:t>
      </w:r>
      <w:r w:rsidR="00235EBF">
        <w:rPr>
          <w:rFonts w:asciiTheme="majorHAnsi" w:hAnsiTheme="majorHAnsi"/>
          <w:lang w:val="en-US"/>
        </w:rPr>
        <w:t>,</w:t>
      </w:r>
      <w:r w:rsidR="002C2E2A">
        <w:rPr>
          <w:rFonts w:asciiTheme="majorHAnsi" w:hAnsiTheme="majorHAnsi"/>
          <w:lang w:val="en-US"/>
        </w:rPr>
        <w:t xml:space="preserve"> knock</w:t>
      </w:r>
      <w:r>
        <w:rPr>
          <w:rFonts w:asciiTheme="majorHAnsi" w:hAnsiTheme="majorHAnsi"/>
          <w:lang w:val="en-US"/>
        </w:rPr>
        <w:t xml:space="preserve">down of </w:t>
      </w:r>
      <w:r w:rsidRPr="005119D6">
        <w:rPr>
          <w:rFonts w:asciiTheme="majorHAnsi" w:hAnsiTheme="majorHAnsi"/>
          <w:i/>
          <w:lang w:val="en-US"/>
        </w:rPr>
        <w:t>SRCAP</w:t>
      </w:r>
      <w:r>
        <w:rPr>
          <w:rFonts w:asciiTheme="majorHAnsi" w:hAnsiTheme="majorHAnsi"/>
          <w:lang w:val="en-US"/>
        </w:rPr>
        <w:t xml:space="preserve"> caused cell cycle changes indicative of DNA damage accumulation a</w:t>
      </w:r>
      <w:r w:rsidR="008B00BA">
        <w:rPr>
          <w:rFonts w:asciiTheme="majorHAnsi" w:hAnsiTheme="majorHAnsi"/>
          <w:lang w:val="en-US"/>
        </w:rPr>
        <w:t>nd possibly mitotic catastrophe</w:t>
      </w:r>
      <w:r>
        <w:rPr>
          <w:rFonts w:asciiTheme="majorHAnsi" w:hAnsiTheme="majorHAnsi"/>
          <w:lang w:val="en-US"/>
        </w:rPr>
        <w:t xml:space="preserve">. </w:t>
      </w:r>
      <w:r w:rsidR="005C57EE">
        <w:rPr>
          <w:rFonts w:asciiTheme="majorHAnsi" w:hAnsiTheme="majorHAnsi"/>
          <w:lang w:val="en-US"/>
        </w:rPr>
        <w:t>Dong et al. (2014) however, did not show any cell cycle changes</w:t>
      </w:r>
      <w:r w:rsidR="00256497">
        <w:rPr>
          <w:rFonts w:asciiTheme="majorHAnsi" w:hAnsiTheme="majorHAnsi"/>
          <w:lang w:val="en-US"/>
        </w:rPr>
        <w:t xml:space="preserve"> in PI profiling</w:t>
      </w:r>
      <w:r w:rsidR="005C57EE">
        <w:rPr>
          <w:rFonts w:asciiTheme="majorHAnsi" w:hAnsiTheme="majorHAnsi"/>
          <w:lang w:val="en-US"/>
        </w:rPr>
        <w:t xml:space="preserve"> in HeLa cells when they knocked SRCAP down, in contrast to what we </w:t>
      </w:r>
      <w:r w:rsidR="00235EBF">
        <w:rPr>
          <w:rFonts w:asciiTheme="majorHAnsi" w:hAnsiTheme="majorHAnsi"/>
          <w:lang w:val="en-US"/>
        </w:rPr>
        <w:t>observed</w:t>
      </w:r>
      <w:r w:rsidR="005C57EE">
        <w:rPr>
          <w:rFonts w:asciiTheme="majorHAnsi" w:hAnsiTheme="majorHAnsi"/>
          <w:lang w:val="en-US"/>
        </w:rPr>
        <w:t>. Therefore this</w:t>
      </w:r>
      <w:r w:rsidR="00256497">
        <w:rPr>
          <w:rFonts w:asciiTheme="majorHAnsi" w:hAnsiTheme="majorHAnsi"/>
          <w:lang w:val="en-US"/>
        </w:rPr>
        <w:t xml:space="preserve"> difference in cell cycling could be cell line specific. Indeed we saw differences between HCT116 and SW480 cells, with SW480 cells showing no significant changes by PI staining. This was surmised to be due to p53 status of the cells, however SW480 cells are </w:t>
      </w:r>
      <w:r w:rsidR="00581C53">
        <w:rPr>
          <w:rFonts w:asciiTheme="majorHAnsi" w:hAnsiTheme="majorHAnsi"/>
          <w:lang w:val="en-US"/>
        </w:rPr>
        <w:t xml:space="preserve">deficient in p53 whereas HeLa cells </w:t>
      </w:r>
      <w:r w:rsidR="00256497">
        <w:rPr>
          <w:rFonts w:asciiTheme="majorHAnsi" w:hAnsiTheme="majorHAnsi"/>
          <w:lang w:val="en-US"/>
        </w:rPr>
        <w:t xml:space="preserve">are p53 wild type like HCT116 cells, indicating there may be other factors that influence why HCT116 cells cycle differently when SRCAP was knocked down. </w:t>
      </w:r>
    </w:p>
    <w:p w14:paraId="5D2968CA" w14:textId="77777777" w:rsidR="00FD7648" w:rsidRDefault="00FD7648" w:rsidP="007053FB">
      <w:pPr>
        <w:spacing w:line="360" w:lineRule="auto"/>
        <w:jc w:val="both"/>
        <w:rPr>
          <w:rFonts w:asciiTheme="majorHAnsi" w:hAnsiTheme="majorHAnsi"/>
          <w:lang w:val="en-US"/>
        </w:rPr>
      </w:pPr>
    </w:p>
    <w:p w14:paraId="2A66B669" w14:textId="008590A1" w:rsidR="007053FB" w:rsidRDefault="003B4661" w:rsidP="007053FB">
      <w:pPr>
        <w:spacing w:line="360" w:lineRule="auto"/>
        <w:jc w:val="both"/>
        <w:rPr>
          <w:rFonts w:asciiTheme="majorHAnsi" w:hAnsiTheme="majorHAnsi"/>
          <w:lang w:val="en-US"/>
        </w:rPr>
      </w:pPr>
      <w:r w:rsidRPr="002E4AFC">
        <w:rPr>
          <w:rFonts w:asciiTheme="majorHAnsi" w:hAnsiTheme="majorHAnsi"/>
          <w:i/>
          <w:lang w:val="en-US"/>
        </w:rPr>
        <w:t>SRCAP</w:t>
      </w:r>
      <w:r>
        <w:rPr>
          <w:rFonts w:asciiTheme="majorHAnsi" w:hAnsiTheme="majorHAnsi"/>
          <w:lang w:val="en-US"/>
        </w:rPr>
        <w:t xml:space="preserve"> depleted cells </w:t>
      </w:r>
      <w:r w:rsidR="007053FB">
        <w:rPr>
          <w:rFonts w:asciiTheme="majorHAnsi" w:hAnsiTheme="majorHAnsi"/>
          <w:lang w:val="en-US"/>
        </w:rPr>
        <w:t xml:space="preserve">also showed changes to chromatin architecture suggesting that when </w:t>
      </w:r>
      <w:r w:rsidR="007053FB" w:rsidRPr="0068063D">
        <w:rPr>
          <w:rFonts w:asciiTheme="majorHAnsi" w:hAnsiTheme="majorHAnsi"/>
          <w:i/>
          <w:lang w:val="en-US"/>
        </w:rPr>
        <w:t>SRCAP</w:t>
      </w:r>
      <w:r w:rsidR="007053FB">
        <w:rPr>
          <w:rFonts w:asciiTheme="majorHAnsi" w:hAnsiTheme="majorHAnsi"/>
          <w:lang w:val="en-US"/>
        </w:rPr>
        <w:t xml:space="preserve"> is absent</w:t>
      </w:r>
      <w:r w:rsidR="008B00BA">
        <w:rPr>
          <w:rFonts w:asciiTheme="majorHAnsi" w:hAnsiTheme="majorHAnsi"/>
          <w:lang w:val="en-US"/>
        </w:rPr>
        <w:t>,</w:t>
      </w:r>
      <w:r w:rsidR="007053FB">
        <w:rPr>
          <w:rFonts w:asciiTheme="majorHAnsi" w:hAnsiTheme="majorHAnsi"/>
          <w:lang w:val="en-US"/>
        </w:rPr>
        <w:t xml:space="preserve"> micrococcal nuclease cannot access the DNA as easily, possibly because there is a decrease in H2A.Z deposition and so the nucleosomes keep the DNA more tightly wound. However, this was only </w:t>
      </w:r>
      <w:r w:rsidR="008B00BA">
        <w:rPr>
          <w:rFonts w:asciiTheme="majorHAnsi" w:hAnsiTheme="majorHAnsi"/>
          <w:lang w:val="en-US"/>
        </w:rPr>
        <w:t xml:space="preserve">seen </w:t>
      </w:r>
      <w:r w:rsidR="007053FB">
        <w:rPr>
          <w:rFonts w:asciiTheme="majorHAnsi" w:hAnsiTheme="majorHAnsi"/>
          <w:lang w:val="en-US"/>
        </w:rPr>
        <w:t xml:space="preserve">in SW480 cells, with HCT116 cells showing no clear pattern. </w:t>
      </w:r>
      <w:r w:rsidR="002E4AFC">
        <w:rPr>
          <w:rFonts w:asciiTheme="majorHAnsi" w:hAnsiTheme="majorHAnsi"/>
          <w:lang w:val="en-US"/>
        </w:rPr>
        <w:t xml:space="preserve">Dong et al. (2014) also saw this decreased sensitivity to micrococcal nuclease in HeLa cells, and hypothesized that it was due to more compact chromatin when </w:t>
      </w:r>
      <w:r w:rsidR="002E4AFC" w:rsidRPr="002E4AFC">
        <w:rPr>
          <w:rFonts w:asciiTheme="majorHAnsi" w:hAnsiTheme="majorHAnsi"/>
          <w:i/>
          <w:lang w:val="en-US"/>
        </w:rPr>
        <w:t>SRCAP</w:t>
      </w:r>
      <w:r w:rsidR="002E4AFC">
        <w:rPr>
          <w:rFonts w:asciiTheme="majorHAnsi" w:hAnsiTheme="majorHAnsi"/>
          <w:lang w:val="en-US"/>
        </w:rPr>
        <w:t xml:space="preserve"> was depleted. Interestingly the results from Dong et al., in HeLa cells appear to correspond to the phenotype we have seen in SW480 cells both in the micrococcal nuclease assay and with cell cycling. </w:t>
      </w:r>
      <w:r w:rsidR="007053FB">
        <w:rPr>
          <w:rFonts w:asciiTheme="majorHAnsi" w:hAnsiTheme="majorHAnsi"/>
          <w:lang w:val="en-US"/>
        </w:rPr>
        <w:t xml:space="preserve">The two CRC cell lines used </w:t>
      </w:r>
      <w:r w:rsidR="002E4AFC">
        <w:rPr>
          <w:rFonts w:asciiTheme="majorHAnsi" w:hAnsiTheme="majorHAnsi"/>
          <w:lang w:val="en-US"/>
        </w:rPr>
        <w:t xml:space="preserve">in this thesis </w:t>
      </w:r>
      <w:r w:rsidR="007053FB">
        <w:rPr>
          <w:rFonts w:asciiTheme="majorHAnsi" w:hAnsiTheme="majorHAnsi"/>
          <w:lang w:val="en-US"/>
        </w:rPr>
        <w:t>represented two of the main tumourigenic pathwa</w:t>
      </w:r>
      <w:r w:rsidR="00235EBF">
        <w:rPr>
          <w:rFonts w:asciiTheme="majorHAnsi" w:hAnsiTheme="majorHAnsi"/>
          <w:lang w:val="en-US"/>
        </w:rPr>
        <w:t xml:space="preserve">ys to colon cancer progression: </w:t>
      </w:r>
      <w:r w:rsidR="007053FB">
        <w:rPr>
          <w:rFonts w:asciiTheme="majorHAnsi" w:hAnsiTheme="majorHAnsi"/>
          <w:lang w:val="en-US"/>
        </w:rPr>
        <w:t>CIN</w:t>
      </w:r>
      <w:r>
        <w:rPr>
          <w:rFonts w:asciiTheme="majorHAnsi" w:hAnsiTheme="majorHAnsi"/>
          <w:lang w:val="en-US"/>
        </w:rPr>
        <w:t xml:space="preserve"> (SW480)</w:t>
      </w:r>
      <w:r w:rsidR="007053FB">
        <w:rPr>
          <w:rFonts w:asciiTheme="majorHAnsi" w:hAnsiTheme="majorHAnsi"/>
          <w:lang w:val="en-US"/>
        </w:rPr>
        <w:t xml:space="preserve"> and MSI</w:t>
      </w:r>
      <w:r>
        <w:rPr>
          <w:rFonts w:asciiTheme="majorHAnsi" w:hAnsiTheme="majorHAnsi"/>
          <w:lang w:val="en-US"/>
        </w:rPr>
        <w:t xml:space="preserve"> (HCT116)</w:t>
      </w:r>
      <w:r w:rsidR="008B00BA">
        <w:rPr>
          <w:rFonts w:asciiTheme="majorHAnsi" w:hAnsiTheme="majorHAnsi"/>
          <w:lang w:val="en-US"/>
        </w:rPr>
        <w:t>. So although the knock</w:t>
      </w:r>
      <w:r w:rsidR="007053FB">
        <w:rPr>
          <w:rFonts w:asciiTheme="majorHAnsi" w:hAnsiTheme="majorHAnsi"/>
          <w:lang w:val="en-US"/>
        </w:rPr>
        <w:t xml:space="preserve">down of </w:t>
      </w:r>
      <w:r w:rsidR="007053FB" w:rsidRPr="0068063D">
        <w:rPr>
          <w:rFonts w:asciiTheme="majorHAnsi" w:hAnsiTheme="majorHAnsi"/>
          <w:i/>
          <w:lang w:val="en-US"/>
        </w:rPr>
        <w:t>SRCAP</w:t>
      </w:r>
      <w:r w:rsidR="007053FB">
        <w:rPr>
          <w:rFonts w:asciiTheme="majorHAnsi" w:hAnsiTheme="majorHAnsi"/>
          <w:lang w:val="en-US"/>
        </w:rPr>
        <w:t xml:space="preserve"> impacts genome instability and cell proliferation in similar wa</w:t>
      </w:r>
      <w:r w:rsidR="008B00BA">
        <w:rPr>
          <w:rFonts w:asciiTheme="majorHAnsi" w:hAnsiTheme="majorHAnsi"/>
          <w:lang w:val="en-US"/>
        </w:rPr>
        <w:t xml:space="preserve">ys in both cell lines, this </w:t>
      </w:r>
      <w:r w:rsidR="00235EBF">
        <w:rPr>
          <w:rFonts w:asciiTheme="majorHAnsi" w:hAnsiTheme="majorHAnsi"/>
          <w:lang w:val="en-US"/>
        </w:rPr>
        <w:t>appears</w:t>
      </w:r>
      <w:r w:rsidR="008B00BA">
        <w:rPr>
          <w:rFonts w:asciiTheme="majorHAnsi" w:hAnsiTheme="majorHAnsi"/>
          <w:lang w:val="en-US"/>
        </w:rPr>
        <w:t xml:space="preserve"> no</w:t>
      </w:r>
      <w:r w:rsidR="007053FB">
        <w:rPr>
          <w:rFonts w:asciiTheme="majorHAnsi" w:hAnsiTheme="majorHAnsi"/>
          <w:lang w:val="en-US"/>
        </w:rPr>
        <w:t xml:space="preserve">t </w:t>
      </w:r>
      <w:r w:rsidR="00235EBF">
        <w:rPr>
          <w:rFonts w:asciiTheme="majorHAnsi" w:hAnsiTheme="majorHAnsi"/>
          <w:lang w:val="en-US"/>
        </w:rPr>
        <w:t xml:space="preserve">to be </w:t>
      </w:r>
      <w:r w:rsidR="007053FB">
        <w:rPr>
          <w:rFonts w:asciiTheme="majorHAnsi" w:hAnsiTheme="majorHAnsi"/>
          <w:lang w:val="en-US"/>
        </w:rPr>
        <w:t xml:space="preserve">the case with regards to altering the chromatin architecture. Interestingly throughout the </w:t>
      </w:r>
      <w:r w:rsidR="00235EBF">
        <w:rPr>
          <w:rFonts w:asciiTheme="majorHAnsi" w:hAnsiTheme="majorHAnsi"/>
          <w:lang w:val="en-US"/>
        </w:rPr>
        <w:t>studies reported here</w:t>
      </w:r>
      <w:r w:rsidR="007053FB">
        <w:rPr>
          <w:rFonts w:asciiTheme="majorHAnsi" w:hAnsiTheme="majorHAnsi"/>
          <w:lang w:val="en-US"/>
        </w:rPr>
        <w:t xml:space="preserve"> there appeared to be greater </w:t>
      </w:r>
      <w:r w:rsidR="008B00BA">
        <w:rPr>
          <w:rFonts w:asciiTheme="majorHAnsi" w:hAnsiTheme="majorHAnsi"/>
          <w:lang w:val="en-US"/>
        </w:rPr>
        <w:t>effects</w:t>
      </w:r>
      <w:r w:rsidR="007053FB">
        <w:rPr>
          <w:rFonts w:asciiTheme="majorHAnsi" w:hAnsiTheme="majorHAnsi"/>
          <w:lang w:val="en-US"/>
        </w:rPr>
        <w:t xml:space="preserve"> in HCT116 cells, </w:t>
      </w:r>
      <w:r w:rsidR="008B00BA">
        <w:rPr>
          <w:rFonts w:asciiTheme="majorHAnsi" w:hAnsiTheme="majorHAnsi"/>
          <w:lang w:val="en-US"/>
        </w:rPr>
        <w:t>with the exception of</w:t>
      </w:r>
      <w:r w:rsidR="007053FB">
        <w:rPr>
          <w:rFonts w:asciiTheme="majorHAnsi" w:hAnsiTheme="majorHAnsi"/>
          <w:lang w:val="en-US"/>
        </w:rPr>
        <w:t xml:space="preserve"> the micrococca</w:t>
      </w:r>
      <w:r w:rsidR="008B00BA">
        <w:rPr>
          <w:rFonts w:asciiTheme="majorHAnsi" w:hAnsiTheme="majorHAnsi"/>
          <w:lang w:val="en-US"/>
        </w:rPr>
        <w:t xml:space="preserve">l nuclease assay. The reason for this </w:t>
      </w:r>
      <w:r w:rsidR="007053FB">
        <w:rPr>
          <w:rFonts w:asciiTheme="majorHAnsi" w:hAnsiTheme="majorHAnsi"/>
          <w:lang w:val="en-US"/>
        </w:rPr>
        <w:t xml:space="preserve">is </w:t>
      </w:r>
      <w:r w:rsidR="008B00BA">
        <w:rPr>
          <w:rFonts w:asciiTheme="majorHAnsi" w:hAnsiTheme="majorHAnsi"/>
          <w:lang w:val="en-US"/>
        </w:rPr>
        <w:t xml:space="preserve">not </w:t>
      </w:r>
      <w:r w:rsidR="007053FB">
        <w:rPr>
          <w:rFonts w:asciiTheme="majorHAnsi" w:hAnsiTheme="majorHAnsi"/>
          <w:lang w:val="en-US"/>
        </w:rPr>
        <w:t xml:space="preserve">known, but could </w:t>
      </w:r>
      <w:r w:rsidR="009E7C96">
        <w:rPr>
          <w:rFonts w:asciiTheme="majorHAnsi" w:hAnsiTheme="majorHAnsi"/>
          <w:lang w:val="en-US"/>
        </w:rPr>
        <w:t>be related to</w:t>
      </w:r>
      <w:r w:rsidR="007053FB">
        <w:rPr>
          <w:rFonts w:asciiTheme="majorHAnsi" w:hAnsiTheme="majorHAnsi"/>
          <w:lang w:val="en-US"/>
        </w:rPr>
        <w:t xml:space="preserve"> the </w:t>
      </w:r>
      <w:r>
        <w:rPr>
          <w:rFonts w:asciiTheme="majorHAnsi" w:hAnsiTheme="majorHAnsi"/>
          <w:lang w:val="en-US"/>
        </w:rPr>
        <w:t>larger</w:t>
      </w:r>
      <w:r w:rsidR="007053FB">
        <w:rPr>
          <w:rFonts w:asciiTheme="majorHAnsi" w:hAnsiTheme="majorHAnsi"/>
          <w:lang w:val="en-US"/>
        </w:rPr>
        <w:t xml:space="preserve"> chromosomal changes in SW480 cells</w:t>
      </w:r>
      <w:r>
        <w:rPr>
          <w:rFonts w:asciiTheme="majorHAnsi" w:hAnsiTheme="majorHAnsi"/>
          <w:lang w:val="en-US"/>
        </w:rPr>
        <w:t xml:space="preserve"> associated with a CIN phenotype</w:t>
      </w:r>
      <w:r w:rsidR="007053FB">
        <w:rPr>
          <w:rFonts w:asciiTheme="majorHAnsi" w:hAnsiTheme="majorHAnsi"/>
          <w:lang w:val="en-US"/>
        </w:rPr>
        <w:t xml:space="preserve">. </w:t>
      </w:r>
      <w:r w:rsidR="002E4AFC">
        <w:rPr>
          <w:rFonts w:asciiTheme="majorHAnsi" w:hAnsiTheme="majorHAnsi"/>
          <w:lang w:val="en-US"/>
        </w:rPr>
        <w:t>In fact</w:t>
      </w:r>
      <w:r w:rsidR="003917D4">
        <w:rPr>
          <w:rFonts w:asciiTheme="majorHAnsi" w:hAnsiTheme="majorHAnsi"/>
          <w:lang w:val="en-US"/>
        </w:rPr>
        <w:t>,</w:t>
      </w:r>
      <w:r w:rsidR="002E4AFC">
        <w:rPr>
          <w:rFonts w:asciiTheme="majorHAnsi" w:hAnsiTheme="majorHAnsi"/>
          <w:lang w:val="en-US"/>
        </w:rPr>
        <w:t xml:space="preserve"> HeLa cells </w:t>
      </w:r>
      <w:r w:rsidR="003917D4">
        <w:rPr>
          <w:rFonts w:asciiTheme="majorHAnsi" w:hAnsiTheme="majorHAnsi"/>
          <w:lang w:val="en-US"/>
        </w:rPr>
        <w:t xml:space="preserve">depleted of SRCAP </w:t>
      </w:r>
      <w:r w:rsidR="002E4AFC">
        <w:rPr>
          <w:rFonts w:asciiTheme="majorHAnsi" w:hAnsiTheme="majorHAnsi"/>
          <w:lang w:val="en-US"/>
        </w:rPr>
        <w:t>also display</w:t>
      </w:r>
      <w:r w:rsidR="003917D4">
        <w:rPr>
          <w:rFonts w:asciiTheme="majorHAnsi" w:hAnsiTheme="majorHAnsi"/>
          <w:lang w:val="en-US"/>
        </w:rPr>
        <w:t>ed</w:t>
      </w:r>
      <w:r w:rsidR="002E4AFC">
        <w:rPr>
          <w:rFonts w:asciiTheme="majorHAnsi" w:hAnsiTheme="majorHAnsi"/>
          <w:lang w:val="en-US"/>
        </w:rPr>
        <w:t xml:space="preserve"> chromosomal instability</w:t>
      </w:r>
      <w:r w:rsidR="003917D4">
        <w:rPr>
          <w:rFonts w:asciiTheme="majorHAnsi" w:hAnsiTheme="majorHAnsi"/>
          <w:lang w:val="en-US"/>
        </w:rPr>
        <w:t xml:space="preserve"> (Dong et al., 2014)</w:t>
      </w:r>
      <w:r w:rsidR="00A82AC7">
        <w:rPr>
          <w:rFonts w:asciiTheme="majorHAnsi" w:hAnsiTheme="majorHAnsi"/>
          <w:lang w:val="en-US"/>
        </w:rPr>
        <w:t>,</w:t>
      </w:r>
      <w:r w:rsidR="002E4AFC">
        <w:rPr>
          <w:rFonts w:asciiTheme="majorHAnsi" w:hAnsiTheme="majorHAnsi"/>
          <w:lang w:val="en-US"/>
        </w:rPr>
        <w:t xml:space="preserve"> </w:t>
      </w:r>
      <w:r w:rsidR="003917D4">
        <w:rPr>
          <w:rFonts w:asciiTheme="majorHAnsi" w:hAnsiTheme="majorHAnsi"/>
          <w:lang w:val="en-US"/>
        </w:rPr>
        <w:t xml:space="preserve">supporting </w:t>
      </w:r>
      <w:r w:rsidR="002E4AFC">
        <w:rPr>
          <w:rFonts w:asciiTheme="majorHAnsi" w:hAnsiTheme="majorHAnsi"/>
          <w:lang w:val="en-US"/>
        </w:rPr>
        <w:t xml:space="preserve">this theory. </w:t>
      </w:r>
    </w:p>
    <w:p w14:paraId="4170AC1E" w14:textId="77777777" w:rsidR="007053FB" w:rsidRDefault="007053FB" w:rsidP="007053FB">
      <w:pPr>
        <w:spacing w:line="360" w:lineRule="auto"/>
        <w:jc w:val="both"/>
        <w:rPr>
          <w:rFonts w:asciiTheme="majorHAnsi" w:hAnsiTheme="majorHAnsi"/>
          <w:lang w:val="en-US"/>
        </w:rPr>
      </w:pPr>
    </w:p>
    <w:p w14:paraId="1A87C9CD" w14:textId="4A0DC352" w:rsidR="007053FB" w:rsidRDefault="003917D4" w:rsidP="007053FB">
      <w:pPr>
        <w:spacing w:line="360" w:lineRule="auto"/>
        <w:jc w:val="both"/>
        <w:rPr>
          <w:rFonts w:asciiTheme="majorHAnsi" w:hAnsiTheme="majorHAnsi"/>
          <w:lang w:val="en-US"/>
        </w:rPr>
      </w:pPr>
      <w:r>
        <w:rPr>
          <w:rFonts w:asciiTheme="majorHAnsi" w:hAnsiTheme="majorHAnsi"/>
          <w:lang w:val="en-US"/>
        </w:rPr>
        <w:t xml:space="preserve">The effects of </w:t>
      </w:r>
      <w:r w:rsidR="007053FB" w:rsidRPr="00624CB2">
        <w:rPr>
          <w:rFonts w:asciiTheme="majorHAnsi" w:hAnsiTheme="majorHAnsi"/>
          <w:i/>
          <w:lang w:val="en-US"/>
        </w:rPr>
        <w:t>SRCAP</w:t>
      </w:r>
      <w:r w:rsidR="009E7C96">
        <w:rPr>
          <w:rFonts w:asciiTheme="majorHAnsi" w:hAnsiTheme="majorHAnsi"/>
          <w:lang w:val="en-US"/>
        </w:rPr>
        <w:t xml:space="preserve"> knock</w:t>
      </w:r>
      <w:r w:rsidR="007053FB">
        <w:rPr>
          <w:rFonts w:asciiTheme="majorHAnsi" w:hAnsiTheme="majorHAnsi"/>
          <w:lang w:val="en-US"/>
        </w:rPr>
        <w:t xml:space="preserve">down was also </w:t>
      </w:r>
      <w:r>
        <w:rPr>
          <w:rFonts w:asciiTheme="majorHAnsi" w:hAnsiTheme="majorHAnsi"/>
          <w:lang w:val="en-US"/>
        </w:rPr>
        <w:t>assessed</w:t>
      </w:r>
      <w:r w:rsidR="007053FB">
        <w:rPr>
          <w:rFonts w:asciiTheme="majorHAnsi" w:hAnsiTheme="majorHAnsi"/>
          <w:lang w:val="en-US"/>
        </w:rPr>
        <w:t xml:space="preserve"> in RAS oncogene activated cell lines</w:t>
      </w:r>
      <w:r w:rsidR="006D2B58">
        <w:rPr>
          <w:rFonts w:asciiTheme="majorHAnsi" w:hAnsiTheme="majorHAnsi"/>
          <w:lang w:val="en-US"/>
        </w:rPr>
        <w:t>, due to RAS activating mutations being highly prevalent within colorectal tumours</w:t>
      </w:r>
      <w:r w:rsidR="00BE365F">
        <w:rPr>
          <w:rFonts w:asciiTheme="majorHAnsi" w:hAnsiTheme="majorHAnsi"/>
          <w:lang w:val="en-US"/>
        </w:rPr>
        <w:t xml:space="preserve"> </w:t>
      </w:r>
      <w:r w:rsidR="00BE365F">
        <w:rPr>
          <w:rFonts w:asciiTheme="majorHAnsi" w:hAnsiTheme="majorHAnsi"/>
          <w:lang w:val="en-US"/>
        </w:rPr>
        <w:fldChar w:fldCharType="begin"/>
      </w:r>
      <w:r w:rsidR="00BE365F">
        <w:rPr>
          <w:rFonts w:asciiTheme="majorHAnsi" w:hAnsiTheme="majorHAnsi"/>
          <w:lang w:val="en-US"/>
        </w:rPr>
        <w:instrText xml:space="preserve"> ADDIN EN.CITE &lt;EndNote&gt;&lt;Cite&gt;&lt;Author&gt;Schirripa&lt;/Author&gt;&lt;Year&gt;2016&lt;/Year&gt;&lt;IDText&gt;Biomarker in Colorectal Cancer&lt;/IDText&gt;&lt;DisplayText&gt;(Schirripa and Lenz, 2016)&lt;/DisplayText&gt;&lt;record&gt;&lt;dates&gt;&lt;pub-dates&gt;&lt;date&gt;2016 May-Jun&lt;/date&gt;&lt;/pub-dates&gt;&lt;year&gt;2016&lt;/year&gt;&lt;/dates&gt;&lt;keywords&gt;&lt;keyword&gt;Biomarkers&lt;/keyword&gt;&lt;keyword&gt;Colorectal Neoplasms&lt;/keyword&gt;&lt;keyword&gt;Humans&lt;/keyword&gt;&lt;keyword&gt;Microsatellite Instability&lt;/keyword&gt;&lt;keyword&gt;Microsatellite Repeats&lt;/keyword&gt;&lt;keyword&gt;Mutation&lt;/keyword&gt;&lt;keyword&gt;Prognosis&lt;/keyword&gt;&lt;keyword&gt;Proto-Oncogene Proteins B-raf&lt;/keyword&gt;&lt;keyword&gt;Translational Medical Research&lt;/keyword&gt;&lt;keyword&gt;ras Proteins&lt;/keyword&gt;&lt;/keywords&gt;&lt;urls&gt;&lt;related-urls&gt;&lt;url&gt;https://www.ncbi.nlm.nih.gov/pubmed/27341592&lt;/url&gt;&lt;/related-urls&gt;&lt;/urls&gt;&lt;isbn&gt;1540-336X&lt;/isbn&gt;&lt;custom2&gt;PMC4955946&lt;/custom2&gt;&lt;titles&gt;&lt;title&gt;Biomarker in Colorectal Cancer&lt;/title&gt;&lt;secondary-title&gt;Cancer J&lt;/secondary-title&gt;&lt;/titles&gt;&lt;pages&gt;156-64&lt;/pages&gt;&lt;number&gt;3&lt;/number&gt;&lt;contributors&gt;&lt;authors&gt;&lt;author&gt;Schirripa, M.&lt;/author&gt;&lt;author&gt;Lenz, H. J.&lt;/author&gt;&lt;/authors&gt;&lt;/contributors&gt;&lt;language&gt;eng&lt;/language&gt;&lt;added-date format="utc"&gt;1502195106&lt;/added-date&gt;&lt;ref-type name="Journal Article"&gt;17&lt;/ref-type&gt;&lt;rec-number&gt;245&lt;/rec-number&gt;&lt;last-updated-date format="utc"&gt;1502195106&lt;/last-updated-date&gt;&lt;accession-num&gt;27341592&lt;/accession-num&gt;&lt;electronic-resource-num&gt;10.1097/PPO.0000000000000190&lt;/electronic-resource-num&gt;&lt;volume&gt;22&lt;/volume&gt;&lt;/record&gt;&lt;/Cite&gt;&lt;/EndNote&gt;</w:instrText>
      </w:r>
      <w:r w:rsidR="00BE365F">
        <w:rPr>
          <w:rFonts w:asciiTheme="majorHAnsi" w:hAnsiTheme="majorHAnsi"/>
          <w:lang w:val="en-US"/>
        </w:rPr>
        <w:fldChar w:fldCharType="separate"/>
      </w:r>
      <w:r w:rsidR="00BE365F">
        <w:rPr>
          <w:rFonts w:asciiTheme="majorHAnsi" w:hAnsiTheme="majorHAnsi"/>
          <w:noProof/>
          <w:lang w:val="en-US"/>
        </w:rPr>
        <w:t>(Schirripa and Lenz, 2016)</w:t>
      </w:r>
      <w:r w:rsidR="00BE365F">
        <w:rPr>
          <w:rFonts w:asciiTheme="majorHAnsi" w:hAnsiTheme="majorHAnsi"/>
          <w:lang w:val="en-US"/>
        </w:rPr>
        <w:fldChar w:fldCharType="end"/>
      </w:r>
      <w:r>
        <w:rPr>
          <w:rFonts w:asciiTheme="majorHAnsi" w:hAnsiTheme="majorHAnsi"/>
          <w:lang w:val="en-US"/>
        </w:rPr>
        <w:t>.</w:t>
      </w:r>
      <w:r w:rsidR="002061D9">
        <w:rPr>
          <w:rFonts w:asciiTheme="majorHAnsi" w:hAnsiTheme="majorHAnsi"/>
          <w:lang w:val="en-US"/>
        </w:rPr>
        <w:t xml:space="preserve"> </w:t>
      </w:r>
      <w:r w:rsidR="002061D9" w:rsidRPr="003917D4">
        <w:rPr>
          <w:rFonts w:asciiTheme="majorHAnsi" w:hAnsiTheme="majorHAnsi"/>
          <w:i/>
          <w:lang w:val="en-US"/>
        </w:rPr>
        <w:t>SRCAP</w:t>
      </w:r>
      <w:r w:rsidR="002061D9">
        <w:rPr>
          <w:rFonts w:asciiTheme="majorHAnsi" w:hAnsiTheme="majorHAnsi"/>
          <w:lang w:val="en-US"/>
        </w:rPr>
        <w:t xml:space="preserve"> knockdown</w:t>
      </w:r>
      <w:r>
        <w:rPr>
          <w:rFonts w:asciiTheme="majorHAnsi" w:hAnsiTheme="majorHAnsi"/>
          <w:lang w:val="en-US"/>
        </w:rPr>
        <w:t xml:space="preserve"> within an activated RAS background</w:t>
      </w:r>
      <w:r w:rsidR="007053FB">
        <w:rPr>
          <w:rFonts w:asciiTheme="majorHAnsi" w:hAnsiTheme="majorHAnsi"/>
          <w:lang w:val="en-US"/>
        </w:rPr>
        <w:t xml:space="preserve"> induce</w:t>
      </w:r>
      <w:r w:rsidR="009E7C96">
        <w:rPr>
          <w:rFonts w:asciiTheme="majorHAnsi" w:hAnsiTheme="majorHAnsi"/>
          <w:lang w:val="en-US"/>
        </w:rPr>
        <w:t>d</w:t>
      </w:r>
      <w:r w:rsidR="007053FB">
        <w:rPr>
          <w:rFonts w:asciiTheme="majorHAnsi" w:hAnsiTheme="majorHAnsi"/>
          <w:lang w:val="en-US"/>
        </w:rPr>
        <w:t xml:space="preserve"> high levels of genomic instability, with significant cell cycle changes being seen in SW480 cells. This was a significant decrease in G1 cell</w:t>
      </w:r>
      <w:r w:rsidR="00DC3E74">
        <w:rPr>
          <w:rFonts w:asciiTheme="majorHAnsi" w:hAnsiTheme="majorHAnsi"/>
          <w:lang w:val="en-US"/>
        </w:rPr>
        <w:t>s</w:t>
      </w:r>
      <w:r w:rsidR="009E7C96">
        <w:rPr>
          <w:rFonts w:asciiTheme="majorHAnsi" w:hAnsiTheme="majorHAnsi"/>
          <w:lang w:val="en-US"/>
        </w:rPr>
        <w:t>,</w:t>
      </w:r>
      <w:r w:rsidR="007053FB">
        <w:rPr>
          <w:rFonts w:asciiTheme="majorHAnsi" w:hAnsiTheme="majorHAnsi"/>
          <w:lang w:val="en-US"/>
        </w:rPr>
        <w:t xml:space="preserve"> </w:t>
      </w:r>
      <w:r w:rsidR="009E7C96">
        <w:rPr>
          <w:rFonts w:asciiTheme="majorHAnsi" w:hAnsiTheme="majorHAnsi"/>
          <w:lang w:val="en-US"/>
        </w:rPr>
        <w:t>and a consequent ce</w:t>
      </w:r>
      <w:r w:rsidR="007053FB">
        <w:rPr>
          <w:rFonts w:asciiTheme="majorHAnsi" w:hAnsiTheme="majorHAnsi"/>
          <w:lang w:val="en-US"/>
        </w:rPr>
        <w:t xml:space="preserve">ll cycle arrest in G2/M. Interestingly in </w:t>
      </w:r>
      <w:r w:rsidR="0070638A">
        <w:rPr>
          <w:rFonts w:asciiTheme="majorHAnsi" w:hAnsiTheme="majorHAnsi"/>
          <w:lang w:val="en-US"/>
        </w:rPr>
        <w:t>the</w:t>
      </w:r>
      <w:r w:rsidR="007053FB">
        <w:rPr>
          <w:rFonts w:asciiTheme="majorHAnsi" w:hAnsiTheme="majorHAnsi"/>
          <w:lang w:val="en-US"/>
        </w:rPr>
        <w:t xml:space="preserve"> norm</w:t>
      </w:r>
      <w:r w:rsidR="0070638A">
        <w:rPr>
          <w:rFonts w:asciiTheme="majorHAnsi" w:hAnsiTheme="majorHAnsi"/>
          <w:lang w:val="en-US"/>
        </w:rPr>
        <w:t>al fibroblast cell line MRC5,</w:t>
      </w:r>
      <w:r w:rsidR="00D34949">
        <w:rPr>
          <w:rFonts w:asciiTheme="majorHAnsi" w:hAnsiTheme="majorHAnsi"/>
          <w:lang w:val="en-US"/>
        </w:rPr>
        <w:t xml:space="preserve"> RAS over-</w:t>
      </w:r>
      <w:r w:rsidR="007053FB">
        <w:rPr>
          <w:rFonts w:asciiTheme="majorHAnsi" w:hAnsiTheme="majorHAnsi"/>
          <w:lang w:val="en-US"/>
        </w:rPr>
        <w:t xml:space="preserve">expression and </w:t>
      </w:r>
      <w:r w:rsidR="007053FB" w:rsidRPr="00624CB2">
        <w:rPr>
          <w:rFonts w:asciiTheme="majorHAnsi" w:hAnsiTheme="majorHAnsi"/>
          <w:i/>
          <w:lang w:val="en-US"/>
        </w:rPr>
        <w:t>SRCAP</w:t>
      </w:r>
      <w:r w:rsidR="007053FB">
        <w:rPr>
          <w:rFonts w:asciiTheme="majorHAnsi" w:hAnsiTheme="majorHAnsi"/>
          <w:lang w:val="en-US"/>
        </w:rPr>
        <w:t xml:space="preserve"> depletion induced much higher levels of nuclear abnormalities than was seen in </w:t>
      </w:r>
      <w:r w:rsidR="0070638A">
        <w:rPr>
          <w:rFonts w:asciiTheme="majorHAnsi" w:hAnsiTheme="majorHAnsi"/>
          <w:lang w:val="en-US"/>
        </w:rPr>
        <w:t xml:space="preserve">the </w:t>
      </w:r>
      <w:r w:rsidR="007053FB">
        <w:rPr>
          <w:rFonts w:asciiTheme="majorHAnsi" w:hAnsiTheme="majorHAnsi"/>
          <w:lang w:val="en-US"/>
        </w:rPr>
        <w:t xml:space="preserve">CRC cell line. Taking the two </w:t>
      </w:r>
      <w:r w:rsidR="009E7C96">
        <w:rPr>
          <w:rFonts w:asciiTheme="majorHAnsi" w:hAnsiTheme="majorHAnsi"/>
          <w:lang w:val="en-US"/>
        </w:rPr>
        <w:t>conditions</w:t>
      </w:r>
      <w:r w:rsidR="007053FB">
        <w:rPr>
          <w:rFonts w:asciiTheme="majorHAnsi" w:hAnsiTheme="majorHAnsi"/>
          <w:lang w:val="en-US"/>
        </w:rPr>
        <w:t xml:space="preserve"> separately it was shown that </w:t>
      </w:r>
      <w:r w:rsidR="007053FB" w:rsidRPr="00624CB2">
        <w:rPr>
          <w:rFonts w:asciiTheme="majorHAnsi" w:hAnsiTheme="majorHAnsi"/>
          <w:i/>
          <w:lang w:val="en-US"/>
        </w:rPr>
        <w:t>SRCAP</w:t>
      </w:r>
      <w:r w:rsidR="007053FB">
        <w:rPr>
          <w:rFonts w:asciiTheme="majorHAnsi" w:hAnsiTheme="majorHAnsi"/>
          <w:lang w:val="en-US"/>
        </w:rPr>
        <w:t xml:space="preserve"> depletion alone was the driving force be</w:t>
      </w:r>
      <w:r w:rsidR="00ED434D">
        <w:rPr>
          <w:rFonts w:asciiTheme="majorHAnsi" w:hAnsiTheme="majorHAnsi"/>
          <w:lang w:val="en-US"/>
        </w:rPr>
        <w:t xml:space="preserve">hind the nuclear abnormalities. There does not appear to be any </w:t>
      </w:r>
      <w:r w:rsidR="00EA5FC8">
        <w:rPr>
          <w:rFonts w:asciiTheme="majorHAnsi" w:hAnsiTheme="majorHAnsi"/>
          <w:lang w:val="en-US"/>
        </w:rPr>
        <w:t>papers that have assessed nuclear abnormalitie</w:t>
      </w:r>
      <w:r w:rsidR="00E7544D">
        <w:rPr>
          <w:rFonts w:asciiTheme="majorHAnsi" w:hAnsiTheme="majorHAnsi"/>
          <w:lang w:val="en-US"/>
        </w:rPr>
        <w:t>s in the context of SRCAP knock</w:t>
      </w:r>
      <w:r w:rsidR="00EA5FC8">
        <w:rPr>
          <w:rFonts w:asciiTheme="majorHAnsi" w:hAnsiTheme="majorHAnsi"/>
          <w:lang w:val="en-US"/>
        </w:rPr>
        <w:t xml:space="preserve">down. The paper by Dong et al. (2014) does show multiple DAPI stained cell images, however, all the cells appear to </w:t>
      </w:r>
      <w:r w:rsidR="000B78C5">
        <w:rPr>
          <w:rFonts w:asciiTheme="majorHAnsi" w:hAnsiTheme="majorHAnsi"/>
          <w:lang w:val="en-US"/>
        </w:rPr>
        <w:t xml:space="preserve">have normal nuclear morphology. </w:t>
      </w:r>
      <w:r w:rsidR="00F11871">
        <w:rPr>
          <w:rFonts w:asciiTheme="majorHAnsi" w:hAnsiTheme="majorHAnsi"/>
          <w:lang w:val="en-US"/>
        </w:rPr>
        <w:t xml:space="preserve">An explanation for the nuclear aberrations we saw could be that H2A.Z plays a role in genome instability as outlined by Rangasamy et al. (2004). Here they showed that depletion of H2A.Z in mammalian cell lines resulted in a deregulation of chromosome segregation, and in fact upon nuclear division they saw </w:t>
      </w:r>
      <w:r w:rsidR="00E50664">
        <w:rPr>
          <w:rFonts w:asciiTheme="majorHAnsi" w:hAnsiTheme="majorHAnsi"/>
          <w:lang w:val="en-US"/>
        </w:rPr>
        <w:t>an uneven distribution of H2A.Z</w:t>
      </w:r>
      <w:r w:rsidR="00F11871">
        <w:rPr>
          <w:rFonts w:asciiTheme="majorHAnsi" w:hAnsiTheme="majorHAnsi"/>
          <w:lang w:val="en-US"/>
        </w:rPr>
        <w:t xml:space="preserve">. Although </w:t>
      </w:r>
      <w:r>
        <w:rPr>
          <w:rFonts w:asciiTheme="majorHAnsi" w:hAnsiTheme="majorHAnsi"/>
          <w:lang w:val="en-US"/>
        </w:rPr>
        <w:t xml:space="preserve">a reason for this is </w:t>
      </w:r>
      <w:r w:rsidR="00F11871">
        <w:rPr>
          <w:rFonts w:asciiTheme="majorHAnsi" w:hAnsiTheme="majorHAnsi"/>
          <w:lang w:val="en-US"/>
        </w:rPr>
        <w:t xml:space="preserve">unknown, they </w:t>
      </w:r>
      <w:r w:rsidR="00E50664">
        <w:rPr>
          <w:rFonts w:asciiTheme="majorHAnsi" w:hAnsiTheme="majorHAnsi"/>
          <w:lang w:val="en-US"/>
        </w:rPr>
        <w:t>hypothesized</w:t>
      </w:r>
      <w:r w:rsidR="00F11871">
        <w:rPr>
          <w:rFonts w:asciiTheme="majorHAnsi" w:hAnsiTheme="majorHAnsi"/>
          <w:lang w:val="en-US"/>
        </w:rPr>
        <w:t xml:space="preserve"> that H2A.Z </w:t>
      </w:r>
      <w:r w:rsidR="00E50664">
        <w:rPr>
          <w:rFonts w:asciiTheme="majorHAnsi" w:hAnsiTheme="majorHAnsi"/>
          <w:lang w:val="en-US"/>
        </w:rPr>
        <w:t xml:space="preserve">could </w:t>
      </w:r>
      <w:r w:rsidR="00F11871">
        <w:rPr>
          <w:rFonts w:asciiTheme="majorHAnsi" w:hAnsiTheme="majorHAnsi"/>
          <w:lang w:val="en-US"/>
        </w:rPr>
        <w:t xml:space="preserve">preferentially </w:t>
      </w:r>
      <w:r>
        <w:rPr>
          <w:rFonts w:asciiTheme="majorHAnsi" w:hAnsiTheme="majorHAnsi"/>
          <w:lang w:val="en-US"/>
        </w:rPr>
        <w:t>associate</w:t>
      </w:r>
      <w:r w:rsidR="00E50664">
        <w:rPr>
          <w:rFonts w:asciiTheme="majorHAnsi" w:hAnsiTheme="majorHAnsi"/>
          <w:lang w:val="en-US"/>
        </w:rPr>
        <w:t xml:space="preserve"> with one strand of DNA during replication, therefore increasing the genomic instability in the two daughter cells produced and even causing micronuclei and other nuclear abnormalities. These results with H2A.Z would then be predicted to occur after </w:t>
      </w:r>
      <w:r w:rsidR="00E50664" w:rsidRPr="00E50664">
        <w:rPr>
          <w:rFonts w:asciiTheme="majorHAnsi" w:hAnsiTheme="majorHAnsi"/>
          <w:i/>
          <w:lang w:val="en-US"/>
        </w:rPr>
        <w:t>SRCAP</w:t>
      </w:r>
      <w:r w:rsidR="00E50664">
        <w:rPr>
          <w:rFonts w:asciiTheme="majorHAnsi" w:hAnsiTheme="majorHAnsi"/>
          <w:lang w:val="en-US"/>
        </w:rPr>
        <w:t xml:space="preserve"> knockdown, and could explain why nuclear abnormalities are </w:t>
      </w:r>
      <w:r>
        <w:rPr>
          <w:rFonts w:asciiTheme="majorHAnsi" w:hAnsiTheme="majorHAnsi"/>
          <w:lang w:val="en-US"/>
        </w:rPr>
        <w:t xml:space="preserve">a </w:t>
      </w:r>
      <w:r w:rsidR="00E50664">
        <w:rPr>
          <w:rFonts w:asciiTheme="majorHAnsi" w:hAnsiTheme="majorHAnsi"/>
          <w:lang w:val="en-US"/>
        </w:rPr>
        <w:t xml:space="preserve">phenotype </w:t>
      </w:r>
      <w:r>
        <w:rPr>
          <w:rFonts w:asciiTheme="majorHAnsi" w:hAnsiTheme="majorHAnsi"/>
          <w:lang w:val="en-US"/>
        </w:rPr>
        <w:t xml:space="preserve">of SRCAP-depleted cells. </w:t>
      </w:r>
    </w:p>
    <w:p w14:paraId="66557B36" w14:textId="77777777" w:rsidR="007053FB" w:rsidRDefault="007053FB" w:rsidP="007053FB">
      <w:pPr>
        <w:spacing w:line="360" w:lineRule="auto"/>
        <w:jc w:val="both"/>
        <w:rPr>
          <w:rFonts w:asciiTheme="majorHAnsi" w:hAnsiTheme="majorHAnsi"/>
          <w:lang w:val="en-US"/>
        </w:rPr>
      </w:pPr>
    </w:p>
    <w:p w14:paraId="7864BA3A" w14:textId="675937C1" w:rsidR="007053FB" w:rsidRDefault="007053FB" w:rsidP="007053FB">
      <w:pPr>
        <w:spacing w:line="360" w:lineRule="auto"/>
        <w:jc w:val="both"/>
        <w:rPr>
          <w:rFonts w:asciiTheme="majorHAnsi" w:hAnsiTheme="majorHAnsi"/>
          <w:u w:val="single"/>
          <w:lang w:val="en-US"/>
        </w:rPr>
      </w:pPr>
      <w:r>
        <w:rPr>
          <w:rFonts w:asciiTheme="majorHAnsi" w:hAnsiTheme="majorHAnsi"/>
          <w:u w:val="single"/>
          <w:lang w:val="en-US"/>
        </w:rPr>
        <w:t xml:space="preserve">7.4 </w:t>
      </w:r>
      <w:r w:rsidR="003917D4">
        <w:rPr>
          <w:rFonts w:asciiTheme="majorHAnsi" w:hAnsiTheme="majorHAnsi"/>
          <w:u w:val="single"/>
          <w:lang w:val="en-US"/>
        </w:rPr>
        <w:t>SRCAP as a potential drug</w:t>
      </w:r>
      <w:r w:rsidRPr="00CE7BFC">
        <w:rPr>
          <w:rFonts w:asciiTheme="majorHAnsi" w:hAnsiTheme="majorHAnsi"/>
          <w:u w:val="single"/>
          <w:lang w:val="en-US"/>
        </w:rPr>
        <w:t xml:space="preserve"> target</w:t>
      </w:r>
    </w:p>
    <w:p w14:paraId="0FEED276" w14:textId="77777777" w:rsidR="007F4720" w:rsidRDefault="007F4720" w:rsidP="0070638A">
      <w:pPr>
        <w:spacing w:line="360" w:lineRule="auto"/>
        <w:jc w:val="both"/>
        <w:rPr>
          <w:rFonts w:asciiTheme="majorHAnsi" w:hAnsiTheme="majorHAnsi"/>
          <w:lang w:val="en-US"/>
        </w:rPr>
      </w:pPr>
    </w:p>
    <w:p w14:paraId="70F3FDF9" w14:textId="09641BEC" w:rsidR="00AB46C8" w:rsidRDefault="0070638A" w:rsidP="007053FB">
      <w:pPr>
        <w:spacing w:line="360" w:lineRule="auto"/>
        <w:jc w:val="both"/>
        <w:rPr>
          <w:rFonts w:asciiTheme="majorHAnsi" w:hAnsiTheme="majorHAnsi"/>
          <w:lang w:val="en-US"/>
        </w:rPr>
      </w:pPr>
      <w:r>
        <w:rPr>
          <w:rFonts w:asciiTheme="majorHAnsi" w:hAnsiTheme="majorHAnsi"/>
          <w:lang w:val="en-US"/>
        </w:rPr>
        <w:t xml:space="preserve"> Work on drugs for epigenetic factors such as inhibitors of histone deacetylases have proved </w:t>
      </w:r>
      <w:r w:rsidR="000B78C5">
        <w:rPr>
          <w:rFonts w:asciiTheme="majorHAnsi" w:hAnsiTheme="majorHAnsi"/>
          <w:lang w:val="en-US"/>
        </w:rPr>
        <w:t xml:space="preserve">of </w:t>
      </w:r>
      <w:r>
        <w:rPr>
          <w:rFonts w:asciiTheme="majorHAnsi" w:hAnsiTheme="majorHAnsi"/>
          <w:lang w:val="en-US"/>
        </w:rPr>
        <w:t xml:space="preserve">worth in solid malignancies and are currently in many clinical trials for combination treatments </w:t>
      </w:r>
      <w:r>
        <w:rPr>
          <w:rFonts w:asciiTheme="majorHAnsi" w:hAnsiTheme="majorHAnsi"/>
          <w:lang w:val="en-US"/>
        </w:rPr>
        <w:fldChar w:fldCharType="begin"/>
      </w:r>
      <w:r>
        <w:rPr>
          <w:rFonts w:asciiTheme="majorHAnsi" w:hAnsiTheme="majorHAnsi"/>
          <w:lang w:val="en-US"/>
        </w:rPr>
        <w:instrText xml:space="preserve"> ADDIN EN.CITE &lt;EndNote&gt;&lt;Cite&gt;&lt;Author&gt;Morel&lt;/Author&gt;&lt;Year&gt;2017&lt;/Year&gt;&lt;IDText&gt;Targeting chromatin defects in selected solid tumors based on oncogene addiction, synthetic lethality and epigenetic antagonism&lt;/IDText&gt;&lt;DisplayText&gt;(Morel et al., 2017)&lt;/DisplayText&gt;&lt;record&gt;&lt;dates&gt;&lt;pub-dates&gt;&lt;date&gt;02&lt;/date&gt;&lt;/pub-dates&gt;&lt;year&gt;2017&lt;/year&gt;&lt;/dates&gt;&lt;urls&gt;&lt;related-urls&gt;&lt;url&gt;https://www.ncbi.nlm.nih.gov/pubmed/28426098&lt;/url&gt;&lt;/related-urls&gt;&lt;/urls&gt;&lt;isbn&gt;1569-8041&lt;/isbn&gt;&lt;titles&gt;&lt;title&gt;Targeting chromatin defects in selected solid tumors based on oncogene addiction, synthetic lethality and epigenetic antagonism&lt;/title&gt;&lt;secondary-title&gt;Ann Oncol&lt;/secondary-title&gt;&lt;/titles&gt;&lt;pages&gt;254-269&lt;/pages&gt;&lt;number&gt;2&lt;/number&gt;&lt;contributors&gt;&lt;authors&gt;&lt;author&gt;Morel, D.&lt;/author&gt;&lt;author&gt;Almouzni, G.&lt;/author&gt;&lt;author&gt;Soria, J. C.&lt;/author&gt;&lt;author&gt;Postel-Vinay, S.&lt;/author&gt;&lt;/authors&gt;&lt;/contributors&gt;&lt;language&gt;eng&lt;/language&gt;&lt;added-date format="utc"&gt;1509456889&lt;/added-date&gt;&lt;ref-type name="Journal Article"&gt;17&lt;/ref-type&gt;&lt;rec-number&gt;323&lt;/rec-number&gt;&lt;last-updated-date format="utc"&gt;1509456889&lt;/last-updated-date&gt;&lt;accession-num&gt;28426098&lt;/accession-num&gt;&lt;electronic-resource-num&gt;10.1093/annonc/mdw552&lt;/electronic-resource-num&gt;&lt;volume&gt;28&lt;/volume&gt;&lt;/record&gt;&lt;/Cite&gt;&lt;/EndNote&gt;</w:instrText>
      </w:r>
      <w:r>
        <w:rPr>
          <w:rFonts w:asciiTheme="majorHAnsi" w:hAnsiTheme="majorHAnsi"/>
          <w:lang w:val="en-US"/>
        </w:rPr>
        <w:fldChar w:fldCharType="separate"/>
      </w:r>
      <w:r>
        <w:rPr>
          <w:rFonts w:asciiTheme="majorHAnsi" w:hAnsiTheme="majorHAnsi"/>
          <w:noProof/>
          <w:lang w:val="en-US"/>
        </w:rPr>
        <w:t>(Morel et al., 2017)</w:t>
      </w:r>
      <w:r>
        <w:rPr>
          <w:rFonts w:asciiTheme="majorHAnsi" w:hAnsiTheme="majorHAnsi"/>
          <w:lang w:val="en-US"/>
        </w:rPr>
        <w:fldChar w:fldCharType="end"/>
      </w:r>
      <w:r>
        <w:rPr>
          <w:rFonts w:asciiTheme="majorHAnsi" w:hAnsiTheme="majorHAnsi"/>
          <w:lang w:val="en-US"/>
        </w:rPr>
        <w:t xml:space="preserve">. However, although aberrations to various chromatin remodelers have been found </w:t>
      </w:r>
      <w:r>
        <w:rPr>
          <w:rFonts w:asciiTheme="majorHAnsi" w:hAnsiTheme="majorHAnsi"/>
          <w:lang w:val="en-US"/>
        </w:rPr>
        <w:fldChar w:fldCharType="begin">
          <w:fldData xml:space="preserve">PEVuZE5vdGU+PENpdGU+PEF1dGhvcj5EZWNyaXN0b2Zhcm88L0F1dGhvcj48WWVhcj4yMDAxPC9Z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</w:fldData>
        </w:fldChar>
      </w:r>
      <w:r>
        <w:rPr>
          <w:rFonts w:asciiTheme="majorHAnsi" w:hAnsiTheme="majorHAnsi"/>
          <w:lang w:val="en-US"/>
        </w:rPr>
        <w:instrText xml:space="preserve"> ADDIN EN.CITE </w:instrText>
      </w:r>
      <w:r>
        <w:rPr>
          <w:rFonts w:asciiTheme="majorHAnsi" w:hAnsiTheme="majorHAnsi"/>
          <w:lang w:val="en-US"/>
        </w:rPr>
        <w:fldChar w:fldCharType="begin">
          <w:fldData xml:space="preserve">PEVuZE5vdGU+PENpdGU+PEF1dGhvcj5EZWNyaXN0b2Zhcm88L0F1dGhvcj48WWVhcj4yMDAxPC9Z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</w:fldData>
        </w:fldChar>
      </w:r>
      <w:r>
        <w:rPr>
          <w:rFonts w:asciiTheme="majorHAnsi" w:hAnsiTheme="majorHAnsi"/>
          <w:lang w:val="en-US"/>
        </w:rPr>
        <w:instrText xml:space="preserve"> ADDIN EN.CITE.DATA </w:instrText>
      </w:r>
      <w:r>
        <w:rPr>
          <w:rFonts w:asciiTheme="majorHAnsi" w:hAnsiTheme="majorHAnsi"/>
          <w:lang w:val="en-US"/>
        </w:rPr>
      </w:r>
      <w:r>
        <w:rPr>
          <w:rFonts w:asciiTheme="majorHAnsi" w:hAnsiTheme="majorHAnsi"/>
          <w:lang w:val="en-US"/>
        </w:rPr>
        <w:fldChar w:fldCharType="end"/>
      </w:r>
      <w:r>
        <w:rPr>
          <w:rFonts w:asciiTheme="majorHAnsi" w:hAnsiTheme="majorHAnsi"/>
          <w:lang w:val="en-US"/>
        </w:rPr>
      </w:r>
      <w:r>
        <w:rPr>
          <w:rFonts w:asciiTheme="majorHAnsi" w:hAnsiTheme="majorHAnsi"/>
          <w:lang w:val="en-US"/>
        </w:rPr>
        <w:fldChar w:fldCharType="separate"/>
      </w:r>
      <w:r>
        <w:rPr>
          <w:rFonts w:asciiTheme="majorHAnsi" w:hAnsiTheme="majorHAnsi"/>
          <w:noProof/>
          <w:lang w:val="en-US"/>
        </w:rPr>
        <w:t>(Decristofaro et al., 2001, Toh et al., 1997)</w:t>
      </w:r>
      <w:r>
        <w:rPr>
          <w:rFonts w:asciiTheme="majorHAnsi" w:hAnsiTheme="majorHAnsi"/>
          <w:lang w:val="en-US"/>
        </w:rPr>
        <w:fldChar w:fldCharType="end"/>
      </w:r>
      <w:r>
        <w:rPr>
          <w:rFonts w:asciiTheme="majorHAnsi" w:hAnsiTheme="majorHAnsi"/>
          <w:lang w:val="en-US"/>
        </w:rPr>
        <w:t xml:space="preserve">, there is still a lack of mechanistic understanding and whether they could be </w:t>
      </w:r>
      <w:r w:rsidR="003917D4">
        <w:rPr>
          <w:rFonts w:asciiTheme="majorHAnsi" w:hAnsiTheme="majorHAnsi"/>
          <w:lang w:val="en-US"/>
        </w:rPr>
        <w:t xml:space="preserve">developed into </w:t>
      </w:r>
      <w:r>
        <w:rPr>
          <w:rFonts w:asciiTheme="majorHAnsi" w:hAnsiTheme="majorHAnsi"/>
          <w:lang w:val="en-US"/>
        </w:rPr>
        <w:t xml:space="preserve">therapeutics for cancer. </w:t>
      </w:r>
      <w:r w:rsidR="000B78C5">
        <w:rPr>
          <w:rFonts w:asciiTheme="majorHAnsi" w:hAnsiTheme="majorHAnsi"/>
          <w:lang w:val="en-US"/>
        </w:rPr>
        <w:t>First line treatment for CRC includes 5-FU in combination with oxaliplatin and/or irinotecan</w:t>
      </w:r>
      <w:r w:rsidR="00072F62">
        <w:rPr>
          <w:rFonts w:asciiTheme="majorHAnsi" w:hAnsiTheme="majorHAnsi"/>
          <w:lang w:val="en-US"/>
        </w:rPr>
        <w:t xml:space="preserve"> </w:t>
      </w:r>
      <w:r w:rsidR="00E80804">
        <w:rPr>
          <w:rFonts w:asciiTheme="majorHAnsi" w:hAnsiTheme="majorHAnsi"/>
          <w:lang w:val="en-US"/>
        </w:rPr>
        <w:fldChar w:fldCharType="begin">
          <w:fldData xml:space="preserve">PEVuZE5vdGU+PENpdGU+PEF1dGhvcj5Hb2xkYmVyZzwvQXV0aG9yPjxZZWFyPjIwMDQ8L1llYXI+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</w:fldData>
        </w:fldChar>
      </w:r>
      <w:r w:rsidR="00E80804">
        <w:rPr>
          <w:rFonts w:asciiTheme="majorHAnsi" w:hAnsiTheme="majorHAnsi"/>
          <w:lang w:val="en-US"/>
        </w:rPr>
        <w:instrText xml:space="preserve"> ADDIN EN.CITE </w:instrText>
      </w:r>
      <w:r w:rsidR="00E80804">
        <w:rPr>
          <w:rFonts w:asciiTheme="majorHAnsi" w:hAnsiTheme="majorHAnsi"/>
          <w:lang w:val="en-US"/>
        </w:rPr>
        <w:fldChar w:fldCharType="begin">
          <w:fldData xml:space="preserve">PEVuZE5vdGU+PENpdGU+PEF1dGhvcj5Hb2xkYmVyZzwvQXV0aG9yPjxZZWFyPjIwMDQ8L1llYXI+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</w:fldData>
        </w:fldChar>
      </w:r>
      <w:r w:rsidR="00E80804">
        <w:rPr>
          <w:rFonts w:asciiTheme="majorHAnsi" w:hAnsiTheme="majorHAnsi"/>
          <w:lang w:val="en-US"/>
        </w:rPr>
        <w:instrText xml:space="preserve"> ADDIN EN.CITE.DATA </w:instrText>
      </w:r>
      <w:r w:rsidR="00E80804">
        <w:rPr>
          <w:rFonts w:asciiTheme="majorHAnsi" w:hAnsiTheme="majorHAnsi"/>
          <w:lang w:val="en-US"/>
        </w:rPr>
      </w:r>
      <w:r w:rsidR="00E80804">
        <w:rPr>
          <w:rFonts w:asciiTheme="majorHAnsi" w:hAnsiTheme="majorHAnsi"/>
          <w:lang w:val="en-US"/>
        </w:rPr>
        <w:fldChar w:fldCharType="end"/>
      </w:r>
      <w:r w:rsidR="00E80804">
        <w:rPr>
          <w:rFonts w:asciiTheme="majorHAnsi" w:hAnsiTheme="majorHAnsi"/>
          <w:lang w:val="en-US"/>
        </w:rPr>
      </w:r>
      <w:r w:rsidR="00E80804">
        <w:rPr>
          <w:rFonts w:asciiTheme="majorHAnsi" w:hAnsiTheme="majorHAnsi"/>
          <w:lang w:val="en-US"/>
        </w:rPr>
        <w:fldChar w:fldCharType="separate"/>
      </w:r>
      <w:r w:rsidR="00E80804">
        <w:rPr>
          <w:rFonts w:asciiTheme="majorHAnsi" w:hAnsiTheme="majorHAnsi"/>
          <w:noProof/>
          <w:lang w:val="en-US"/>
        </w:rPr>
        <w:t>(Goldberg et al., 2004)</w:t>
      </w:r>
      <w:r w:rsidR="00E80804">
        <w:rPr>
          <w:rFonts w:asciiTheme="majorHAnsi" w:hAnsiTheme="majorHAnsi"/>
          <w:lang w:val="en-US"/>
        </w:rPr>
        <w:fldChar w:fldCharType="end"/>
      </w:r>
      <w:r w:rsidR="000B78C5">
        <w:rPr>
          <w:rFonts w:asciiTheme="majorHAnsi" w:hAnsiTheme="majorHAnsi"/>
          <w:lang w:val="en-US"/>
        </w:rPr>
        <w:t xml:space="preserve">, </w:t>
      </w:r>
      <w:r w:rsidR="00581C53">
        <w:rPr>
          <w:rFonts w:asciiTheme="majorHAnsi" w:hAnsiTheme="majorHAnsi"/>
          <w:lang w:val="en-US"/>
        </w:rPr>
        <w:t>and recently we have seen</w:t>
      </w:r>
      <w:r w:rsidR="000B78C5">
        <w:rPr>
          <w:rFonts w:asciiTheme="majorHAnsi" w:hAnsiTheme="majorHAnsi"/>
          <w:lang w:val="en-US"/>
        </w:rPr>
        <w:t xml:space="preserve"> the emergence of novel therapeutics such as angiogenesis inhibitors like </w:t>
      </w:r>
      <w:proofErr w:type="spellStart"/>
      <w:r w:rsidR="000B78C5">
        <w:rPr>
          <w:rFonts w:asciiTheme="majorHAnsi" w:hAnsiTheme="majorHAnsi"/>
          <w:lang w:val="en-US"/>
        </w:rPr>
        <w:t>Bevacizumab</w:t>
      </w:r>
      <w:proofErr w:type="spellEnd"/>
      <w:r w:rsidR="000B78C5">
        <w:rPr>
          <w:rFonts w:asciiTheme="majorHAnsi" w:hAnsiTheme="majorHAnsi"/>
          <w:lang w:val="en-US"/>
        </w:rPr>
        <w:t xml:space="preserve"> </w:t>
      </w:r>
      <w:r w:rsidR="000B78C5">
        <w:rPr>
          <w:rFonts w:asciiTheme="majorHAnsi" w:hAnsiTheme="majorHAnsi"/>
          <w:lang w:val="en-US"/>
        </w:rPr>
        <w:fldChar w:fldCharType="begin">
          <w:fldData xml:space="preserve">PEVuZE5vdGU+PENpdGU+PEF1dGhvcj5DYXNjaW51PC9BdXRob3I+PFllYXI+MjAxNzwvWWVhcj48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</w:fldData>
        </w:fldChar>
      </w:r>
      <w:r w:rsidR="000B78C5">
        <w:rPr>
          <w:rFonts w:asciiTheme="majorHAnsi" w:hAnsiTheme="majorHAnsi"/>
          <w:lang w:val="en-US"/>
        </w:rPr>
        <w:instrText xml:space="preserve"> ADDIN EN.CITE </w:instrText>
      </w:r>
      <w:r w:rsidR="000B78C5">
        <w:rPr>
          <w:rFonts w:asciiTheme="majorHAnsi" w:hAnsiTheme="majorHAnsi"/>
          <w:lang w:val="en-US"/>
        </w:rPr>
        <w:fldChar w:fldCharType="begin">
          <w:fldData xml:space="preserve">PEVuZE5vdGU+PENpdGU+PEF1dGhvcj5DYXNjaW51PC9BdXRob3I+PFllYXI+MjAxNzwvWWVhcj48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</w:fldData>
        </w:fldChar>
      </w:r>
      <w:r w:rsidR="000B78C5">
        <w:rPr>
          <w:rFonts w:asciiTheme="majorHAnsi" w:hAnsiTheme="majorHAnsi"/>
          <w:lang w:val="en-US"/>
        </w:rPr>
        <w:instrText xml:space="preserve"> ADDIN EN.CITE.DATA </w:instrText>
      </w:r>
      <w:r w:rsidR="000B78C5">
        <w:rPr>
          <w:rFonts w:asciiTheme="majorHAnsi" w:hAnsiTheme="majorHAnsi"/>
          <w:lang w:val="en-US"/>
        </w:rPr>
      </w:r>
      <w:r w:rsidR="000B78C5">
        <w:rPr>
          <w:rFonts w:asciiTheme="majorHAnsi" w:hAnsiTheme="majorHAnsi"/>
          <w:lang w:val="en-US"/>
        </w:rPr>
        <w:fldChar w:fldCharType="end"/>
      </w:r>
      <w:r w:rsidR="000B78C5">
        <w:rPr>
          <w:rFonts w:asciiTheme="majorHAnsi" w:hAnsiTheme="majorHAnsi"/>
          <w:lang w:val="en-US"/>
        </w:rPr>
      </w:r>
      <w:r w:rsidR="000B78C5">
        <w:rPr>
          <w:rFonts w:asciiTheme="majorHAnsi" w:hAnsiTheme="majorHAnsi"/>
          <w:lang w:val="en-US"/>
        </w:rPr>
        <w:fldChar w:fldCharType="separate"/>
      </w:r>
      <w:r w:rsidR="000B78C5">
        <w:rPr>
          <w:rFonts w:asciiTheme="majorHAnsi" w:hAnsiTheme="majorHAnsi"/>
          <w:noProof/>
          <w:lang w:val="en-US"/>
        </w:rPr>
        <w:t>(Cascinu et al., 2017)</w:t>
      </w:r>
      <w:r w:rsidR="000B78C5">
        <w:rPr>
          <w:rFonts w:asciiTheme="majorHAnsi" w:hAnsiTheme="majorHAnsi"/>
          <w:lang w:val="en-US"/>
        </w:rPr>
        <w:fldChar w:fldCharType="end"/>
      </w:r>
      <w:r w:rsidR="00072F62">
        <w:rPr>
          <w:rFonts w:asciiTheme="majorHAnsi" w:hAnsiTheme="majorHAnsi"/>
          <w:lang w:val="en-US"/>
        </w:rPr>
        <w:t xml:space="preserve">. </w:t>
      </w:r>
      <w:r w:rsidR="00AB46C8">
        <w:rPr>
          <w:rFonts w:asciiTheme="majorHAnsi" w:hAnsiTheme="majorHAnsi"/>
          <w:lang w:val="en-US"/>
        </w:rPr>
        <w:t xml:space="preserve">However, there is still a need for new therapeutics as these regimes only show response in 50% of advanced disease </w:t>
      </w:r>
      <w:r w:rsidR="00AB46C8">
        <w:rPr>
          <w:rFonts w:asciiTheme="majorHAnsi" w:hAnsiTheme="majorHAnsi"/>
          <w:lang w:val="en-US"/>
        </w:rPr>
        <w:fldChar w:fldCharType="begin">
          <w:fldData xml:space="preserve">PEVuZE5vdGU+PENpdGU+PEF1dGhvcj5HaWFjY2hldHRpPC9BdXRob3I+PFllYXI+MjAwMDwvWWVh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</w:fldData>
        </w:fldChar>
      </w:r>
      <w:r w:rsidR="00AB46C8">
        <w:rPr>
          <w:rFonts w:asciiTheme="majorHAnsi" w:hAnsiTheme="majorHAnsi"/>
          <w:lang w:val="en-US"/>
        </w:rPr>
        <w:instrText xml:space="preserve"> ADDIN EN.CITE </w:instrText>
      </w:r>
      <w:r w:rsidR="00AB46C8">
        <w:rPr>
          <w:rFonts w:asciiTheme="majorHAnsi" w:hAnsiTheme="majorHAnsi"/>
          <w:lang w:val="en-US"/>
        </w:rPr>
        <w:fldChar w:fldCharType="begin">
          <w:fldData xml:space="preserve">PEVuZE5vdGU+PENpdGU+PEF1dGhvcj5HaWFjY2hldHRpPC9BdXRob3I+PFllYXI+MjAwMDwvWWVh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</w:fldData>
        </w:fldChar>
      </w:r>
      <w:r w:rsidR="00AB46C8">
        <w:rPr>
          <w:rFonts w:asciiTheme="majorHAnsi" w:hAnsiTheme="majorHAnsi"/>
          <w:lang w:val="en-US"/>
        </w:rPr>
        <w:instrText xml:space="preserve"> ADDIN EN.CITE.DATA </w:instrText>
      </w:r>
      <w:r w:rsidR="00AB46C8">
        <w:rPr>
          <w:rFonts w:asciiTheme="majorHAnsi" w:hAnsiTheme="majorHAnsi"/>
          <w:lang w:val="en-US"/>
        </w:rPr>
      </w:r>
      <w:r w:rsidR="00AB46C8">
        <w:rPr>
          <w:rFonts w:asciiTheme="majorHAnsi" w:hAnsiTheme="majorHAnsi"/>
          <w:lang w:val="en-US"/>
        </w:rPr>
        <w:fldChar w:fldCharType="end"/>
      </w:r>
      <w:r w:rsidR="00AB46C8">
        <w:rPr>
          <w:rFonts w:asciiTheme="majorHAnsi" w:hAnsiTheme="majorHAnsi"/>
          <w:lang w:val="en-US"/>
        </w:rPr>
      </w:r>
      <w:r w:rsidR="00AB46C8">
        <w:rPr>
          <w:rFonts w:asciiTheme="majorHAnsi" w:hAnsiTheme="majorHAnsi"/>
          <w:lang w:val="en-US"/>
        </w:rPr>
        <w:fldChar w:fldCharType="separate"/>
      </w:r>
      <w:r w:rsidR="00AB46C8">
        <w:rPr>
          <w:rFonts w:asciiTheme="majorHAnsi" w:hAnsiTheme="majorHAnsi"/>
          <w:noProof/>
          <w:lang w:val="en-US"/>
        </w:rPr>
        <w:t>(Giacchetti et al., 2000, Douillard et al., 2000)</w:t>
      </w:r>
      <w:r w:rsidR="00AB46C8">
        <w:rPr>
          <w:rFonts w:asciiTheme="majorHAnsi" w:hAnsiTheme="majorHAnsi"/>
          <w:lang w:val="en-US"/>
        </w:rPr>
        <w:fldChar w:fldCharType="end"/>
      </w:r>
      <w:r w:rsidR="00AB46C8">
        <w:rPr>
          <w:rFonts w:asciiTheme="majorHAnsi" w:hAnsiTheme="majorHAnsi"/>
          <w:lang w:val="en-US"/>
        </w:rPr>
        <w:t xml:space="preserve">. </w:t>
      </w:r>
      <w:r>
        <w:rPr>
          <w:rFonts w:asciiTheme="majorHAnsi" w:hAnsiTheme="majorHAnsi"/>
          <w:lang w:val="en-US"/>
        </w:rPr>
        <w:t>Recently</w:t>
      </w:r>
      <w:r w:rsidR="00581C53">
        <w:rPr>
          <w:rFonts w:asciiTheme="majorHAnsi" w:hAnsiTheme="majorHAnsi"/>
          <w:lang w:val="en-US"/>
        </w:rPr>
        <w:t xml:space="preserve"> a yeast genome-</w:t>
      </w:r>
      <w:r w:rsidR="007053FB">
        <w:rPr>
          <w:rFonts w:asciiTheme="majorHAnsi" w:hAnsiTheme="majorHAnsi"/>
          <w:lang w:val="en-US"/>
        </w:rPr>
        <w:t>wide screen has uncovered</w:t>
      </w:r>
      <w:r w:rsidR="009E7C96">
        <w:rPr>
          <w:rFonts w:asciiTheme="majorHAnsi" w:hAnsiTheme="majorHAnsi"/>
          <w:lang w:val="en-US"/>
        </w:rPr>
        <w:t xml:space="preserve"> that</w:t>
      </w:r>
      <w:r w:rsidR="007053FB">
        <w:rPr>
          <w:rFonts w:asciiTheme="majorHAnsi" w:hAnsiTheme="majorHAnsi"/>
          <w:lang w:val="en-US"/>
        </w:rPr>
        <w:t xml:space="preserve"> histone modifiers, including the yeast </w:t>
      </w:r>
      <w:r w:rsidR="007053FB" w:rsidRPr="00101E37">
        <w:rPr>
          <w:rFonts w:asciiTheme="majorHAnsi" w:hAnsiTheme="majorHAnsi"/>
          <w:i/>
          <w:lang w:val="en-US"/>
        </w:rPr>
        <w:t>Swr1</w:t>
      </w:r>
      <w:r w:rsidR="007053FB">
        <w:rPr>
          <w:rFonts w:asciiTheme="majorHAnsi" w:hAnsiTheme="majorHAnsi"/>
          <w:lang w:val="en-US"/>
        </w:rPr>
        <w:t>, the yeast</w:t>
      </w:r>
      <w:r w:rsidR="003917D4">
        <w:rPr>
          <w:rFonts w:asciiTheme="majorHAnsi" w:hAnsiTheme="majorHAnsi"/>
          <w:lang w:val="en-US"/>
        </w:rPr>
        <w:t xml:space="preserve"> homologue</w:t>
      </w:r>
      <w:r w:rsidR="007053FB">
        <w:rPr>
          <w:rFonts w:asciiTheme="majorHAnsi" w:hAnsiTheme="majorHAnsi"/>
          <w:lang w:val="en-US"/>
        </w:rPr>
        <w:t xml:space="preserve"> </w:t>
      </w:r>
      <w:r w:rsidR="003917D4">
        <w:rPr>
          <w:rFonts w:asciiTheme="majorHAnsi" w:hAnsiTheme="majorHAnsi"/>
          <w:lang w:val="en-US"/>
        </w:rPr>
        <w:t>of</w:t>
      </w:r>
      <w:r w:rsidR="007053FB">
        <w:rPr>
          <w:rFonts w:asciiTheme="majorHAnsi" w:hAnsiTheme="majorHAnsi"/>
          <w:lang w:val="en-US"/>
        </w:rPr>
        <w:t xml:space="preserve"> </w:t>
      </w:r>
      <w:r w:rsidR="007053FB" w:rsidRPr="00101E37">
        <w:rPr>
          <w:rFonts w:asciiTheme="majorHAnsi" w:hAnsiTheme="majorHAnsi"/>
          <w:i/>
          <w:lang w:val="en-US"/>
        </w:rPr>
        <w:t>SRCAP</w:t>
      </w:r>
      <w:r w:rsidR="007053FB">
        <w:rPr>
          <w:rFonts w:asciiTheme="majorHAnsi" w:hAnsiTheme="majorHAnsi"/>
          <w:lang w:val="en-US"/>
        </w:rPr>
        <w:t xml:space="preserve">, </w:t>
      </w:r>
      <w:r w:rsidR="009E7C96">
        <w:rPr>
          <w:rFonts w:asciiTheme="majorHAnsi" w:hAnsiTheme="majorHAnsi"/>
          <w:lang w:val="en-US"/>
        </w:rPr>
        <w:t xml:space="preserve">confer </w:t>
      </w:r>
      <w:r w:rsidR="007053FB">
        <w:rPr>
          <w:rFonts w:asciiTheme="majorHAnsi" w:hAnsiTheme="majorHAnsi"/>
          <w:lang w:val="en-US"/>
        </w:rPr>
        <w:t xml:space="preserve">sensitivity to 5-FU </w:t>
      </w:r>
      <w:r w:rsidR="007053FB">
        <w:rPr>
          <w:rFonts w:asciiTheme="majorHAnsi" w:hAnsiTheme="majorHAnsi"/>
          <w:lang w:val="en-US"/>
        </w:rPr>
        <w:fldChar w:fldCharType="begin"/>
      </w:r>
      <w:r w:rsidR="007053FB">
        <w:rPr>
          <w:rFonts w:asciiTheme="majorHAnsi" w:hAnsiTheme="majorHAnsi"/>
          <w:lang w:val="en-US"/>
        </w:rPr>
        <w:instrText xml:space="preserve"> ADDIN EN.CITE &lt;EndNote&gt;&lt;Cite&gt;&lt;Author&gt;Mojardín&lt;/Author&gt;&lt;Year&gt;2015&lt;/Year&gt;&lt;IDText&gt;Chromosome segregation and organization are targets of 5&amp;apos;-Fluorouracil in eukaryotic cells&lt;/IDText&gt;&lt;DisplayText&gt;(Mojardín et al., 2015)&lt;/DisplayText&gt;&lt;record&gt;&lt;keywords&gt;&lt;keyword&gt;Chromatids&lt;/keyword&gt;&lt;keyword&gt;Chromosome Segregation&lt;/keyword&gt;&lt;keyword&gt;Down-Regulation&lt;/keyword&gt;&lt;keyword&gt;Fluorouracil&lt;/keyword&gt;&lt;keyword&gt;Heterochromatin&lt;/keyword&gt;&lt;keyword&gt;Histones&lt;/keyword&gt;&lt;keyword&gt;Kinetochores&lt;/keyword&gt;&lt;keyword&gt;Methylation&lt;/keyword&gt;&lt;keyword&gt;Schizosaccharomyces&lt;/keyword&gt;&lt;keyword&gt;Schizosaccharomyces pombe Proteins&lt;/keyword&gt;&lt;/keywords&gt;&lt;urls&gt;&lt;related-urls&gt;&lt;url&gt;https://www.ncbi.nlm.nih.gov/pubmed/25483073&lt;/url&gt;&lt;/related-urls&gt;&lt;/urls&gt;&lt;isbn&gt;1551-4005&lt;/isbn&gt;&lt;custom2&gt;PMC4352961&lt;/custom2&gt;&lt;titles&gt;&lt;title&gt;Chromosome segregation and organization are targets of 5&amp;apos;-Fluorouracil in eukaryotic cells&lt;/title&gt;&lt;secondary-title&gt;Cell Cycle&lt;/secondary-title&gt;&lt;/titles&gt;&lt;pages&gt;206-18&lt;/pages&gt;&lt;number&gt;2&lt;/number&gt;&lt;contributors&gt;&lt;authors&gt;&lt;author&gt;Mojardín, L.&lt;/author&gt;&lt;author&gt;Botet, J.&lt;/author&gt;&lt;author&gt;Moreno, S.&lt;/author&gt;&lt;author&gt;Salas, M.&lt;/author&gt;&lt;/authors&gt;&lt;/contributors&gt;&lt;language&gt;eng&lt;/language&gt;&lt;added-date format="utc"&gt;1485429287&lt;/added-date&gt;&lt;ref-type name="Journal Article"&gt;17&lt;/ref-type&gt;&lt;dates&gt;&lt;year&gt;2015&lt;/year&gt;&lt;/dates&gt;&lt;rec-number&gt;180&lt;/rec-number&gt;&lt;last-updated-date format="utc"&gt;1485429287&lt;/last-updated-date&gt;&lt;accession-num&gt;25483073&lt;/accession-num&gt;&lt;electronic-resource-num&gt;10.4161/15384101.2014.974425&lt;/electronic-resource-num&gt;&lt;volume&gt;14&lt;/volume&gt;&lt;/record&gt;&lt;/Cite&gt;&lt;/EndNote&gt;</w:instrText>
      </w:r>
      <w:r w:rsidR="007053FB">
        <w:rPr>
          <w:rFonts w:asciiTheme="majorHAnsi" w:hAnsiTheme="majorHAnsi"/>
          <w:lang w:val="en-US"/>
        </w:rPr>
        <w:fldChar w:fldCharType="separate"/>
      </w:r>
      <w:r w:rsidR="007053FB">
        <w:rPr>
          <w:rFonts w:asciiTheme="majorHAnsi" w:hAnsiTheme="majorHAnsi"/>
          <w:noProof/>
          <w:lang w:val="en-US"/>
        </w:rPr>
        <w:t>(Mojardín et al., 2015)</w:t>
      </w:r>
      <w:r w:rsidR="007053FB">
        <w:rPr>
          <w:rFonts w:asciiTheme="majorHAnsi" w:hAnsiTheme="majorHAnsi"/>
          <w:lang w:val="en-US"/>
        </w:rPr>
        <w:fldChar w:fldCharType="end"/>
      </w:r>
      <w:r w:rsidR="009E7C96">
        <w:rPr>
          <w:rFonts w:asciiTheme="majorHAnsi" w:hAnsiTheme="majorHAnsi"/>
          <w:lang w:val="en-US"/>
        </w:rPr>
        <w:t>. Here we show that the knock</w:t>
      </w:r>
      <w:r w:rsidR="007053FB">
        <w:rPr>
          <w:rFonts w:asciiTheme="majorHAnsi" w:hAnsiTheme="majorHAnsi"/>
          <w:lang w:val="en-US"/>
        </w:rPr>
        <w:t xml:space="preserve">down of </w:t>
      </w:r>
      <w:r w:rsidR="007053FB" w:rsidRPr="00101E37">
        <w:rPr>
          <w:rFonts w:asciiTheme="majorHAnsi" w:hAnsiTheme="majorHAnsi"/>
          <w:i/>
          <w:lang w:val="en-US"/>
        </w:rPr>
        <w:t>SRCAP</w:t>
      </w:r>
      <w:r w:rsidR="007053FB">
        <w:rPr>
          <w:rFonts w:asciiTheme="majorHAnsi" w:hAnsiTheme="majorHAnsi"/>
          <w:lang w:val="en-US"/>
        </w:rPr>
        <w:t xml:space="preserve"> does indeed sensitize </w:t>
      </w:r>
      <w:r w:rsidR="009E7C96">
        <w:rPr>
          <w:rFonts w:asciiTheme="majorHAnsi" w:hAnsiTheme="majorHAnsi"/>
          <w:lang w:val="en-US"/>
        </w:rPr>
        <w:t xml:space="preserve">HCT116 </w:t>
      </w:r>
      <w:r w:rsidR="007053FB">
        <w:rPr>
          <w:rFonts w:asciiTheme="majorHAnsi" w:hAnsiTheme="majorHAnsi"/>
          <w:lang w:val="en-US"/>
        </w:rPr>
        <w:t xml:space="preserve">cells to 5-FU and cisplatin, but the same cannot be said of SW480 cells, which showed increased resistance. </w:t>
      </w:r>
    </w:p>
    <w:p w14:paraId="065D7487" w14:textId="77777777" w:rsidR="00AB46C8" w:rsidRDefault="00AB46C8" w:rsidP="007053FB">
      <w:pPr>
        <w:spacing w:line="360" w:lineRule="auto"/>
        <w:jc w:val="both"/>
        <w:rPr>
          <w:rFonts w:asciiTheme="majorHAnsi" w:hAnsiTheme="majorHAnsi"/>
          <w:lang w:val="en-US"/>
        </w:rPr>
      </w:pPr>
    </w:p>
    <w:p w14:paraId="7E739538" w14:textId="6FF0D3F8" w:rsidR="00E7544D" w:rsidRDefault="007053FB" w:rsidP="007053FB">
      <w:pPr>
        <w:spacing w:line="360" w:lineRule="auto"/>
        <w:jc w:val="both"/>
        <w:rPr>
          <w:rFonts w:asciiTheme="majorHAnsi" w:hAnsiTheme="majorHAnsi"/>
          <w:lang w:val="en-US"/>
        </w:rPr>
      </w:pPr>
      <w:r>
        <w:rPr>
          <w:rFonts w:asciiTheme="majorHAnsi" w:hAnsiTheme="majorHAnsi"/>
          <w:lang w:val="en-US"/>
        </w:rPr>
        <w:t xml:space="preserve">Interestingly it has been shown that MSI cells are 5-FU resistant </w:t>
      </w:r>
      <w:r>
        <w:rPr>
          <w:rFonts w:asciiTheme="majorHAnsi" w:hAnsiTheme="majorHAnsi"/>
          <w:lang w:val="en-US"/>
        </w:rPr>
        <w:fldChar w:fldCharType="begin">
          <w:fldData xml:space="preserve">PEVuZE5vdGU+PENpdGU+PEF1dGhvcj5Kb3ZlcjwvQXV0aG9yPjxZZWFyPjIwMDY8L1llYXI+PElE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</w:fldData>
        </w:fldChar>
      </w:r>
      <w:r>
        <w:rPr>
          <w:rFonts w:asciiTheme="majorHAnsi" w:hAnsiTheme="majorHAnsi"/>
          <w:lang w:val="en-US"/>
        </w:rPr>
        <w:instrText xml:space="preserve"> ADDIN EN.CITE </w:instrText>
      </w:r>
      <w:r>
        <w:rPr>
          <w:rFonts w:asciiTheme="majorHAnsi" w:hAnsiTheme="majorHAnsi"/>
          <w:lang w:val="en-US"/>
        </w:rPr>
        <w:fldChar w:fldCharType="begin">
          <w:fldData xml:space="preserve">PEVuZE5vdGU+PENpdGU+PEF1dGhvcj5Kb3ZlcjwvQXV0aG9yPjxZZWFyPjIwMDY8L1llYXI+PElE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</w:fldData>
        </w:fldChar>
      </w:r>
      <w:r>
        <w:rPr>
          <w:rFonts w:asciiTheme="majorHAnsi" w:hAnsiTheme="majorHAnsi"/>
          <w:lang w:val="en-US"/>
        </w:rPr>
        <w:instrText xml:space="preserve"> ADDIN EN.CITE.DATA </w:instrText>
      </w:r>
      <w:r>
        <w:rPr>
          <w:rFonts w:asciiTheme="majorHAnsi" w:hAnsiTheme="majorHAnsi"/>
          <w:lang w:val="en-US"/>
        </w:rPr>
      </w:r>
      <w:r>
        <w:rPr>
          <w:rFonts w:asciiTheme="majorHAnsi" w:hAnsiTheme="majorHAnsi"/>
          <w:lang w:val="en-US"/>
        </w:rPr>
        <w:fldChar w:fldCharType="end"/>
      </w:r>
      <w:r>
        <w:rPr>
          <w:rFonts w:asciiTheme="majorHAnsi" w:hAnsiTheme="majorHAnsi"/>
          <w:lang w:val="en-US"/>
        </w:rPr>
      </w:r>
      <w:r>
        <w:rPr>
          <w:rFonts w:asciiTheme="majorHAnsi" w:hAnsiTheme="majorHAnsi"/>
          <w:lang w:val="en-US"/>
        </w:rPr>
        <w:fldChar w:fldCharType="separate"/>
      </w:r>
      <w:r>
        <w:rPr>
          <w:rFonts w:asciiTheme="majorHAnsi" w:hAnsiTheme="majorHAnsi"/>
          <w:noProof/>
          <w:lang w:val="en-US"/>
        </w:rPr>
        <w:t>(Jover et al., 2006, Carethers et al., 2004)</w:t>
      </w:r>
      <w:r>
        <w:rPr>
          <w:rFonts w:asciiTheme="majorHAnsi" w:hAnsiTheme="majorHAnsi"/>
          <w:lang w:val="en-US"/>
        </w:rPr>
        <w:fldChar w:fldCharType="end"/>
      </w:r>
      <w:r>
        <w:rPr>
          <w:rFonts w:asciiTheme="majorHAnsi" w:hAnsiTheme="majorHAnsi"/>
          <w:lang w:val="en-US"/>
        </w:rPr>
        <w:t>, however</w:t>
      </w:r>
      <w:r w:rsidR="00E7544D">
        <w:rPr>
          <w:rFonts w:asciiTheme="majorHAnsi" w:hAnsiTheme="majorHAnsi"/>
          <w:lang w:val="en-US"/>
        </w:rPr>
        <w:t>,</w:t>
      </w:r>
      <w:r>
        <w:rPr>
          <w:rFonts w:asciiTheme="majorHAnsi" w:hAnsiTheme="majorHAnsi"/>
          <w:lang w:val="en-US"/>
        </w:rPr>
        <w:t xml:space="preserve"> here we show that SRCAP depletion plus 5-FU caused increased sensiti</w:t>
      </w:r>
      <w:r w:rsidR="009E7C96">
        <w:rPr>
          <w:rFonts w:asciiTheme="majorHAnsi" w:hAnsiTheme="majorHAnsi"/>
          <w:lang w:val="en-US"/>
        </w:rPr>
        <w:t xml:space="preserve">zation in </w:t>
      </w:r>
      <w:r w:rsidR="00AB46C8">
        <w:rPr>
          <w:rFonts w:asciiTheme="majorHAnsi" w:hAnsiTheme="majorHAnsi"/>
          <w:lang w:val="en-US"/>
        </w:rPr>
        <w:t xml:space="preserve">the MSI HCT116 cell line. These cells are </w:t>
      </w:r>
      <w:r w:rsidR="009E7C96">
        <w:rPr>
          <w:rFonts w:asciiTheme="majorHAnsi" w:hAnsiTheme="majorHAnsi"/>
          <w:lang w:val="en-US"/>
        </w:rPr>
        <w:t xml:space="preserve">TP53 wild type cells, suggesting </w:t>
      </w:r>
      <w:r>
        <w:rPr>
          <w:rFonts w:asciiTheme="majorHAnsi" w:hAnsiTheme="majorHAnsi"/>
          <w:lang w:val="en-US"/>
        </w:rPr>
        <w:t>that</w:t>
      </w:r>
      <w:r w:rsidR="00AB46C8">
        <w:rPr>
          <w:rFonts w:asciiTheme="majorHAnsi" w:hAnsiTheme="majorHAnsi"/>
          <w:lang w:val="en-US"/>
        </w:rPr>
        <w:t xml:space="preserve"> inhibition of</w:t>
      </w:r>
      <w:r>
        <w:rPr>
          <w:rFonts w:asciiTheme="majorHAnsi" w:hAnsiTheme="majorHAnsi"/>
          <w:lang w:val="en-US"/>
        </w:rPr>
        <w:t xml:space="preserve"> SRCAP could be a novel therapeutic for a subset of CRC patients</w:t>
      </w:r>
      <w:r w:rsidR="0070638A">
        <w:rPr>
          <w:rFonts w:asciiTheme="majorHAnsi" w:hAnsiTheme="majorHAnsi"/>
          <w:lang w:val="en-US"/>
        </w:rPr>
        <w:t xml:space="preserve"> with MSI tumours</w:t>
      </w:r>
      <w:r>
        <w:rPr>
          <w:rFonts w:asciiTheme="majorHAnsi" w:hAnsiTheme="majorHAnsi"/>
          <w:lang w:val="en-US"/>
        </w:rPr>
        <w:t xml:space="preserve">. </w:t>
      </w:r>
      <w:r w:rsidR="00AB46C8">
        <w:rPr>
          <w:rFonts w:asciiTheme="majorHAnsi" w:hAnsiTheme="majorHAnsi"/>
          <w:lang w:val="en-US"/>
        </w:rPr>
        <w:t>Inde</w:t>
      </w:r>
      <w:r w:rsidR="000707F5">
        <w:rPr>
          <w:rFonts w:asciiTheme="majorHAnsi" w:hAnsiTheme="majorHAnsi"/>
          <w:lang w:val="en-US"/>
        </w:rPr>
        <w:t>ed HCT116 cells with deficient TP</w:t>
      </w:r>
      <w:r w:rsidR="00AB46C8">
        <w:rPr>
          <w:rFonts w:asciiTheme="majorHAnsi" w:hAnsiTheme="majorHAnsi"/>
          <w:lang w:val="en-US"/>
        </w:rPr>
        <w:t xml:space="preserve">53 showed a significant resistance to </w:t>
      </w:r>
      <w:r w:rsidR="000707F5">
        <w:rPr>
          <w:rFonts w:asciiTheme="majorHAnsi" w:hAnsiTheme="majorHAnsi"/>
          <w:lang w:val="en-US"/>
        </w:rPr>
        <w:t xml:space="preserve">5-FU when </w:t>
      </w:r>
      <w:r w:rsidR="000707F5" w:rsidRPr="000707F5">
        <w:rPr>
          <w:rFonts w:asciiTheme="majorHAnsi" w:hAnsiTheme="majorHAnsi"/>
          <w:i/>
          <w:lang w:val="en-US"/>
        </w:rPr>
        <w:t>SRCAP</w:t>
      </w:r>
      <w:r w:rsidR="000707F5">
        <w:rPr>
          <w:rFonts w:asciiTheme="majorHAnsi" w:hAnsiTheme="majorHAnsi"/>
          <w:lang w:val="en-US"/>
        </w:rPr>
        <w:t xml:space="preserve"> was knocked down, although the results with cisplatin were not as consistent. Longley et al. (2002), consistent with the results here, showed that loss of TP53 in breast cancer cell lines decreases the sensitivity of the cells to 5-FU, indicating that TP53 status of patients could be a vital piece of information determining the type of treatment given. We show that although cells with wild type TP53 do respond to 5-FU, this response is incre</w:t>
      </w:r>
      <w:r w:rsidR="00E7544D">
        <w:rPr>
          <w:rFonts w:asciiTheme="majorHAnsi" w:hAnsiTheme="majorHAnsi"/>
          <w:lang w:val="en-US"/>
        </w:rPr>
        <w:t>as</w:t>
      </w:r>
      <w:r w:rsidR="003917D4">
        <w:rPr>
          <w:rFonts w:asciiTheme="majorHAnsi" w:hAnsiTheme="majorHAnsi"/>
          <w:lang w:val="en-US"/>
        </w:rPr>
        <w:t>ed when SRCAP is knocked down. T</w:t>
      </w:r>
      <w:r w:rsidR="00E7544D">
        <w:rPr>
          <w:rFonts w:asciiTheme="majorHAnsi" w:hAnsiTheme="majorHAnsi"/>
          <w:lang w:val="en-US"/>
        </w:rPr>
        <w:t xml:space="preserve">he mechanism behind this is unknown however it could be hypothesized that due to </w:t>
      </w:r>
      <w:r w:rsidR="00581C53">
        <w:rPr>
          <w:rFonts w:asciiTheme="majorHAnsi" w:hAnsiTheme="majorHAnsi"/>
          <w:lang w:val="en-US"/>
        </w:rPr>
        <w:t>the</w:t>
      </w:r>
      <w:r w:rsidR="00E7544D">
        <w:rPr>
          <w:rFonts w:asciiTheme="majorHAnsi" w:hAnsiTheme="majorHAnsi"/>
          <w:lang w:val="en-US"/>
        </w:rPr>
        <w:t xml:space="preserve"> role </w:t>
      </w:r>
      <w:r w:rsidR="00581C53">
        <w:rPr>
          <w:rFonts w:asciiTheme="majorHAnsi" w:hAnsiTheme="majorHAnsi"/>
          <w:lang w:val="en-US"/>
        </w:rPr>
        <w:t xml:space="preserve">of SRCAP </w:t>
      </w:r>
      <w:r w:rsidR="00E7544D">
        <w:rPr>
          <w:rFonts w:asciiTheme="majorHAnsi" w:hAnsiTheme="majorHAnsi"/>
          <w:lang w:val="en-US"/>
        </w:rPr>
        <w:t xml:space="preserve">in the DNA damage response and repair pathway that its depletion would further increase the amount of </w:t>
      </w:r>
      <w:r w:rsidR="00581C53">
        <w:rPr>
          <w:rFonts w:asciiTheme="majorHAnsi" w:hAnsiTheme="majorHAnsi"/>
          <w:lang w:val="en-US"/>
        </w:rPr>
        <w:t>un-</w:t>
      </w:r>
      <w:r w:rsidR="00E7544D">
        <w:rPr>
          <w:rFonts w:asciiTheme="majorHAnsi" w:hAnsiTheme="majorHAnsi"/>
          <w:lang w:val="en-US"/>
        </w:rPr>
        <w:t>repaired DNA damage after 5-FU treatment and so lead to cellular death. Therefore, although M</w:t>
      </w:r>
      <w:r w:rsidR="003917D4">
        <w:rPr>
          <w:rFonts w:asciiTheme="majorHAnsi" w:hAnsiTheme="majorHAnsi"/>
          <w:lang w:val="en-US"/>
        </w:rPr>
        <w:t>SI tumours are</w:t>
      </w:r>
      <w:r w:rsidR="00E7544D">
        <w:rPr>
          <w:rFonts w:asciiTheme="majorHAnsi" w:hAnsiTheme="majorHAnsi"/>
          <w:lang w:val="en-US"/>
        </w:rPr>
        <w:t xml:space="preserve"> more resistant to 5-FU it may be that it is the functional loss of TP53 that is the main factor in drug response, and so was why SW480 cells did not show sensitization. </w:t>
      </w:r>
    </w:p>
    <w:p w14:paraId="4020C9B2" w14:textId="77777777" w:rsidR="00656881" w:rsidRDefault="00656881" w:rsidP="00656881">
      <w:pPr>
        <w:tabs>
          <w:tab w:val="left" w:pos="2093"/>
        </w:tabs>
        <w:spacing w:line="360" w:lineRule="auto"/>
        <w:jc w:val="both"/>
        <w:rPr>
          <w:rFonts w:asciiTheme="majorHAnsi" w:hAnsiTheme="majorHAnsi"/>
          <w:lang w:val="en-US"/>
        </w:rPr>
      </w:pPr>
    </w:p>
    <w:p w14:paraId="24F46ADD" w14:textId="7038720F" w:rsidR="007053FB" w:rsidRPr="00656881" w:rsidRDefault="007053FB" w:rsidP="00656881">
      <w:pPr>
        <w:tabs>
          <w:tab w:val="left" w:pos="2093"/>
        </w:tabs>
        <w:spacing w:line="360" w:lineRule="auto"/>
        <w:jc w:val="both"/>
        <w:rPr>
          <w:rFonts w:asciiTheme="majorHAnsi" w:hAnsiTheme="majorHAnsi"/>
          <w:lang w:val="en-US"/>
        </w:rPr>
      </w:pPr>
      <w:r>
        <w:rPr>
          <w:rFonts w:asciiTheme="majorHAnsi" w:hAnsiTheme="majorHAnsi"/>
          <w:u w:val="single"/>
          <w:lang w:val="en-US"/>
        </w:rPr>
        <w:t xml:space="preserve">7.5 </w:t>
      </w:r>
      <w:r w:rsidRPr="00CE7BFC">
        <w:rPr>
          <w:rFonts w:asciiTheme="majorHAnsi" w:hAnsiTheme="majorHAnsi"/>
          <w:u w:val="single"/>
          <w:lang w:val="en-US"/>
        </w:rPr>
        <w:t>SRCAP and transcriptome analysis</w:t>
      </w:r>
    </w:p>
    <w:p w14:paraId="4FB46AC3" w14:textId="77777777" w:rsidR="007053FB" w:rsidRPr="00CE7BFC" w:rsidRDefault="007053FB" w:rsidP="007053FB">
      <w:pPr>
        <w:spacing w:line="360" w:lineRule="auto"/>
        <w:jc w:val="both"/>
        <w:rPr>
          <w:rFonts w:asciiTheme="majorHAnsi" w:hAnsiTheme="majorHAnsi"/>
          <w:u w:val="single"/>
          <w:lang w:val="en-US"/>
        </w:rPr>
      </w:pPr>
    </w:p>
    <w:p w14:paraId="5770A9CF" w14:textId="3B4F6874" w:rsidR="007053FB" w:rsidRDefault="007053FB" w:rsidP="007053FB">
      <w:pPr>
        <w:spacing w:line="360" w:lineRule="auto"/>
        <w:jc w:val="both"/>
        <w:rPr>
          <w:rFonts w:asciiTheme="majorHAnsi" w:hAnsiTheme="majorHAnsi"/>
          <w:lang w:val="en-US"/>
        </w:rPr>
      </w:pPr>
      <w:r>
        <w:rPr>
          <w:rFonts w:asciiTheme="majorHAnsi" w:hAnsiTheme="majorHAnsi"/>
          <w:lang w:val="en-US"/>
        </w:rPr>
        <w:t>SRCAP deposits the histone variant H2A.Z into nucleosomes, especially at promoter sites, and thus has great influence on transcription rates</w:t>
      </w:r>
      <w:r w:rsidR="006F3308">
        <w:rPr>
          <w:rFonts w:asciiTheme="majorHAnsi" w:hAnsiTheme="majorHAnsi"/>
          <w:lang w:val="en-US"/>
        </w:rPr>
        <w:t xml:space="preserve"> </w:t>
      </w:r>
      <w:r w:rsidR="00D6224B">
        <w:rPr>
          <w:rFonts w:asciiTheme="majorHAnsi" w:hAnsiTheme="majorHAnsi"/>
          <w:lang w:val="en-US"/>
        </w:rPr>
        <w:fldChar w:fldCharType="begin"/>
      </w:r>
      <w:r w:rsidR="006F3308">
        <w:rPr>
          <w:rFonts w:asciiTheme="majorHAnsi" w:hAnsiTheme="majorHAnsi"/>
          <w:lang w:val="en-US"/>
        </w:rPr>
        <w:instrText xml:space="preserve"> ADDIN EN.CITE &lt;EndNote&gt;&lt;Cite&gt;&lt;Author&gt;Brahma&lt;/Author&gt;&lt;Year&gt;2017&lt;/Year&gt;&lt;IDText&gt;INO80 exchanges H2A.Z for H2A by translocating on DNA proximal to histone dimers&lt;/IDText&gt;&lt;DisplayText&gt;(Brahma et al., 2017)&lt;/DisplayText&gt;&lt;record&gt;&lt;dates&gt;&lt;pub-dates&gt;&lt;date&gt;Jun&lt;/date&gt;&lt;/pub-dates&gt;&lt;year&gt;2017&lt;/year&gt;&lt;/dates&gt;&lt;urls&gt;&lt;related-urls&gt;&lt;url&gt;https://www.ncbi.nlm.nih.gov/pubmed/28604691&lt;/url&gt;&lt;/related-urls&gt;&lt;/urls&gt;&lt;isbn&gt;2041-1723&lt;/isbn&gt;&lt;custom2&gt;PMC5472786&lt;/custom2&gt;&lt;titles&gt;&lt;title&gt;INO80 exchanges H2A.Z for H2A by translocating on DNA proximal to histone dimers&lt;/title&gt;&lt;secondary-title&gt;Nat Commun&lt;/secondary-title&gt;&lt;/titles&gt;&lt;pages&gt;15616&lt;/pages&gt;&lt;contributors&gt;&lt;authors&gt;&lt;author&gt;Brahma, S.&lt;/author&gt;&lt;author&gt;Udugama, M. I.&lt;/author&gt;&lt;author&gt;Kim, J.&lt;/author&gt;&lt;author&gt;Hada, A.&lt;/author&gt;&lt;author&gt;Bhardwaj, S. K.&lt;/author&gt;&lt;author&gt;Hailu, S. G.&lt;/author&gt;&lt;author&gt;Lee, T. H.&lt;/author&gt;&lt;author&gt;Bartholomew, B.&lt;/author&gt;&lt;/authors&gt;&lt;/contributors&gt;&lt;edition&gt;2017/06/12&lt;/edition&gt;&lt;language&gt;eng&lt;/language&gt;&lt;added-date format="utc"&gt;1509984335&lt;/added-date&gt;&lt;ref-type name="Journal Article"&gt;17&lt;/ref-type&gt;&lt;rec-number&gt;341&lt;/rec-number&gt;&lt;last-updated-date format="utc"&gt;1509984335&lt;/last-updated-date&gt;&lt;accession-num&gt;28604691&lt;/accession-num&gt;&lt;electronic-resource-num&gt;10.1038/ncomms15616&lt;/electronic-resource-num&gt;&lt;volume&gt;8&lt;/volume&gt;&lt;/record&gt;&lt;/Cite&gt;&lt;/EndNote&gt;</w:instrText>
      </w:r>
      <w:r w:rsidR="00D6224B">
        <w:rPr>
          <w:rFonts w:asciiTheme="majorHAnsi" w:hAnsiTheme="majorHAnsi"/>
          <w:lang w:val="en-US"/>
        </w:rPr>
        <w:fldChar w:fldCharType="separate"/>
      </w:r>
      <w:r w:rsidR="006F3308">
        <w:rPr>
          <w:rFonts w:asciiTheme="majorHAnsi" w:hAnsiTheme="majorHAnsi"/>
          <w:noProof/>
          <w:lang w:val="en-US"/>
        </w:rPr>
        <w:t>(Brahma et al., 2017)</w:t>
      </w:r>
      <w:r w:rsidR="00D6224B">
        <w:rPr>
          <w:rFonts w:asciiTheme="majorHAnsi" w:hAnsiTheme="majorHAnsi"/>
          <w:lang w:val="en-US"/>
        </w:rPr>
        <w:fldChar w:fldCharType="end"/>
      </w:r>
      <w:r>
        <w:rPr>
          <w:rFonts w:asciiTheme="majorHAnsi" w:hAnsiTheme="majorHAnsi"/>
          <w:lang w:val="en-US"/>
        </w:rPr>
        <w:t xml:space="preserve">. </w:t>
      </w:r>
      <w:r w:rsidR="006F3308">
        <w:rPr>
          <w:rFonts w:asciiTheme="majorHAnsi" w:hAnsiTheme="majorHAnsi"/>
          <w:lang w:val="en-US"/>
        </w:rPr>
        <w:t xml:space="preserve">However, what transcriptional pathways this impacts and whether this could then drive tumour progression has not been investigated. RNA microarray </w:t>
      </w:r>
      <w:r w:rsidR="003917D4">
        <w:rPr>
          <w:rFonts w:asciiTheme="majorHAnsi" w:hAnsiTheme="majorHAnsi"/>
          <w:lang w:val="en-US"/>
        </w:rPr>
        <w:t>analysis</w:t>
      </w:r>
      <w:r w:rsidR="006F3308">
        <w:rPr>
          <w:rFonts w:asciiTheme="majorHAnsi" w:hAnsiTheme="majorHAnsi"/>
          <w:lang w:val="en-US"/>
        </w:rPr>
        <w:t xml:space="preserve"> of p400</w:t>
      </w:r>
      <w:r w:rsidR="003917D4">
        <w:rPr>
          <w:rFonts w:asciiTheme="majorHAnsi" w:hAnsiTheme="majorHAnsi"/>
          <w:lang w:val="en-US"/>
        </w:rPr>
        <w:t xml:space="preserve"> depleted HCT116 cells</w:t>
      </w:r>
      <w:r w:rsidR="00581C53">
        <w:rPr>
          <w:rFonts w:asciiTheme="majorHAnsi" w:hAnsiTheme="majorHAnsi"/>
          <w:lang w:val="en-US"/>
        </w:rPr>
        <w:t xml:space="preserve"> (</w:t>
      </w:r>
      <w:r w:rsidR="003917D4">
        <w:rPr>
          <w:rFonts w:asciiTheme="majorHAnsi" w:hAnsiTheme="majorHAnsi"/>
          <w:lang w:val="en-US"/>
        </w:rPr>
        <w:t xml:space="preserve">which is </w:t>
      </w:r>
      <w:r w:rsidR="006F3308">
        <w:rPr>
          <w:rFonts w:asciiTheme="majorHAnsi" w:hAnsiTheme="majorHAnsi"/>
          <w:lang w:val="en-US"/>
        </w:rPr>
        <w:t xml:space="preserve">an homologous protein to SRCAP whose function is to also </w:t>
      </w:r>
      <w:r w:rsidR="003917D4">
        <w:rPr>
          <w:rFonts w:asciiTheme="majorHAnsi" w:hAnsiTheme="majorHAnsi"/>
          <w:lang w:val="en-US"/>
        </w:rPr>
        <w:t>deposit H2A.Z into nucleosomes</w:t>
      </w:r>
      <w:r w:rsidR="00581C53">
        <w:rPr>
          <w:rFonts w:asciiTheme="majorHAnsi" w:hAnsiTheme="majorHAnsi"/>
          <w:lang w:val="en-US"/>
        </w:rPr>
        <w:t>)</w:t>
      </w:r>
      <w:r w:rsidR="006F3308">
        <w:rPr>
          <w:rFonts w:asciiTheme="majorHAnsi" w:hAnsiTheme="majorHAnsi"/>
          <w:lang w:val="en-US"/>
        </w:rPr>
        <w:t xml:space="preserve"> </w:t>
      </w:r>
      <w:r w:rsidR="003917D4">
        <w:rPr>
          <w:rFonts w:asciiTheme="majorHAnsi" w:hAnsiTheme="majorHAnsi"/>
          <w:lang w:val="en-US"/>
        </w:rPr>
        <w:t>revealed a deregulation of WNT pathways genes (</w:t>
      </w:r>
      <w:proofErr w:type="spellStart"/>
      <w:r w:rsidR="003917D4">
        <w:rPr>
          <w:rFonts w:asciiTheme="majorHAnsi" w:hAnsiTheme="majorHAnsi"/>
          <w:lang w:val="en-US"/>
        </w:rPr>
        <w:t>Chevillard-Briet</w:t>
      </w:r>
      <w:proofErr w:type="spellEnd"/>
      <w:r w:rsidR="003917D4">
        <w:rPr>
          <w:rFonts w:asciiTheme="majorHAnsi" w:hAnsiTheme="majorHAnsi"/>
          <w:lang w:val="en-US"/>
        </w:rPr>
        <w:t xml:space="preserve"> et al., </w:t>
      </w:r>
      <w:r w:rsidR="008753F7">
        <w:rPr>
          <w:rFonts w:asciiTheme="majorHAnsi" w:hAnsiTheme="majorHAnsi"/>
          <w:lang w:val="en-US"/>
        </w:rPr>
        <w:t>2014)</w:t>
      </w:r>
      <w:r w:rsidR="003917D4">
        <w:rPr>
          <w:rFonts w:asciiTheme="majorHAnsi" w:hAnsiTheme="majorHAnsi"/>
          <w:lang w:val="en-US"/>
        </w:rPr>
        <w:t xml:space="preserve">, which could be a </w:t>
      </w:r>
      <w:r w:rsidR="008753F7">
        <w:rPr>
          <w:rFonts w:asciiTheme="majorHAnsi" w:hAnsiTheme="majorHAnsi"/>
          <w:lang w:val="en-US"/>
        </w:rPr>
        <w:t>mechanism behind driving CRC tumour progression.</w:t>
      </w:r>
      <w:r w:rsidR="006F3308">
        <w:rPr>
          <w:rFonts w:asciiTheme="majorHAnsi" w:hAnsiTheme="majorHAnsi"/>
          <w:lang w:val="en-US"/>
        </w:rPr>
        <w:t xml:space="preserve"> </w:t>
      </w:r>
      <w:r>
        <w:rPr>
          <w:rFonts w:asciiTheme="majorHAnsi" w:hAnsiTheme="majorHAnsi"/>
          <w:lang w:val="en-US"/>
        </w:rPr>
        <w:t xml:space="preserve">Therefore using an RNA microarray of </w:t>
      </w:r>
      <w:r w:rsidRPr="00925EC8">
        <w:rPr>
          <w:rFonts w:asciiTheme="majorHAnsi" w:hAnsiTheme="majorHAnsi"/>
          <w:i/>
          <w:lang w:val="en-US"/>
        </w:rPr>
        <w:t>SRCAP</w:t>
      </w:r>
      <w:r w:rsidR="009E7C96">
        <w:rPr>
          <w:rFonts w:asciiTheme="majorHAnsi" w:hAnsiTheme="majorHAnsi"/>
          <w:lang w:val="en-US"/>
        </w:rPr>
        <w:t xml:space="preserve"> over-expressing and knock</w:t>
      </w:r>
      <w:r>
        <w:rPr>
          <w:rFonts w:asciiTheme="majorHAnsi" w:hAnsiTheme="majorHAnsi"/>
          <w:lang w:val="en-US"/>
        </w:rPr>
        <w:t>down samples</w:t>
      </w:r>
      <w:r w:rsidR="0070638A">
        <w:rPr>
          <w:rFonts w:asciiTheme="majorHAnsi" w:hAnsiTheme="majorHAnsi"/>
          <w:lang w:val="en-US"/>
        </w:rPr>
        <w:t>,</w:t>
      </w:r>
      <w:r>
        <w:rPr>
          <w:rFonts w:asciiTheme="majorHAnsi" w:hAnsiTheme="majorHAnsi"/>
          <w:lang w:val="en-US"/>
        </w:rPr>
        <w:t xml:space="preserve"> genome wide transcript leve</w:t>
      </w:r>
      <w:r w:rsidR="007861A4">
        <w:rPr>
          <w:rFonts w:asciiTheme="majorHAnsi" w:hAnsiTheme="majorHAnsi"/>
          <w:lang w:val="en-US"/>
        </w:rPr>
        <w:t>ls</w:t>
      </w:r>
      <w:r w:rsidR="0070638A">
        <w:rPr>
          <w:rFonts w:asciiTheme="majorHAnsi" w:hAnsiTheme="majorHAnsi"/>
          <w:lang w:val="en-US"/>
        </w:rPr>
        <w:t xml:space="preserve"> were assessed</w:t>
      </w:r>
      <w:r w:rsidR="007861A4">
        <w:rPr>
          <w:rFonts w:asciiTheme="majorHAnsi" w:hAnsiTheme="majorHAnsi"/>
          <w:lang w:val="en-US"/>
        </w:rPr>
        <w:t xml:space="preserve">. </w:t>
      </w:r>
      <w:r w:rsidR="002C2E2A">
        <w:rPr>
          <w:rFonts w:asciiTheme="majorHAnsi" w:hAnsiTheme="majorHAnsi"/>
          <w:lang w:val="en-US"/>
        </w:rPr>
        <w:t>Here it was revealed that knock</w:t>
      </w:r>
      <w:r w:rsidR="007861A4">
        <w:rPr>
          <w:rFonts w:asciiTheme="majorHAnsi" w:hAnsiTheme="majorHAnsi"/>
          <w:lang w:val="en-US"/>
        </w:rPr>
        <w:t xml:space="preserve">down of </w:t>
      </w:r>
      <w:r w:rsidR="007861A4" w:rsidRPr="001E33DC">
        <w:rPr>
          <w:rFonts w:asciiTheme="majorHAnsi" w:hAnsiTheme="majorHAnsi"/>
          <w:i/>
          <w:lang w:val="en-US"/>
        </w:rPr>
        <w:t>SRCAP</w:t>
      </w:r>
      <w:r w:rsidR="007861A4">
        <w:rPr>
          <w:rFonts w:asciiTheme="majorHAnsi" w:hAnsiTheme="majorHAnsi"/>
          <w:lang w:val="en-US"/>
        </w:rPr>
        <w:t xml:space="preserve"> </w:t>
      </w:r>
      <w:r w:rsidR="001E33DC">
        <w:rPr>
          <w:rFonts w:asciiTheme="majorHAnsi" w:hAnsiTheme="majorHAnsi"/>
          <w:lang w:val="en-US"/>
        </w:rPr>
        <w:t>decreased the expression of nucle</w:t>
      </w:r>
      <w:r w:rsidR="0070638A">
        <w:rPr>
          <w:rFonts w:asciiTheme="majorHAnsi" w:hAnsiTheme="majorHAnsi"/>
          <w:lang w:val="en-US"/>
        </w:rPr>
        <w:t>osome factors and mitotic genes</w:t>
      </w:r>
      <w:r w:rsidR="001E33DC">
        <w:rPr>
          <w:rFonts w:asciiTheme="majorHAnsi" w:hAnsiTheme="majorHAnsi"/>
          <w:lang w:val="en-US"/>
        </w:rPr>
        <w:t xml:space="preserve"> </w:t>
      </w:r>
      <w:r w:rsidR="0070638A">
        <w:rPr>
          <w:rFonts w:asciiTheme="majorHAnsi" w:hAnsiTheme="majorHAnsi"/>
          <w:lang w:val="en-US"/>
        </w:rPr>
        <w:t>(which would be expected</w:t>
      </w:r>
      <w:r w:rsidR="008753F7">
        <w:rPr>
          <w:rFonts w:asciiTheme="majorHAnsi" w:hAnsiTheme="majorHAnsi"/>
          <w:lang w:val="en-US"/>
        </w:rPr>
        <w:t xml:space="preserve"> and was shown in experimental work</w:t>
      </w:r>
      <w:r w:rsidR="00324F00">
        <w:rPr>
          <w:rFonts w:asciiTheme="majorHAnsi" w:hAnsiTheme="majorHAnsi"/>
          <w:lang w:val="en-US"/>
        </w:rPr>
        <w:t>- Chapter 4.5</w:t>
      </w:r>
      <w:r w:rsidR="0070638A">
        <w:rPr>
          <w:rFonts w:asciiTheme="majorHAnsi" w:hAnsiTheme="majorHAnsi"/>
          <w:lang w:val="en-US"/>
        </w:rPr>
        <w:t>),</w:t>
      </w:r>
      <w:r w:rsidR="001E33DC">
        <w:rPr>
          <w:rFonts w:asciiTheme="majorHAnsi" w:hAnsiTheme="majorHAnsi"/>
          <w:lang w:val="en-US"/>
        </w:rPr>
        <w:t xml:space="preserve"> and increased the expression of </w:t>
      </w:r>
      <w:r w:rsidR="008753F7">
        <w:rPr>
          <w:rFonts w:asciiTheme="majorHAnsi" w:hAnsiTheme="majorHAnsi"/>
          <w:lang w:val="en-US"/>
        </w:rPr>
        <w:t xml:space="preserve">apoptotic </w:t>
      </w:r>
      <w:r w:rsidR="001E33DC">
        <w:rPr>
          <w:rFonts w:asciiTheme="majorHAnsi" w:hAnsiTheme="majorHAnsi"/>
          <w:lang w:val="en-US"/>
        </w:rPr>
        <w:t>genes,</w:t>
      </w:r>
      <w:r w:rsidR="008753F7">
        <w:rPr>
          <w:rFonts w:asciiTheme="majorHAnsi" w:hAnsiTheme="majorHAnsi"/>
          <w:lang w:val="en-US"/>
        </w:rPr>
        <w:t xml:space="preserve"> although no difference was seen in apoptosis levels during </w:t>
      </w:r>
      <w:r w:rsidR="00FA336C">
        <w:rPr>
          <w:rFonts w:asciiTheme="majorHAnsi" w:hAnsiTheme="majorHAnsi"/>
          <w:lang w:val="en-US"/>
        </w:rPr>
        <w:t xml:space="preserve">these studies </w:t>
      </w:r>
      <w:r w:rsidR="00324F00">
        <w:rPr>
          <w:rFonts w:asciiTheme="majorHAnsi" w:hAnsiTheme="majorHAnsi"/>
          <w:lang w:val="en-US"/>
        </w:rPr>
        <w:t>(Chapter 4.5)</w:t>
      </w:r>
      <w:r w:rsidR="001E33DC">
        <w:rPr>
          <w:rFonts w:asciiTheme="majorHAnsi" w:hAnsiTheme="majorHAnsi"/>
          <w:lang w:val="en-US"/>
        </w:rPr>
        <w:t>. From the top hits</w:t>
      </w:r>
      <w:r w:rsidR="009E7C96">
        <w:rPr>
          <w:rFonts w:asciiTheme="majorHAnsi" w:hAnsiTheme="majorHAnsi"/>
          <w:lang w:val="en-US"/>
        </w:rPr>
        <w:t>,</w:t>
      </w:r>
      <w:r w:rsidR="001E33DC">
        <w:rPr>
          <w:rFonts w:asciiTheme="majorHAnsi" w:hAnsiTheme="majorHAnsi"/>
          <w:lang w:val="en-US"/>
        </w:rPr>
        <w:t xml:space="preserve"> ELK3</w:t>
      </w:r>
      <w:r w:rsidR="008753F7">
        <w:rPr>
          <w:rFonts w:asciiTheme="majorHAnsi" w:hAnsiTheme="majorHAnsi"/>
          <w:lang w:val="en-US"/>
        </w:rPr>
        <w:t>, a transcriptional regulator linked to ERK signaling,</w:t>
      </w:r>
      <w:r w:rsidR="001E33DC">
        <w:rPr>
          <w:rFonts w:asciiTheme="majorHAnsi" w:hAnsiTheme="majorHAnsi"/>
          <w:lang w:val="en-US"/>
        </w:rPr>
        <w:t xml:space="preserve"> and </w:t>
      </w:r>
      <w:r w:rsidR="001E33DC" w:rsidRPr="001E33DC">
        <w:rPr>
          <w:rFonts w:asciiTheme="majorHAnsi" w:hAnsiTheme="majorHAnsi"/>
          <w:i/>
          <w:lang w:val="en-US"/>
        </w:rPr>
        <w:t>PHLDA2</w:t>
      </w:r>
      <w:r w:rsidR="008753F7" w:rsidRPr="008753F7">
        <w:rPr>
          <w:rFonts w:asciiTheme="majorHAnsi" w:hAnsiTheme="majorHAnsi"/>
          <w:lang w:val="en-US"/>
        </w:rPr>
        <w:t>, a regulator of placenta growth</w:t>
      </w:r>
      <w:r w:rsidR="00E80804">
        <w:rPr>
          <w:rFonts w:asciiTheme="majorHAnsi" w:hAnsiTheme="majorHAnsi"/>
          <w:lang w:val="en-US"/>
        </w:rPr>
        <w:t>,</w:t>
      </w:r>
      <w:r w:rsidR="001E33DC">
        <w:rPr>
          <w:rFonts w:asciiTheme="majorHAnsi" w:hAnsiTheme="majorHAnsi"/>
          <w:lang w:val="en-US"/>
        </w:rPr>
        <w:t xml:space="preserve"> were positively validated and showed a decrease in expression when </w:t>
      </w:r>
      <w:r w:rsidR="001E33DC" w:rsidRPr="001E33DC">
        <w:rPr>
          <w:rFonts w:asciiTheme="majorHAnsi" w:hAnsiTheme="majorHAnsi"/>
          <w:i/>
          <w:lang w:val="en-US"/>
        </w:rPr>
        <w:t>SRCAP</w:t>
      </w:r>
      <w:r w:rsidR="001E33DC">
        <w:rPr>
          <w:rFonts w:asciiTheme="majorHAnsi" w:hAnsiTheme="majorHAnsi"/>
          <w:lang w:val="en-US"/>
        </w:rPr>
        <w:t xml:space="preserve"> was knocked down. Both genes have been implicated in va</w:t>
      </w:r>
      <w:r w:rsidR="009E7C96">
        <w:rPr>
          <w:rFonts w:asciiTheme="majorHAnsi" w:hAnsiTheme="majorHAnsi"/>
          <w:lang w:val="en-US"/>
        </w:rPr>
        <w:t>rious cancers, with their knock</w:t>
      </w:r>
      <w:r w:rsidR="001E33DC">
        <w:rPr>
          <w:rFonts w:asciiTheme="majorHAnsi" w:hAnsiTheme="majorHAnsi"/>
          <w:lang w:val="en-US"/>
        </w:rPr>
        <w:t>down suggesting a decrease in invasiveness</w:t>
      </w:r>
      <w:r w:rsidR="008753F7">
        <w:rPr>
          <w:rFonts w:asciiTheme="majorHAnsi" w:hAnsiTheme="majorHAnsi"/>
          <w:lang w:val="en-US"/>
        </w:rPr>
        <w:t xml:space="preserve"> </w:t>
      </w:r>
      <w:r w:rsidR="008753F7">
        <w:rPr>
          <w:rFonts w:asciiTheme="majorHAnsi" w:hAnsiTheme="majorHAnsi"/>
          <w:lang w:val="en-US"/>
        </w:rPr>
        <w:fldChar w:fldCharType="begin">
          <w:fldData xml:space="preserve">PEVuZE5vdGU+PENpdGU+PEF1dGhvcj5IZW88L0F1dGhvcj48WWVhcj4yMDE1PC9ZZWFyPjxJRFRl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</w:fldData>
        </w:fldChar>
      </w:r>
      <w:r w:rsidR="00324F00">
        <w:rPr>
          <w:rFonts w:asciiTheme="majorHAnsi" w:hAnsiTheme="majorHAnsi"/>
          <w:lang w:val="en-US"/>
        </w:rPr>
        <w:instrText xml:space="preserve"> ADDIN EN.CITE </w:instrText>
      </w:r>
      <w:r w:rsidR="00324F00">
        <w:rPr>
          <w:rFonts w:asciiTheme="majorHAnsi" w:hAnsiTheme="majorHAnsi"/>
          <w:lang w:val="en-US"/>
        </w:rPr>
        <w:fldChar w:fldCharType="begin">
          <w:fldData xml:space="preserve">PEVuZE5vdGU+PENpdGU+PEF1dGhvcj5IZW88L0F1dGhvcj48WWVhcj4yMDE1PC9ZZWFyPjxJRFRl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</w:fldData>
        </w:fldChar>
      </w:r>
      <w:r w:rsidR="00324F00">
        <w:rPr>
          <w:rFonts w:asciiTheme="majorHAnsi" w:hAnsiTheme="majorHAnsi"/>
          <w:lang w:val="en-US"/>
        </w:rPr>
        <w:instrText xml:space="preserve"> ADDIN EN.CITE.DATA </w:instrText>
      </w:r>
      <w:r w:rsidR="00324F00">
        <w:rPr>
          <w:rFonts w:asciiTheme="majorHAnsi" w:hAnsiTheme="majorHAnsi"/>
          <w:lang w:val="en-US"/>
        </w:rPr>
      </w:r>
      <w:r w:rsidR="00324F00">
        <w:rPr>
          <w:rFonts w:asciiTheme="majorHAnsi" w:hAnsiTheme="majorHAnsi"/>
          <w:lang w:val="en-US"/>
        </w:rPr>
        <w:fldChar w:fldCharType="end"/>
      </w:r>
      <w:r w:rsidR="008753F7">
        <w:rPr>
          <w:rFonts w:asciiTheme="majorHAnsi" w:hAnsiTheme="majorHAnsi"/>
          <w:lang w:val="en-US"/>
        </w:rPr>
      </w:r>
      <w:r w:rsidR="008753F7">
        <w:rPr>
          <w:rFonts w:asciiTheme="majorHAnsi" w:hAnsiTheme="majorHAnsi"/>
          <w:lang w:val="en-US"/>
        </w:rPr>
        <w:fldChar w:fldCharType="separate"/>
      </w:r>
      <w:r w:rsidR="00324F00">
        <w:rPr>
          <w:rFonts w:asciiTheme="majorHAnsi" w:hAnsiTheme="majorHAnsi"/>
          <w:noProof/>
          <w:lang w:val="en-US"/>
        </w:rPr>
        <w:t>(Heo et al., 2015, Kong et al., 2016, Moon et al., 2015)</w:t>
      </w:r>
      <w:r w:rsidR="008753F7">
        <w:rPr>
          <w:rFonts w:asciiTheme="majorHAnsi" w:hAnsiTheme="majorHAnsi"/>
          <w:lang w:val="en-US"/>
        </w:rPr>
        <w:fldChar w:fldCharType="end"/>
      </w:r>
      <w:r w:rsidR="001E33DC">
        <w:rPr>
          <w:rFonts w:asciiTheme="majorHAnsi" w:hAnsiTheme="majorHAnsi"/>
          <w:lang w:val="en-US"/>
        </w:rPr>
        <w:t xml:space="preserve">. Therefore they would be good target genes to further assess via </w:t>
      </w:r>
      <w:r w:rsidR="00FE2A62">
        <w:rPr>
          <w:rFonts w:asciiTheme="majorHAnsi" w:hAnsiTheme="majorHAnsi"/>
          <w:lang w:val="en-US"/>
        </w:rPr>
        <w:t xml:space="preserve">functional assays such as those conducted throughout this thesis. </w:t>
      </w:r>
    </w:p>
    <w:p w14:paraId="698AF3FF" w14:textId="77777777" w:rsidR="00FE2A62" w:rsidRDefault="00FE2A62" w:rsidP="007053FB">
      <w:pPr>
        <w:spacing w:line="360" w:lineRule="auto"/>
        <w:jc w:val="both"/>
        <w:rPr>
          <w:rFonts w:asciiTheme="majorHAnsi" w:hAnsiTheme="majorHAnsi"/>
          <w:lang w:val="en-US"/>
        </w:rPr>
      </w:pPr>
    </w:p>
    <w:p w14:paraId="574892E8" w14:textId="70671000" w:rsidR="00FE2A62" w:rsidRDefault="009E7C96" w:rsidP="007053FB">
      <w:pPr>
        <w:spacing w:line="360" w:lineRule="auto"/>
        <w:jc w:val="both"/>
        <w:rPr>
          <w:rFonts w:asciiTheme="majorHAnsi" w:hAnsiTheme="majorHAnsi"/>
          <w:lang w:val="en-US"/>
        </w:rPr>
      </w:pPr>
      <w:r>
        <w:rPr>
          <w:rFonts w:asciiTheme="majorHAnsi" w:hAnsiTheme="majorHAnsi"/>
          <w:lang w:val="en-US"/>
        </w:rPr>
        <w:t>However, the over-</w:t>
      </w:r>
      <w:r w:rsidR="00FE2A62">
        <w:rPr>
          <w:rFonts w:asciiTheme="majorHAnsi" w:hAnsiTheme="majorHAnsi"/>
          <w:lang w:val="en-US"/>
        </w:rPr>
        <w:t xml:space="preserve">expression of </w:t>
      </w:r>
      <w:r w:rsidR="00FE2A62" w:rsidRPr="00FE2A62">
        <w:rPr>
          <w:rFonts w:asciiTheme="majorHAnsi" w:hAnsiTheme="majorHAnsi"/>
          <w:i/>
          <w:lang w:val="en-US"/>
        </w:rPr>
        <w:t>SRCAP</w:t>
      </w:r>
      <w:r>
        <w:rPr>
          <w:rFonts w:asciiTheme="majorHAnsi" w:hAnsiTheme="majorHAnsi"/>
          <w:lang w:val="en-US"/>
        </w:rPr>
        <w:t xml:space="preserve"> did not reve</w:t>
      </w:r>
      <w:r w:rsidR="00324F00">
        <w:rPr>
          <w:rFonts w:asciiTheme="majorHAnsi" w:hAnsiTheme="majorHAnsi"/>
          <w:lang w:val="en-US"/>
        </w:rPr>
        <w:t xml:space="preserve">al many transcript alterations. </w:t>
      </w:r>
      <w:r w:rsidR="00FE2A62">
        <w:rPr>
          <w:rFonts w:asciiTheme="majorHAnsi" w:hAnsiTheme="majorHAnsi"/>
          <w:lang w:val="en-US"/>
        </w:rPr>
        <w:t xml:space="preserve">There was </w:t>
      </w:r>
      <w:r>
        <w:rPr>
          <w:rFonts w:asciiTheme="majorHAnsi" w:hAnsiTheme="majorHAnsi"/>
          <w:lang w:val="en-US"/>
        </w:rPr>
        <w:t xml:space="preserve">a lot of variability </w:t>
      </w:r>
      <w:r w:rsidR="00FE2A62">
        <w:rPr>
          <w:rFonts w:asciiTheme="majorHAnsi" w:hAnsiTheme="majorHAnsi"/>
          <w:lang w:val="en-US"/>
        </w:rPr>
        <w:t xml:space="preserve">in fold change results across all three </w:t>
      </w:r>
      <w:r>
        <w:rPr>
          <w:rFonts w:asciiTheme="majorHAnsi" w:hAnsiTheme="majorHAnsi"/>
          <w:lang w:val="en-US"/>
        </w:rPr>
        <w:t xml:space="preserve">experimental </w:t>
      </w:r>
      <w:r w:rsidR="00FE2A62">
        <w:rPr>
          <w:rFonts w:asciiTheme="majorHAnsi" w:hAnsiTheme="majorHAnsi"/>
          <w:lang w:val="en-US"/>
        </w:rPr>
        <w:t>repeats and this affected the number of genes that could be investigated. STRING database analysis showed barely any enrichment for specific pathways, only for ‘cellular processes’, however</w:t>
      </w:r>
      <w:r>
        <w:rPr>
          <w:rFonts w:asciiTheme="majorHAnsi" w:hAnsiTheme="majorHAnsi"/>
          <w:lang w:val="en-US"/>
        </w:rPr>
        <w:t>,</w:t>
      </w:r>
      <w:r w:rsidR="00FE2A62">
        <w:rPr>
          <w:rFonts w:asciiTheme="majorHAnsi" w:hAnsiTheme="majorHAnsi"/>
          <w:lang w:val="en-US"/>
        </w:rPr>
        <w:t xml:space="preserve"> this term is very broad and would include a multitude of genes. </w:t>
      </w:r>
      <w:r w:rsidR="00FE2A62" w:rsidRPr="009045EE">
        <w:rPr>
          <w:rFonts w:asciiTheme="majorHAnsi" w:hAnsiTheme="majorHAnsi"/>
          <w:i/>
          <w:lang w:val="en-US"/>
        </w:rPr>
        <w:t>CPA4</w:t>
      </w:r>
      <w:r w:rsidR="00324F00">
        <w:rPr>
          <w:rFonts w:asciiTheme="majorHAnsi" w:hAnsiTheme="majorHAnsi"/>
          <w:i/>
          <w:lang w:val="en-US"/>
        </w:rPr>
        <w:t>,</w:t>
      </w:r>
      <w:r w:rsidR="00324F00">
        <w:rPr>
          <w:rFonts w:asciiTheme="majorHAnsi" w:hAnsiTheme="majorHAnsi"/>
          <w:lang w:val="en-US"/>
        </w:rPr>
        <w:t xml:space="preserve"> a gene that codes for the enzyme </w:t>
      </w:r>
      <w:proofErr w:type="spellStart"/>
      <w:r w:rsidR="00324F00">
        <w:rPr>
          <w:rFonts w:asciiTheme="majorHAnsi" w:hAnsiTheme="majorHAnsi"/>
          <w:lang w:val="en-US"/>
        </w:rPr>
        <w:t>carboxypeptidase</w:t>
      </w:r>
      <w:proofErr w:type="spellEnd"/>
      <w:r w:rsidR="00324F00">
        <w:rPr>
          <w:rFonts w:asciiTheme="majorHAnsi" w:hAnsiTheme="majorHAnsi"/>
          <w:lang w:val="en-US"/>
        </w:rPr>
        <w:t xml:space="preserve"> A4 and has links to histone hyperacetylation </w:t>
      </w:r>
      <w:r w:rsidR="00324F00">
        <w:rPr>
          <w:rFonts w:asciiTheme="majorHAnsi" w:hAnsiTheme="majorHAnsi"/>
          <w:lang w:val="en-US"/>
        </w:rPr>
        <w:fldChar w:fldCharType="begin"/>
      </w:r>
      <w:r w:rsidR="00324F00">
        <w:rPr>
          <w:rFonts w:asciiTheme="majorHAnsi" w:hAnsiTheme="majorHAnsi"/>
          <w:lang w:val="en-US"/>
        </w:rPr>
        <w:instrText xml:space="preserve"> ADDIN EN.CITE &lt;EndNote&gt;&lt;Cite&gt;&lt;Author&gt;Ross&lt;/Author&gt;&lt;Year&gt;2009&lt;/Year&gt;&lt;IDText&gt;Carboxypeptidase 4 gene variants and early-onset intermediate-to-high risk prostate cancer&lt;/IDText&gt;&lt;DisplayText&gt;(Ross et al., 2009)&lt;/DisplayText&gt;&lt;record&gt;&lt;dates&gt;&lt;pub-dates&gt;&lt;date&gt;Feb&lt;/date&gt;&lt;/pub-dates&gt;&lt;year&gt;2009&lt;/year&gt;&lt;/dates&gt;&lt;keywords&gt;&lt;keyword&gt;African Americans&lt;/keyword&gt;&lt;keyword&gt;Age Factors&lt;/keyword&gt;&lt;keyword&gt;Aged&lt;/keyword&gt;&lt;keyword&gt;Carboxypeptidases&lt;/keyword&gt;&lt;keyword&gt;Carboxypeptidases A&lt;/keyword&gt;&lt;keyword&gt;Early Diagnosis&lt;/keyword&gt;&lt;keyword&gt;European Continental Ancestry Group&lt;/keyword&gt;&lt;keyword&gt;Gene Frequency&lt;/keyword&gt;&lt;keyword&gt;Genetic Predisposition to Disease&lt;/keyword&gt;&lt;keyword&gt;Humans&lt;/keyword&gt;&lt;keyword&gt;Introns&lt;/keyword&gt;&lt;keyword&gt;Male&lt;/keyword&gt;&lt;keyword&gt;Middle Aged&lt;/keyword&gt;&lt;keyword&gt;Neoplasm Staging&lt;/keyword&gt;&lt;keyword&gt;Polymorphism, Single Nucleotide&lt;/keyword&gt;&lt;keyword&gt;Prostatic Neoplasms&lt;/keyword&gt;&lt;/keywords&gt;&lt;urls&gt;&lt;related-urls&gt;&lt;url&gt;https://www.ncbi.nlm.nih.gov/pubmed/19245716&lt;/url&gt;&lt;/related-urls&gt;&lt;/urls&gt;&lt;isbn&gt;1471-2407&lt;/isbn&gt;&lt;custom2&gt;PMC2657151&lt;/custom2&gt;&lt;titles&gt;&lt;title&gt;Carboxypeptidase 4 gene variants and early-onset intermediate-to-high risk prostate cancer&lt;/title&gt;&lt;secondary-title&gt;BMC Cancer&lt;/secondary-title&gt;&lt;/titles&gt;&lt;pages&gt;69&lt;/pages&gt;&lt;contributors&gt;&lt;authors&gt;&lt;author&gt;Ross, P. L.&lt;/author&gt;&lt;author&gt;Cheng, I.&lt;/author&gt;&lt;author&gt;Liu, X.&lt;/author&gt;&lt;author&gt;Cicek, M. S.&lt;/author&gt;&lt;author&gt;Carroll, P. R.&lt;/author&gt;&lt;author&gt;Casey, G.&lt;/author&gt;&lt;author&gt;Witte, J. S.&lt;/author&gt;&lt;/authors&gt;&lt;/contributors&gt;&lt;edition&gt;2009/02/26&lt;/edition&gt;&lt;language&gt;eng&lt;/language&gt;&lt;added-date format="utc"&gt;1510831035&lt;/added-date&gt;&lt;ref-type name="Journal Article"&gt;17&lt;/ref-type&gt;&lt;rec-number&gt;368&lt;/rec-number&gt;&lt;last-updated-date format="utc"&gt;1510831035&lt;/last-updated-date&gt;&lt;accession-num&gt;19245716&lt;/accession-num&gt;&lt;electronic-resource-num&gt;10.1186/1471-2407-9-69&lt;/electronic-resource-num&gt;&lt;volume&gt;9&lt;/volume&gt;&lt;/record&gt;&lt;/Cite&gt;&lt;/EndNote&gt;</w:instrText>
      </w:r>
      <w:r w:rsidR="00324F00">
        <w:rPr>
          <w:rFonts w:asciiTheme="majorHAnsi" w:hAnsiTheme="majorHAnsi"/>
          <w:lang w:val="en-US"/>
        </w:rPr>
        <w:fldChar w:fldCharType="separate"/>
      </w:r>
      <w:r w:rsidR="00324F00">
        <w:rPr>
          <w:rFonts w:asciiTheme="majorHAnsi" w:hAnsiTheme="majorHAnsi"/>
          <w:noProof/>
          <w:lang w:val="en-US"/>
        </w:rPr>
        <w:t>(Ross et al., 2009)</w:t>
      </w:r>
      <w:r w:rsidR="00324F00">
        <w:rPr>
          <w:rFonts w:asciiTheme="majorHAnsi" w:hAnsiTheme="majorHAnsi"/>
          <w:lang w:val="en-US"/>
        </w:rPr>
        <w:fldChar w:fldCharType="end"/>
      </w:r>
      <w:r w:rsidR="00324F00">
        <w:rPr>
          <w:rFonts w:asciiTheme="majorHAnsi" w:hAnsiTheme="majorHAnsi"/>
          <w:lang w:val="en-US"/>
        </w:rPr>
        <w:t xml:space="preserve">, </w:t>
      </w:r>
      <w:r w:rsidR="00FE2A62">
        <w:rPr>
          <w:rFonts w:asciiTheme="majorHAnsi" w:hAnsiTheme="majorHAnsi"/>
          <w:lang w:val="en-US"/>
        </w:rPr>
        <w:t xml:space="preserve">was however validated post microarray and </w:t>
      </w:r>
      <w:r w:rsidR="009045EE">
        <w:rPr>
          <w:rFonts w:asciiTheme="majorHAnsi" w:hAnsiTheme="majorHAnsi"/>
          <w:lang w:val="en-US"/>
        </w:rPr>
        <w:t xml:space="preserve">showed an increase in expression when </w:t>
      </w:r>
      <w:r w:rsidR="009045EE" w:rsidRPr="009045EE">
        <w:rPr>
          <w:rFonts w:asciiTheme="majorHAnsi" w:hAnsiTheme="majorHAnsi"/>
          <w:i/>
          <w:lang w:val="en-US"/>
        </w:rPr>
        <w:t>SRCAP</w:t>
      </w:r>
      <w:r>
        <w:rPr>
          <w:rFonts w:asciiTheme="majorHAnsi" w:hAnsiTheme="majorHAnsi"/>
          <w:lang w:val="en-US"/>
        </w:rPr>
        <w:t xml:space="preserve"> was over-</w:t>
      </w:r>
      <w:r w:rsidR="009045EE">
        <w:rPr>
          <w:rFonts w:asciiTheme="majorHAnsi" w:hAnsiTheme="majorHAnsi"/>
          <w:lang w:val="en-US"/>
        </w:rPr>
        <w:t>expressed.</w:t>
      </w:r>
      <w:r w:rsidR="00DF090C">
        <w:rPr>
          <w:rFonts w:asciiTheme="majorHAnsi" w:hAnsiTheme="majorHAnsi"/>
          <w:lang w:val="en-US"/>
        </w:rPr>
        <w:t xml:space="preserve"> This would be interesting to follow up</w:t>
      </w:r>
      <w:r w:rsidR="00581C53">
        <w:rPr>
          <w:rFonts w:asciiTheme="majorHAnsi" w:hAnsiTheme="majorHAnsi"/>
          <w:lang w:val="en-US"/>
        </w:rPr>
        <w:t>,</w:t>
      </w:r>
      <w:r w:rsidR="00DF090C">
        <w:rPr>
          <w:rFonts w:asciiTheme="majorHAnsi" w:hAnsiTheme="majorHAnsi"/>
          <w:lang w:val="en-US"/>
        </w:rPr>
        <w:t xml:space="preserve"> as CPA4 has been </w:t>
      </w:r>
      <w:r w:rsidR="00FA336C">
        <w:rPr>
          <w:rFonts w:asciiTheme="majorHAnsi" w:hAnsiTheme="majorHAnsi"/>
          <w:lang w:val="en-US"/>
        </w:rPr>
        <w:t xml:space="preserve">recently </w:t>
      </w:r>
      <w:r w:rsidR="00DF090C">
        <w:rPr>
          <w:rFonts w:asciiTheme="majorHAnsi" w:hAnsiTheme="majorHAnsi"/>
          <w:lang w:val="en-US"/>
        </w:rPr>
        <w:t xml:space="preserve">implicated in various cancers and could potentially be a prognostic marker of </w:t>
      </w:r>
      <w:r w:rsidR="005741BE">
        <w:rPr>
          <w:rFonts w:asciiTheme="majorHAnsi" w:hAnsiTheme="majorHAnsi"/>
          <w:lang w:val="en-US"/>
        </w:rPr>
        <w:t xml:space="preserve">tumour </w:t>
      </w:r>
      <w:r w:rsidR="00DF090C">
        <w:rPr>
          <w:rFonts w:asciiTheme="majorHAnsi" w:hAnsiTheme="majorHAnsi"/>
          <w:lang w:val="en-US"/>
        </w:rPr>
        <w:t>progression</w:t>
      </w:r>
      <w:r w:rsidR="00324F00">
        <w:rPr>
          <w:rFonts w:asciiTheme="majorHAnsi" w:hAnsiTheme="majorHAnsi"/>
          <w:lang w:val="en-US"/>
        </w:rPr>
        <w:t xml:space="preserve"> </w:t>
      </w:r>
      <w:r w:rsidR="00324F00">
        <w:rPr>
          <w:rFonts w:asciiTheme="majorHAnsi" w:hAnsiTheme="majorHAnsi"/>
          <w:lang w:val="en-US"/>
        </w:rPr>
        <w:fldChar w:fldCharType="begin">
          <w:fldData xml:space="preserve">PEVuZE5vdGU+PENpdGU+PEF1dGhvcj5TdW48L0F1dGhvcj48WWVhcj4yMDE2PC9ZZWFyPjxJRFRl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</w:fldData>
        </w:fldChar>
      </w:r>
      <w:r w:rsidR="00324F00">
        <w:rPr>
          <w:rFonts w:asciiTheme="majorHAnsi" w:hAnsiTheme="majorHAnsi"/>
          <w:lang w:val="en-US"/>
        </w:rPr>
        <w:instrText xml:space="preserve"> ADDIN EN.CITE </w:instrText>
      </w:r>
      <w:r w:rsidR="00324F00">
        <w:rPr>
          <w:rFonts w:asciiTheme="majorHAnsi" w:hAnsiTheme="majorHAnsi"/>
          <w:lang w:val="en-US"/>
        </w:rPr>
        <w:fldChar w:fldCharType="begin">
          <w:fldData xml:space="preserve">PEVuZE5vdGU+PENpdGU+PEF1dGhvcj5TdW48L0F1dGhvcj48WWVhcj4yMDE2PC9ZZWFyPjxJRFRl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</w:fldData>
        </w:fldChar>
      </w:r>
      <w:r w:rsidR="00324F00">
        <w:rPr>
          <w:rFonts w:asciiTheme="majorHAnsi" w:hAnsiTheme="majorHAnsi"/>
          <w:lang w:val="en-US"/>
        </w:rPr>
        <w:instrText xml:space="preserve"> ADDIN EN.CITE.DATA </w:instrText>
      </w:r>
      <w:r w:rsidR="00324F00">
        <w:rPr>
          <w:rFonts w:asciiTheme="majorHAnsi" w:hAnsiTheme="majorHAnsi"/>
          <w:lang w:val="en-US"/>
        </w:rPr>
      </w:r>
      <w:r w:rsidR="00324F00">
        <w:rPr>
          <w:rFonts w:asciiTheme="majorHAnsi" w:hAnsiTheme="majorHAnsi"/>
          <w:lang w:val="en-US"/>
        </w:rPr>
        <w:fldChar w:fldCharType="end"/>
      </w:r>
      <w:r w:rsidR="00324F00">
        <w:rPr>
          <w:rFonts w:asciiTheme="majorHAnsi" w:hAnsiTheme="majorHAnsi"/>
          <w:lang w:val="en-US"/>
        </w:rPr>
      </w:r>
      <w:r w:rsidR="00324F00">
        <w:rPr>
          <w:rFonts w:asciiTheme="majorHAnsi" w:hAnsiTheme="majorHAnsi"/>
          <w:lang w:val="en-US"/>
        </w:rPr>
        <w:fldChar w:fldCharType="separate"/>
      </w:r>
      <w:r w:rsidR="00324F00">
        <w:rPr>
          <w:rFonts w:asciiTheme="majorHAnsi" w:hAnsiTheme="majorHAnsi"/>
          <w:noProof/>
          <w:lang w:val="en-US"/>
        </w:rPr>
        <w:t>(Sun et al., 2016b, Sun et al., 2016a, Sun et al., 2016c)</w:t>
      </w:r>
      <w:r w:rsidR="00324F00">
        <w:rPr>
          <w:rFonts w:asciiTheme="majorHAnsi" w:hAnsiTheme="majorHAnsi"/>
          <w:lang w:val="en-US"/>
        </w:rPr>
        <w:fldChar w:fldCharType="end"/>
      </w:r>
      <w:r w:rsidR="005741BE">
        <w:rPr>
          <w:rFonts w:asciiTheme="majorHAnsi" w:hAnsiTheme="majorHAnsi"/>
          <w:lang w:val="en-US"/>
        </w:rPr>
        <w:t xml:space="preserve">. </w:t>
      </w:r>
    </w:p>
    <w:p w14:paraId="7B0F8544" w14:textId="77777777" w:rsidR="001079A8" w:rsidRDefault="001079A8" w:rsidP="007053FB">
      <w:pPr>
        <w:spacing w:line="360" w:lineRule="auto"/>
        <w:jc w:val="both"/>
        <w:rPr>
          <w:rFonts w:asciiTheme="majorHAnsi" w:hAnsiTheme="majorHAnsi"/>
          <w:lang w:val="en-US"/>
        </w:rPr>
      </w:pPr>
    </w:p>
    <w:p w14:paraId="37FFD286" w14:textId="5A4E831C" w:rsidR="00FE2A62" w:rsidRDefault="001079A8" w:rsidP="00FE2A62">
      <w:pPr>
        <w:spacing w:line="360" w:lineRule="auto"/>
        <w:jc w:val="both"/>
        <w:rPr>
          <w:rFonts w:asciiTheme="majorHAnsi" w:hAnsiTheme="majorHAnsi"/>
          <w:lang w:val="en-US"/>
        </w:rPr>
      </w:pPr>
      <w:r>
        <w:rPr>
          <w:rFonts w:asciiTheme="majorHAnsi" w:hAnsiTheme="majorHAnsi"/>
          <w:lang w:val="en-US"/>
        </w:rPr>
        <w:t>Although WNT signaling</w:t>
      </w:r>
      <w:r w:rsidR="007F4720">
        <w:rPr>
          <w:rFonts w:asciiTheme="majorHAnsi" w:hAnsiTheme="majorHAnsi"/>
          <w:lang w:val="en-US"/>
        </w:rPr>
        <w:t xml:space="preserve"> did not emerge in the gene enrichment analysis from the STRING online database</w:t>
      </w:r>
      <w:r w:rsidR="00FA336C">
        <w:rPr>
          <w:rFonts w:asciiTheme="majorHAnsi" w:hAnsiTheme="majorHAnsi"/>
          <w:lang w:val="en-US"/>
        </w:rPr>
        <w:t>, this</w:t>
      </w:r>
      <w:r w:rsidR="007F4720">
        <w:rPr>
          <w:rFonts w:asciiTheme="majorHAnsi" w:hAnsiTheme="majorHAnsi"/>
          <w:lang w:val="en-US"/>
        </w:rPr>
        <w:t xml:space="preserve"> was a preliminary </w:t>
      </w:r>
      <w:r w:rsidR="00581C53">
        <w:rPr>
          <w:rFonts w:asciiTheme="majorHAnsi" w:hAnsiTheme="majorHAnsi"/>
          <w:lang w:val="en-US"/>
        </w:rPr>
        <w:t>analysis of</w:t>
      </w:r>
      <w:r w:rsidR="007F4720">
        <w:rPr>
          <w:rFonts w:asciiTheme="majorHAnsi" w:hAnsiTheme="majorHAnsi"/>
          <w:lang w:val="en-US"/>
        </w:rPr>
        <w:t xml:space="preserve"> the data. Looking through the data sets manually </w:t>
      </w:r>
      <w:r w:rsidR="00FA336C">
        <w:rPr>
          <w:rFonts w:asciiTheme="majorHAnsi" w:hAnsiTheme="majorHAnsi"/>
          <w:lang w:val="en-US"/>
        </w:rPr>
        <w:t>revealed</w:t>
      </w:r>
      <w:r w:rsidR="007F4720">
        <w:rPr>
          <w:rFonts w:asciiTheme="majorHAnsi" w:hAnsiTheme="majorHAnsi"/>
          <w:lang w:val="en-US"/>
        </w:rPr>
        <w:t xml:space="preserve"> several WNT target genes that were aberrantly expressed, indicating that indeed differing expression of </w:t>
      </w:r>
      <w:r w:rsidR="007F4720" w:rsidRPr="007F4720">
        <w:rPr>
          <w:rFonts w:asciiTheme="majorHAnsi" w:hAnsiTheme="majorHAnsi"/>
          <w:i/>
          <w:lang w:val="en-US"/>
        </w:rPr>
        <w:t>SRCAP</w:t>
      </w:r>
      <w:r w:rsidR="007F4720">
        <w:rPr>
          <w:rFonts w:asciiTheme="majorHAnsi" w:hAnsiTheme="majorHAnsi"/>
          <w:lang w:val="en-US"/>
        </w:rPr>
        <w:t xml:space="preserve"> could have effects on WNT signaling and therefore be impacting on tumour progression through this pathway, much like what was found with p400 </w:t>
      </w:r>
      <w:r w:rsidR="007F4720">
        <w:rPr>
          <w:rFonts w:asciiTheme="majorHAnsi" w:hAnsiTheme="majorHAnsi"/>
          <w:lang w:val="en-US"/>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sidR="007F4720">
        <w:rPr>
          <w:rFonts w:asciiTheme="majorHAnsi" w:hAnsiTheme="majorHAnsi"/>
          <w:lang w:val="en-US"/>
        </w:rPr>
        <w:instrText xml:space="preserve"> ADDIN EN.CITE </w:instrText>
      </w:r>
      <w:r w:rsidR="007F4720">
        <w:rPr>
          <w:rFonts w:asciiTheme="majorHAnsi" w:hAnsiTheme="majorHAnsi"/>
          <w:lang w:val="en-US"/>
        </w:rPr>
        <w:fldChar w:fldCharType="begin">
          <w:fldData xml:space="preserve">PEVuZE5vdGU+PENpdGU+PEF1dGhvcj5DaGV2aWxsYXJkLUJyaWV0PC9BdXRob3I+PFllYXI+MjAx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</w:fldData>
        </w:fldChar>
      </w:r>
      <w:r w:rsidR="007F4720">
        <w:rPr>
          <w:rFonts w:asciiTheme="majorHAnsi" w:hAnsiTheme="majorHAnsi"/>
          <w:lang w:val="en-US"/>
        </w:rPr>
        <w:instrText xml:space="preserve"> ADDIN EN.CITE.DATA </w:instrText>
      </w:r>
      <w:r w:rsidR="007F4720">
        <w:rPr>
          <w:rFonts w:asciiTheme="majorHAnsi" w:hAnsiTheme="majorHAnsi"/>
          <w:lang w:val="en-US"/>
        </w:rPr>
      </w:r>
      <w:r w:rsidR="007F4720">
        <w:rPr>
          <w:rFonts w:asciiTheme="majorHAnsi" w:hAnsiTheme="majorHAnsi"/>
          <w:lang w:val="en-US"/>
        </w:rPr>
        <w:fldChar w:fldCharType="end"/>
      </w:r>
      <w:r w:rsidR="007F4720">
        <w:rPr>
          <w:rFonts w:asciiTheme="majorHAnsi" w:hAnsiTheme="majorHAnsi"/>
          <w:lang w:val="en-US"/>
        </w:rPr>
      </w:r>
      <w:r w:rsidR="007F4720">
        <w:rPr>
          <w:rFonts w:asciiTheme="majorHAnsi" w:hAnsiTheme="majorHAnsi"/>
          <w:lang w:val="en-US"/>
        </w:rPr>
        <w:fldChar w:fldCharType="separate"/>
      </w:r>
      <w:r w:rsidR="007F4720">
        <w:rPr>
          <w:rFonts w:asciiTheme="majorHAnsi" w:hAnsiTheme="majorHAnsi"/>
          <w:noProof/>
          <w:lang w:val="en-US"/>
        </w:rPr>
        <w:t>(Chevillard-Briet et al., 2014)</w:t>
      </w:r>
      <w:r w:rsidR="007F4720">
        <w:rPr>
          <w:rFonts w:asciiTheme="majorHAnsi" w:hAnsiTheme="majorHAnsi"/>
          <w:lang w:val="en-US"/>
        </w:rPr>
        <w:fldChar w:fldCharType="end"/>
      </w:r>
      <w:r w:rsidR="007F4720">
        <w:rPr>
          <w:rFonts w:asciiTheme="majorHAnsi" w:hAnsiTheme="majorHAnsi"/>
          <w:lang w:val="en-US"/>
        </w:rPr>
        <w:t>. However, further analysis would need to be co</w:t>
      </w:r>
      <w:r w:rsidR="00581C53">
        <w:rPr>
          <w:rFonts w:asciiTheme="majorHAnsi" w:hAnsiTheme="majorHAnsi"/>
          <w:lang w:val="en-US"/>
        </w:rPr>
        <w:t xml:space="preserve">nducted, as this was only a preliminary </w:t>
      </w:r>
      <w:r w:rsidR="007F4720">
        <w:rPr>
          <w:rFonts w:asciiTheme="majorHAnsi" w:hAnsiTheme="majorHAnsi"/>
          <w:lang w:val="en-US"/>
        </w:rPr>
        <w:t xml:space="preserve">data </w:t>
      </w:r>
      <w:r w:rsidR="00581C53">
        <w:rPr>
          <w:rFonts w:asciiTheme="majorHAnsi" w:hAnsiTheme="majorHAnsi"/>
          <w:lang w:val="en-US"/>
        </w:rPr>
        <w:t>analysis</w:t>
      </w:r>
      <w:r w:rsidR="007F4720">
        <w:rPr>
          <w:rFonts w:asciiTheme="majorHAnsi" w:hAnsiTheme="majorHAnsi"/>
          <w:lang w:val="en-US"/>
        </w:rPr>
        <w:t xml:space="preserve">. </w:t>
      </w:r>
    </w:p>
    <w:p w14:paraId="7335E85C" w14:textId="77777777" w:rsidR="009E5ABB" w:rsidRDefault="009E5ABB" w:rsidP="00FE2A62">
      <w:pPr>
        <w:spacing w:line="360" w:lineRule="auto"/>
        <w:jc w:val="both"/>
        <w:rPr>
          <w:rFonts w:asciiTheme="majorHAnsi" w:hAnsiTheme="majorHAnsi"/>
          <w:u w:val="single"/>
          <w:lang w:val="en-US"/>
        </w:rPr>
      </w:pPr>
    </w:p>
    <w:p w14:paraId="68D661E1" w14:textId="44E67E2A" w:rsidR="00ED434D" w:rsidRDefault="00ED434D" w:rsidP="00FE2A62">
      <w:pPr>
        <w:spacing w:line="360" w:lineRule="auto"/>
        <w:jc w:val="both"/>
        <w:rPr>
          <w:rFonts w:asciiTheme="majorHAnsi" w:hAnsiTheme="majorHAnsi"/>
          <w:u w:val="single"/>
          <w:lang w:val="en-US"/>
        </w:rPr>
      </w:pPr>
      <w:r>
        <w:rPr>
          <w:rFonts w:asciiTheme="majorHAnsi" w:hAnsiTheme="majorHAnsi"/>
          <w:u w:val="single"/>
          <w:lang w:val="en-US"/>
        </w:rPr>
        <w:t xml:space="preserve">7.6 Strengths and Limitations </w:t>
      </w:r>
    </w:p>
    <w:p w14:paraId="6A4D8DB8" w14:textId="77777777" w:rsidR="009E5ABB" w:rsidRDefault="009E5ABB" w:rsidP="00FE2A62">
      <w:pPr>
        <w:spacing w:line="360" w:lineRule="auto"/>
        <w:jc w:val="both"/>
        <w:rPr>
          <w:rFonts w:asciiTheme="majorHAnsi" w:hAnsiTheme="majorHAnsi"/>
          <w:u w:val="single"/>
          <w:lang w:val="en-US"/>
        </w:rPr>
      </w:pPr>
    </w:p>
    <w:p w14:paraId="3C42BAF7" w14:textId="003BC526" w:rsidR="009E5ABB" w:rsidRDefault="009E5ABB" w:rsidP="00FE2A62">
      <w:pPr>
        <w:spacing w:line="360" w:lineRule="auto"/>
        <w:jc w:val="both"/>
        <w:rPr>
          <w:rFonts w:asciiTheme="majorHAnsi" w:hAnsiTheme="majorHAnsi"/>
          <w:lang w:val="en-US"/>
        </w:rPr>
      </w:pPr>
      <w:r>
        <w:rPr>
          <w:rFonts w:asciiTheme="majorHAnsi" w:hAnsiTheme="majorHAnsi"/>
          <w:lang w:val="en-US"/>
        </w:rPr>
        <w:t>The strengths of the project in</w:t>
      </w:r>
      <w:r w:rsidR="004A1A08">
        <w:rPr>
          <w:rFonts w:asciiTheme="majorHAnsi" w:hAnsiTheme="majorHAnsi"/>
          <w:lang w:val="en-US"/>
        </w:rPr>
        <w:t xml:space="preserve">clude setting up a robust </w:t>
      </w:r>
      <w:r w:rsidR="004A1A08" w:rsidRPr="004A1A08">
        <w:rPr>
          <w:rFonts w:asciiTheme="majorHAnsi" w:hAnsiTheme="majorHAnsi"/>
          <w:i/>
          <w:lang w:val="en-US"/>
        </w:rPr>
        <w:t>SRCAP</w:t>
      </w:r>
      <w:r w:rsidR="004A1A08">
        <w:rPr>
          <w:rFonts w:asciiTheme="majorHAnsi" w:hAnsiTheme="majorHAnsi"/>
          <w:lang w:val="en-US"/>
        </w:rPr>
        <w:t xml:space="preserve"> knock</w:t>
      </w:r>
      <w:r>
        <w:rPr>
          <w:rFonts w:asciiTheme="majorHAnsi" w:hAnsiTheme="majorHAnsi"/>
          <w:lang w:val="en-US"/>
        </w:rPr>
        <w:t xml:space="preserve">down model in </w:t>
      </w:r>
      <w:r w:rsidR="004A1A08">
        <w:rPr>
          <w:rFonts w:asciiTheme="majorHAnsi" w:hAnsiTheme="majorHAnsi"/>
          <w:lang w:val="en-US"/>
        </w:rPr>
        <w:t xml:space="preserve">two </w:t>
      </w:r>
      <w:r>
        <w:rPr>
          <w:rFonts w:asciiTheme="majorHAnsi" w:hAnsiTheme="majorHAnsi"/>
          <w:lang w:val="en-US"/>
        </w:rPr>
        <w:t>CRC cancer cell lines</w:t>
      </w:r>
      <w:r w:rsidR="004A1A08">
        <w:rPr>
          <w:rFonts w:asciiTheme="majorHAnsi" w:hAnsiTheme="majorHAnsi"/>
          <w:lang w:val="en-US"/>
        </w:rPr>
        <w:t xml:space="preserve">, and showing how this depletion of </w:t>
      </w:r>
      <w:r w:rsidR="004A1A08">
        <w:rPr>
          <w:rFonts w:asciiTheme="majorHAnsi" w:hAnsiTheme="majorHAnsi"/>
          <w:i/>
          <w:lang w:val="en-US"/>
        </w:rPr>
        <w:t xml:space="preserve">SRCAP </w:t>
      </w:r>
      <w:r w:rsidR="00581C53">
        <w:rPr>
          <w:rFonts w:asciiTheme="majorHAnsi" w:hAnsiTheme="majorHAnsi"/>
          <w:lang w:val="en-US"/>
        </w:rPr>
        <w:t>increased</w:t>
      </w:r>
      <w:r w:rsidR="004A1A08">
        <w:rPr>
          <w:rFonts w:asciiTheme="majorHAnsi" w:hAnsiTheme="majorHAnsi"/>
          <w:lang w:val="en-US"/>
        </w:rPr>
        <w:t xml:space="preserve"> genomic instability, </w:t>
      </w:r>
      <w:r w:rsidR="00581C53">
        <w:rPr>
          <w:rFonts w:asciiTheme="majorHAnsi" w:hAnsiTheme="majorHAnsi"/>
          <w:lang w:val="en-US"/>
        </w:rPr>
        <w:t xml:space="preserve">and </w:t>
      </w:r>
      <w:r w:rsidR="004A1A08">
        <w:rPr>
          <w:rFonts w:asciiTheme="majorHAnsi" w:hAnsiTheme="majorHAnsi"/>
          <w:lang w:val="en-US"/>
        </w:rPr>
        <w:t>had effects on</w:t>
      </w:r>
      <w:r w:rsidR="00581C53">
        <w:rPr>
          <w:rFonts w:asciiTheme="majorHAnsi" w:hAnsiTheme="majorHAnsi"/>
          <w:lang w:val="en-US"/>
        </w:rPr>
        <w:t xml:space="preserve"> cell growth and cell cycle</w:t>
      </w:r>
      <w:r w:rsidR="004A1A08">
        <w:rPr>
          <w:rFonts w:asciiTheme="majorHAnsi" w:hAnsiTheme="majorHAnsi"/>
          <w:lang w:val="en-US"/>
        </w:rPr>
        <w:t xml:space="preserve">. These results corroborate the results found by other groups in different cell lines </w:t>
      </w:r>
      <w:r w:rsidR="004A1A08">
        <w:rPr>
          <w:rFonts w:asciiTheme="majorHAnsi" w:hAnsiTheme="majorHAnsi"/>
          <w:lang w:val="en-US"/>
        </w:rPr>
        <w:fldChar w:fldCharType="begin">
          <w:fldData xml:space="preserve">PEVuZE5vdGU+PENpdGU+PEF1dGhvcj5Eb25nPC9BdXRob3I+PFllYXI+MjAxNDwvWWVhcj48SURU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==
</w:fldData>
        </w:fldChar>
      </w:r>
      <w:r w:rsidR="00AD6C58">
        <w:rPr>
          <w:rFonts w:asciiTheme="majorHAnsi" w:hAnsiTheme="majorHAnsi"/>
          <w:lang w:val="en-US"/>
        </w:rPr>
        <w:instrText xml:space="preserve"> ADDIN EN.CITE </w:instrText>
      </w:r>
      <w:r w:rsidR="00AD6C58">
        <w:rPr>
          <w:rFonts w:asciiTheme="majorHAnsi" w:hAnsiTheme="majorHAnsi"/>
          <w:lang w:val="en-US"/>
        </w:rPr>
        <w:fldChar w:fldCharType="begin">
          <w:fldData xml:space="preserve">PEVuZE5vdGU+PENpdGU+PEF1dGhvcj5Eb25nPC9BdXRob3I+PFllYXI+MjAxNDwvWWVhcj48SURU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==
</w:fldData>
        </w:fldChar>
      </w:r>
      <w:r w:rsidR="00AD6C58">
        <w:rPr>
          <w:rFonts w:asciiTheme="majorHAnsi" w:hAnsiTheme="majorHAnsi"/>
          <w:lang w:val="en-US"/>
        </w:rPr>
        <w:instrText xml:space="preserve"> ADDIN EN.CITE.DATA </w:instrText>
      </w:r>
      <w:r w:rsidR="00AD6C58">
        <w:rPr>
          <w:rFonts w:asciiTheme="majorHAnsi" w:hAnsiTheme="majorHAnsi"/>
          <w:lang w:val="en-US"/>
        </w:rPr>
      </w:r>
      <w:r w:rsidR="00AD6C58">
        <w:rPr>
          <w:rFonts w:asciiTheme="majorHAnsi" w:hAnsiTheme="majorHAnsi"/>
          <w:lang w:val="en-US"/>
        </w:rPr>
        <w:fldChar w:fldCharType="end"/>
      </w:r>
      <w:r w:rsidR="004A1A08">
        <w:rPr>
          <w:rFonts w:asciiTheme="majorHAnsi" w:hAnsiTheme="majorHAnsi"/>
          <w:lang w:val="en-US"/>
        </w:rPr>
      </w:r>
      <w:r w:rsidR="004A1A08">
        <w:rPr>
          <w:rFonts w:asciiTheme="majorHAnsi" w:hAnsiTheme="majorHAnsi"/>
          <w:lang w:val="en-US"/>
        </w:rPr>
        <w:fldChar w:fldCharType="separate"/>
      </w:r>
      <w:r w:rsidR="00AD6C58">
        <w:rPr>
          <w:rFonts w:asciiTheme="majorHAnsi" w:hAnsiTheme="majorHAnsi"/>
          <w:noProof/>
          <w:lang w:val="en-US"/>
        </w:rPr>
        <w:t>(Dong et al., 2014, Slupianek et al., 2010)</w:t>
      </w:r>
      <w:r w:rsidR="004A1A08">
        <w:rPr>
          <w:rFonts w:asciiTheme="majorHAnsi" w:hAnsiTheme="majorHAnsi"/>
          <w:lang w:val="en-US"/>
        </w:rPr>
        <w:fldChar w:fldCharType="end"/>
      </w:r>
      <w:r w:rsidR="00AD6C58">
        <w:rPr>
          <w:rFonts w:asciiTheme="majorHAnsi" w:hAnsiTheme="majorHAnsi"/>
          <w:lang w:val="en-US"/>
        </w:rPr>
        <w:t xml:space="preserve">. This knockdown was also conducted in a normal </w:t>
      </w:r>
      <w:r w:rsidR="00514E7D">
        <w:rPr>
          <w:rFonts w:asciiTheme="majorHAnsi" w:hAnsiTheme="majorHAnsi"/>
          <w:lang w:val="en-US"/>
        </w:rPr>
        <w:t>fibroblast</w:t>
      </w:r>
      <w:r w:rsidR="00AD6C58">
        <w:rPr>
          <w:rFonts w:asciiTheme="majorHAnsi" w:hAnsiTheme="majorHAnsi"/>
          <w:lang w:val="en-US"/>
        </w:rPr>
        <w:t xml:space="preserve"> cell line and </w:t>
      </w:r>
      <w:r w:rsidR="00581C53">
        <w:rPr>
          <w:rFonts w:asciiTheme="majorHAnsi" w:hAnsiTheme="majorHAnsi"/>
          <w:lang w:val="en-US"/>
        </w:rPr>
        <w:t>resulted in</w:t>
      </w:r>
      <w:r w:rsidR="00AD6C58">
        <w:rPr>
          <w:rFonts w:asciiTheme="majorHAnsi" w:hAnsiTheme="majorHAnsi"/>
          <w:lang w:val="en-US"/>
        </w:rPr>
        <w:t xml:space="preserve"> increased nuclea</w:t>
      </w:r>
      <w:r w:rsidR="009A7F91">
        <w:rPr>
          <w:rFonts w:asciiTheme="majorHAnsi" w:hAnsiTheme="majorHAnsi"/>
          <w:lang w:val="en-US"/>
        </w:rPr>
        <w:t>r abnormalities;</w:t>
      </w:r>
      <w:r w:rsidR="00AD6C58">
        <w:rPr>
          <w:rFonts w:asciiTheme="majorHAnsi" w:hAnsiTheme="majorHAnsi"/>
          <w:lang w:val="en-US"/>
        </w:rPr>
        <w:t xml:space="preserve"> </w:t>
      </w:r>
      <w:r w:rsidR="009A7F91">
        <w:rPr>
          <w:rFonts w:asciiTheme="majorHAnsi" w:hAnsiTheme="majorHAnsi"/>
          <w:lang w:val="en-US"/>
        </w:rPr>
        <w:t>a phenomenon</w:t>
      </w:r>
      <w:r w:rsidR="00AD6C58">
        <w:rPr>
          <w:rFonts w:asciiTheme="majorHAnsi" w:hAnsiTheme="majorHAnsi"/>
          <w:lang w:val="en-US"/>
        </w:rPr>
        <w:t xml:space="preserve"> that has not been </w:t>
      </w:r>
      <w:r w:rsidR="009A7F91">
        <w:rPr>
          <w:rFonts w:asciiTheme="majorHAnsi" w:hAnsiTheme="majorHAnsi"/>
          <w:lang w:val="en-US"/>
        </w:rPr>
        <w:t>reported</w:t>
      </w:r>
      <w:r w:rsidR="00AD6C58">
        <w:rPr>
          <w:rFonts w:asciiTheme="majorHAnsi" w:hAnsiTheme="majorHAnsi"/>
          <w:lang w:val="en-US"/>
        </w:rPr>
        <w:t xml:space="preserve"> in </w:t>
      </w:r>
      <w:r w:rsidR="009A7F91">
        <w:rPr>
          <w:rFonts w:asciiTheme="majorHAnsi" w:hAnsiTheme="majorHAnsi"/>
          <w:lang w:val="en-US"/>
        </w:rPr>
        <w:t xml:space="preserve">previously </w:t>
      </w:r>
      <w:r w:rsidR="00AD6C58">
        <w:rPr>
          <w:rFonts w:asciiTheme="majorHAnsi" w:hAnsiTheme="majorHAnsi"/>
          <w:lang w:val="en-US"/>
        </w:rPr>
        <w:t xml:space="preserve">published </w:t>
      </w:r>
      <w:r w:rsidR="00AD6C58" w:rsidRPr="00AD6C58">
        <w:rPr>
          <w:rFonts w:asciiTheme="majorHAnsi" w:hAnsiTheme="majorHAnsi"/>
          <w:i/>
          <w:lang w:val="en-US"/>
        </w:rPr>
        <w:t>SRCAP</w:t>
      </w:r>
      <w:r w:rsidR="00AD6C58">
        <w:rPr>
          <w:rFonts w:asciiTheme="majorHAnsi" w:hAnsiTheme="majorHAnsi"/>
          <w:lang w:val="en-US"/>
        </w:rPr>
        <w:t xml:space="preserve"> data. A further strength is that the knockdown of </w:t>
      </w:r>
      <w:r w:rsidR="00AD6C58" w:rsidRPr="00AD6C58">
        <w:rPr>
          <w:rFonts w:asciiTheme="majorHAnsi" w:hAnsiTheme="majorHAnsi"/>
          <w:i/>
          <w:lang w:val="en-US"/>
        </w:rPr>
        <w:t>SRCAP</w:t>
      </w:r>
      <w:r w:rsidR="00AD6C58">
        <w:rPr>
          <w:rFonts w:asciiTheme="majorHAnsi" w:hAnsiTheme="majorHAnsi"/>
          <w:i/>
          <w:lang w:val="en-US"/>
        </w:rPr>
        <w:t xml:space="preserve"> </w:t>
      </w:r>
      <w:r w:rsidR="00AD6C58">
        <w:rPr>
          <w:rFonts w:asciiTheme="majorHAnsi" w:hAnsiTheme="majorHAnsi"/>
          <w:lang w:val="en-US"/>
        </w:rPr>
        <w:t>in HCT116 cells appear</w:t>
      </w:r>
      <w:r w:rsidR="001B3C87">
        <w:rPr>
          <w:rFonts w:asciiTheme="majorHAnsi" w:hAnsiTheme="majorHAnsi"/>
          <w:lang w:val="en-US"/>
        </w:rPr>
        <w:t>s</w:t>
      </w:r>
      <w:r w:rsidR="00AD6C58">
        <w:rPr>
          <w:rFonts w:asciiTheme="majorHAnsi" w:hAnsiTheme="majorHAnsi"/>
          <w:lang w:val="en-US"/>
        </w:rPr>
        <w:t xml:space="preserve"> to sensitize to clinically used CRC treatments, and so could provide the starting point for further studies into how </w:t>
      </w:r>
      <w:r w:rsidR="00581C53">
        <w:rPr>
          <w:rFonts w:asciiTheme="majorHAnsi" w:hAnsiTheme="majorHAnsi"/>
          <w:lang w:val="en-US"/>
        </w:rPr>
        <w:t>SRCAP could be a novel drug</w:t>
      </w:r>
      <w:r w:rsidR="00AD6C58">
        <w:rPr>
          <w:rFonts w:asciiTheme="majorHAnsi" w:hAnsiTheme="majorHAnsi"/>
          <w:lang w:val="en-US"/>
        </w:rPr>
        <w:t xml:space="preserve"> target. </w:t>
      </w:r>
      <w:r w:rsidR="00D6224B">
        <w:rPr>
          <w:rFonts w:asciiTheme="majorHAnsi" w:hAnsiTheme="majorHAnsi"/>
          <w:lang w:val="en-US"/>
        </w:rPr>
        <w:t xml:space="preserve">We were also able to create a pure and sterile SRCAP over-expressing population of cells that were able to go back into culture and continue growing after FACS, and this provided the resources needed to conduct the </w:t>
      </w:r>
      <w:r w:rsidR="00AD6C58">
        <w:rPr>
          <w:rFonts w:asciiTheme="majorHAnsi" w:hAnsiTheme="majorHAnsi"/>
          <w:lang w:val="en-US"/>
        </w:rPr>
        <w:t>RNA microarray</w:t>
      </w:r>
      <w:r w:rsidR="00D6224B">
        <w:rPr>
          <w:rFonts w:asciiTheme="majorHAnsi" w:hAnsiTheme="majorHAnsi"/>
          <w:lang w:val="en-US"/>
        </w:rPr>
        <w:t>. The</w:t>
      </w:r>
      <w:r w:rsidR="00AD6C58">
        <w:rPr>
          <w:rFonts w:asciiTheme="majorHAnsi" w:hAnsiTheme="majorHAnsi"/>
          <w:lang w:val="en-US"/>
        </w:rPr>
        <w:t xml:space="preserve"> results</w:t>
      </w:r>
      <w:r w:rsidR="00D6224B">
        <w:rPr>
          <w:rFonts w:asciiTheme="majorHAnsi" w:hAnsiTheme="majorHAnsi"/>
          <w:lang w:val="en-US"/>
        </w:rPr>
        <w:t xml:space="preserve"> of which</w:t>
      </w:r>
      <w:r w:rsidR="00AD6C58">
        <w:rPr>
          <w:rFonts w:asciiTheme="majorHAnsi" w:hAnsiTheme="majorHAnsi"/>
          <w:lang w:val="en-US"/>
        </w:rPr>
        <w:t>, although preliminary, can now go on to possibly create new projects for future work.</w:t>
      </w:r>
    </w:p>
    <w:p w14:paraId="51FD13F6" w14:textId="77777777" w:rsidR="00AD6C58" w:rsidRDefault="00AD6C58" w:rsidP="00FE2A62">
      <w:pPr>
        <w:spacing w:line="360" w:lineRule="auto"/>
        <w:jc w:val="both"/>
        <w:rPr>
          <w:rFonts w:asciiTheme="majorHAnsi" w:hAnsiTheme="majorHAnsi"/>
          <w:lang w:val="en-US"/>
        </w:rPr>
      </w:pPr>
    </w:p>
    <w:p w14:paraId="413726DB" w14:textId="522E81D7" w:rsidR="00AD6C58" w:rsidRPr="001B3C87" w:rsidRDefault="00AD6C58" w:rsidP="00FE2A62">
      <w:pPr>
        <w:spacing w:line="360" w:lineRule="auto"/>
        <w:jc w:val="both"/>
        <w:rPr>
          <w:rFonts w:asciiTheme="majorHAnsi" w:hAnsiTheme="majorHAnsi"/>
          <w:i/>
          <w:lang w:val="en-US"/>
        </w:rPr>
      </w:pPr>
      <w:r>
        <w:rPr>
          <w:rFonts w:asciiTheme="majorHAnsi" w:hAnsiTheme="majorHAnsi"/>
          <w:lang w:val="en-US"/>
        </w:rPr>
        <w:t xml:space="preserve">The limitations to this project would include not being able to show stable over-expression of </w:t>
      </w:r>
      <w:r w:rsidRPr="00AD6C58">
        <w:rPr>
          <w:rFonts w:asciiTheme="majorHAnsi" w:hAnsiTheme="majorHAnsi"/>
          <w:i/>
          <w:lang w:val="en-US"/>
        </w:rPr>
        <w:t>SRCAP</w:t>
      </w:r>
      <w:r>
        <w:rPr>
          <w:rFonts w:asciiTheme="majorHAnsi" w:hAnsiTheme="majorHAnsi"/>
          <w:lang w:val="en-US"/>
        </w:rPr>
        <w:t xml:space="preserve"> over a long period of time</w:t>
      </w:r>
      <w:r w:rsidR="00581C53">
        <w:rPr>
          <w:rFonts w:asciiTheme="majorHAnsi" w:hAnsiTheme="majorHAnsi"/>
          <w:lang w:val="en-US"/>
        </w:rPr>
        <w:t>,</w:t>
      </w:r>
      <w:r>
        <w:rPr>
          <w:rFonts w:asciiTheme="majorHAnsi" w:hAnsiTheme="majorHAnsi"/>
          <w:lang w:val="en-US"/>
        </w:rPr>
        <w:t xml:space="preserve"> and therefore </w:t>
      </w:r>
      <w:r w:rsidR="00581C53">
        <w:rPr>
          <w:rFonts w:asciiTheme="majorHAnsi" w:hAnsiTheme="majorHAnsi"/>
          <w:lang w:val="en-US"/>
        </w:rPr>
        <w:t xml:space="preserve">an inability to </w:t>
      </w:r>
      <w:r>
        <w:rPr>
          <w:rFonts w:asciiTheme="majorHAnsi" w:hAnsiTheme="majorHAnsi"/>
          <w:lang w:val="en-US"/>
        </w:rPr>
        <w:t xml:space="preserve">look at the effects that </w:t>
      </w:r>
      <w:r w:rsidR="001C10CB">
        <w:rPr>
          <w:rFonts w:asciiTheme="majorHAnsi" w:hAnsiTheme="majorHAnsi"/>
          <w:lang w:val="en-US"/>
        </w:rPr>
        <w:t xml:space="preserve">this has on cellular functioning. Due to </w:t>
      </w:r>
      <w:r w:rsidR="001C10CB" w:rsidRPr="001B3C87">
        <w:rPr>
          <w:rFonts w:asciiTheme="majorHAnsi" w:hAnsiTheme="majorHAnsi"/>
          <w:i/>
          <w:lang w:val="en-US"/>
        </w:rPr>
        <w:t>SRCAP</w:t>
      </w:r>
      <w:r w:rsidR="001C10CB">
        <w:rPr>
          <w:rFonts w:asciiTheme="majorHAnsi" w:hAnsiTheme="majorHAnsi"/>
          <w:lang w:val="en-US"/>
        </w:rPr>
        <w:t xml:space="preserve"> being over-expressed in a variety of different cancers </w:t>
      </w:r>
      <w:r w:rsidR="006F3308">
        <w:rPr>
          <w:rFonts w:asciiTheme="majorHAnsi" w:hAnsiTheme="majorHAnsi"/>
          <w:lang w:val="en-US"/>
        </w:rPr>
        <w:fldChar w:fldCharType="begin">
          <w:fldData xml:space="preserve">PEVuZE5vdGU+PENpdGU+PEF1dGhvcj5TYW50aW48L0F1dGhvcj48WWVhcj4yMDA0PC9ZZWFyPjxJ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</w:fldData>
        </w:fldChar>
      </w:r>
      <w:r w:rsidR="006F3308">
        <w:rPr>
          <w:rFonts w:asciiTheme="majorHAnsi" w:hAnsiTheme="majorHAnsi"/>
          <w:lang w:val="en-US"/>
        </w:rPr>
        <w:instrText xml:space="preserve"> ADDIN EN.CITE </w:instrText>
      </w:r>
      <w:r w:rsidR="006F3308">
        <w:rPr>
          <w:rFonts w:asciiTheme="majorHAnsi" w:hAnsiTheme="majorHAnsi"/>
          <w:lang w:val="en-US"/>
        </w:rPr>
        <w:fldChar w:fldCharType="begin">
          <w:fldData xml:space="preserve">PEVuZE5vdGU+PENpdGU+PEF1dGhvcj5TYW50aW48L0F1dGhvcj48WWVhcj4yMDA0PC9ZZWFyPjxJ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</w:fldData>
        </w:fldChar>
      </w:r>
      <w:r w:rsidR="006F3308">
        <w:rPr>
          <w:rFonts w:asciiTheme="majorHAnsi" w:hAnsiTheme="majorHAnsi"/>
          <w:lang w:val="en-US"/>
        </w:rPr>
        <w:instrText xml:space="preserve"> ADDIN EN.CITE.DATA </w:instrText>
      </w:r>
      <w:r w:rsidR="006F3308">
        <w:rPr>
          <w:rFonts w:asciiTheme="majorHAnsi" w:hAnsiTheme="majorHAnsi"/>
          <w:lang w:val="en-US"/>
        </w:rPr>
      </w:r>
      <w:r w:rsidR="006F3308">
        <w:rPr>
          <w:rFonts w:asciiTheme="majorHAnsi" w:hAnsiTheme="majorHAnsi"/>
          <w:lang w:val="en-US"/>
        </w:rPr>
        <w:fldChar w:fldCharType="end"/>
      </w:r>
      <w:r w:rsidR="006F3308">
        <w:rPr>
          <w:rFonts w:asciiTheme="majorHAnsi" w:hAnsiTheme="majorHAnsi"/>
          <w:lang w:val="en-US"/>
        </w:rPr>
      </w:r>
      <w:r w:rsidR="006F3308">
        <w:rPr>
          <w:rFonts w:asciiTheme="majorHAnsi" w:hAnsiTheme="majorHAnsi"/>
          <w:lang w:val="en-US"/>
        </w:rPr>
        <w:fldChar w:fldCharType="separate"/>
      </w:r>
      <w:r w:rsidR="006F3308">
        <w:rPr>
          <w:rFonts w:asciiTheme="majorHAnsi" w:hAnsiTheme="majorHAnsi"/>
          <w:noProof/>
          <w:lang w:val="en-US"/>
        </w:rPr>
        <w:t>(Santin et al., 2004, Zucchi et al., 2004)</w:t>
      </w:r>
      <w:r w:rsidR="006F3308">
        <w:rPr>
          <w:rFonts w:asciiTheme="majorHAnsi" w:hAnsiTheme="majorHAnsi"/>
          <w:lang w:val="en-US"/>
        </w:rPr>
        <w:fldChar w:fldCharType="end"/>
      </w:r>
      <w:r w:rsidR="006F3308">
        <w:rPr>
          <w:rFonts w:asciiTheme="majorHAnsi" w:hAnsiTheme="majorHAnsi"/>
          <w:lang w:val="en-US"/>
        </w:rPr>
        <w:t xml:space="preserve"> </w:t>
      </w:r>
      <w:r w:rsidR="001C10CB">
        <w:rPr>
          <w:rFonts w:asciiTheme="majorHAnsi" w:hAnsiTheme="majorHAnsi"/>
          <w:lang w:val="en-US"/>
        </w:rPr>
        <w:t>the fact</w:t>
      </w:r>
      <w:r w:rsidR="001B3C87">
        <w:rPr>
          <w:rFonts w:asciiTheme="majorHAnsi" w:hAnsiTheme="majorHAnsi"/>
          <w:lang w:val="en-US"/>
        </w:rPr>
        <w:t xml:space="preserve"> that</w:t>
      </w:r>
      <w:r w:rsidR="001C10CB">
        <w:rPr>
          <w:rFonts w:asciiTheme="majorHAnsi" w:hAnsiTheme="majorHAnsi"/>
          <w:lang w:val="en-US"/>
        </w:rPr>
        <w:t xml:space="preserve"> an over-expressing cell line model could not be robus</w:t>
      </w:r>
      <w:r w:rsidR="00581C53">
        <w:rPr>
          <w:rFonts w:asciiTheme="majorHAnsi" w:hAnsiTheme="majorHAnsi"/>
          <w:lang w:val="en-US"/>
        </w:rPr>
        <w:t>tly created was disappointing. H</w:t>
      </w:r>
      <w:r w:rsidR="001C10CB">
        <w:rPr>
          <w:rFonts w:asciiTheme="majorHAnsi" w:hAnsiTheme="majorHAnsi"/>
          <w:lang w:val="en-US"/>
        </w:rPr>
        <w:t>owever</w:t>
      </w:r>
      <w:r w:rsidR="00581C53">
        <w:rPr>
          <w:rFonts w:asciiTheme="majorHAnsi" w:hAnsiTheme="majorHAnsi"/>
          <w:lang w:val="en-US"/>
        </w:rPr>
        <w:t>,</w:t>
      </w:r>
      <w:r w:rsidR="001C10CB">
        <w:rPr>
          <w:rFonts w:asciiTheme="majorHAnsi" w:hAnsiTheme="majorHAnsi"/>
          <w:lang w:val="en-US"/>
        </w:rPr>
        <w:t xml:space="preserve"> the preliminary studies looking at the endogenous over-expression of </w:t>
      </w:r>
      <w:r w:rsidR="001C10CB" w:rsidRPr="001B3C87">
        <w:rPr>
          <w:rFonts w:asciiTheme="majorHAnsi" w:hAnsiTheme="majorHAnsi"/>
          <w:i/>
          <w:lang w:val="en-US"/>
        </w:rPr>
        <w:t>SRCAP</w:t>
      </w:r>
      <w:r w:rsidR="001C10CB">
        <w:rPr>
          <w:rFonts w:asciiTheme="majorHAnsi" w:hAnsiTheme="majorHAnsi"/>
          <w:lang w:val="en-US"/>
        </w:rPr>
        <w:t xml:space="preserve"> by </w:t>
      </w:r>
      <w:r w:rsidR="001B3C87">
        <w:rPr>
          <w:rFonts w:asciiTheme="majorHAnsi" w:hAnsiTheme="majorHAnsi"/>
          <w:lang w:val="en-US"/>
        </w:rPr>
        <w:t>a relatively new technique-CRISPR/dCas9-</w:t>
      </w:r>
      <w:r w:rsidR="001C10CB">
        <w:rPr>
          <w:rFonts w:asciiTheme="majorHAnsi" w:hAnsiTheme="majorHAnsi"/>
          <w:lang w:val="en-US"/>
        </w:rPr>
        <w:t>were promising</w:t>
      </w:r>
      <w:r w:rsidR="001B3C87">
        <w:rPr>
          <w:rFonts w:asciiTheme="majorHAnsi" w:hAnsiTheme="majorHAnsi"/>
          <w:lang w:val="en-US"/>
        </w:rPr>
        <w:t>,</w:t>
      </w:r>
      <w:r w:rsidR="001C10CB">
        <w:rPr>
          <w:rFonts w:asciiTheme="majorHAnsi" w:hAnsiTheme="majorHAnsi"/>
          <w:lang w:val="en-US"/>
        </w:rPr>
        <w:t xml:space="preserve"> </w:t>
      </w:r>
      <w:r w:rsidR="001B3C87">
        <w:rPr>
          <w:rFonts w:asciiTheme="majorHAnsi" w:hAnsiTheme="majorHAnsi"/>
          <w:lang w:val="en-US"/>
        </w:rPr>
        <w:t xml:space="preserve">as they created clones which expressed </w:t>
      </w:r>
      <w:r w:rsidR="001B3C87" w:rsidRPr="001B3C87">
        <w:rPr>
          <w:rFonts w:asciiTheme="majorHAnsi" w:hAnsiTheme="majorHAnsi"/>
          <w:i/>
          <w:lang w:val="en-US"/>
        </w:rPr>
        <w:t>SRCAP</w:t>
      </w:r>
      <w:r w:rsidR="001B3C87">
        <w:rPr>
          <w:rFonts w:asciiTheme="majorHAnsi" w:hAnsiTheme="majorHAnsi"/>
          <w:lang w:val="en-US"/>
        </w:rPr>
        <w:t xml:space="preserve"> at differing levels and could easily be </w:t>
      </w:r>
      <w:r w:rsidR="00581C53">
        <w:rPr>
          <w:rFonts w:asciiTheme="majorHAnsi" w:hAnsiTheme="majorHAnsi"/>
          <w:lang w:val="en-US"/>
        </w:rPr>
        <w:t>tested in</w:t>
      </w:r>
      <w:r w:rsidR="001B3C87">
        <w:rPr>
          <w:rFonts w:asciiTheme="majorHAnsi" w:hAnsiTheme="majorHAnsi"/>
          <w:lang w:val="en-US"/>
        </w:rPr>
        <w:t xml:space="preserve"> functional assays. However, the decrease in gene expression over time, and the subsequent lack of </w:t>
      </w:r>
      <w:r w:rsidR="00581C53">
        <w:rPr>
          <w:rFonts w:asciiTheme="majorHAnsi" w:hAnsiTheme="majorHAnsi"/>
          <w:lang w:val="en-US"/>
        </w:rPr>
        <w:t>ability</w:t>
      </w:r>
      <w:r w:rsidR="001B3C87">
        <w:rPr>
          <w:rFonts w:asciiTheme="majorHAnsi" w:hAnsiTheme="majorHAnsi"/>
          <w:lang w:val="en-US"/>
        </w:rPr>
        <w:t xml:space="preserve"> to recreate these clones was a weakness that would require further investigation. Another limitation to the study was the lack of commercially available antibodies, and therefore SRCAP protein expression was not shown for the knockdown models and the over-expression data was not conclusively consistent. It would have been beneficial if we could have sourced an antibody from a laboratory that had previously published with it or could have made our own. </w:t>
      </w:r>
      <w:r w:rsidR="00FC1F12" w:rsidRPr="00E83A72">
        <w:rPr>
          <w:rFonts w:asciiTheme="majorHAnsi" w:hAnsiTheme="majorHAnsi"/>
          <w:lang w:val="en-US"/>
        </w:rPr>
        <w:t xml:space="preserve">Due to only using SRCAP mRNA as a measure of expression levels, there was also a limitation with using 18S as the housekeeping gene. 18S was used due </w:t>
      </w:r>
      <w:r w:rsidR="00754A9C" w:rsidRPr="00E83A72">
        <w:rPr>
          <w:rFonts w:asciiTheme="majorHAnsi" w:hAnsiTheme="majorHAnsi"/>
          <w:lang w:val="en-US"/>
        </w:rPr>
        <w:t>to</w:t>
      </w:r>
      <w:r w:rsidR="00FC1F12" w:rsidRPr="00E83A72">
        <w:rPr>
          <w:rFonts w:asciiTheme="majorHAnsi" w:hAnsiTheme="majorHAnsi"/>
          <w:lang w:val="en-US"/>
        </w:rPr>
        <w:t xml:space="preserve"> previous validation within the laboratory and because in initial experiments the Ct values for 18S did not differ when SRCAP was knocked down compared to control transfection. However, although this does suggest that 18S levels</w:t>
      </w:r>
      <w:r w:rsidR="00754A9C" w:rsidRPr="00E83A72">
        <w:rPr>
          <w:rFonts w:asciiTheme="majorHAnsi" w:hAnsiTheme="majorHAnsi"/>
          <w:lang w:val="en-US"/>
        </w:rPr>
        <w:t xml:space="preserve"> remained constant</w:t>
      </w:r>
      <w:r w:rsidR="006A3818" w:rsidRPr="00E83A72">
        <w:rPr>
          <w:rFonts w:asciiTheme="majorHAnsi" w:hAnsiTheme="majorHAnsi"/>
          <w:lang w:val="en-US"/>
        </w:rPr>
        <w:t>,</w:t>
      </w:r>
      <w:r w:rsidR="00754A9C" w:rsidRPr="00E83A72">
        <w:rPr>
          <w:rFonts w:asciiTheme="majorHAnsi" w:hAnsiTheme="majorHAnsi"/>
          <w:lang w:val="en-US"/>
        </w:rPr>
        <w:t xml:space="preserve"> it would have been useful to test a panel of housekeeping genes such as GAPDH, to determine which would </w:t>
      </w:r>
      <w:r w:rsidR="006A3818" w:rsidRPr="00E83A72">
        <w:rPr>
          <w:rFonts w:asciiTheme="majorHAnsi" w:hAnsiTheme="majorHAnsi"/>
          <w:lang w:val="en-US"/>
        </w:rPr>
        <w:t>be the optimal stably expressed</w:t>
      </w:r>
      <w:r w:rsidR="00754A9C" w:rsidRPr="00E83A72">
        <w:rPr>
          <w:rFonts w:asciiTheme="majorHAnsi" w:hAnsiTheme="majorHAnsi"/>
          <w:lang w:val="en-US"/>
        </w:rPr>
        <w:t xml:space="preserve"> for use in these cell lines and with varying the SRCAP expression levels within the cells.</w:t>
      </w:r>
      <w:r w:rsidR="00FC1F12" w:rsidRPr="00E83A72">
        <w:rPr>
          <w:rFonts w:asciiTheme="majorHAnsi" w:hAnsiTheme="majorHAnsi"/>
          <w:lang w:val="en-US"/>
        </w:rPr>
        <w:t xml:space="preserve"> </w:t>
      </w:r>
      <w:r w:rsidR="009A7F91" w:rsidRPr="00E83A72">
        <w:rPr>
          <w:rFonts w:asciiTheme="majorHAnsi" w:hAnsiTheme="majorHAnsi"/>
          <w:lang w:val="en-US"/>
        </w:rPr>
        <w:t>F</w:t>
      </w:r>
      <w:r w:rsidR="001B3C87" w:rsidRPr="00E83A72">
        <w:rPr>
          <w:rFonts w:asciiTheme="majorHAnsi" w:hAnsiTheme="majorHAnsi"/>
          <w:lang w:val="en-US"/>
        </w:rPr>
        <w:t>inally</w:t>
      </w:r>
      <w:r w:rsidR="00D6224B" w:rsidRPr="00E83A72">
        <w:rPr>
          <w:rFonts w:asciiTheme="majorHAnsi" w:hAnsiTheme="majorHAnsi"/>
          <w:lang w:val="en-US"/>
        </w:rPr>
        <w:t xml:space="preserve"> there was a limitation towards not showing</w:t>
      </w:r>
      <w:r w:rsidR="001B3C87" w:rsidRPr="00E83A72">
        <w:rPr>
          <w:rFonts w:asciiTheme="majorHAnsi" w:hAnsiTheme="majorHAnsi"/>
          <w:lang w:val="en-US"/>
        </w:rPr>
        <w:t xml:space="preserve"> differing levels of the </w:t>
      </w:r>
      <w:r w:rsidR="001B3C87" w:rsidRPr="00E83A72">
        <w:rPr>
          <w:rFonts w:asciiTheme="majorHAnsi" w:hAnsiTheme="majorHAnsi"/>
          <w:i/>
          <w:lang w:val="en-US"/>
        </w:rPr>
        <w:t>SRCAP</w:t>
      </w:r>
      <w:r w:rsidR="00D6224B" w:rsidRPr="00E83A72">
        <w:rPr>
          <w:rFonts w:asciiTheme="majorHAnsi" w:hAnsiTheme="majorHAnsi"/>
          <w:lang w:val="en-US"/>
        </w:rPr>
        <w:t xml:space="preserve"> gene in a </w:t>
      </w:r>
      <w:r w:rsidR="00514E7D" w:rsidRPr="00E83A72">
        <w:rPr>
          <w:rFonts w:asciiTheme="majorHAnsi" w:hAnsiTheme="majorHAnsi"/>
          <w:lang w:val="en-US"/>
        </w:rPr>
        <w:t>non-tumourigenic</w:t>
      </w:r>
      <w:r w:rsidR="00D6224B" w:rsidRPr="00E83A72">
        <w:rPr>
          <w:rFonts w:asciiTheme="majorHAnsi" w:hAnsiTheme="majorHAnsi"/>
          <w:lang w:val="en-US"/>
        </w:rPr>
        <w:t xml:space="preserve"> colorectal cell line</w:t>
      </w:r>
      <w:r w:rsidR="00514E7D" w:rsidRPr="00E83A72">
        <w:rPr>
          <w:rFonts w:asciiTheme="majorHAnsi" w:hAnsiTheme="majorHAnsi"/>
          <w:lang w:val="en-US"/>
        </w:rPr>
        <w:t xml:space="preserve"> (such as FHC</w:t>
      </w:r>
      <w:bookmarkStart w:id="0" w:name="_GoBack"/>
      <w:bookmarkEnd w:id="0"/>
      <w:r w:rsidR="00514E7D">
        <w:rPr>
          <w:rFonts w:asciiTheme="majorHAnsi" w:hAnsiTheme="majorHAnsi"/>
          <w:lang w:val="en-US"/>
        </w:rPr>
        <w:t xml:space="preserve"> colon epithelial cells, or CCD-33Co colon fibroblast cells)</w:t>
      </w:r>
      <w:r w:rsidR="00D6224B">
        <w:rPr>
          <w:rFonts w:asciiTheme="majorHAnsi" w:hAnsiTheme="majorHAnsi"/>
          <w:lang w:val="en-US"/>
        </w:rPr>
        <w:t xml:space="preserve">; however, we did show interesting increases in genomic instability in the </w:t>
      </w:r>
      <w:r w:rsidR="00514E7D">
        <w:rPr>
          <w:rFonts w:asciiTheme="majorHAnsi" w:hAnsiTheme="majorHAnsi"/>
          <w:lang w:val="en-US"/>
        </w:rPr>
        <w:t xml:space="preserve">fibroblast </w:t>
      </w:r>
      <w:r w:rsidR="00D6224B">
        <w:rPr>
          <w:rFonts w:asciiTheme="majorHAnsi" w:hAnsiTheme="majorHAnsi"/>
          <w:lang w:val="en-US"/>
        </w:rPr>
        <w:t xml:space="preserve">cell line MRC5, </w:t>
      </w:r>
      <w:r w:rsidR="00581C53">
        <w:rPr>
          <w:rFonts w:asciiTheme="majorHAnsi" w:hAnsiTheme="majorHAnsi"/>
          <w:lang w:val="en-US"/>
        </w:rPr>
        <w:t xml:space="preserve">although we do not know if this a good model for </w:t>
      </w:r>
      <w:r w:rsidR="00D6224B">
        <w:rPr>
          <w:rFonts w:asciiTheme="majorHAnsi" w:hAnsiTheme="majorHAnsi"/>
          <w:lang w:val="en-US"/>
        </w:rPr>
        <w:t>a colon cell.</w:t>
      </w:r>
    </w:p>
    <w:p w14:paraId="19FF130F" w14:textId="77777777" w:rsidR="00FE2A62" w:rsidRDefault="00FE2A62" w:rsidP="00FE2A62">
      <w:pPr>
        <w:spacing w:line="360" w:lineRule="auto"/>
        <w:jc w:val="both"/>
        <w:rPr>
          <w:rFonts w:asciiTheme="majorHAnsi" w:hAnsiTheme="majorHAnsi"/>
          <w:u w:val="single"/>
          <w:lang w:val="en-US"/>
        </w:rPr>
      </w:pPr>
    </w:p>
    <w:p w14:paraId="0DEB9441" w14:textId="59D631B0" w:rsidR="00FE2A62" w:rsidRDefault="00ED434D" w:rsidP="00FE2A62">
      <w:pPr>
        <w:spacing w:line="360" w:lineRule="auto"/>
        <w:jc w:val="both"/>
        <w:rPr>
          <w:rFonts w:asciiTheme="majorHAnsi" w:hAnsiTheme="majorHAnsi"/>
          <w:u w:val="single"/>
          <w:lang w:val="en-US"/>
        </w:rPr>
      </w:pPr>
      <w:r>
        <w:rPr>
          <w:rFonts w:asciiTheme="majorHAnsi" w:hAnsiTheme="majorHAnsi"/>
          <w:u w:val="single"/>
          <w:lang w:val="en-US"/>
        </w:rPr>
        <w:t>7.7</w:t>
      </w:r>
      <w:r w:rsidR="00FE2A62">
        <w:rPr>
          <w:rFonts w:asciiTheme="majorHAnsi" w:hAnsiTheme="majorHAnsi"/>
          <w:u w:val="single"/>
          <w:lang w:val="en-US"/>
        </w:rPr>
        <w:t xml:space="preserve"> </w:t>
      </w:r>
      <w:r w:rsidR="00FE2A62" w:rsidRPr="00CE7BFC">
        <w:rPr>
          <w:rFonts w:asciiTheme="majorHAnsi" w:hAnsiTheme="majorHAnsi"/>
          <w:u w:val="single"/>
          <w:lang w:val="en-US"/>
        </w:rPr>
        <w:t>Future Perspectives</w:t>
      </w:r>
    </w:p>
    <w:p w14:paraId="21A34AE5" w14:textId="77777777" w:rsidR="00FE2A62" w:rsidRPr="00CE7BFC" w:rsidRDefault="00FE2A62" w:rsidP="00FE2A62">
      <w:pPr>
        <w:spacing w:line="360" w:lineRule="auto"/>
        <w:jc w:val="both"/>
        <w:rPr>
          <w:rFonts w:asciiTheme="majorHAnsi" w:hAnsiTheme="majorHAnsi"/>
          <w:u w:val="single"/>
          <w:lang w:val="en-US"/>
        </w:rPr>
      </w:pPr>
    </w:p>
    <w:p w14:paraId="107CFF66" w14:textId="60C36006" w:rsidR="00FE2A62" w:rsidRDefault="00FE2A62" w:rsidP="00FE2A62">
      <w:pPr>
        <w:spacing w:line="360" w:lineRule="auto"/>
        <w:jc w:val="both"/>
        <w:rPr>
          <w:rFonts w:asciiTheme="majorHAnsi" w:hAnsiTheme="majorHAnsi"/>
          <w:lang w:val="en-US"/>
        </w:rPr>
      </w:pPr>
      <w:r>
        <w:rPr>
          <w:rFonts w:asciiTheme="majorHAnsi" w:hAnsiTheme="majorHAnsi"/>
          <w:lang w:val="en-US"/>
        </w:rPr>
        <w:t>Future work on this project would</w:t>
      </w:r>
      <w:r w:rsidR="001D0458">
        <w:rPr>
          <w:rFonts w:asciiTheme="majorHAnsi" w:hAnsiTheme="majorHAnsi"/>
          <w:lang w:val="en-US"/>
        </w:rPr>
        <w:t xml:space="preserve"> include carrying out the knock</w:t>
      </w:r>
      <w:r>
        <w:rPr>
          <w:rFonts w:asciiTheme="majorHAnsi" w:hAnsiTheme="majorHAnsi"/>
          <w:lang w:val="en-US"/>
        </w:rPr>
        <w:t xml:space="preserve">down experiments and the subsequent functional assays in a </w:t>
      </w:r>
      <w:r w:rsidR="00581C53">
        <w:rPr>
          <w:rFonts w:asciiTheme="majorHAnsi" w:hAnsiTheme="majorHAnsi"/>
          <w:lang w:val="en-US"/>
        </w:rPr>
        <w:t xml:space="preserve">wider </w:t>
      </w:r>
      <w:r>
        <w:rPr>
          <w:rFonts w:asciiTheme="majorHAnsi" w:hAnsiTheme="majorHAnsi"/>
          <w:lang w:val="en-US"/>
        </w:rPr>
        <w:t xml:space="preserve">variety of CRC cell lines that cover the breadth of genetic </w:t>
      </w:r>
      <w:r w:rsidR="00B45395">
        <w:rPr>
          <w:rFonts w:asciiTheme="majorHAnsi" w:hAnsiTheme="majorHAnsi"/>
          <w:lang w:val="en-US"/>
        </w:rPr>
        <w:t xml:space="preserve">pathways </w:t>
      </w:r>
      <w:r>
        <w:rPr>
          <w:rFonts w:asciiTheme="majorHAnsi" w:hAnsiTheme="majorHAnsi"/>
          <w:lang w:val="en-US"/>
        </w:rPr>
        <w:t xml:space="preserve">and TP53 status in order to </w:t>
      </w:r>
      <w:r w:rsidR="001D0458">
        <w:rPr>
          <w:rFonts w:asciiTheme="majorHAnsi" w:hAnsiTheme="majorHAnsi"/>
          <w:lang w:val="en-US"/>
        </w:rPr>
        <w:t xml:space="preserve">further </w:t>
      </w:r>
      <w:r>
        <w:rPr>
          <w:rFonts w:asciiTheme="majorHAnsi" w:hAnsiTheme="majorHAnsi"/>
          <w:lang w:val="en-US"/>
        </w:rPr>
        <w:t xml:space="preserve">verify the results. This would also include testing out the </w:t>
      </w:r>
      <w:r w:rsidR="0070638A">
        <w:rPr>
          <w:rFonts w:asciiTheme="majorHAnsi" w:hAnsiTheme="majorHAnsi"/>
          <w:lang w:val="en-US"/>
        </w:rPr>
        <w:t xml:space="preserve">chemotherapeutics-based survival assays </w:t>
      </w:r>
      <w:r>
        <w:rPr>
          <w:rFonts w:asciiTheme="majorHAnsi" w:hAnsiTheme="majorHAnsi"/>
          <w:lang w:val="en-US"/>
        </w:rPr>
        <w:t xml:space="preserve">to conclusively </w:t>
      </w:r>
      <w:r w:rsidR="001D0458">
        <w:rPr>
          <w:rFonts w:asciiTheme="majorHAnsi" w:hAnsiTheme="majorHAnsi"/>
          <w:lang w:val="en-US"/>
        </w:rPr>
        <w:t>determine whether</w:t>
      </w:r>
      <w:r>
        <w:rPr>
          <w:rFonts w:asciiTheme="majorHAnsi" w:hAnsiTheme="majorHAnsi"/>
          <w:lang w:val="en-US"/>
        </w:rPr>
        <w:t xml:space="preserve"> there is a specific subset of patients that would </w:t>
      </w:r>
      <w:r w:rsidR="0070638A">
        <w:rPr>
          <w:rFonts w:asciiTheme="majorHAnsi" w:hAnsiTheme="majorHAnsi"/>
          <w:lang w:val="en-US"/>
        </w:rPr>
        <w:t xml:space="preserve">potentially </w:t>
      </w:r>
      <w:r>
        <w:rPr>
          <w:rFonts w:asciiTheme="majorHAnsi" w:hAnsiTheme="majorHAnsi"/>
          <w:lang w:val="en-US"/>
        </w:rPr>
        <w:t xml:space="preserve">benefit from an SRCAP inhibitor. </w:t>
      </w:r>
      <w:r w:rsidR="009A7F91">
        <w:rPr>
          <w:rFonts w:asciiTheme="majorHAnsi" w:hAnsiTheme="majorHAnsi"/>
          <w:lang w:val="en-US"/>
        </w:rPr>
        <w:t>It would also be important to generate</w:t>
      </w:r>
      <w:r>
        <w:rPr>
          <w:rFonts w:asciiTheme="majorHAnsi" w:hAnsiTheme="majorHAnsi"/>
          <w:lang w:val="en-US"/>
        </w:rPr>
        <w:t xml:space="preserve"> </w:t>
      </w:r>
      <w:r w:rsidR="00A06262">
        <w:rPr>
          <w:rFonts w:asciiTheme="majorHAnsi" w:hAnsiTheme="majorHAnsi"/>
          <w:lang w:val="en-US"/>
        </w:rPr>
        <w:t xml:space="preserve">over-expression of endogenous SRCAP in a </w:t>
      </w:r>
      <w:r w:rsidR="00514E7D">
        <w:rPr>
          <w:rFonts w:asciiTheme="majorHAnsi" w:hAnsiTheme="majorHAnsi"/>
          <w:lang w:val="en-US"/>
        </w:rPr>
        <w:t>non-tumourigenic</w:t>
      </w:r>
      <w:r w:rsidR="00A06262">
        <w:rPr>
          <w:rFonts w:asciiTheme="majorHAnsi" w:hAnsiTheme="majorHAnsi"/>
          <w:lang w:val="en-US"/>
        </w:rPr>
        <w:t xml:space="preserve"> colorectal cell background, if one could be sourced, to assess long-term effects on cancer cell traits and phenotypes</w:t>
      </w:r>
      <w:r w:rsidR="009E5ABB">
        <w:rPr>
          <w:rFonts w:asciiTheme="majorHAnsi" w:hAnsiTheme="majorHAnsi"/>
          <w:lang w:val="en-US"/>
        </w:rPr>
        <w:t>, such as genomic instability and cellular growth</w:t>
      </w:r>
      <w:r w:rsidR="00A06262">
        <w:rPr>
          <w:rFonts w:asciiTheme="majorHAnsi" w:hAnsiTheme="majorHAnsi"/>
          <w:lang w:val="en-US"/>
        </w:rPr>
        <w:t xml:space="preserve">. </w:t>
      </w:r>
      <w:r w:rsidR="00B45395">
        <w:rPr>
          <w:rFonts w:asciiTheme="majorHAnsi" w:hAnsiTheme="majorHAnsi"/>
          <w:lang w:val="en-US"/>
        </w:rPr>
        <w:t>Long-term</w:t>
      </w:r>
      <w:r>
        <w:rPr>
          <w:rFonts w:asciiTheme="majorHAnsi" w:hAnsiTheme="majorHAnsi"/>
          <w:lang w:val="en-US"/>
        </w:rPr>
        <w:t xml:space="preserve"> goals would be to try the SR</w:t>
      </w:r>
      <w:r w:rsidR="001D0458">
        <w:rPr>
          <w:rFonts w:asciiTheme="majorHAnsi" w:hAnsiTheme="majorHAnsi"/>
          <w:lang w:val="en-US"/>
        </w:rPr>
        <w:t>CAP assays in other cancer cell</w:t>
      </w:r>
      <w:r>
        <w:rPr>
          <w:rFonts w:asciiTheme="majorHAnsi" w:hAnsiTheme="majorHAnsi"/>
          <w:lang w:val="en-US"/>
        </w:rPr>
        <w:t xml:space="preserve"> line</w:t>
      </w:r>
      <w:r w:rsidR="00B45395">
        <w:rPr>
          <w:rFonts w:asciiTheme="majorHAnsi" w:hAnsiTheme="majorHAnsi"/>
          <w:lang w:val="en-US"/>
        </w:rPr>
        <w:t>s (</w:t>
      </w:r>
      <w:r w:rsidR="001D0458">
        <w:rPr>
          <w:rFonts w:asciiTheme="majorHAnsi" w:hAnsiTheme="majorHAnsi"/>
          <w:lang w:val="en-US"/>
        </w:rPr>
        <w:t>as the over-expression of SRCAP is no</w:t>
      </w:r>
      <w:r w:rsidR="00B45395">
        <w:rPr>
          <w:rFonts w:asciiTheme="majorHAnsi" w:hAnsiTheme="majorHAnsi"/>
          <w:lang w:val="en-US"/>
        </w:rPr>
        <w:t>t solely CRC specific)</w:t>
      </w:r>
      <w:r>
        <w:rPr>
          <w:rFonts w:asciiTheme="majorHAnsi" w:hAnsiTheme="majorHAnsi"/>
          <w:lang w:val="en-US"/>
        </w:rPr>
        <w:t xml:space="preserve"> and therefore </w:t>
      </w:r>
      <w:r w:rsidR="009A7F91">
        <w:rPr>
          <w:rFonts w:asciiTheme="majorHAnsi" w:hAnsiTheme="majorHAnsi"/>
          <w:lang w:val="en-US"/>
        </w:rPr>
        <w:t>assess</w:t>
      </w:r>
      <w:r>
        <w:rPr>
          <w:rFonts w:asciiTheme="majorHAnsi" w:hAnsiTheme="majorHAnsi"/>
          <w:lang w:val="en-US"/>
        </w:rPr>
        <w:t xml:space="preserve"> other </w:t>
      </w:r>
      <w:r w:rsidR="009A7F91">
        <w:rPr>
          <w:rFonts w:asciiTheme="majorHAnsi" w:hAnsiTheme="majorHAnsi"/>
          <w:lang w:val="en-US"/>
        </w:rPr>
        <w:t xml:space="preserve">potential </w:t>
      </w:r>
      <w:r>
        <w:rPr>
          <w:rFonts w:asciiTheme="majorHAnsi" w:hAnsiTheme="majorHAnsi"/>
          <w:lang w:val="en-US"/>
        </w:rPr>
        <w:t>drug combinations</w:t>
      </w:r>
      <w:r w:rsidR="00AE465B">
        <w:rPr>
          <w:rFonts w:asciiTheme="majorHAnsi" w:hAnsiTheme="majorHAnsi"/>
          <w:lang w:val="en-US"/>
        </w:rPr>
        <w:t>.</w:t>
      </w:r>
    </w:p>
    <w:p w14:paraId="265E951E" w14:textId="77777777" w:rsidR="00FE2A62" w:rsidRPr="00901489" w:rsidRDefault="00FE2A62" w:rsidP="00FE2A62">
      <w:pPr>
        <w:spacing w:line="360" w:lineRule="auto"/>
        <w:jc w:val="both"/>
        <w:rPr>
          <w:rFonts w:asciiTheme="majorHAnsi" w:hAnsiTheme="majorHAnsi"/>
          <w:lang w:val="en-US"/>
        </w:rPr>
      </w:pPr>
    </w:p>
    <w:p w14:paraId="616F5470" w14:textId="5AE07466" w:rsidR="00FE2A62" w:rsidRDefault="00FE2A62" w:rsidP="00FE2A62">
      <w:pPr>
        <w:spacing w:line="360" w:lineRule="auto"/>
        <w:jc w:val="both"/>
        <w:rPr>
          <w:rFonts w:asciiTheme="majorHAnsi" w:hAnsiTheme="majorHAnsi"/>
          <w:lang w:val="en-US"/>
        </w:rPr>
      </w:pPr>
      <w:r w:rsidRPr="005D0119">
        <w:rPr>
          <w:rFonts w:asciiTheme="majorHAnsi" w:hAnsiTheme="majorHAnsi"/>
          <w:lang w:val="en-US"/>
        </w:rPr>
        <w:t xml:space="preserve">Data </w:t>
      </w:r>
      <w:r>
        <w:rPr>
          <w:rFonts w:asciiTheme="majorHAnsi" w:hAnsiTheme="majorHAnsi"/>
          <w:lang w:val="en-US"/>
        </w:rPr>
        <w:t xml:space="preserve">from the TCGA shows that from 55 patient samples </w:t>
      </w:r>
      <w:r w:rsidRPr="005D0119">
        <w:rPr>
          <w:rFonts w:asciiTheme="majorHAnsi" w:hAnsiTheme="majorHAnsi"/>
          <w:i/>
          <w:lang w:val="en-US"/>
        </w:rPr>
        <w:t>SRCAP</w:t>
      </w:r>
      <w:r>
        <w:rPr>
          <w:rFonts w:asciiTheme="majorHAnsi" w:hAnsiTheme="majorHAnsi"/>
          <w:lang w:val="en-US"/>
        </w:rPr>
        <w:t xml:space="preserve"> </w:t>
      </w:r>
      <w:r w:rsidR="00B45395">
        <w:rPr>
          <w:rFonts w:asciiTheme="majorHAnsi" w:hAnsiTheme="majorHAnsi"/>
          <w:lang w:val="en-US"/>
        </w:rPr>
        <w:t>mutations occur</w:t>
      </w:r>
      <w:r>
        <w:rPr>
          <w:rFonts w:asciiTheme="majorHAnsi" w:hAnsiTheme="majorHAnsi"/>
          <w:lang w:val="en-US"/>
        </w:rPr>
        <w:t xml:space="preserve"> along the entire gene, with most of them being prevalent in only one of the cases and resulting in missense mutations</w:t>
      </w:r>
      <w:r w:rsidR="001D0458">
        <w:rPr>
          <w:rFonts w:asciiTheme="majorHAnsi" w:hAnsiTheme="majorHAnsi"/>
          <w:lang w:val="en-US"/>
        </w:rPr>
        <w:t xml:space="preserve"> (Figure 7.1)</w:t>
      </w:r>
      <w:r>
        <w:rPr>
          <w:rFonts w:asciiTheme="majorHAnsi" w:hAnsiTheme="majorHAnsi"/>
          <w:lang w:val="en-US"/>
        </w:rPr>
        <w:t xml:space="preserve">. It would be interesting to assess the original patient tumour data </w:t>
      </w:r>
      <w:r w:rsidR="001D0458">
        <w:rPr>
          <w:rFonts w:asciiTheme="majorHAnsi" w:hAnsiTheme="majorHAnsi"/>
          <w:lang w:val="en-US"/>
        </w:rPr>
        <w:t>to examine</w:t>
      </w:r>
      <w:r>
        <w:rPr>
          <w:rFonts w:asciiTheme="majorHAnsi" w:hAnsiTheme="majorHAnsi"/>
          <w:lang w:val="en-US"/>
        </w:rPr>
        <w:t xml:space="preserve"> what mutations to SRCAP are present in these and whether they correlate to the TCGA data. Immunohistochemistry could also be used on patient tumour sections to assess SRCAP</w:t>
      </w:r>
      <w:r w:rsidR="001D0458">
        <w:rPr>
          <w:rFonts w:asciiTheme="majorHAnsi" w:hAnsiTheme="majorHAnsi"/>
          <w:lang w:val="en-US"/>
        </w:rPr>
        <w:t xml:space="preserve"> protein</w:t>
      </w:r>
      <w:r>
        <w:rPr>
          <w:rFonts w:asciiTheme="majorHAnsi" w:hAnsiTheme="majorHAnsi"/>
          <w:lang w:val="en-US"/>
        </w:rPr>
        <w:t xml:space="preserve"> levels and see whether they correlate to </w:t>
      </w:r>
      <w:r w:rsidR="001D0458">
        <w:rPr>
          <w:rFonts w:asciiTheme="majorHAnsi" w:hAnsiTheme="majorHAnsi"/>
          <w:lang w:val="en-US"/>
        </w:rPr>
        <w:t>gene copy number, stage of the tumour</w:t>
      </w:r>
      <w:r>
        <w:rPr>
          <w:rFonts w:asciiTheme="majorHAnsi" w:hAnsiTheme="majorHAnsi"/>
          <w:lang w:val="en-US"/>
        </w:rPr>
        <w:t xml:space="preserve"> or </w:t>
      </w:r>
      <w:r w:rsidR="001D0458">
        <w:rPr>
          <w:rFonts w:asciiTheme="majorHAnsi" w:hAnsiTheme="majorHAnsi"/>
          <w:lang w:val="en-US"/>
        </w:rPr>
        <w:t xml:space="preserve">are associated with </w:t>
      </w:r>
      <w:r>
        <w:rPr>
          <w:rFonts w:asciiTheme="majorHAnsi" w:hAnsiTheme="majorHAnsi"/>
          <w:lang w:val="en-US"/>
        </w:rPr>
        <w:t xml:space="preserve">any particular molecular background. </w:t>
      </w:r>
    </w:p>
    <w:p w14:paraId="47E39DBD" w14:textId="77777777" w:rsidR="009E5ABB" w:rsidRDefault="009E5ABB" w:rsidP="00FE2A62">
      <w:pPr>
        <w:spacing w:line="360" w:lineRule="auto"/>
        <w:jc w:val="both"/>
        <w:rPr>
          <w:rFonts w:asciiTheme="majorHAnsi" w:hAnsiTheme="majorHAnsi"/>
          <w:lang w:val="en-US"/>
        </w:rPr>
      </w:pPr>
    </w:p>
    <w:p w14:paraId="02274816" w14:textId="14FF184B" w:rsidR="009E5ABB" w:rsidRPr="004A1A08" w:rsidRDefault="009E5ABB" w:rsidP="00FE2A62">
      <w:pPr>
        <w:spacing w:line="360" w:lineRule="auto"/>
        <w:jc w:val="both"/>
        <w:rPr>
          <w:rFonts w:asciiTheme="majorHAnsi" w:hAnsiTheme="majorHAnsi"/>
          <w:lang w:val="en-US"/>
        </w:rPr>
      </w:pPr>
      <w:r>
        <w:rPr>
          <w:rFonts w:asciiTheme="majorHAnsi" w:hAnsiTheme="majorHAnsi"/>
          <w:lang w:val="en-US"/>
        </w:rPr>
        <w:t xml:space="preserve">There were five candidate genes that were experimentally and </w:t>
      </w:r>
      <w:proofErr w:type="spellStart"/>
      <w:r>
        <w:rPr>
          <w:rFonts w:asciiTheme="majorHAnsi" w:hAnsiTheme="majorHAnsi"/>
          <w:lang w:val="en-US"/>
        </w:rPr>
        <w:t>bioinformatically</w:t>
      </w:r>
      <w:proofErr w:type="spellEnd"/>
      <w:r>
        <w:rPr>
          <w:rFonts w:asciiTheme="majorHAnsi" w:hAnsiTheme="majorHAnsi"/>
          <w:lang w:val="en-US"/>
        </w:rPr>
        <w:t xml:space="preserve"> classified as potential drivers of CRC (appendix 1). </w:t>
      </w:r>
      <w:r w:rsidRPr="009E5ABB">
        <w:rPr>
          <w:rFonts w:asciiTheme="majorHAnsi" w:hAnsiTheme="majorHAnsi"/>
          <w:i/>
          <w:lang w:val="en-US"/>
        </w:rPr>
        <w:t>SRCAP</w:t>
      </w:r>
      <w:r>
        <w:rPr>
          <w:rFonts w:asciiTheme="majorHAnsi" w:hAnsiTheme="majorHAnsi"/>
          <w:lang w:val="en-US"/>
        </w:rPr>
        <w:t xml:space="preserve"> was </w:t>
      </w:r>
      <w:r w:rsidR="009A7F91">
        <w:rPr>
          <w:rFonts w:asciiTheme="majorHAnsi" w:hAnsiTheme="majorHAnsi"/>
          <w:lang w:val="en-US"/>
        </w:rPr>
        <w:t>selected</w:t>
      </w:r>
      <w:r>
        <w:rPr>
          <w:rFonts w:asciiTheme="majorHAnsi" w:hAnsiTheme="majorHAnsi"/>
          <w:lang w:val="en-US"/>
        </w:rPr>
        <w:t xml:space="preserve"> for further study due to the </w:t>
      </w:r>
      <w:r w:rsidR="009A7F91">
        <w:rPr>
          <w:rFonts w:asciiTheme="majorHAnsi" w:hAnsiTheme="majorHAnsi"/>
          <w:lang w:val="en-US"/>
        </w:rPr>
        <w:t>previously</w:t>
      </w:r>
      <w:r>
        <w:rPr>
          <w:rFonts w:asciiTheme="majorHAnsi" w:hAnsiTheme="majorHAnsi"/>
          <w:lang w:val="en-US"/>
        </w:rPr>
        <w:t xml:space="preserve"> published literature mentioned throughout this thesis, indicating it already had links to several other cancers. Further work would therefore include assessment of the other fou</w:t>
      </w:r>
      <w:r w:rsidR="009A7F91">
        <w:rPr>
          <w:rFonts w:asciiTheme="majorHAnsi" w:hAnsiTheme="majorHAnsi"/>
          <w:lang w:val="en-US"/>
        </w:rPr>
        <w:t>r potential cancer driver genes</w:t>
      </w:r>
      <w:proofErr w:type="gramStart"/>
      <w:r w:rsidR="009A7F91">
        <w:rPr>
          <w:rFonts w:asciiTheme="majorHAnsi" w:hAnsiTheme="majorHAnsi"/>
          <w:lang w:val="en-US"/>
        </w:rPr>
        <w:t>;</w:t>
      </w:r>
      <w:proofErr w:type="gramEnd"/>
      <w:r w:rsidR="009A7F91">
        <w:rPr>
          <w:rFonts w:asciiTheme="majorHAnsi" w:hAnsiTheme="majorHAnsi"/>
          <w:lang w:val="en-US"/>
        </w:rPr>
        <w:t xml:space="preserve"> </w:t>
      </w:r>
      <w:r w:rsidRPr="004A1A08">
        <w:rPr>
          <w:rFonts w:asciiTheme="majorHAnsi" w:hAnsiTheme="majorHAnsi"/>
          <w:i/>
          <w:lang w:val="en-US"/>
        </w:rPr>
        <w:t xml:space="preserve">MCF1L, SRCRB4D, MTX1 </w:t>
      </w:r>
      <w:r w:rsidRPr="004A1A08">
        <w:rPr>
          <w:rFonts w:asciiTheme="majorHAnsi" w:hAnsiTheme="majorHAnsi"/>
          <w:lang w:val="en-US"/>
        </w:rPr>
        <w:t>and</w:t>
      </w:r>
      <w:r w:rsidRPr="004A1A08">
        <w:rPr>
          <w:rFonts w:asciiTheme="majorHAnsi" w:hAnsiTheme="majorHAnsi"/>
          <w:i/>
          <w:lang w:val="en-US"/>
        </w:rPr>
        <w:t xml:space="preserve"> APH1A</w:t>
      </w:r>
      <w:r>
        <w:rPr>
          <w:rFonts w:asciiTheme="majorHAnsi" w:hAnsiTheme="majorHAnsi"/>
          <w:lang w:val="en-US"/>
        </w:rPr>
        <w:t xml:space="preserve">. </w:t>
      </w:r>
      <w:r w:rsidR="004A1A08">
        <w:rPr>
          <w:rFonts w:asciiTheme="majorHAnsi" w:hAnsiTheme="majorHAnsi"/>
          <w:lang w:val="en-US"/>
        </w:rPr>
        <w:t xml:space="preserve">This would include development of knockdown and over-expression cell line models, as </w:t>
      </w:r>
      <w:r w:rsidR="009A7F91">
        <w:rPr>
          <w:rFonts w:asciiTheme="majorHAnsi" w:hAnsiTheme="majorHAnsi"/>
          <w:lang w:val="en-US"/>
        </w:rPr>
        <w:t>carried out</w:t>
      </w:r>
      <w:r w:rsidR="004A1A08">
        <w:rPr>
          <w:rFonts w:asciiTheme="majorHAnsi" w:hAnsiTheme="majorHAnsi"/>
          <w:lang w:val="en-US"/>
        </w:rPr>
        <w:t xml:space="preserve"> with </w:t>
      </w:r>
      <w:r w:rsidR="004A1A08" w:rsidRPr="004A1A08">
        <w:rPr>
          <w:rFonts w:asciiTheme="majorHAnsi" w:hAnsiTheme="majorHAnsi"/>
          <w:i/>
          <w:lang w:val="en-US"/>
        </w:rPr>
        <w:t>SRCAP</w:t>
      </w:r>
      <w:r w:rsidR="004A1A08">
        <w:rPr>
          <w:rFonts w:asciiTheme="majorHAnsi" w:hAnsiTheme="majorHAnsi"/>
          <w:i/>
          <w:lang w:val="en-US"/>
        </w:rPr>
        <w:t xml:space="preserve">, </w:t>
      </w:r>
      <w:r w:rsidR="004A1A08">
        <w:rPr>
          <w:rFonts w:asciiTheme="majorHAnsi" w:hAnsiTheme="majorHAnsi"/>
          <w:lang w:val="en-US"/>
        </w:rPr>
        <w:t xml:space="preserve">and then evaluation of how differing gene expression levels impacts on various hallmarks of cancer, using the assays conducted throughout this thesis. </w:t>
      </w:r>
    </w:p>
    <w:p w14:paraId="2AB04D93" w14:textId="4A134510" w:rsidR="00FE2A62" w:rsidRPr="00FE2A62" w:rsidRDefault="00514E7D" w:rsidP="00FE2A62">
      <w:pPr>
        <w:spacing w:line="360" w:lineRule="auto"/>
        <w:jc w:val="both"/>
        <w:rPr>
          <w:rFonts w:asciiTheme="majorHAnsi" w:hAnsiTheme="majorHAnsi"/>
          <w:lang w:val="en-US"/>
        </w:rPr>
        <w:sectPr w:rsidR="00FE2A62" w:rsidRPr="00FE2A62" w:rsidSect="006A36EF">
          <w:headerReference w:type="default" r:id="rId176"/>
          <w:pgSz w:w="11900" w:h="16840"/>
          <w:pgMar w:top="1440" w:right="1134" w:bottom="1440" w:left="2268" w:header="709" w:footer="709" w:gutter="0"/>
          <w:cols w:space="708"/>
          <w:docGrid w:linePitch="360"/>
        </w:sectPr>
      </w:pPr>
      <w:r>
        <w:rPr>
          <w:rFonts w:ascii="Cambria" w:hAnsi="Cambria"/>
          <w:b/>
          <w:noProof/>
          <w:lang w:val="en-US"/>
        </w:rPr>
        <mc:AlternateContent>
          <mc:Choice Requires="wps">
            <w:drawing>
              <wp:anchor distT="0" distB="0" distL="114300" distR="114300" simplePos="0" relativeHeight="252156928" behindDoc="0" locked="0" layoutInCell="1" allowOverlap="1" wp14:anchorId="7BDDE815" wp14:editId="12C55534">
                <wp:simplePos x="0" y="0"/>
                <wp:positionH relativeFrom="column">
                  <wp:posOffset>0</wp:posOffset>
                </wp:positionH>
                <wp:positionV relativeFrom="paragraph">
                  <wp:posOffset>1911985</wp:posOffset>
                </wp:positionV>
                <wp:extent cx="5486400" cy="10287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54864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A6C59F" w14:textId="77777777" w:rsidR="00E82D3B" w:rsidRPr="00021FB8" w:rsidRDefault="00E82D3B" w:rsidP="007053FB">
                            <w:pPr>
                              <w:jc w:val="both"/>
                              <w:rPr>
                                <w:rFonts w:asciiTheme="majorHAnsi" w:hAnsiTheme="majorHAnsi"/>
                                <w:b/>
                                <w:i/>
                                <w:sz w:val="22"/>
                                <w:lang w:val="en-US"/>
                              </w:rPr>
                            </w:pPr>
                            <w:r w:rsidRPr="00021FB8">
                              <w:rPr>
                                <w:rFonts w:asciiTheme="majorHAnsi" w:hAnsiTheme="majorHAnsi"/>
                                <w:b/>
                                <w:i/>
                                <w:sz w:val="22"/>
                                <w:lang w:val="en-US"/>
                              </w:rPr>
                              <w:t>Figure 7.1 Mutations to the SRCAP protein</w:t>
                            </w:r>
                          </w:p>
                          <w:p w14:paraId="6CF84E68" w14:textId="77777777" w:rsidR="00E82D3B" w:rsidRPr="00021FB8" w:rsidRDefault="00E82D3B" w:rsidP="007053FB">
                            <w:pPr>
                              <w:jc w:val="both"/>
                              <w:rPr>
                                <w:i/>
                                <w:sz w:val="22"/>
                              </w:rPr>
                            </w:pPr>
                            <w:proofErr w:type="gramStart"/>
                            <w:r>
                              <w:rPr>
                                <w:rFonts w:asciiTheme="majorHAnsi" w:hAnsiTheme="majorHAnsi"/>
                                <w:i/>
                                <w:sz w:val="22"/>
                                <w:lang w:val="en-US"/>
                              </w:rPr>
                              <w:t>TCGA online data from 55 patients with mutations to their SRCAP protein, showing that they occur all along the gene.</w:t>
                            </w:r>
                            <w:proofErr w:type="gramEnd"/>
                            <w:r>
                              <w:rPr>
                                <w:rFonts w:asciiTheme="majorHAnsi" w:hAnsiTheme="majorHAnsi"/>
                                <w:i/>
                                <w:sz w:val="22"/>
                                <w:lang w:val="en-US"/>
                              </w:rPr>
                              <w:t xml:space="preserve"> B</w:t>
                            </w:r>
                            <w:r w:rsidRPr="00021FB8">
                              <w:rPr>
                                <w:rFonts w:asciiTheme="majorHAnsi" w:hAnsiTheme="majorHAnsi"/>
                                <w:i/>
                                <w:sz w:val="22"/>
                                <w:lang w:val="en-US"/>
                              </w:rPr>
                              <w:t>lue dots=frame shift, red dots=</w:t>
                            </w:r>
                            <w:r>
                              <w:rPr>
                                <w:rFonts w:asciiTheme="majorHAnsi" w:hAnsiTheme="majorHAnsi"/>
                                <w:i/>
                                <w:sz w:val="22"/>
                                <w:lang w:val="en-US"/>
                              </w:rPr>
                              <w:t>missense and purple=stop gained</w:t>
                            </w:r>
                            <w:r w:rsidRPr="00021FB8">
                              <w:rPr>
                                <w:rFonts w:asciiTheme="majorHAnsi" w:hAnsiTheme="majorHAnsi"/>
                                <w:i/>
                                <w:sz w:val="22"/>
                                <w:lang w:val="en-US"/>
                              </w:rPr>
                              <w:t>.</w:t>
                            </w:r>
                            <w:r>
                              <w:rPr>
                                <w:rFonts w:asciiTheme="majorHAnsi" w:hAnsiTheme="majorHAnsi"/>
                                <w:i/>
                                <w:sz w:val="22"/>
                                <w:lang w:val="en-US"/>
                              </w:rPr>
                              <w:t xml:space="preserve"> There are 11 frame shifts, 42 missense and 2 stops gained. Most mutations were only in one patient sample, however there were two aberrations that occurred more frequently.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203" type="#_x0000_t202" style="position:absolute;left:0;text-align:left;margin-left:0;margin-top:150.55pt;width:6in;height:81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" filled="f" stroked="f">
                <v:textbox>
                  <w:txbxContent>
                    <w:p w14:paraId="64A6C59F" w14:textId="77777777" w:rsidR="000A1E0D" w:rsidRPr="00021FB8" w:rsidRDefault="000A1E0D" w:rsidP="007053FB">
                      <w:pPr>
                        <w:jc w:val="both"/>
                        <w:rPr>
                          <w:rFonts w:asciiTheme="majorHAnsi" w:hAnsiTheme="majorHAnsi"/>
                          <w:b/>
                          <w:i/>
                          <w:sz w:val="22"/>
                          <w:lang w:val="en-US"/>
                        </w:rPr>
                      </w:pPr>
                      <w:r w:rsidRPr="00021FB8">
                        <w:rPr>
                          <w:rFonts w:asciiTheme="majorHAnsi" w:hAnsiTheme="majorHAnsi"/>
                          <w:b/>
                          <w:i/>
                          <w:sz w:val="22"/>
                          <w:lang w:val="en-US"/>
                        </w:rPr>
                        <w:t>Figure 7.1 Mutations to the SRCAP protein</w:t>
                      </w:r>
                    </w:p>
                    <w:p w14:paraId="6CF84E68" w14:textId="77777777" w:rsidR="000A1E0D" w:rsidRPr="00021FB8" w:rsidRDefault="000A1E0D" w:rsidP="007053FB">
                      <w:pPr>
                        <w:jc w:val="both"/>
                        <w:rPr>
                          <w:i/>
                          <w:sz w:val="22"/>
                        </w:rPr>
                      </w:pPr>
                      <w:proofErr w:type="gramStart"/>
                      <w:r>
                        <w:rPr>
                          <w:rFonts w:asciiTheme="majorHAnsi" w:hAnsiTheme="majorHAnsi"/>
                          <w:i/>
                          <w:sz w:val="22"/>
                          <w:lang w:val="en-US"/>
                        </w:rPr>
                        <w:t>TCGA online data from 55 patients with mutations to their SRCAP protein, showing that they occur all along the gene.</w:t>
                      </w:r>
                      <w:proofErr w:type="gramEnd"/>
                      <w:r>
                        <w:rPr>
                          <w:rFonts w:asciiTheme="majorHAnsi" w:hAnsiTheme="majorHAnsi"/>
                          <w:i/>
                          <w:sz w:val="22"/>
                          <w:lang w:val="en-US"/>
                        </w:rPr>
                        <w:t xml:space="preserve"> B</w:t>
                      </w:r>
                      <w:r w:rsidRPr="00021FB8">
                        <w:rPr>
                          <w:rFonts w:asciiTheme="majorHAnsi" w:hAnsiTheme="majorHAnsi"/>
                          <w:i/>
                          <w:sz w:val="22"/>
                          <w:lang w:val="en-US"/>
                        </w:rPr>
                        <w:t>lue dots=frame shift, red dots=</w:t>
                      </w:r>
                      <w:r>
                        <w:rPr>
                          <w:rFonts w:asciiTheme="majorHAnsi" w:hAnsiTheme="majorHAnsi"/>
                          <w:i/>
                          <w:sz w:val="22"/>
                          <w:lang w:val="en-US"/>
                        </w:rPr>
                        <w:t>missense and purple=stop gained</w:t>
                      </w:r>
                      <w:r w:rsidRPr="00021FB8">
                        <w:rPr>
                          <w:rFonts w:asciiTheme="majorHAnsi" w:hAnsiTheme="majorHAnsi"/>
                          <w:i/>
                          <w:sz w:val="22"/>
                          <w:lang w:val="en-US"/>
                        </w:rPr>
                        <w:t>.</w:t>
                      </w:r>
                      <w:r>
                        <w:rPr>
                          <w:rFonts w:asciiTheme="majorHAnsi" w:hAnsiTheme="majorHAnsi"/>
                          <w:i/>
                          <w:sz w:val="22"/>
                          <w:lang w:val="en-US"/>
                        </w:rPr>
                        <w:t xml:space="preserve"> There are 11 frame shifts, 42 missense and 2 stops gained. Most mutations were only in one patient sample, however there were two aberrations that occurred more frequently.</w:t>
                      </w:r>
                    </w:p>
                  </w:txbxContent>
                </v:textbox>
                <w10:wrap type="square"/>
              </v:shape>
            </w:pict>
          </mc:Fallback>
        </mc:AlternateContent>
      </w:r>
      <w:r>
        <w:rPr>
          <w:rFonts w:asciiTheme="majorHAnsi" w:hAnsiTheme="majorHAnsi"/>
          <w:noProof/>
          <w:sz w:val="28"/>
          <w:u w:val="single"/>
          <w:lang w:val="en-US"/>
        </w:rPr>
        <w:drawing>
          <wp:anchor distT="0" distB="0" distL="114300" distR="114300" simplePos="0" relativeHeight="252155904" behindDoc="0" locked="0" layoutInCell="1" allowOverlap="1" wp14:anchorId="7745F47C" wp14:editId="604D5BBD">
            <wp:simplePos x="0" y="0"/>
            <wp:positionH relativeFrom="column">
              <wp:posOffset>228600</wp:posOffset>
            </wp:positionH>
            <wp:positionV relativeFrom="paragraph">
              <wp:posOffset>83185</wp:posOffset>
            </wp:positionV>
            <wp:extent cx="4800600" cy="1642110"/>
            <wp:effectExtent l="0" t="0" r="0" b="8890"/>
            <wp:wrapSquare wrapText="bothSides"/>
            <wp:docPr id="1" name="Picture 1" descr="Macintosh HD:Users:ClairFellows:Desktop:Screen Shot 2017-11-29 at 12.3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11-29 at 12.38.02.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00600" cy="1642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0241C5" w14:textId="34F29365" w:rsidR="007053FB" w:rsidRPr="000260E0" w:rsidRDefault="0059491F" w:rsidP="000260E0">
      <w:pPr>
        <w:pStyle w:val="Title"/>
        <w:rPr>
          <w:color w:val="000000" w:themeColor="text1"/>
          <w:lang w:val="en-US"/>
        </w:rPr>
      </w:pPr>
      <w:r w:rsidRPr="0059491F">
        <w:rPr>
          <w:color w:val="000000" w:themeColor="text1"/>
          <w:lang w:val="en-US"/>
        </w:rPr>
        <w:t>References</w:t>
      </w:r>
    </w:p>
    <w:p w14:paraId="6BCA298F" w14:textId="77777777" w:rsidR="006E12E2" w:rsidRPr="006E12E2" w:rsidRDefault="00ED4F76" w:rsidP="006E12E2">
      <w:pPr>
        <w:pStyle w:val="EndNoteBibliography"/>
        <w:ind w:left="720" w:hanging="720"/>
        <w:rPr>
          <w:noProof/>
        </w:rPr>
      </w:pPr>
      <w:r>
        <w:rPr>
          <w:rFonts w:asciiTheme="majorHAnsi" w:hAnsiTheme="majorHAnsi"/>
        </w:rPr>
        <w:fldChar w:fldCharType="begin"/>
      </w:r>
      <w:r>
        <w:rPr>
          <w:rFonts w:asciiTheme="majorHAnsi" w:hAnsiTheme="majorHAnsi"/>
        </w:rPr>
        <w:instrText xml:space="preserve"> ADDIN EN.REFLIST </w:instrText>
      </w:r>
      <w:r>
        <w:rPr>
          <w:rFonts w:asciiTheme="majorHAnsi" w:hAnsiTheme="majorHAnsi"/>
        </w:rPr>
        <w:fldChar w:fldCharType="separate"/>
      </w:r>
      <w:r w:rsidR="006E12E2" w:rsidRPr="006E12E2">
        <w:rPr>
          <w:noProof/>
        </w:rPr>
        <w:t xml:space="preserve">ABDELMAKSOUD-DAMAK, R., MILADI-ABDENNADHER, I., TRIKI, M., KHABIR, A., CHARFI, S., AYADI, L., FRIKHA, M., SELLAMI-BOUDAWARA, T. &amp; MOKDAD-GARGOURI, R. 2015. Expression and Mutation Pattern of β-Catenin and Adenomatous Polyposis Coli in Colorectal Cancer Patients. </w:t>
      </w:r>
      <w:r w:rsidR="006E12E2" w:rsidRPr="006E12E2">
        <w:rPr>
          <w:i/>
          <w:noProof/>
        </w:rPr>
        <w:t>Arch Med Res</w:t>
      </w:r>
      <w:r w:rsidR="006E12E2" w:rsidRPr="006E12E2">
        <w:rPr>
          <w:noProof/>
        </w:rPr>
        <w:t>.</w:t>
      </w:r>
    </w:p>
    <w:p w14:paraId="0B77B5E3" w14:textId="77777777" w:rsidR="006E12E2" w:rsidRPr="006E12E2" w:rsidRDefault="006E12E2" w:rsidP="006E12E2">
      <w:pPr>
        <w:pStyle w:val="EndNoteBibliography"/>
        <w:ind w:left="720" w:hanging="720"/>
        <w:rPr>
          <w:noProof/>
        </w:rPr>
      </w:pPr>
      <w:r w:rsidRPr="006E12E2">
        <w:rPr>
          <w:noProof/>
        </w:rPr>
        <w:t xml:space="preserve">ADAM, M., ROBERT, F., LAROCHELLE, M. &amp; GAUDREAU, L. 2001. H2A.Z is required for global chromatin integrity and for recruitment of RNA polymerase II under specific conditions. </w:t>
      </w:r>
      <w:r w:rsidRPr="006E12E2">
        <w:rPr>
          <w:i/>
          <w:noProof/>
        </w:rPr>
        <w:t>Mol Cell Biol,</w:t>
      </w:r>
      <w:r w:rsidRPr="006E12E2">
        <w:rPr>
          <w:noProof/>
        </w:rPr>
        <w:t xml:space="preserve"> 21</w:t>
      </w:r>
      <w:r w:rsidRPr="006E12E2">
        <w:rPr>
          <w:b/>
          <w:noProof/>
        </w:rPr>
        <w:t>,</w:t>
      </w:r>
      <w:r w:rsidRPr="006E12E2">
        <w:rPr>
          <w:noProof/>
        </w:rPr>
        <w:t xml:space="preserve"> 6270-9.</w:t>
      </w:r>
    </w:p>
    <w:p w14:paraId="3DE51326" w14:textId="77777777" w:rsidR="006E12E2" w:rsidRPr="006E12E2" w:rsidRDefault="006E12E2" w:rsidP="006E12E2">
      <w:pPr>
        <w:pStyle w:val="EndNoteBibliography"/>
        <w:ind w:left="720" w:hanging="720"/>
        <w:rPr>
          <w:noProof/>
        </w:rPr>
      </w:pPr>
      <w:r w:rsidRPr="006E12E2">
        <w:rPr>
          <w:noProof/>
        </w:rPr>
        <w:t xml:space="preserve">ADVANCEDCOLORECTALCANCERMETA-ANALYSISPROJECT 1992. Modulation of fluorouracil by leucovorin in patients with advanced colorectal cancer: evidence in terms of response rate. Advanced Colorectal Cancer Meta-Analysis Project. </w:t>
      </w:r>
      <w:r w:rsidRPr="006E12E2">
        <w:rPr>
          <w:i/>
          <w:noProof/>
        </w:rPr>
        <w:t>J Clin Oncol,</w:t>
      </w:r>
      <w:r w:rsidRPr="006E12E2">
        <w:rPr>
          <w:noProof/>
        </w:rPr>
        <w:t xml:space="preserve"> 10</w:t>
      </w:r>
      <w:r w:rsidRPr="006E12E2">
        <w:rPr>
          <w:b/>
          <w:noProof/>
        </w:rPr>
        <w:t>,</w:t>
      </w:r>
      <w:r w:rsidRPr="006E12E2">
        <w:rPr>
          <w:noProof/>
        </w:rPr>
        <w:t xml:space="preserve"> 896-903.</w:t>
      </w:r>
    </w:p>
    <w:p w14:paraId="3499B09B" w14:textId="77777777" w:rsidR="006E12E2" w:rsidRPr="006E12E2" w:rsidRDefault="006E12E2" w:rsidP="006E12E2">
      <w:pPr>
        <w:pStyle w:val="EndNoteBibliography"/>
        <w:ind w:left="720" w:hanging="720"/>
        <w:rPr>
          <w:noProof/>
        </w:rPr>
      </w:pPr>
      <w:r w:rsidRPr="006E12E2">
        <w:rPr>
          <w:noProof/>
        </w:rPr>
        <w:t xml:space="preserve">AHNEN, D. J. 1991. Genetics of colon cancer. </w:t>
      </w:r>
      <w:r w:rsidRPr="006E12E2">
        <w:rPr>
          <w:i/>
          <w:noProof/>
        </w:rPr>
        <w:t>West J Med,</w:t>
      </w:r>
      <w:r w:rsidRPr="006E12E2">
        <w:rPr>
          <w:noProof/>
        </w:rPr>
        <w:t xml:space="preserve"> 154</w:t>
      </w:r>
      <w:r w:rsidRPr="006E12E2">
        <w:rPr>
          <w:b/>
          <w:noProof/>
        </w:rPr>
        <w:t>,</w:t>
      </w:r>
      <w:r w:rsidRPr="006E12E2">
        <w:rPr>
          <w:noProof/>
        </w:rPr>
        <w:t xml:space="preserve"> 700-5.</w:t>
      </w:r>
    </w:p>
    <w:p w14:paraId="7059DB97" w14:textId="77777777" w:rsidR="006E12E2" w:rsidRPr="006E12E2" w:rsidRDefault="006E12E2" w:rsidP="006E12E2">
      <w:pPr>
        <w:pStyle w:val="EndNoteBibliography"/>
        <w:ind w:left="720" w:hanging="720"/>
        <w:rPr>
          <w:noProof/>
        </w:rPr>
      </w:pPr>
      <w:r w:rsidRPr="006E12E2">
        <w:rPr>
          <w:noProof/>
        </w:rPr>
        <w:t xml:space="preserve">ALBERTSON, D. G., YLSTRA, B., SEGRAVES, R., COLLINS, C., DAIRKEE, S. H., KOWBEL, D., KUO, W. L., GRAY, J. W. &amp; PINKEL, D. 2000. Quantitative mapping of amplicon structure by array CGH identifies CYP24 as a candidate oncogene. </w:t>
      </w:r>
      <w:r w:rsidRPr="006E12E2">
        <w:rPr>
          <w:i/>
          <w:noProof/>
        </w:rPr>
        <w:t>Nat Genet,</w:t>
      </w:r>
      <w:r w:rsidRPr="006E12E2">
        <w:rPr>
          <w:noProof/>
        </w:rPr>
        <w:t xml:space="preserve"> 25</w:t>
      </w:r>
      <w:r w:rsidRPr="006E12E2">
        <w:rPr>
          <w:b/>
          <w:noProof/>
        </w:rPr>
        <w:t>,</w:t>
      </w:r>
      <w:r w:rsidRPr="006E12E2">
        <w:rPr>
          <w:noProof/>
        </w:rPr>
        <w:t xml:space="preserve"> 144-6.</w:t>
      </w:r>
    </w:p>
    <w:p w14:paraId="64CDD44E" w14:textId="77777777" w:rsidR="006E12E2" w:rsidRPr="006E12E2" w:rsidRDefault="006E12E2" w:rsidP="006E12E2">
      <w:pPr>
        <w:pStyle w:val="EndNoteBibliography"/>
        <w:ind w:left="720" w:hanging="720"/>
        <w:rPr>
          <w:noProof/>
        </w:rPr>
      </w:pPr>
      <w:r w:rsidRPr="006E12E2">
        <w:rPr>
          <w:noProof/>
        </w:rPr>
        <w:t xml:space="preserve">ANDREYEV, H. J., NORMAN, A. R., CUNNINGHAM, D., OATES, J., DIX, B. R., IACOPETTA, B. J., YOUNG, J., WALSH, T., WARD, R., HAWKINS, N., BERANEK, M., JANDIK, P., BENAMOUZIG, R., JULLIAN, E., LAURENT-PUIG, P., OLSCHWANG, S., MULLER, O., HOFFMANN, I., RABES, H. M., ZIETZ, C., TROUNGOS, C., VALAVANIS, C., YUEN, S. T., HO, J. W., CROKE, C. T., O'DONOGHUE, D. P., GIARETTI, W., RAPALLO, A., RUSSO, A., BAZAN, V., TANAKA, M., OMURA, K., AZUMA, T., OHKUSA, T., FUJIMORI, T., ONO, Y., PAULY, M., FABER, C., GLAESENER, R., DE GOEIJ, A. F., ARENDS, J. W., ANDERSEN, S. N., LÖVIG, T., BREIVIK, J., GAUDERNACK, G., CLAUSEN, O. P., DE ANGELIS, P. D., MELING, G. I., ROGNUM, T. O., SMITH, R., GOH, H. S., FONT, A., ROSELL, R., SUN, X. F., ZHANG, H., BENHATTAR, J., LOSI, L., LEE, J. Q., WANG, S. T., CLARKE, P. A., BELL, S., QUIRKE, P., BUBB, V. J., PIRIS, J., CRUICKSHANK, N. R., MORTON, D., FOX, J. C., AL-MULLA, F., LEES, N., HALL, C. N., SNARY, D., WILKINSON, K., DILLON, D., COSTA, J., PRICOLO, V. E., FINKELSTEIN, S. D., THEBO, J. S., SENAGORE, A. J., HALTER, S. A., WADLER, S., MALIK, S., KRTOLICA, K. &amp; UROSEVIC, N. 2001. Kirsten ras mutations in patients with colorectal cancer: the 'RASCAL II' study. </w:t>
      </w:r>
      <w:r w:rsidRPr="006E12E2">
        <w:rPr>
          <w:i/>
          <w:noProof/>
        </w:rPr>
        <w:t>Br J Cancer,</w:t>
      </w:r>
      <w:r w:rsidRPr="006E12E2">
        <w:rPr>
          <w:noProof/>
        </w:rPr>
        <w:t xml:space="preserve"> 85</w:t>
      </w:r>
      <w:r w:rsidRPr="006E12E2">
        <w:rPr>
          <w:b/>
          <w:noProof/>
        </w:rPr>
        <w:t>,</w:t>
      </w:r>
      <w:r w:rsidRPr="006E12E2">
        <w:rPr>
          <w:noProof/>
        </w:rPr>
        <w:t xml:space="preserve"> 692-6.</w:t>
      </w:r>
    </w:p>
    <w:p w14:paraId="184BE8EA" w14:textId="77777777" w:rsidR="006E12E2" w:rsidRPr="006E12E2" w:rsidRDefault="006E12E2" w:rsidP="006E12E2">
      <w:pPr>
        <w:pStyle w:val="EndNoteBibliography"/>
        <w:ind w:left="720" w:hanging="720"/>
        <w:rPr>
          <w:noProof/>
        </w:rPr>
      </w:pPr>
      <w:r w:rsidRPr="006E12E2">
        <w:rPr>
          <w:noProof/>
        </w:rPr>
        <w:t xml:space="preserve">ANDRÉ, T., LOUVET, C., MAINDRAULT-GOEBEL, F., COUTEAU, C., MABRO, M., LOTZ, J. P., GILLES-AMAR, V., KRULIK, M., CAROLA, E., IZRAEL, V. &amp; DE GRAMONT, A. 1999. CPT-11 (irinotecan) addition to bimonthly, high-dose leucovorin and bolus and continuous-infusion 5-fluorouracil (FOLFIRI) for pretreated metastatic colorectal cancer. GERCOR. </w:t>
      </w:r>
      <w:r w:rsidRPr="006E12E2">
        <w:rPr>
          <w:i/>
          <w:noProof/>
        </w:rPr>
        <w:t>Eur J Cancer,</w:t>
      </w:r>
      <w:r w:rsidRPr="006E12E2">
        <w:rPr>
          <w:noProof/>
        </w:rPr>
        <w:t xml:space="preserve"> 35</w:t>
      </w:r>
      <w:r w:rsidRPr="006E12E2">
        <w:rPr>
          <w:b/>
          <w:noProof/>
        </w:rPr>
        <w:t>,</w:t>
      </w:r>
      <w:r w:rsidRPr="006E12E2">
        <w:rPr>
          <w:noProof/>
        </w:rPr>
        <w:t xml:space="preserve"> 1343-7.</w:t>
      </w:r>
    </w:p>
    <w:p w14:paraId="4BF67A3D" w14:textId="77777777" w:rsidR="006E12E2" w:rsidRPr="006E12E2" w:rsidRDefault="006E12E2" w:rsidP="006E12E2">
      <w:pPr>
        <w:pStyle w:val="EndNoteBibliography"/>
        <w:ind w:left="720" w:hanging="720"/>
        <w:rPr>
          <w:noProof/>
        </w:rPr>
      </w:pPr>
      <w:r w:rsidRPr="006E12E2">
        <w:rPr>
          <w:noProof/>
        </w:rPr>
        <w:t xml:space="preserve">ARORA, S. P. &amp; MAHALINGAM, D. 2018. Immunotherapy in colorectal cancer: for the select few or all? </w:t>
      </w:r>
      <w:r w:rsidRPr="006E12E2">
        <w:rPr>
          <w:i/>
          <w:noProof/>
        </w:rPr>
        <w:t>J Gastrointest Oncol,</w:t>
      </w:r>
      <w:r w:rsidRPr="006E12E2">
        <w:rPr>
          <w:noProof/>
        </w:rPr>
        <w:t xml:space="preserve"> 9</w:t>
      </w:r>
      <w:r w:rsidRPr="006E12E2">
        <w:rPr>
          <w:b/>
          <w:noProof/>
        </w:rPr>
        <w:t>,</w:t>
      </w:r>
      <w:r w:rsidRPr="006E12E2">
        <w:rPr>
          <w:noProof/>
        </w:rPr>
        <w:t xml:space="preserve"> 170-179.</w:t>
      </w:r>
    </w:p>
    <w:p w14:paraId="7F2EB66D" w14:textId="77777777" w:rsidR="006E12E2" w:rsidRPr="006E12E2" w:rsidRDefault="006E12E2" w:rsidP="006E12E2">
      <w:pPr>
        <w:pStyle w:val="EndNoteBibliography"/>
        <w:ind w:left="720" w:hanging="720"/>
        <w:rPr>
          <w:noProof/>
        </w:rPr>
      </w:pPr>
      <w:r w:rsidRPr="006E12E2">
        <w:rPr>
          <w:noProof/>
        </w:rPr>
        <w:t xml:space="preserve">ASHCROFT, M., TAYA, Y. &amp; VOUSDEN, K. H. 2000. Stress signals utilize multiple pathways to stabilize p53. </w:t>
      </w:r>
      <w:r w:rsidRPr="006E12E2">
        <w:rPr>
          <w:i/>
          <w:noProof/>
        </w:rPr>
        <w:t>Mol Cell Biol,</w:t>
      </w:r>
      <w:r w:rsidRPr="006E12E2">
        <w:rPr>
          <w:noProof/>
        </w:rPr>
        <w:t xml:space="preserve"> 20</w:t>
      </w:r>
      <w:r w:rsidRPr="006E12E2">
        <w:rPr>
          <w:b/>
          <w:noProof/>
        </w:rPr>
        <w:t>,</w:t>
      </w:r>
      <w:r w:rsidRPr="006E12E2">
        <w:rPr>
          <w:noProof/>
        </w:rPr>
        <w:t xml:space="preserve"> 3224-33.</w:t>
      </w:r>
    </w:p>
    <w:p w14:paraId="2E27C462" w14:textId="77777777" w:rsidR="006E12E2" w:rsidRPr="006E12E2" w:rsidRDefault="006E12E2" w:rsidP="006E12E2">
      <w:pPr>
        <w:pStyle w:val="EndNoteBibliography"/>
        <w:ind w:left="720" w:hanging="720"/>
        <w:rPr>
          <w:noProof/>
        </w:rPr>
      </w:pPr>
      <w:r w:rsidRPr="006E12E2">
        <w:rPr>
          <w:noProof/>
        </w:rPr>
        <w:t xml:space="preserve">BABA, Y., NOSHO, K., SHIMA, K., IRAHARA, N., KURE, S., TOYODA, S., KIRKNER, G. J., GOEL, A., FUCHS, C. S. &amp; OGINO, S. 2009. Aurora-A expression is independently associated with chromosomal instability in colorectal cancer. </w:t>
      </w:r>
      <w:r w:rsidRPr="006E12E2">
        <w:rPr>
          <w:i/>
          <w:noProof/>
        </w:rPr>
        <w:t>Neoplasia,</w:t>
      </w:r>
      <w:r w:rsidRPr="006E12E2">
        <w:rPr>
          <w:noProof/>
        </w:rPr>
        <w:t xml:space="preserve"> 11</w:t>
      </w:r>
      <w:r w:rsidRPr="006E12E2">
        <w:rPr>
          <w:b/>
          <w:noProof/>
        </w:rPr>
        <w:t>,</w:t>
      </w:r>
      <w:r w:rsidRPr="006E12E2">
        <w:rPr>
          <w:noProof/>
        </w:rPr>
        <w:t xml:space="preserve"> 418-25.</w:t>
      </w:r>
    </w:p>
    <w:p w14:paraId="5AD81DF8" w14:textId="77777777" w:rsidR="006E12E2" w:rsidRPr="006E12E2" w:rsidRDefault="006E12E2" w:rsidP="006E12E2">
      <w:pPr>
        <w:pStyle w:val="EndNoteBibliography"/>
        <w:ind w:left="720" w:hanging="720"/>
        <w:rPr>
          <w:noProof/>
        </w:rPr>
      </w:pPr>
      <w:r w:rsidRPr="006E12E2">
        <w:rPr>
          <w:noProof/>
        </w:rPr>
        <w:t xml:space="preserve">BALMAIN, A., GRAY, J. &amp; PONDER, B. 2003. The genetics and genomics of cancer. </w:t>
      </w:r>
      <w:r w:rsidRPr="006E12E2">
        <w:rPr>
          <w:i/>
          <w:noProof/>
        </w:rPr>
        <w:t>Nat Genet,</w:t>
      </w:r>
      <w:r w:rsidRPr="006E12E2">
        <w:rPr>
          <w:noProof/>
        </w:rPr>
        <w:t xml:space="preserve"> 33 Suppl</w:t>
      </w:r>
      <w:r w:rsidRPr="006E12E2">
        <w:rPr>
          <w:b/>
          <w:noProof/>
        </w:rPr>
        <w:t>,</w:t>
      </w:r>
      <w:r w:rsidRPr="006E12E2">
        <w:rPr>
          <w:noProof/>
        </w:rPr>
        <w:t xml:space="preserve"> 238-44.</w:t>
      </w:r>
    </w:p>
    <w:p w14:paraId="05A88DE2" w14:textId="77777777" w:rsidR="006E12E2" w:rsidRPr="006E12E2" w:rsidRDefault="006E12E2" w:rsidP="006E12E2">
      <w:pPr>
        <w:pStyle w:val="EndNoteBibliography"/>
        <w:ind w:left="720" w:hanging="720"/>
        <w:rPr>
          <w:noProof/>
        </w:rPr>
      </w:pPr>
      <w:r w:rsidRPr="006E12E2">
        <w:rPr>
          <w:noProof/>
        </w:rPr>
        <w:t xml:space="preserve">BARONE, G., STAPLES, C. J., GANESH, A., PATTERSON, K. W., BRYNE, D. P., MYERS, K. N., PATIL, A. A., EYERS, C. E., MASLEN, S., SKEHEL, J. M., EYERS, P. A. &amp; COLLIS, S. J. 2016. Human CDK18 promotes replication stress signaling and genome stability. </w:t>
      </w:r>
      <w:r w:rsidRPr="006E12E2">
        <w:rPr>
          <w:i/>
          <w:noProof/>
        </w:rPr>
        <w:t>Nucleic Acids Res,</w:t>
      </w:r>
      <w:r w:rsidRPr="006E12E2">
        <w:rPr>
          <w:noProof/>
        </w:rPr>
        <w:t xml:space="preserve"> 44</w:t>
      </w:r>
      <w:r w:rsidRPr="006E12E2">
        <w:rPr>
          <w:b/>
          <w:noProof/>
        </w:rPr>
        <w:t>,</w:t>
      </w:r>
      <w:r w:rsidRPr="006E12E2">
        <w:rPr>
          <w:noProof/>
        </w:rPr>
        <w:t xml:space="preserve"> 8772-8785.</w:t>
      </w:r>
    </w:p>
    <w:p w14:paraId="16081BA3" w14:textId="77777777" w:rsidR="006E12E2" w:rsidRPr="006E12E2" w:rsidRDefault="006E12E2" w:rsidP="006E12E2">
      <w:pPr>
        <w:pStyle w:val="EndNoteBibliography"/>
        <w:ind w:left="720" w:hanging="720"/>
        <w:rPr>
          <w:noProof/>
        </w:rPr>
      </w:pPr>
      <w:r w:rsidRPr="006E12E2">
        <w:rPr>
          <w:noProof/>
        </w:rPr>
        <w:t xml:space="preserve">BARRANGOU, R., FREMAUX, C., DEVEAU, H., RICHARDS, M., BOYAVAL, P., MOINEAU, S., ROMERO, D. A. &amp; HORVATH, P. 2007. CRISPR provides acquired resistance against viruses in prokaryotes. </w:t>
      </w:r>
      <w:r w:rsidRPr="006E12E2">
        <w:rPr>
          <w:i/>
          <w:noProof/>
        </w:rPr>
        <w:t>Science,</w:t>
      </w:r>
      <w:r w:rsidRPr="006E12E2">
        <w:rPr>
          <w:noProof/>
        </w:rPr>
        <w:t xml:space="preserve"> 315</w:t>
      </w:r>
      <w:r w:rsidRPr="006E12E2">
        <w:rPr>
          <w:b/>
          <w:noProof/>
        </w:rPr>
        <w:t>,</w:t>
      </w:r>
      <w:r w:rsidRPr="006E12E2">
        <w:rPr>
          <w:noProof/>
        </w:rPr>
        <w:t xml:space="preserve"> 1709-12.</w:t>
      </w:r>
    </w:p>
    <w:p w14:paraId="452C7780" w14:textId="77777777" w:rsidR="006E12E2" w:rsidRPr="006E12E2" w:rsidRDefault="006E12E2" w:rsidP="006E12E2">
      <w:pPr>
        <w:pStyle w:val="EndNoteBibliography"/>
        <w:ind w:left="720" w:hanging="720"/>
        <w:rPr>
          <w:noProof/>
        </w:rPr>
      </w:pPr>
      <w:r w:rsidRPr="006E12E2">
        <w:rPr>
          <w:noProof/>
        </w:rPr>
        <w:t xml:space="preserve">BARRATT, P. L., SEYMOUR, M. T., STENNING, S. P., GEORGIADES, I., WALKER, C., BIRBECK, K., QUIRKE, P. &amp; STUDY, U. A. T. C. A. X.-R. A. F. I. 2002. DNA markers predicting benefit from adjuvant fluorouracil in patients with colon cancer: a molecular study. </w:t>
      </w:r>
      <w:r w:rsidRPr="006E12E2">
        <w:rPr>
          <w:i/>
          <w:noProof/>
        </w:rPr>
        <w:t>Lancet,</w:t>
      </w:r>
      <w:r w:rsidRPr="006E12E2">
        <w:rPr>
          <w:noProof/>
        </w:rPr>
        <w:t xml:space="preserve"> 360</w:t>
      </w:r>
      <w:r w:rsidRPr="006E12E2">
        <w:rPr>
          <w:b/>
          <w:noProof/>
        </w:rPr>
        <w:t>,</w:t>
      </w:r>
      <w:r w:rsidRPr="006E12E2">
        <w:rPr>
          <w:noProof/>
        </w:rPr>
        <w:t xml:space="preserve"> 1381-91.</w:t>
      </w:r>
    </w:p>
    <w:p w14:paraId="63CF8C6A" w14:textId="77777777" w:rsidR="006E12E2" w:rsidRPr="006E12E2" w:rsidRDefault="006E12E2" w:rsidP="006E12E2">
      <w:pPr>
        <w:pStyle w:val="EndNoteBibliography"/>
        <w:ind w:left="720" w:hanging="720"/>
        <w:rPr>
          <w:noProof/>
        </w:rPr>
      </w:pPr>
      <w:r w:rsidRPr="006E12E2">
        <w:rPr>
          <w:noProof/>
        </w:rPr>
        <w:t xml:space="preserve">BARSKI, A., CUDDAPAH, S., CUI, K., ROH, T. Y., SCHONES, D. E., WANG, Z., WEI, G., CHEPELEV, I. &amp; ZHAO, K. 2007. High-resolution profiling of histone methylations in the human genome. </w:t>
      </w:r>
      <w:r w:rsidRPr="006E12E2">
        <w:rPr>
          <w:i/>
          <w:noProof/>
        </w:rPr>
        <w:t>Cell,</w:t>
      </w:r>
      <w:r w:rsidRPr="006E12E2">
        <w:rPr>
          <w:noProof/>
        </w:rPr>
        <w:t xml:space="preserve"> 129</w:t>
      </w:r>
      <w:r w:rsidRPr="006E12E2">
        <w:rPr>
          <w:b/>
          <w:noProof/>
        </w:rPr>
        <w:t>,</w:t>
      </w:r>
      <w:r w:rsidRPr="006E12E2">
        <w:rPr>
          <w:noProof/>
        </w:rPr>
        <w:t xml:space="preserve"> 823-37.</w:t>
      </w:r>
    </w:p>
    <w:p w14:paraId="721904E4" w14:textId="77777777" w:rsidR="006E12E2" w:rsidRPr="006E12E2" w:rsidRDefault="006E12E2" w:rsidP="006E12E2">
      <w:pPr>
        <w:pStyle w:val="EndNoteBibliography"/>
        <w:ind w:left="720" w:hanging="720"/>
        <w:rPr>
          <w:noProof/>
        </w:rPr>
      </w:pPr>
      <w:r w:rsidRPr="006E12E2">
        <w:rPr>
          <w:noProof/>
        </w:rPr>
        <w:t xml:space="preserve">BASSETT, A. R., TIBBIT, C., PONTING, C. P. &amp; LIU, J. L. 2013. Highly efficient targeted mutagenesis of Drosophila with the CRISPR/Cas9 system. </w:t>
      </w:r>
      <w:r w:rsidRPr="006E12E2">
        <w:rPr>
          <w:i/>
          <w:noProof/>
        </w:rPr>
        <w:t>Cell Rep,</w:t>
      </w:r>
      <w:r w:rsidRPr="006E12E2">
        <w:rPr>
          <w:noProof/>
        </w:rPr>
        <w:t xml:space="preserve"> 4</w:t>
      </w:r>
      <w:r w:rsidRPr="006E12E2">
        <w:rPr>
          <w:b/>
          <w:noProof/>
        </w:rPr>
        <w:t>,</w:t>
      </w:r>
      <w:r w:rsidRPr="006E12E2">
        <w:rPr>
          <w:noProof/>
        </w:rPr>
        <w:t xml:space="preserve"> 220-8.</w:t>
      </w:r>
    </w:p>
    <w:p w14:paraId="2860CEBA" w14:textId="77777777" w:rsidR="006E12E2" w:rsidRPr="006E12E2" w:rsidRDefault="006E12E2" w:rsidP="006E12E2">
      <w:pPr>
        <w:pStyle w:val="EndNoteBibliography"/>
        <w:ind w:left="720" w:hanging="720"/>
        <w:rPr>
          <w:noProof/>
        </w:rPr>
      </w:pPr>
      <w:r w:rsidRPr="006E12E2">
        <w:rPr>
          <w:noProof/>
        </w:rPr>
        <w:t xml:space="preserve">BAURE, J., IZADI, A., SUAREZ, V., GIEDZINSKI, E., CLEAVER, J. E., FIKE, J. R. &amp; LIMOLI, C. L. 2009. Histone H2AX phosphorylation in response to changes in chromatin structure induced by altered osmolarity. </w:t>
      </w:r>
      <w:r w:rsidRPr="006E12E2">
        <w:rPr>
          <w:i/>
          <w:noProof/>
        </w:rPr>
        <w:t>Mutagenesis,</w:t>
      </w:r>
      <w:r w:rsidRPr="006E12E2">
        <w:rPr>
          <w:noProof/>
        </w:rPr>
        <w:t xml:space="preserve"> 24</w:t>
      </w:r>
      <w:r w:rsidRPr="006E12E2">
        <w:rPr>
          <w:b/>
          <w:noProof/>
        </w:rPr>
        <w:t>,</w:t>
      </w:r>
      <w:r w:rsidRPr="006E12E2">
        <w:rPr>
          <w:noProof/>
        </w:rPr>
        <w:t xml:space="preserve"> 161-7.</w:t>
      </w:r>
    </w:p>
    <w:p w14:paraId="64D4BAFF" w14:textId="77777777" w:rsidR="006E12E2" w:rsidRPr="006E12E2" w:rsidRDefault="006E12E2" w:rsidP="006E12E2">
      <w:pPr>
        <w:pStyle w:val="EndNoteBibliography"/>
        <w:ind w:left="720" w:hanging="720"/>
        <w:rPr>
          <w:noProof/>
        </w:rPr>
      </w:pPr>
      <w:r w:rsidRPr="006E12E2">
        <w:rPr>
          <w:noProof/>
        </w:rPr>
        <w:t xml:space="preserve">BEROUKHIM, R., MERMEL, C. H., PORTER, D., WEI, G., RAYCHAUDHURI, S., DONOVAN, J., BARRETINA, J., BOEHM, J. S., DOBSON, J., URASHIMA, M., MC HENRY, K. T., PINCHBACK, R. M., LIGON, A. H., CHO, Y. J., HAERY, L., GREULICH, H., REICH, M., WINCKLER, W., LAWRENCE, M. S., WEIR, B. A., TANAKA, K. E., CHIANG, D. Y., BASS, A. J., LOO, A., HOFFMAN, C., PRENSNER, J., LIEFELD, T., GAO, Q., YECIES, D., SIGNORETTI, S., MAHER, E., KAYE, F. J., SASAKI, H., TEPPER, J. E., FLETCHER, J. A., TABERNERO, J., BASELGA, J., TSAO, M. S., DEMICHELIS, F., RUBIN, M. A., JANNE, P. A., DALY, M. J., NUCERA, C., LEVINE, R. L., EBERT, B. L., GABRIEL, S., RUSTGI, A. K., ANTONESCU, C. R., LADANYI, M., LETAI, A., GARRAWAY, L. A., LODA, M., BEER, D. G., TRUE, L. D., OKAMOTO, A., POMEROY, S. L., SINGER, S., GOLUB, T. R., LANDER, E. S., GETZ, G., SELLERS, W. R. &amp; MEYERSON, M. 2010. The landscape of somatic copy-number alteration across human cancers. </w:t>
      </w:r>
      <w:r w:rsidRPr="006E12E2">
        <w:rPr>
          <w:i/>
          <w:noProof/>
        </w:rPr>
        <w:t>Nature,</w:t>
      </w:r>
      <w:r w:rsidRPr="006E12E2">
        <w:rPr>
          <w:noProof/>
        </w:rPr>
        <w:t xml:space="preserve"> 463</w:t>
      </w:r>
      <w:r w:rsidRPr="006E12E2">
        <w:rPr>
          <w:b/>
          <w:noProof/>
        </w:rPr>
        <w:t>,</w:t>
      </w:r>
      <w:r w:rsidRPr="006E12E2">
        <w:rPr>
          <w:noProof/>
        </w:rPr>
        <w:t xml:space="preserve"> 899-905.</w:t>
      </w:r>
    </w:p>
    <w:p w14:paraId="0263100C" w14:textId="77777777" w:rsidR="006E12E2" w:rsidRPr="006E12E2" w:rsidRDefault="006E12E2" w:rsidP="006E12E2">
      <w:pPr>
        <w:pStyle w:val="EndNoteBibliography"/>
        <w:ind w:left="720" w:hanging="720"/>
        <w:rPr>
          <w:noProof/>
        </w:rPr>
      </w:pPr>
      <w:r w:rsidRPr="006E12E2">
        <w:rPr>
          <w:noProof/>
        </w:rPr>
        <w:t xml:space="preserve">BERTORELLE, R., RAMPAZZO, E., PUCCIARELLI, S., NITTI, D. &amp; DE ROSSI, A. 2014. Telomeres, telomerase and colorectal cancer. </w:t>
      </w:r>
      <w:r w:rsidRPr="006E12E2">
        <w:rPr>
          <w:i/>
          <w:noProof/>
        </w:rPr>
        <w:t>World J Gastroenterol,</w:t>
      </w:r>
      <w:r w:rsidRPr="006E12E2">
        <w:rPr>
          <w:noProof/>
        </w:rPr>
        <w:t xml:space="preserve"> 20</w:t>
      </w:r>
      <w:r w:rsidRPr="006E12E2">
        <w:rPr>
          <w:b/>
          <w:noProof/>
        </w:rPr>
        <w:t>,</w:t>
      </w:r>
      <w:r w:rsidRPr="006E12E2">
        <w:rPr>
          <w:noProof/>
        </w:rPr>
        <w:t xml:space="preserve"> 1940-50.</w:t>
      </w:r>
    </w:p>
    <w:p w14:paraId="0745C8BC" w14:textId="77777777" w:rsidR="006E12E2" w:rsidRPr="006E12E2" w:rsidRDefault="006E12E2" w:rsidP="006E12E2">
      <w:pPr>
        <w:pStyle w:val="EndNoteBibliography"/>
        <w:ind w:left="720" w:hanging="720"/>
        <w:rPr>
          <w:noProof/>
        </w:rPr>
      </w:pPr>
      <w:r w:rsidRPr="006E12E2">
        <w:rPr>
          <w:noProof/>
        </w:rPr>
        <w:t xml:space="preserve">BHATTACHARJEE, D., SHENOY, S. &amp; BAIRY, K. L. 2016. DNA Methylation and Chromatin Remodeling: The Blueprint of Cancer Epigenetics. </w:t>
      </w:r>
      <w:r w:rsidRPr="006E12E2">
        <w:rPr>
          <w:i/>
          <w:noProof/>
        </w:rPr>
        <w:t>Scientifica (Cairo),</w:t>
      </w:r>
      <w:r w:rsidRPr="006E12E2">
        <w:rPr>
          <w:noProof/>
        </w:rPr>
        <w:t xml:space="preserve"> 2016</w:t>
      </w:r>
      <w:r w:rsidRPr="006E12E2">
        <w:rPr>
          <w:b/>
          <w:noProof/>
        </w:rPr>
        <w:t>,</w:t>
      </w:r>
      <w:r w:rsidRPr="006E12E2">
        <w:rPr>
          <w:noProof/>
        </w:rPr>
        <w:t xml:space="preserve"> 6072357.</w:t>
      </w:r>
    </w:p>
    <w:p w14:paraId="77C5C8F0" w14:textId="77777777" w:rsidR="006E12E2" w:rsidRPr="006E12E2" w:rsidRDefault="006E12E2" w:rsidP="006E12E2">
      <w:pPr>
        <w:pStyle w:val="EndNoteBibliography"/>
        <w:ind w:left="720" w:hanging="720"/>
        <w:rPr>
          <w:noProof/>
        </w:rPr>
      </w:pPr>
      <w:r w:rsidRPr="006E12E2">
        <w:rPr>
          <w:noProof/>
        </w:rPr>
        <w:t xml:space="preserve">BIANCO-MIOTTO, T., CHIAM, K., BUCHANAN, G., JINDAL, S., DAY, T. K., THOMAS, M., PICKERING, M. A., O'LOUGHLIN, M. A., RYAN, N. K., RAYMOND, W. A., HORVATH, L. G., KENCH, J. G., STRICKER, P. D., MARSHALL, V. R., SUTHERLAND, R. L., HENSHALL, S. M., GERALD, W. L., SCHER, H. I., RISBRIDGER, G. P., CLEMENTS, J. A., BUTLER, L. M., TILLEY, W. D., HORSFALL, D. J., RICCIARDELLI, C. &amp; BIORESOURCE, A. P. C. 2010. Global levels of specific histone modifications and an epigenetic gene signature predict prostate cancer progression and development. </w:t>
      </w:r>
      <w:r w:rsidRPr="006E12E2">
        <w:rPr>
          <w:i/>
          <w:noProof/>
        </w:rPr>
        <w:t>Cancer Epidemiol Biomarkers Prev,</w:t>
      </w:r>
      <w:r w:rsidRPr="006E12E2">
        <w:rPr>
          <w:noProof/>
        </w:rPr>
        <w:t xml:space="preserve"> 19</w:t>
      </w:r>
      <w:r w:rsidRPr="006E12E2">
        <w:rPr>
          <w:b/>
          <w:noProof/>
        </w:rPr>
        <w:t>,</w:t>
      </w:r>
      <w:r w:rsidRPr="006E12E2">
        <w:rPr>
          <w:noProof/>
        </w:rPr>
        <w:t xml:space="preserve"> 2611-22.</w:t>
      </w:r>
    </w:p>
    <w:p w14:paraId="05794890" w14:textId="77777777" w:rsidR="006E12E2" w:rsidRPr="006E12E2" w:rsidRDefault="006E12E2" w:rsidP="006E12E2">
      <w:pPr>
        <w:pStyle w:val="EndNoteBibliography"/>
        <w:ind w:left="720" w:hanging="720"/>
        <w:rPr>
          <w:noProof/>
        </w:rPr>
      </w:pPr>
      <w:r w:rsidRPr="006E12E2">
        <w:rPr>
          <w:noProof/>
        </w:rPr>
        <w:t xml:space="preserve">BIGNOLD, L. P., COGHLAN, B. L. &amp; JERSMANN, H. P. 2006. Hansemann, Boveri, chromosomes and the gametogenesis-related theories of tumours. </w:t>
      </w:r>
      <w:r w:rsidRPr="006E12E2">
        <w:rPr>
          <w:i/>
          <w:noProof/>
        </w:rPr>
        <w:t>Cell Biol Int,</w:t>
      </w:r>
      <w:r w:rsidRPr="006E12E2">
        <w:rPr>
          <w:noProof/>
        </w:rPr>
        <w:t xml:space="preserve"> 30</w:t>
      </w:r>
      <w:r w:rsidRPr="006E12E2">
        <w:rPr>
          <w:b/>
          <w:noProof/>
        </w:rPr>
        <w:t>,</w:t>
      </w:r>
      <w:r w:rsidRPr="006E12E2">
        <w:rPr>
          <w:noProof/>
        </w:rPr>
        <w:t xml:space="preserve"> 640-4.</w:t>
      </w:r>
    </w:p>
    <w:p w14:paraId="3667A575" w14:textId="77777777" w:rsidR="006E12E2" w:rsidRPr="006E12E2" w:rsidRDefault="006E12E2" w:rsidP="006E12E2">
      <w:pPr>
        <w:pStyle w:val="EndNoteBibliography"/>
        <w:ind w:left="720" w:hanging="720"/>
        <w:rPr>
          <w:noProof/>
        </w:rPr>
      </w:pPr>
      <w:r w:rsidRPr="006E12E2">
        <w:rPr>
          <w:noProof/>
        </w:rPr>
        <w:t xml:space="preserve">BOARDMAN, L. A., JOHNSON, R. A., PETERSEN, G. M., OBERG, A. L., KABAT, B. F., SLUSSER, J. P., WANG, L., MORLAN, B. W., FRENCH, A. J., SMYRK, T. C., LINDOR, N. M. &amp; THIBODEAU, S. N. 2007. Higher frequency of diploidy in young-onset microsatellite-stable colorectal cancer. </w:t>
      </w:r>
      <w:r w:rsidRPr="006E12E2">
        <w:rPr>
          <w:i/>
          <w:noProof/>
        </w:rPr>
        <w:t>Clin Cancer Res,</w:t>
      </w:r>
      <w:r w:rsidRPr="006E12E2">
        <w:rPr>
          <w:noProof/>
        </w:rPr>
        <w:t xml:space="preserve"> 13</w:t>
      </w:r>
      <w:r w:rsidRPr="006E12E2">
        <w:rPr>
          <w:b/>
          <w:noProof/>
        </w:rPr>
        <w:t>,</w:t>
      </w:r>
      <w:r w:rsidRPr="006E12E2">
        <w:rPr>
          <w:noProof/>
        </w:rPr>
        <w:t xml:space="preserve"> 2323-8.</w:t>
      </w:r>
    </w:p>
    <w:p w14:paraId="502F02E8" w14:textId="77777777" w:rsidR="006E12E2" w:rsidRPr="006E12E2" w:rsidRDefault="006E12E2" w:rsidP="006E12E2">
      <w:pPr>
        <w:pStyle w:val="EndNoteBibliography"/>
        <w:ind w:left="720" w:hanging="720"/>
        <w:rPr>
          <w:noProof/>
        </w:rPr>
      </w:pPr>
      <w:r w:rsidRPr="006E12E2">
        <w:rPr>
          <w:noProof/>
        </w:rPr>
        <w:t xml:space="preserve">BODNAR, A. G., OUELLETTE, M., FROLKIS, M., HOLT, S. E., CHIU, C. P., MORIN, G. B., HARLEY, C. B., SHAY, J. W., LICHTSTEINER, S. &amp; WRIGHT, W. E. 1998. Extension of life-span by introduction of telomerase into normal human cells. </w:t>
      </w:r>
      <w:r w:rsidRPr="006E12E2">
        <w:rPr>
          <w:i/>
          <w:noProof/>
        </w:rPr>
        <w:t>Science,</w:t>
      </w:r>
      <w:r w:rsidRPr="006E12E2">
        <w:rPr>
          <w:noProof/>
        </w:rPr>
        <w:t xml:space="preserve"> 279</w:t>
      </w:r>
      <w:r w:rsidRPr="006E12E2">
        <w:rPr>
          <w:b/>
          <w:noProof/>
        </w:rPr>
        <w:t>,</w:t>
      </w:r>
      <w:r w:rsidRPr="006E12E2">
        <w:rPr>
          <w:noProof/>
        </w:rPr>
        <w:t xml:space="preserve"> 349-52.</w:t>
      </w:r>
    </w:p>
    <w:p w14:paraId="3C74C8DE" w14:textId="77777777" w:rsidR="006E12E2" w:rsidRPr="006E12E2" w:rsidRDefault="006E12E2" w:rsidP="006E12E2">
      <w:pPr>
        <w:pStyle w:val="EndNoteBibliography"/>
        <w:ind w:left="720" w:hanging="720"/>
        <w:rPr>
          <w:noProof/>
        </w:rPr>
      </w:pPr>
      <w:r w:rsidRPr="006E12E2">
        <w:rPr>
          <w:noProof/>
        </w:rPr>
        <w:t xml:space="preserve">BOKEMEYER, C., BONDARENKO, I., HARTMANN, J. T., DE BRAUD, F., SCHUCH, G., ZUBEL, A., CELIK, I., SCHLICHTING, M. &amp; KORALEWSKI, P. 2011. Efficacy according to biomarker status of cetuximab plus FOLFOX-4 as first-line treatment for metastatic colorectal cancer: the OPUS study. </w:t>
      </w:r>
      <w:r w:rsidRPr="006E12E2">
        <w:rPr>
          <w:i/>
          <w:noProof/>
        </w:rPr>
        <w:t>Ann Oncol,</w:t>
      </w:r>
      <w:r w:rsidRPr="006E12E2">
        <w:rPr>
          <w:noProof/>
        </w:rPr>
        <w:t xml:space="preserve"> 22</w:t>
      </w:r>
      <w:r w:rsidRPr="006E12E2">
        <w:rPr>
          <w:b/>
          <w:noProof/>
        </w:rPr>
        <w:t>,</w:t>
      </w:r>
      <w:r w:rsidRPr="006E12E2">
        <w:rPr>
          <w:noProof/>
        </w:rPr>
        <w:t xml:space="preserve"> 1535-46.</w:t>
      </w:r>
    </w:p>
    <w:p w14:paraId="38D0508D" w14:textId="77777777" w:rsidR="006E12E2" w:rsidRPr="006E12E2" w:rsidRDefault="006E12E2" w:rsidP="006E12E2">
      <w:pPr>
        <w:pStyle w:val="EndNoteBibliography"/>
        <w:ind w:left="720" w:hanging="720"/>
        <w:rPr>
          <w:noProof/>
        </w:rPr>
      </w:pPr>
      <w:r w:rsidRPr="006E12E2">
        <w:rPr>
          <w:noProof/>
        </w:rPr>
        <w:t xml:space="preserve">BOLAND, C. R. &amp; GOEL, A. 2010. Microsatellite instability in colorectal cancer. </w:t>
      </w:r>
      <w:r w:rsidRPr="006E12E2">
        <w:rPr>
          <w:i/>
          <w:noProof/>
        </w:rPr>
        <w:t>Gastroenterology,</w:t>
      </w:r>
      <w:r w:rsidRPr="006E12E2">
        <w:rPr>
          <w:noProof/>
        </w:rPr>
        <w:t xml:space="preserve"> 138</w:t>
      </w:r>
      <w:r w:rsidRPr="006E12E2">
        <w:rPr>
          <w:b/>
          <w:noProof/>
        </w:rPr>
        <w:t>,</w:t>
      </w:r>
      <w:r w:rsidRPr="006E12E2">
        <w:rPr>
          <w:noProof/>
        </w:rPr>
        <w:t xml:space="preserve"> 2073-2087.e3.</w:t>
      </w:r>
    </w:p>
    <w:p w14:paraId="1B002043" w14:textId="77777777" w:rsidR="006E12E2" w:rsidRPr="006E12E2" w:rsidRDefault="006E12E2" w:rsidP="006E12E2">
      <w:pPr>
        <w:pStyle w:val="EndNoteBibliography"/>
        <w:ind w:left="720" w:hanging="720"/>
        <w:rPr>
          <w:noProof/>
        </w:rPr>
      </w:pPr>
      <w:r w:rsidRPr="006E12E2">
        <w:rPr>
          <w:noProof/>
        </w:rPr>
        <w:t xml:space="preserve">BOLAND, C. R., THIBODEAU, S. N., HAMILTON, S. R., SIDRANSKY, D., ESHLEMAN, J. R., BURT, R. W., MELTZER, S. J., RODRIGUEZ-BIGAS, M. A., FODDE, R., RANZANI, G. N. &amp; SRIVASTAVA, S. 1998. A National Cancer Institute Workshop on Microsatellite Instability for cancer detection and familial predisposition: development of international criteria for the determination of microsatellite instability in colorectal cancer. </w:t>
      </w:r>
      <w:r w:rsidRPr="006E12E2">
        <w:rPr>
          <w:i/>
          <w:noProof/>
        </w:rPr>
        <w:t>Cancer Res,</w:t>
      </w:r>
      <w:r w:rsidRPr="006E12E2">
        <w:rPr>
          <w:noProof/>
        </w:rPr>
        <w:t xml:space="preserve"> 58</w:t>
      </w:r>
      <w:r w:rsidRPr="006E12E2">
        <w:rPr>
          <w:b/>
          <w:noProof/>
        </w:rPr>
        <w:t>,</w:t>
      </w:r>
      <w:r w:rsidRPr="006E12E2">
        <w:rPr>
          <w:noProof/>
        </w:rPr>
        <w:t xml:space="preserve"> 5248-57.</w:t>
      </w:r>
    </w:p>
    <w:p w14:paraId="53C30EBF" w14:textId="77777777" w:rsidR="006E12E2" w:rsidRPr="006E12E2" w:rsidRDefault="006E12E2" w:rsidP="006E12E2">
      <w:pPr>
        <w:pStyle w:val="EndNoteBibliography"/>
        <w:ind w:left="720" w:hanging="720"/>
        <w:rPr>
          <w:noProof/>
        </w:rPr>
      </w:pPr>
      <w:r w:rsidRPr="006E12E2">
        <w:rPr>
          <w:noProof/>
        </w:rPr>
        <w:t xml:space="preserve">BONDI, J., BUKHOLM, G., NESLAND, J. M. &amp; BUKHOLM, I. R. 2004. Expression of non-membranous beta-catenin and gamma-catenin, c-Myc and cyclin D1 in relation to patient outcome in human colon adenocarcinomas. </w:t>
      </w:r>
      <w:r w:rsidRPr="006E12E2">
        <w:rPr>
          <w:i/>
          <w:noProof/>
        </w:rPr>
        <w:t>APMIS,</w:t>
      </w:r>
      <w:r w:rsidRPr="006E12E2">
        <w:rPr>
          <w:noProof/>
        </w:rPr>
        <w:t xml:space="preserve"> 112</w:t>
      </w:r>
      <w:r w:rsidRPr="006E12E2">
        <w:rPr>
          <w:b/>
          <w:noProof/>
        </w:rPr>
        <w:t>,</w:t>
      </w:r>
      <w:r w:rsidRPr="006E12E2">
        <w:rPr>
          <w:noProof/>
        </w:rPr>
        <w:t xml:space="preserve"> 49-56.</w:t>
      </w:r>
    </w:p>
    <w:p w14:paraId="5BB9CA32" w14:textId="77777777" w:rsidR="006E12E2" w:rsidRPr="006E12E2" w:rsidRDefault="006E12E2" w:rsidP="006E12E2">
      <w:pPr>
        <w:pStyle w:val="EndNoteBibliography"/>
        <w:ind w:left="720" w:hanging="720"/>
        <w:rPr>
          <w:noProof/>
        </w:rPr>
      </w:pPr>
      <w:r w:rsidRPr="006E12E2">
        <w:rPr>
          <w:noProof/>
        </w:rPr>
        <w:t xml:space="preserve">BOS, J. L., FEARON, E. R., HAMILTON, S. R., VERLAAN-DE VRIES, M., VAN BOOM, J. H., VAN DER EB, A. J. &amp; VOGELSTEIN, B. 1987. Prevalence of ras gene mutations in human colorectal cancers. </w:t>
      </w:r>
      <w:r w:rsidRPr="006E12E2">
        <w:rPr>
          <w:i/>
          <w:noProof/>
        </w:rPr>
        <w:t>Nature,</w:t>
      </w:r>
      <w:r w:rsidRPr="006E12E2">
        <w:rPr>
          <w:noProof/>
        </w:rPr>
        <w:t xml:space="preserve"> 327</w:t>
      </w:r>
      <w:r w:rsidRPr="006E12E2">
        <w:rPr>
          <w:b/>
          <w:noProof/>
        </w:rPr>
        <w:t>,</w:t>
      </w:r>
      <w:r w:rsidRPr="006E12E2">
        <w:rPr>
          <w:noProof/>
        </w:rPr>
        <w:t xml:space="preserve"> 293-7.</w:t>
      </w:r>
    </w:p>
    <w:p w14:paraId="29E56867" w14:textId="77777777" w:rsidR="006E12E2" w:rsidRPr="006E12E2" w:rsidRDefault="006E12E2" w:rsidP="006E12E2">
      <w:pPr>
        <w:pStyle w:val="EndNoteBibliography"/>
        <w:ind w:left="720" w:hanging="720"/>
        <w:rPr>
          <w:noProof/>
        </w:rPr>
      </w:pPr>
      <w:r w:rsidRPr="006E12E2">
        <w:rPr>
          <w:noProof/>
        </w:rPr>
        <w:t xml:space="preserve">BOUVARD, V., LOOMIS, D., GUYTON, K. Z., GROSSE, Y., GHISSASSI, F. E., BENBRAHIM-TALLAA, L., GUHA, N., MATTOCK, H., STRAIF, K. &amp; GROUP, I. A. F. R. O. C. M. W. 2015. Carcinogenicity of consumption of red and processed meat. </w:t>
      </w:r>
      <w:r w:rsidRPr="006E12E2">
        <w:rPr>
          <w:i/>
          <w:noProof/>
        </w:rPr>
        <w:t>Lancet Oncol</w:t>
      </w:r>
      <w:r w:rsidRPr="006E12E2">
        <w:rPr>
          <w:noProof/>
        </w:rPr>
        <w:t>.</w:t>
      </w:r>
    </w:p>
    <w:p w14:paraId="6F8FD293" w14:textId="77777777" w:rsidR="006E12E2" w:rsidRPr="006E12E2" w:rsidRDefault="006E12E2" w:rsidP="006E12E2">
      <w:pPr>
        <w:pStyle w:val="EndNoteBibliography"/>
        <w:ind w:left="720" w:hanging="720"/>
        <w:rPr>
          <w:noProof/>
        </w:rPr>
      </w:pPr>
      <w:r w:rsidRPr="006E12E2">
        <w:rPr>
          <w:noProof/>
        </w:rPr>
        <w:t xml:space="preserve">BOWMAN, T. A., WONG, M. M., COX, L. K., BALDASSARE, J. J. &amp; CHRIVIA, J. C. 2011. Loss of H2A.Z Is Not Sufficient to Determine Transcriptional Activity of Snf2-Related CBP Activator Protein or p400 Complexes. </w:t>
      </w:r>
      <w:r w:rsidRPr="006E12E2">
        <w:rPr>
          <w:i/>
          <w:noProof/>
        </w:rPr>
        <w:t>Int J Cell Biol,</w:t>
      </w:r>
      <w:r w:rsidRPr="006E12E2">
        <w:rPr>
          <w:noProof/>
        </w:rPr>
        <w:t xml:space="preserve"> 2011</w:t>
      </w:r>
      <w:r w:rsidRPr="006E12E2">
        <w:rPr>
          <w:b/>
          <w:noProof/>
        </w:rPr>
        <w:t>,</w:t>
      </w:r>
      <w:r w:rsidRPr="006E12E2">
        <w:rPr>
          <w:noProof/>
        </w:rPr>
        <w:t xml:space="preserve"> 715642.</w:t>
      </w:r>
    </w:p>
    <w:p w14:paraId="1CEC03EC" w14:textId="77777777" w:rsidR="006E12E2" w:rsidRPr="006E12E2" w:rsidRDefault="006E12E2" w:rsidP="006E12E2">
      <w:pPr>
        <w:pStyle w:val="EndNoteBibliography"/>
        <w:ind w:left="720" w:hanging="720"/>
        <w:rPr>
          <w:noProof/>
        </w:rPr>
      </w:pPr>
      <w:r w:rsidRPr="006E12E2">
        <w:rPr>
          <w:noProof/>
        </w:rPr>
        <w:t xml:space="preserve">BRAHMA, S., UDUGAMA, M. I., KIM, J., HADA, A., BHARDWAJ, S. K., HAILU, S. G., LEE, T. H. &amp; BARTHOLOMEW, B. 2017. INO80 exchanges H2A.Z for H2A by translocating on DNA proximal to histone dimers. </w:t>
      </w:r>
      <w:r w:rsidRPr="006E12E2">
        <w:rPr>
          <w:i/>
          <w:noProof/>
        </w:rPr>
        <w:t>Nat Commun,</w:t>
      </w:r>
      <w:r w:rsidRPr="006E12E2">
        <w:rPr>
          <w:noProof/>
        </w:rPr>
        <w:t xml:space="preserve"> 8</w:t>
      </w:r>
      <w:r w:rsidRPr="006E12E2">
        <w:rPr>
          <w:b/>
          <w:noProof/>
        </w:rPr>
        <w:t>,</w:t>
      </w:r>
      <w:r w:rsidRPr="006E12E2">
        <w:rPr>
          <w:noProof/>
        </w:rPr>
        <w:t xml:space="preserve"> 15616.</w:t>
      </w:r>
    </w:p>
    <w:p w14:paraId="5B46B025" w14:textId="77777777" w:rsidR="006E12E2" w:rsidRPr="006E12E2" w:rsidRDefault="006E12E2" w:rsidP="006E12E2">
      <w:pPr>
        <w:pStyle w:val="EndNoteBibliography"/>
        <w:ind w:left="720" w:hanging="720"/>
        <w:rPr>
          <w:noProof/>
        </w:rPr>
      </w:pPr>
      <w:r w:rsidRPr="006E12E2">
        <w:rPr>
          <w:noProof/>
        </w:rPr>
        <w:t xml:space="preserve">BRAT, D. J., VERHAAK, R. G., ALDAPE, K. D., YUNG, W. K., SALAMA, S. R., COOPER, L. A., RHEINBAY, E., MILLER, C. R., VITUCCI, M., MOROZOVA, O., ROBERTSON, A. G., NOUSHMEHR, H., LAIRD, P. W., CHERNIACK, A. D., AKBANI, R., HUSE, J. T., CIRIELLO, G., POISSON, L. M., BARNHOLTZ-SLOAN, J. S., BERGER, M. S., BRENNAN, C., COLEN, R. R., COLMAN, H., FLANDERS, A. E., GIANNINI, C., GRIFFORD, M., IAVARONE, A., JAIN, R., JOSEPH, I., KIM, J., KASAIAN, K., MIKKELSEN, T., MURRAY, B. A., O'NEILL, B. P., PACHTER, L., PARSONS, D. W., SOUGNEZ, C., SULMAN, E. P., VANDENBERG, S. R., VAN MEIR, E. G., VON DEIMLING, A., ZHANG, H., CRAIN, D., LAU, K., MALLERY, D., MORRIS, S., PAULAUSKIS, J., PENNY, R., SHELTON, T., SHERMAN, M., YENA, P., BLACK, A., BOWEN, J., DICOSTANZO, K., GASTIER-FOSTER, J., LERAAS, K. M., LICHTENBERG, T. M., PIERSON, C. R., RAMIREZ, N. C., TAYLOR, C., WEAVER, S., WISE, L., ZMUDA, E., DAVIDSEN, T., DEMCHOK, J. A., ELEY, G., FERGUSON, M. L., HUTTER, C. M., MILLS SHAW, K. R., OZENBERGER, B. A., SHETH, M., SOFIA, H. J., TARNUZZER, R., WANG, Z., YANG, L., ZENKLUSEN, J. C., AYALA, B., BABOUD, J., CHUDAMANI, S., JENSEN, M. A., LIU, J., PIHL, T., RAMAN, R., WAN, Y., WU, Y., ALLY, A., AUMAN, J. T., BALASUNDARAM, M., BALU, S., BAYLIN, S. B., BEROUKHIM, R., BOOTWALLA, M. S., BOWLBY, R., BRISTOW, C. A., BROOKS, D., BUTTERFIELD, Y., CARLSEN, R., CARTER, S., CHIN, L., CHU, A., et al. 2015. Comprehensive, Integrative Genomic Analysis of Diffuse Lower-Grade Gliomas. </w:t>
      </w:r>
      <w:r w:rsidRPr="006E12E2">
        <w:rPr>
          <w:i/>
          <w:noProof/>
        </w:rPr>
        <w:t>N Engl J Med,</w:t>
      </w:r>
      <w:r w:rsidRPr="006E12E2">
        <w:rPr>
          <w:noProof/>
        </w:rPr>
        <w:t xml:space="preserve"> 372</w:t>
      </w:r>
      <w:r w:rsidRPr="006E12E2">
        <w:rPr>
          <w:b/>
          <w:noProof/>
        </w:rPr>
        <w:t>,</w:t>
      </w:r>
      <w:r w:rsidRPr="006E12E2">
        <w:rPr>
          <w:noProof/>
        </w:rPr>
        <w:t xml:space="preserve"> 2481-98.</w:t>
      </w:r>
    </w:p>
    <w:p w14:paraId="4DF4CF99" w14:textId="77777777" w:rsidR="006E12E2" w:rsidRPr="006E12E2" w:rsidRDefault="006E12E2" w:rsidP="006E12E2">
      <w:pPr>
        <w:pStyle w:val="EndNoteBibliography"/>
        <w:ind w:left="720" w:hanging="720"/>
        <w:rPr>
          <w:noProof/>
        </w:rPr>
      </w:pPr>
      <w:r w:rsidRPr="006E12E2">
        <w:rPr>
          <w:noProof/>
        </w:rPr>
        <w:t xml:space="preserve">BRATTAIN, M. G., FINE, W. D., KHALED, F. M., THOMPSON, J. &amp; BRATTAIN, D. E. 1981. Heterogeneity of malignant cells from a human colonic carcinoma. </w:t>
      </w:r>
      <w:r w:rsidRPr="006E12E2">
        <w:rPr>
          <w:i/>
          <w:noProof/>
        </w:rPr>
        <w:t>Cancer Res,</w:t>
      </w:r>
      <w:r w:rsidRPr="006E12E2">
        <w:rPr>
          <w:noProof/>
        </w:rPr>
        <w:t xml:space="preserve"> 41</w:t>
      </w:r>
      <w:r w:rsidRPr="006E12E2">
        <w:rPr>
          <w:b/>
          <w:noProof/>
        </w:rPr>
        <w:t>,</w:t>
      </w:r>
      <w:r w:rsidRPr="006E12E2">
        <w:rPr>
          <w:noProof/>
        </w:rPr>
        <w:t xml:space="preserve"> 1751-6.</w:t>
      </w:r>
    </w:p>
    <w:p w14:paraId="7C50BC91" w14:textId="77777777" w:rsidR="006E12E2" w:rsidRPr="006E12E2" w:rsidRDefault="006E12E2" w:rsidP="006E12E2">
      <w:pPr>
        <w:pStyle w:val="EndNoteBibliography"/>
        <w:ind w:left="720" w:hanging="720"/>
        <w:rPr>
          <w:noProof/>
        </w:rPr>
      </w:pPr>
      <w:r w:rsidRPr="006E12E2">
        <w:rPr>
          <w:noProof/>
        </w:rPr>
        <w:t xml:space="preserve">BROSENS, R. P., HAAN, J. C., CARVALHO, B., RUSTENBURG, F., GRABSCH, H., QUIRKE, P., ENGEL, A. F., CUESTA, M. A., MAUGHAN, N., FLENS, M., MEIJER, G. A. &amp; YLSTRA, B. 2010. Candidate driver genes in focal chromosomal aberrations of stage II colon cancer. </w:t>
      </w:r>
      <w:r w:rsidRPr="006E12E2">
        <w:rPr>
          <w:i/>
          <w:noProof/>
        </w:rPr>
        <w:t>J Pathol,</w:t>
      </w:r>
      <w:r w:rsidRPr="006E12E2">
        <w:rPr>
          <w:noProof/>
        </w:rPr>
        <w:t xml:space="preserve"> 221</w:t>
      </w:r>
      <w:r w:rsidRPr="006E12E2">
        <w:rPr>
          <w:b/>
          <w:noProof/>
        </w:rPr>
        <w:t>,</w:t>
      </w:r>
      <w:r w:rsidRPr="006E12E2">
        <w:rPr>
          <w:noProof/>
        </w:rPr>
        <w:t xml:space="preserve"> 411-24.</w:t>
      </w:r>
    </w:p>
    <w:p w14:paraId="608A6BCD" w14:textId="77777777" w:rsidR="006E12E2" w:rsidRPr="006E12E2" w:rsidRDefault="006E12E2" w:rsidP="006E12E2">
      <w:pPr>
        <w:pStyle w:val="EndNoteBibliography"/>
        <w:ind w:left="720" w:hanging="720"/>
        <w:rPr>
          <w:noProof/>
        </w:rPr>
      </w:pPr>
      <w:r w:rsidRPr="006E12E2">
        <w:rPr>
          <w:noProof/>
        </w:rPr>
        <w:t xml:space="preserve">BRYANT, H. E., SCHULTZ, N., THOMAS, H. D., PARKER, K. M., FLOWER, D., LOPEZ, E., KYLE, S., MEUTH, M., CURTIN, N. J. &amp; HELLEDAY, T. 2005. Specific killing of BRCA2-deficient tumours with inhibitors of poly(ADP-ribose) polymerase. </w:t>
      </w:r>
      <w:r w:rsidRPr="006E12E2">
        <w:rPr>
          <w:i/>
          <w:noProof/>
        </w:rPr>
        <w:t>Nature,</w:t>
      </w:r>
      <w:r w:rsidRPr="006E12E2">
        <w:rPr>
          <w:noProof/>
        </w:rPr>
        <w:t xml:space="preserve"> 434</w:t>
      </w:r>
      <w:r w:rsidRPr="006E12E2">
        <w:rPr>
          <w:b/>
          <w:noProof/>
        </w:rPr>
        <w:t>,</w:t>
      </w:r>
      <w:r w:rsidRPr="006E12E2">
        <w:rPr>
          <w:noProof/>
        </w:rPr>
        <w:t xml:space="preserve"> 913-7.</w:t>
      </w:r>
    </w:p>
    <w:p w14:paraId="0D7578B3" w14:textId="77777777" w:rsidR="006E12E2" w:rsidRPr="006E12E2" w:rsidRDefault="006E12E2" w:rsidP="006E12E2">
      <w:pPr>
        <w:pStyle w:val="EndNoteBibliography"/>
        <w:ind w:left="720" w:hanging="720"/>
        <w:rPr>
          <w:noProof/>
        </w:rPr>
      </w:pPr>
      <w:r w:rsidRPr="006E12E2">
        <w:rPr>
          <w:noProof/>
        </w:rPr>
        <w:t xml:space="preserve">BULTMAN, S., GEBUHR, T., YEE, D., LA MANTIA, C., NICHOLSON, J., GILLIAM, A., RANDAZZO, F., METZGER, D., CHAMBON, P., CRABTREE, G. &amp; MAGNUSON, T. 2000. A Brg1 null mutation in the mouse reveals functional differences among mammalian SWI/SNF complexes. </w:t>
      </w:r>
      <w:r w:rsidRPr="006E12E2">
        <w:rPr>
          <w:i/>
          <w:noProof/>
        </w:rPr>
        <w:t>Mol Cell,</w:t>
      </w:r>
      <w:r w:rsidRPr="006E12E2">
        <w:rPr>
          <w:noProof/>
        </w:rPr>
        <w:t xml:space="preserve"> 6</w:t>
      </w:r>
      <w:r w:rsidRPr="006E12E2">
        <w:rPr>
          <w:b/>
          <w:noProof/>
        </w:rPr>
        <w:t>,</w:t>
      </w:r>
      <w:r w:rsidRPr="006E12E2">
        <w:rPr>
          <w:noProof/>
        </w:rPr>
        <w:t xml:space="preserve"> 1287-95.</w:t>
      </w:r>
    </w:p>
    <w:p w14:paraId="283C8431" w14:textId="77777777" w:rsidR="006E12E2" w:rsidRPr="006E12E2" w:rsidRDefault="006E12E2" w:rsidP="006E12E2">
      <w:pPr>
        <w:pStyle w:val="EndNoteBibliography"/>
        <w:ind w:left="720" w:hanging="720"/>
        <w:rPr>
          <w:noProof/>
        </w:rPr>
      </w:pPr>
      <w:r w:rsidRPr="006E12E2">
        <w:rPr>
          <w:noProof/>
        </w:rPr>
        <w:t xml:space="preserve">BUNZ, F., DUTRIAUX, A., LENGAUER, C., WALDMAN, T., ZHOU, S., BROWN, J. P., SEDIVY, J. M., KINZLER, K. W. &amp; VOGELSTEIN, B. 1998. Requirement for p53 and p21 to sustain G2 arrest after DNA damage. </w:t>
      </w:r>
      <w:r w:rsidRPr="006E12E2">
        <w:rPr>
          <w:i/>
          <w:noProof/>
        </w:rPr>
        <w:t>Science,</w:t>
      </w:r>
      <w:r w:rsidRPr="006E12E2">
        <w:rPr>
          <w:noProof/>
        </w:rPr>
        <w:t xml:space="preserve"> 282</w:t>
      </w:r>
      <w:r w:rsidRPr="006E12E2">
        <w:rPr>
          <w:b/>
          <w:noProof/>
        </w:rPr>
        <w:t>,</w:t>
      </w:r>
      <w:r w:rsidRPr="006E12E2">
        <w:rPr>
          <w:noProof/>
        </w:rPr>
        <w:t xml:space="preserve"> 1497-501.</w:t>
      </w:r>
    </w:p>
    <w:p w14:paraId="6205A42F" w14:textId="77777777" w:rsidR="006E12E2" w:rsidRPr="006E12E2" w:rsidRDefault="006E12E2" w:rsidP="006E12E2">
      <w:pPr>
        <w:pStyle w:val="EndNoteBibliography"/>
        <w:ind w:left="720" w:hanging="720"/>
        <w:rPr>
          <w:noProof/>
        </w:rPr>
      </w:pPr>
      <w:r w:rsidRPr="006E12E2">
        <w:rPr>
          <w:noProof/>
        </w:rPr>
        <w:t xml:space="preserve">BUNZ, F., HWANG, P. M., TORRANCE, C., WALDMAN, T., ZHANG, Y., DILLEHAY, L., WILLIAMS, J., LENGAUER, C., KINZLER, K. W. &amp; VOGELSTEIN, B. 1999. Disruption of p53 in human cancer cells alters the responses to therapeutic agents. </w:t>
      </w:r>
      <w:r w:rsidRPr="006E12E2">
        <w:rPr>
          <w:i/>
          <w:noProof/>
        </w:rPr>
        <w:t>J Clin Invest,</w:t>
      </w:r>
      <w:r w:rsidRPr="006E12E2">
        <w:rPr>
          <w:noProof/>
        </w:rPr>
        <w:t xml:space="preserve"> 104</w:t>
      </w:r>
      <w:r w:rsidRPr="006E12E2">
        <w:rPr>
          <w:b/>
          <w:noProof/>
        </w:rPr>
        <w:t>,</w:t>
      </w:r>
      <w:r w:rsidRPr="006E12E2">
        <w:rPr>
          <w:noProof/>
        </w:rPr>
        <w:t xml:space="preserve"> 263-9.</w:t>
      </w:r>
    </w:p>
    <w:p w14:paraId="4E93354A" w14:textId="77777777" w:rsidR="006E12E2" w:rsidRPr="006E12E2" w:rsidRDefault="006E12E2" w:rsidP="006E12E2">
      <w:pPr>
        <w:pStyle w:val="EndNoteBibliography"/>
        <w:ind w:left="720" w:hanging="720"/>
        <w:rPr>
          <w:noProof/>
        </w:rPr>
      </w:pPr>
      <w:r w:rsidRPr="006E12E2">
        <w:rPr>
          <w:noProof/>
        </w:rPr>
        <w:t xml:space="preserve">BURGHEL, G. J., LIN, W. Y., WHITEHOUSE, H., BROCK, I., HAMMOND, D., BURY, J., STEPHENSON, Y., GEORGE, R. &amp; COX, A. 2013. Identification of candidate driver genes in common focal chromosomal aberrations of microsatellite stable colorectal cancer. </w:t>
      </w:r>
      <w:r w:rsidRPr="006E12E2">
        <w:rPr>
          <w:i/>
          <w:noProof/>
        </w:rPr>
        <w:t>PLoS One,</w:t>
      </w:r>
      <w:r w:rsidRPr="006E12E2">
        <w:rPr>
          <w:noProof/>
        </w:rPr>
        <w:t xml:space="preserve"> 8</w:t>
      </w:r>
      <w:r w:rsidRPr="006E12E2">
        <w:rPr>
          <w:b/>
          <w:noProof/>
        </w:rPr>
        <w:t>,</w:t>
      </w:r>
      <w:r w:rsidRPr="006E12E2">
        <w:rPr>
          <w:noProof/>
        </w:rPr>
        <w:t xml:space="preserve"> e83859.</w:t>
      </w:r>
    </w:p>
    <w:p w14:paraId="4C86E084" w14:textId="77777777" w:rsidR="006E12E2" w:rsidRPr="006E12E2" w:rsidRDefault="006E12E2" w:rsidP="006E12E2">
      <w:pPr>
        <w:pStyle w:val="EndNoteBibliography"/>
        <w:ind w:left="720" w:hanging="720"/>
        <w:rPr>
          <w:noProof/>
        </w:rPr>
      </w:pPr>
      <w:r w:rsidRPr="006E12E2">
        <w:rPr>
          <w:noProof/>
        </w:rPr>
        <w:t xml:space="preserve">BUSCHBECK, M. &amp; HAKE, S. B. 2017. Variants of core histones and their roles in cell fate decisions, development and cancer. </w:t>
      </w:r>
      <w:r w:rsidRPr="006E12E2">
        <w:rPr>
          <w:i/>
          <w:noProof/>
        </w:rPr>
        <w:t>Nat Rev Mol Cell Biol,</w:t>
      </w:r>
      <w:r w:rsidRPr="006E12E2">
        <w:rPr>
          <w:noProof/>
        </w:rPr>
        <w:t xml:space="preserve"> 18</w:t>
      </w:r>
      <w:r w:rsidRPr="006E12E2">
        <w:rPr>
          <w:b/>
          <w:noProof/>
        </w:rPr>
        <w:t>,</w:t>
      </w:r>
      <w:r w:rsidRPr="006E12E2">
        <w:rPr>
          <w:noProof/>
        </w:rPr>
        <w:t xml:space="preserve"> 299-314.</w:t>
      </w:r>
    </w:p>
    <w:p w14:paraId="179635E5" w14:textId="77777777" w:rsidR="006E12E2" w:rsidRPr="006E12E2" w:rsidRDefault="006E12E2" w:rsidP="006E12E2">
      <w:pPr>
        <w:pStyle w:val="EndNoteBibliography"/>
        <w:ind w:left="720" w:hanging="720"/>
        <w:rPr>
          <w:noProof/>
        </w:rPr>
      </w:pPr>
      <w:r w:rsidRPr="006E12E2">
        <w:rPr>
          <w:noProof/>
        </w:rPr>
        <w:t xml:space="preserve">BUTUROVIC, S. 2014. Multiple colon polyposis. </w:t>
      </w:r>
      <w:r w:rsidRPr="006E12E2">
        <w:rPr>
          <w:i/>
          <w:noProof/>
        </w:rPr>
        <w:t>Med Arch,</w:t>
      </w:r>
      <w:r w:rsidRPr="006E12E2">
        <w:rPr>
          <w:noProof/>
        </w:rPr>
        <w:t xml:space="preserve"> 68</w:t>
      </w:r>
      <w:r w:rsidRPr="006E12E2">
        <w:rPr>
          <w:b/>
          <w:noProof/>
        </w:rPr>
        <w:t>,</w:t>
      </w:r>
      <w:r w:rsidRPr="006E12E2">
        <w:rPr>
          <w:noProof/>
        </w:rPr>
        <w:t xml:space="preserve"> 221-2.</w:t>
      </w:r>
    </w:p>
    <w:p w14:paraId="09924E3D" w14:textId="77777777" w:rsidR="006E12E2" w:rsidRPr="006E12E2" w:rsidRDefault="006E12E2" w:rsidP="006E12E2">
      <w:pPr>
        <w:pStyle w:val="EndNoteBibliography"/>
        <w:ind w:left="720" w:hanging="720"/>
        <w:rPr>
          <w:noProof/>
        </w:rPr>
      </w:pPr>
      <w:r w:rsidRPr="006E12E2">
        <w:rPr>
          <w:noProof/>
        </w:rPr>
        <w:t xml:space="preserve">CAHILL, D. P., LENGAUER, C., YU, J., RIGGINS, G. J., WILLSON, J. K., MARKOWITZ, S. D., KINZLER, K. W. &amp; VOGELSTEIN, B. 1998. Mutations of mitotic checkpoint genes in human cancers. </w:t>
      </w:r>
      <w:r w:rsidRPr="006E12E2">
        <w:rPr>
          <w:i/>
          <w:noProof/>
        </w:rPr>
        <w:t>Nature,</w:t>
      </w:r>
      <w:r w:rsidRPr="006E12E2">
        <w:rPr>
          <w:noProof/>
        </w:rPr>
        <w:t xml:space="preserve"> 392</w:t>
      </w:r>
      <w:r w:rsidRPr="006E12E2">
        <w:rPr>
          <w:b/>
          <w:noProof/>
        </w:rPr>
        <w:t>,</w:t>
      </w:r>
      <w:r w:rsidRPr="006E12E2">
        <w:rPr>
          <w:noProof/>
        </w:rPr>
        <w:t xml:space="preserve"> 300-3.</w:t>
      </w:r>
    </w:p>
    <w:p w14:paraId="689921B7" w14:textId="77777777" w:rsidR="006E12E2" w:rsidRPr="006E12E2" w:rsidRDefault="006E12E2" w:rsidP="006E12E2">
      <w:pPr>
        <w:pStyle w:val="EndNoteBibliography"/>
        <w:ind w:left="720" w:hanging="720"/>
        <w:rPr>
          <w:noProof/>
        </w:rPr>
      </w:pPr>
      <w:r w:rsidRPr="006E12E2">
        <w:rPr>
          <w:noProof/>
        </w:rPr>
        <w:t xml:space="preserve">CAI, Y., JIN, J., GOTTSCHALK, A. J., YAO, T., CONAWAY, J. W. &amp; CONAWAY, R. C. 2006. Purification and assay of the human INO80 and SRCAP chromatin remodeling complexes. </w:t>
      </w:r>
      <w:r w:rsidRPr="006E12E2">
        <w:rPr>
          <w:i/>
          <w:noProof/>
        </w:rPr>
        <w:t>Methods,</w:t>
      </w:r>
      <w:r w:rsidRPr="006E12E2">
        <w:rPr>
          <w:noProof/>
        </w:rPr>
        <w:t xml:space="preserve"> 40</w:t>
      </w:r>
      <w:r w:rsidRPr="006E12E2">
        <w:rPr>
          <w:b/>
          <w:noProof/>
        </w:rPr>
        <w:t>,</w:t>
      </w:r>
      <w:r w:rsidRPr="006E12E2">
        <w:rPr>
          <w:noProof/>
        </w:rPr>
        <w:t xml:space="preserve"> 312-7.</w:t>
      </w:r>
    </w:p>
    <w:p w14:paraId="45080C04" w14:textId="77777777" w:rsidR="006E12E2" w:rsidRPr="006E12E2" w:rsidRDefault="006E12E2" w:rsidP="006E12E2">
      <w:pPr>
        <w:pStyle w:val="EndNoteBibliography"/>
        <w:ind w:left="720" w:hanging="720"/>
        <w:rPr>
          <w:noProof/>
        </w:rPr>
      </w:pPr>
      <w:r w:rsidRPr="006E12E2">
        <w:rPr>
          <w:noProof/>
        </w:rPr>
        <w:t xml:space="preserve">CAMPBELL, P. J., STEPHENS, P. J., PLEASANCE, E. D., O'MEARA, S., LI, H., SANTARIUS, T., STEBBINGS, L. A., LEROY, C., EDKINS, S., HARDY, C., TEAGUE, J. W., MENZIES, A., GOODHEAD, I., TURNER, D. J., CLEE, C. M., QUAIL, M. A., COX, A., BROWN, C., DURBIN, R., HURLES, M. E., EDWARDS, P. A., BIGNELL, G. R., STRATTON, M. R. &amp; FUTREAL, P. A. 2008. Identification of somatically acquired rearrangements in cancer using genome-wide massively parallel paired-end sequencing. </w:t>
      </w:r>
      <w:r w:rsidRPr="006E12E2">
        <w:rPr>
          <w:i/>
          <w:noProof/>
        </w:rPr>
        <w:t>Nat Genet,</w:t>
      </w:r>
      <w:r w:rsidRPr="006E12E2">
        <w:rPr>
          <w:noProof/>
        </w:rPr>
        <w:t xml:space="preserve"> 40</w:t>
      </w:r>
      <w:r w:rsidRPr="006E12E2">
        <w:rPr>
          <w:b/>
          <w:noProof/>
        </w:rPr>
        <w:t>,</w:t>
      </w:r>
      <w:r w:rsidRPr="006E12E2">
        <w:rPr>
          <w:noProof/>
        </w:rPr>
        <w:t xml:space="preserve"> 722-9.</w:t>
      </w:r>
    </w:p>
    <w:p w14:paraId="1F1C9B16" w14:textId="77777777" w:rsidR="006E12E2" w:rsidRPr="006E12E2" w:rsidRDefault="006E12E2" w:rsidP="006E12E2">
      <w:pPr>
        <w:pStyle w:val="EndNoteBibliography"/>
        <w:ind w:left="720" w:hanging="720"/>
        <w:rPr>
          <w:noProof/>
        </w:rPr>
      </w:pPr>
      <w:r w:rsidRPr="006E12E2">
        <w:rPr>
          <w:noProof/>
        </w:rPr>
        <w:t xml:space="preserve">CARETHERS, J. M., SMITH, E. J., BEHLING, C. A., NGUYEN, L., TAJIMA, A., DOCTOLERO, R. T., CABRERA, B. L., GOEL, A., ARNOLD, C. A., MIYAI, K. &amp; BOLAND, C. R. 2004. Use of 5-fluorouracil and survival in patients with microsatellite-unstable colorectal cancer. </w:t>
      </w:r>
      <w:r w:rsidRPr="006E12E2">
        <w:rPr>
          <w:i/>
          <w:noProof/>
        </w:rPr>
        <w:t>Gastroenterology,</w:t>
      </w:r>
      <w:r w:rsidRPr="006E12E2">
        <w:rPr>
          <w:noProof/>
        </w:rPr>
        <w:t xml:space="preserve"> 126</w:t>
      </w:r>
      <w:r w:rsidRPr="006E12E2">
        <w:rPr>
          <w:b/>
          <w:noProof/>
        </w:rPr>
        <w:t>,</w:t>
      </w:r>
      <w:r w:rsidRPr="006E12E2">
        <w:rPr>
          <w:noProof/>
        </w:rPr>
        <w:t xml:space="preserve"> 394-401.</w:t>
      </w:r>
    </w:p>
    <w:p w14:paraId="4C3F3042" w14:textId="77777777" w:rsidR="006E12E2" w:rsidRPr="006E12E2" w:rsidRDefault="006E12E2" w:rsidP="006E12E2">
      <w:pPr>
        <w:pStyle w:val="EndNoteBibliography"/>
        <w:ind w:left="720" w:hanging="720"/>
        <w:rPr>
          <w:noProof/>
        </w:rPr>
      </w:pPr>
      <w:r w:rsidRPr="006E12E2">
        <w:rPr>
          <w:noProof/>
        </w:rPr>
        <w:t xml:space="preserve">CASCINU, S., ROSATI, G., NASTI, G., LONARDI, S., ZANIBONI, A., MARCHETTI, P., LEONE, F., BILANCIA, D., IAFFAIOLI, R. V., ZAGONEL, V., GIORDANO, M., CORSI, D. C., FERRAÚ, F., LABIANCA, R., RONZONI, M., SCARTOZZI, M., GALLI, F. &amp; INVESTIGATORS, G. 2017. Treatment sequence with either irinotecan/cetuximab followed by FOLFOX-4 or the reverse strategy in metastatic colorectal cancer patients progressing after first-line FOLFIRI/bevacizumab: An Italian Group for the Study of Gastrointestinal Cancer phase III, randomised trial comparing two sequences of therapy in colorectal metastatic patients. </w:t>
      </w:r>
      <w:r w:rsidRPr="006E12E2">
        <w:rPr>
          <w:i/>
          <w:noProof/>
        </w:rPr>
        <w:t>Eur J Cancer,</w:t>
      </w:r>
      <w:r w:rsidRPr="006E12E2">
        <w:rPr>
          <w:noProof/>
        </w:rPr>
        <w:t xml:space="preserve"> 83</w:t>
      </w:r>
      <w:r w:rsidRPr="006E12E2">
        <w:rPr>
          <w:b/>
          <w:noProof/>
        </w:rPr>
        <w:t>,</w:t>
      </w:r>
      <w:r w:rsidRPr="006E12E2">
        <w:rPr>
          <w:noProof/>
        </w:rPr>
        <w:t xml:space="preserve"> 106-115.</w:t>
      </w:r>
    </w:p>
    <w:p w14:paraId="28E24192" w14:textId="77777777" w:rsidR="006E12E2" w:rsidRPr="006E12E2" w:rsidRDefault="006E12E2" w:rsidP="006E12E2">
      <w:pPr>
        <w:pStyle w:val="EndNoteBibliography"/>
        <w:ind w:left="720" w:hanging="720"/>
        <w:rPr>
          <w:noProof/>
        </w:rPr>
      </w:pPr>
      <w:r w:rsidRPr="006E12E2">
        <w:rPr>
          <w:noProof/>
        </w:rPr>
        <w:t xml:space="preserve">CASTELLANO, E. &amp; SANTOS, E. 2011. Functional specificity of ras isoforms: so similar but so different. </w:t>
      </w:r>
      <w:r w:rsidRPr="006E12E2">
        <w:rPr>
          <w:i/>
          <w:noProof/>
        </w:rPr>
        <w:t>Genes Cancer,</w:t>
      </w:r>
      <w:r w:rsidRPr="006E12E2">
        <w:rPr>
          <w:noProof/>
        </w:rPr>
        <w:t xml:space="preserve"> 2</w:t>
      </w:r>
      <w:r w:rsidRPr="006E12E2">
        <w:rPr>
          <w:b/>
          <w:noProof/>
        </w:rPr>
        <w:t>,</w:t>
      </w:r>
      <w:r w:rsidRPr="006E12E2">
        <w:rPr>
          <w:noProof/>
        </w:rPr>
        <w:t xml:space="preserve"> 216-31.</w:t>
      </w:r>
    </w:p>
    <w:p w14:paraId="31CA31F0" w14:textId="77777777" w:rsidR="006E12E2" w:rsidRPr="006E12E2" w:rsidRDefault="006E12E2" w:rsidP="006E12E2">
      <w:pPr>
        <w:pStyle w:val="EndNoteBibliography"/>
        <w:ind w:left="720" w:hanging="720"/>
        <w:rPr>
          <w:noProof/>
        </w:rPr>
      </w:pPr>
      <w:r w:rsidRPr="006E12E2">
        <w:rPr>
          <w:noProof/>
        </w:rPr>
        <w:t xml:space="preserve">CECCARELLI, M., BARTHEL, F. P., MALTA, T. M., SABEDOT, T. S., SALAMA, S. R., MURRAY, B. A., MOROZOVA, O., NEWTON, Y., RADENBAUGH, A., PAGNOTTA, S. M., ANJUM, S., WANG, J., MANYAM, G., ZOPPOLI, P., LING, S., RAO, A. A., GRIFFORD, M., CHERNIACK, A. D., ZHANG, H., POISSON, L., CARLOTTI, C. G., TIRAPELLI, D. P., RAO, A., MIKKELSEN, T., LAU, C. C., YUNG, W. K., RABADAN, R., HUSE, J., BRAT, D. J., LEHMAN, N. L., BARNHOLTZ-SLOAN, J. S., ZHENG, S., HESS, K., RAO, G., MEYERSON, M., BEROUKHIM, R., COOPER, L., AKBANI, R., WRENSCH, M., HAUSSLER, D., ALDAPE, K. D., LAIRD, P. W., GUTMANN, D. H., NOUSHMEHR, H., IAVARONE, A., VERHAAK, R. G. &amp; NETWORK, T. R. 2016. Molecular Profiling Reveals Biologically Discrete Subsets and Pathways of Progression in Diffuse Glioma. </w:t>
      </w:r>
      <w:r w:rsidRPr="006E12E2">
        <w:rPr>
          <w:i/>
          <w:noProof/>
        </w:rPr>
        <w:t>Cell,</w:t>
      </w:r>
      <w:r w:rsidRPr="006E12E2">
        <w:rPr>
          <w:noProof/>
        </w:rPr>
        <w:t xml:space="preserve"> 164</w:t>
      </w:r>
      <w:r w:rsidRPr="006E12E2">
        <w:rPr>
          <w:b/>
          <w:noProof/>
        </w:rPr>
        <w:t>,</w:t>
      </w:r>
      <w:r w:rsidRPr="006E12E2">
        <w:rPr>
          <w:noProof/>
        </w:rPr>
        <w:t xml:space="preserve"> 550-63.</w:t>
      </w:r>
    </w:p>
    <w:p w14:paraId="7D94BB15" w14:textId="77777777" w:rsidR="006E12E2" w:rsidRPr="006E12E2" w:rsidRDefault="006E12E2" w:rsidP="006E12E2">
      <w:pPr>
        <w:pStyle w:val="EndNoteBibliography"/>
        <w:ind w:left="720" w:hanging="720"/>
        <w:rPr>
          <w:noProof/>
        </w:rPr>
      </w:pPr>
      <w:r w:rsidRPr="006E12E2">
        <w:rPr>
          <w:noProof/>
        </w:rPr>
        <w:t xml:space="preserve">CHEN, P., WANG, Y. &amp; LI, G. 2014. Dynamics of histone variant H3.3 and its coregulation with H2A.Z at enhancers and promoters. </w:t>
      </w:r>
      <w:r w:rsidRPr="006E12E2">
        <w:rPr>
          <w:i/>
          <w:noProof/>
        </w:rPr>
        <w:t>Nucleus,</w:t>
      </w:r>
      <w:r w:rsidRPr="006E12E2">
        <w:rPr>
          <w:noProof/>
        </w:rPr>
        <w:t xml:space="preserve"> 5</w:t>
      </w:r>
      <w:r w:rsidRPr="006E12E2">
        <w:rPr>
          <w:b/>
          <w:noProof/>
        </w:rPr>
        <w:t>,</w:t>
      </w:r>
      <w:r w:rsidRPr="006E12E2">
        <w:rPr>
          <w:noProof/>
        </w:rPr>
        <w:t xml:space="preserve"> 21-7.</w:t>
      </w:r>
    </w:p>
    <w:p w14:paraId="38D04269" w14:textId="77777777" w:rsidR="006E12E2" w:rsidRPr="006E12E2" w:rsidRDefault="006E12E2" w:rsidP="006E12E2">
      <w:pPr>
        <w:pStyle w:val="EndNoteBibliography"/>
        <w:ind w:left="720" w:hanging="720"/>
        <w:rPr>
          <w:noProof/>
        </w:rPr>
      </w:pPr>
      <w:r w:rsidRPr="006E12E2">
        <w:rPr>
          <w:noProof/>
        </w:rPr>
        <w:t xml:space="preserve">CHENG, C. M., LI, H., GASMAN, S., HUANG, J., SCHIFF, R. &amp; CHANG, E. C. 2011. Compartmentalized Ras proteins transform NIH 3T3 cells with different efficiencies. </w:t>
      </w:r>
      <w:r w:rsidRPr="006E12E2">
        <w:rPr>
          <w:i/>
          <w:noProof/>
        </w:rPr>
        <w:t>Mol Cell Biol,</w:t>
      </w:r>
      <w:r w:rsidRPr="006E12E2">
        <w:rPr>
          <w:noProof/>
        </w:rPr>
        <w:t xml:space="preserve"> 31</w:t>
      </w:r>
      <w:r w:rsidRPr="006E12E2">
        <w:rPr>
          <w:b/>
          <w:noProof/>
        </w:rPr>
        <w:t>,</w:t>
      </w:r>
      <w:r w:rsidRPr="006E12E2">
        <w:rPr>
          <w:noProof/>
        </w:rPr>
        <w:t xml:space="preserve"> 983-97.</w:t>
      </w:r>
    </w:p>
    <w:p w14:paraId="45483870" w14:textId="77777777" w:rsidR="006E12E2" w:rsidRPr="006E12E2" w:rsidRDefault="006E12E2" w:rsidP="006E12E2">
      <w:pPr>
        <w:pStyle w:val="EndNoteBibliography"/>
        <w:ind w:left="720" w:hanging="720"/>
        <w:rPr>
          <w:noProof/>
        </w:rPr>
      </w:pPr>
      <w:r w:rsidRPr="006E12E2">
        <w:rPr>
          <w:noProof/>
        </w:rPr>
        <w:t xml:space="preserve">CHENG, Q., WU, J., ZHANG, Y., LIU, X., XU, N., ZUO, F. &amp; XU, J. 2017. SOX4 promotes melanoma cell migration and invasion though the activation of the NF-κB signaling pathway. </w:t>
      </w:r>
      <w:r w:rsidRPr="006E12E2">
        <w:rPr>
          <w:i/>
          <w:noProof/>
        </w:rPr>
        <w:t>Int J Mol Med,</w:t>
      </w:r>
      <w:r w:rsidRPr="006E12E2">
        <w:rPr>
          <w:noProof/>
        </w:rPr>
        <w:t xml:space="preserve"> 40</w:t>
      </w:r>
      <w:r w:rsidRPr="006E12E2">
        <w:rPr>
          <w:b/>
          <w:noProof/>
        </w:rPr>
        <w:t>,</w:t>
      </w:r>
      <w:r w:rsidRPr="006E12E2">
        <w:rPr>
          <w:noProof/>
        </w:rPr>
        <w:t xml:space="preserve"> 447-453.</w:t>
      </w:r>
    </w:p>
    <w:p w14:paraId="50CDCC7F" w14:textId="77777777" w:rsidR="006E12E2" w:rsidRPr="006E12E2" w:rsidRDefault="006E12E2" w:rsidP="006E12E2">
      <w:pPr>
        <w:pStyle w:val="EndNoteBibliography"/>
        <w:ind w:left="720" w:hanging="720"/>
        <w:rPr>
          <w:noProof/>
        </w:rPr>
      </w:pPr>
      <w:r w:rsidRPr="006E12E2">
        <w:rPr>
          <w:noProof/>
        </w:rPr>
        <w:t xml:space="preserve">CHEVILLARD-BRIET, M., QUARANTA, M., GRÉZY, A., MATTERA, L., COURILLEAU, C., PHILIPPE, M., MERCIER, P., CORPET, D., LOUGH, J., UEDA, T., FUKUNAGA, R., TROUCHE, D. &amp; ESCAFFIT, F. 2014. Interplay between chromatin-modifying enzymes controls colon cancer progression through Wnt signaling. </w:t>
      </w:r>
      <w:r w:rsidRPr="006E12E2">
        <w:rPr>
          <w:i/>
          <w:noProof/>
        </w:rPr>
        <w:t>Hum Mol Genet,</w:t>
      </w:r>
      <w:r w:rsidRPr="006E12E2">
        <w:rPr>
          <w:noProof/>
        </w:rPr>
        <w:t xml:space="preserve"> 23</w:t>
      </w:r>
      <w:r w:rsidRPr="006E12E2">
        <w:rPr>
          <w:b/>
          <w:noProof/>
        </w:rPr>
        <w:t>,</w:t>
      </w:r>
      <w:r w:rsidRPr="006E12E2">
        <w:rPr>
          <w:noProof/>
        </w:rPr>
        <w:t xml:space="preserve"> 2120-31.</w:t>
      </w:r>
    </w:p>
    <w:p w14:paraId="46D40C31" w14:textId="77777777" w:rsidR="006E12E2" w:rsidRPr="006E12E2" w:rsidRDefault="006E12E2" w:rsidP="006E12E2">
      <w:pPr>
        <w:pStyle w:val="EndNoteBibliography"/>
        <w:ind w:left="720" w:hanging="720"/>
        <w:rPr>
          <w:noProof/>
        </w:rPr>
      </w:pPr>
      <w:r w:rsidRPr="006E12E2">
        <w:rPr>
          <w:noProof/>
        </w:rPr>
        <w:t xml:space="preserve">CHU, E., CALLENDER, M. A., FARRELL, M. P. &amp; SCHMITZ, J. C. 2003. Thymidylate synthase inhibitors as anticancer agents: from bench to bedside. </w:t>
      </w:r>
      <w:r w:rsidRPr="006E12E2">
        <w:rPr>
          <w:i/>
          <w:noProof/>
        </w:rPr>
        <w:t>Cancer Chemother Pharmacol,</w:t>
      </w:r>
      <w:r w:rsidRPr="006E12E2">
        <w:rPr>
          <w:noProof/>
        </w:rPr>
        <w:t xml:space="preserve"> 52 Suppl 1</w:t>
      </w:r>
      <w:r w:rsidRPr="006E12E2">
        <w:rPr>
          <w:b/>
          <w:noProof/>
        </w:rPr>
        <w:t>,</w:t>
      </w:r>
      <w:r w:rsidRPr="006E12E2">
        <w:rPr>
          <w:noProof/>
        </w:rPr>
        <w:t xml:space="preserve"> S80-9.</w:t>
      </w:r>
    </w:p>
    <w:p w14:paraId="71123439" w14:textId="77777777" w:rsidR="006E12E2" w:rsidRPr="006E12E2" w:rsidRDefault="006E12E2" w:rsidP="006E12E2">
      <w:pPr>
        <w:pStyle w:val="EndNoteBibliography"/>
        <w:ind w:left="720" w:hanging="720"/>
        <w:rPr>
          <w:noProof/>
        </w:rPr>
      </w:pPr>
      <w:r w:rsidRPr="006E12E2">
        <w:rPr>
          <w:noProof/>
        </w:rPr>
        <w:t xml:space="preserve">CHUNG, C. C. &amp; CHANOCK, S. J. 2011. Current status of genome-wide association studies in cancer. </w:t>
      </w:r>
      <w:r w:rsidRPr="006E12E2">
        <w:rPr>
          <w:i/>
          <w:noProof/>
        </w:rPr>
        <w:t>Hum Genet,</w:t>
      </w:r>
      <w:r w:rsidRPr="006E12E2">
        <w:rPr>
          <w:noProof/>
        </w:rPr>
        <w:t xml:space="preserve"> 130</w:t>
      </w:r>
      <w:r w:rsidRPr="006E12E2">
        <w:rPr>
          <w:b/>
          <w:noProof/>
        </w:rPr>
        <w:t>,</w:t>
      </w:r>
      <w:r w:rsidRPr="006E12E2">
        <w:rPr>
          <w:noProof/>
        </w:rPr>
        <w:t xml:space="preserve"> 59-78.</w:t>
      </w:r>
    </w:p>
    <w:p w14:paraId="2619EA65" w14:textId="77777777" w:rsidR="006E12E2" w:rsidRPr="006E12E2" w:rsidRDefault="006E12E2" w:rsidP="006E12E2">
      <w:pPr>
        <w:pStyle w:val="EndNoteBibliography"/>
        <w:ind w:left="720" w:hanging="720"/>
        <w:rPr>
          <w:noProof/>
        </w:rPr>
      </w:pPr>
      <w:r w:rsidRPr="006E12E2">
        <w:rPr>
          <w:noProof/>
        </w:rPr>
        <w:t xml:space="preserve">CLAPIER, C. R. &amp; CAIRNS, B. R. 2009. The biology of chromatin remodeling complexes. </w:t>
      </w:r>
      <w:r w:rsidRPr="006E12E2">
        <w:rPr>
          <w:i/>
          <w:noProof/>
        </w:rPr>
        <w:t>Annu Rev Biochem,</w:t>
      </w:r>
      <w:r w:rsidRPr="006E12E2">
        <w:rPr>
          <w:noProof/>
        </w:rPr>
        <w:t xml:space="preserve"> 78</w:t>
      </w:r>
      <w:r w:rsidRPr="006E12E2">
        <w:rPr>
          <w:b/>
          <w:noProof/>
        </w:rPr>
        <w:t>,</w:t>
      </w:r>
      <w:r w:rsidRPr="006E12E2">
        <w:rPr>
          <w:noProof/>
        </w:rPr>
        <w:t xml:space="preserve"> 273-304.</w:t>
      </w:r>
    </w:p>
    <w:p w14:paraId="31D59710" w14:textId="77777777" w:rsidR="006E12E2" w:rsidRPr="006E12E2" w:rsidRDefault="006E12E2" w:rsidP="006E12E2">
      <w:pPr>
        <w:pStyle w:val="EndNoteBibliography"/>
        <w:ind w:left="720" w:hanging="720"/>
        <w:rPr>
          <w:noProof/>
        </w:rPr>
      </w:pPr>
      <w:r w:rsidRPr="006E12E2">
        <w:rPr>
          <w:noProof/>
        </w:rPr>
        <w:t xml:space="preserve">COLLINS, S. P. &amp; DRITSCHILO, A. 2009. The mismatch repair and base excision repair pathways: an opportunity for individualized (personalized) sensitization of cancer therapy. </w:t>
      </w:r>
      <w:r w:rsidRPr="006E12E2">
        <w:rPr>
          <w:i/>
          <w:noProof/>
        </w:rPr>
        <w:t>Cancer Biol Ther,</w:t>
      </w:r>
      <w:r w:rsidRPr="006E12E2">
        <w:rPr>
          <w:noProof/>
        </w:rPr>
        <w:t xml:space="preserve"> 8</w:t>
      </w:r>
      <w:r w:rsidRPr="006E12E2">
        <w:rPr>
          <w:b/>
          <w:noProof/>
        </w:rPr>
        <w:t>,</w:t>
      </w:r>
      <w:r w:rsidRPr="006E12E2">
        <w:rPr>
          <w:noProof/>
        </w:rPr>
        <w:t xml:space="preserve"> 1164-6.</w:t>
      </w:r>
    </w:p>
    <w:p w14:paraId="0896DC18" w14:textId="77777777" w:rsidR="006E12E2" w:rsidRPr="006E12E2" w:rsidRDefault="006E12E2" w:rsidP="006E12E2">
      <w:pPr>
        <w:pStyle w:val="EndNoteBibliography"/>
        <w:ind w:left="720" w:hanging="720"/>
        <w:rPr>
          <w:noProof/>
        </w:rPr>
      </w:pPr>
      <w:r w:rsidRPr="006E12E2">
        <w:rPr>
          <w:noProof/>
        </w:rPr>
        <w:t xml:space="preserve">COLUCCI, G., GEBBIA, V., PAOLETTI, G., GIULIANI, F., CARUSO, M., GEBBIA, N., CARTENÌ, G., AGOSTARA, B., PEZZELLA, G., MANZIONE, L., BORSELLINO, N., MISINO, A., ROMITO, S., DURINI, E., CORDIO, S., DI SERI, M., LOPEZ, M., MAIELLO, E., MONTEMURRO, S., CRAMAROSSA, A., LORUSSO, V., DI BISCEGLIE, M., CHIARENZA, M., VALERIO, M. R., GUIDA, T., LEONARDI, V., PISCONTI, S., ROSATI, G., CARROZZA, F., NETTIS, G., VALDESI, M., FILIPPELLI, G., FORTUNATO, S., MANCARELLA, S., BRUNETTI, C. &amp; MERIDIONALE, G. O. D. I. 2005. Phase III randomized trial of FOLFIRI versus FOLFOX4 in the treatment of advanced colorectal cancer: a multicenter study of the Gruppo Oncologico Dell'Italia Meridionale. </w:t>
      </w:r>
      <w:r w:rsidRPr="006E12E2">
        <w:rPr>
          <w:i/>
          <w:noProof/>
        </w:rPr>
        <w:t>J Clin Oncol,</w:t>
      </w:r>
      <w:r w:rsidRPr="006E12E2">
        <w:rPr>
          <w:noProof/>
        </w:rPr>
        <w:t xml:space="preserve"> 23</w:t>
      </w:r>
      <w:r w:rsidRPr="006E12E2">
        <w:rPr>
          <w:b/>
          <w:noProof/>
        </w:rPr>
        <w:t>,</w:t>
      </w:r>
      <w:r w:rsidRPr="006E12E2">
        <w:rPr>
          <w:noProof/>
        </w:rPr>
        <w:t xml:space="preserve"> 4866-75.</w:t>
      </w:r>
    </w:p>
    <w:p w14:paraId="6D6EC12D" w14:textId="77777777" w:rsidR="006E12E2" w:rsidRPr="006E12E2" w:rsidRDefault="006E12E2" w:rsidP="006E12E2">
      <w:pPr>
        <w:pStyle w:val="EndNoteBibliography"/>
        <w:ind w:left="720" w:hanging="720"/>
        <w:rPr>
          <w:noProof/>
        </w:rPr>
      </w:pPr>
      <w:r w:rsidRPr="006E12E2">
        <w:rPr>
          <w:noProof/>
        </w:rPr>
        <w:t xml:space="preserve">CONG, L., RAN, F. A., COX, D., LIN, S., BARRETTO, R., HABIB, N., HSU, P. D., WU, X., JIANG, W., MARRAFFINI, L. A. &amp; ZHANG, F. 2013. Multiplex genome engineering using CRISPR/Cas systems. </w:t>
      </w:r>
      <w:r w:rsidRPr="006E12E2">
        <w:rPr>
          <w:i/>
          <w:noProof/>
        </w:rPr>
        <w:t>Science,</w:t>
      </w:r>
      <w:r w:rsidRPr="006E12E2">
        <w:rPr>
          <w:noProof/>
        </w:rPr>
        <w:t xml:space="preserve"> 339</w:t>
      </w:r>
      <w:r w:rsidRPr="006E12E2">
        <w:rPr>
          <w:b/>
          <w:noProof/>
        </w:rPr>
        <w:t>,</w:t>
      </w:r>
      <w:r w:rsidRPr="006E12E2">
        <w:rPr>
          <w:noProof/>
        </w:rPr>
        <w:t xml:space="preserve"> 819-23.</w:t>
      </w:r>
    </w:p>
    <w:p w14:paraId="0EBB048F" w14:textId="77777777" w:rsidR="006E12E2" w:rsidRPr="006E12E2" w:rsidRDefault="006E12E2" w:rsidP="006E12E2">
      <w:pPr>
        <w:pStyle w:val="EndNoteBibliography"/>
        <w:ind w:left="720" w:hanging="720"/>
        <w:rPr>
          <w:noProof/>
        </w:rPr>
      </w:pPr>
      <w:r w:rsidRPr="006E12E2">
        <w:rPr>
          <w:noProof/>
        </w:rPr>
        <w:t xml:space="preserve">CREEMERS, G. J., LUND, B. &amp; VERWEIJ, J. 1994. Topoisomerase I inhibitors: topotecan and irenotecan. </w:t>
      </w:r>
      <w:r w:rsidRPr="006E12E2">
        <w:rPr>
          <w:i/>
          <w:noProof/>
        </w:rPr>
        <w:t>Cancer Treat Rev,</w:t>
      </w:r>
      <w:r w:rsidRPr="006E12E2">
        <w:rPr>
          <w:noProof/>
        </w:rPr>
        <w:t xml:space="preserve"> 20</w:t>
      </w:r>
      <w:r w:rsidRPr="006E12E2">
        <w:rPr>
          <w:b/>
          <w:noProof/>
        </w:rPr>
        <w:t>,</w:t>
      </w:r>
      <w:r w:rsidRPr="006E12E2">
        <w:rPr>
          <w:noProof/>
        </w:rPr>
        <w:t xml:space="preserve"> 73-96.</w:t>
      </w:r>
    </w:p>
    <w:p w14:paraId="4F3DC4A2" w14:textId="77777777" w:rsidR="006E12E2" w:rsidRPr="006E12E2" w:rsidRDefault="006E12E2" w:rsidP="006E12E2">
      <w:pPr>
        <w:pStyle w:val="EndNoteBibliography"/>
        <w:ind w:left="720" w:hanging="720"/>
        <w:rPr>
          <w:noProof/>
        </w:rPr>
      </w:pPr>
      <w:r w:rsidRPr="006E12E2">
        <w:rPr>
          <w:noProof/>
        </w:rPr>
        <w:t xml:space="preserve">CRUK. 2015a. </w:t>
      </w:r>
      <w:r w:rsidRPr="006E12E2">
        <w:rPr>
          <w:i/>
          <w:noProof/>
        </w:rPr>
        <w:t xml:space="preserve">Understanding cancer statistics - incidence, survival, mortality </w:t>
      </w:r>
      <w:r w:rsidRPr="006E12E2">
        <w:rPr>
          <w:noProof/>
        </w:rPr>
        <w:t>[Online].  [Accessed].</w:t>
      </w:r>
    </w:p>
    <w:p w14:paraId="094048D6" w14:textId="77777777" w:rsidR="006E12E2" w:rsidRPr="006E12E2" w:rsidRDefault="006E12E2" w:rsidP="006E12E2">
      <w:pPr>
        <w:pStyle w:val="EndNoteBibliography"/>
        <w:ind w:left="720" w:hanging="720"/>
        <w:rPr>
          <w:noProof/>
        </w:rPr>
      </w:pPr>
      <w:r w:rsidRPr="006E12E2">
        <w:rPr>
          <w:noProof/>
        </w:rPr>
        <w:t>CRUK 2015b. Which treatment for early Bowel Cancer ? Online.</w:t>
      </w:r>
    </w:p>
    <w:p w14:paraId="05862CD2" w14:textId="77777777" w:rsidR="006E12E2" w:rsidRPr="006E12E2" w:rsidRDefault="006E12E2" w:rsidP="006E12E2">
      <w:pPr>
        <w:pStyle w:val="EndNoteBibliography"/>
        <w:ind w:left="720" w:hanging="720"/>
        <w:rPr>
          <w:noProof/>
        </w:rPr>
      </w:pPr>
      <w:r w:rsidRPr="006E12E2">
        <w:rPr>
          <w:noProof/>
        </w:rPr>
        <w:t xml:space="preserve">CUNNINGHAM, D., PYRHÖNEN, S., JAMES, R. D., PUNT, C. J., HICKISH, T. F., HEIKKILA, R., JOHANNESEN, T. B., STARKHAMMAR, H., TOPHAM, C. A., AWAD, L., JACQUES, C. &amp; HERAIT, P. 1998. Randomised trial of irinotecan plus supportive care versus supportive care alone after fluorouracil failure for patients with metastatic colorectal cancer. </w:t>
      </w:r>
      <w:r w:rsidRPr="006E12E2">
        <w:rPr>
          <w:i/>
          <w:noProof/>
        </w:rPr>
        <w:t>Lancet,</w:t>
      </w:r>
      <w:r w:rsidRPr="006E12E2">
        <w:rPr>
          <w:noProof/>
        </w:rPr>
        <w:t xml:space="preserve"> 352</w:t>
      </w:r>
      <w:r w:rsidRPr="006E12E2">
        <w:rPr>
          <w:b/>
          <w:noProof/>
        </w:rPr>
        <w:t>,</w:t>
      </w:r>
      <w:r w:rsidRPr="006E12E2">
        <w:rPr>
          <w:noProof/>
        </w:rPr>
        <w:t xml:space="preserve"> 1413-8.</w:t>
      </w:r>
    </w:p>
    <w:p w14:paraId="754BB3FA" w14:textId="77777777" w:rsidR="006E12E2" w:rsidRPr="006E12E2" w:rsidRDefault="006E12E2" w:rsidP="006E12E2">
      <w:pPr>
        <w:pStyle w:val="EndNoteBibliography"/>
        <w:ind w:left="720" w:hanging="720"/>
        <w:rPr>
          <w:noProof/>
        </w:rPr>
      </w:pPr>
      <w:r w:rsidRPr="006E12E2">
        <w:rPr>
          <w:noProof/>
        </w:rPr>
        <w:t xml:space="preserve">DA COSTA, L. T., JEN, J., HE, T. C., CHAN, T. A., KINZLER, K. W. &amp; VOGELSTEIN, B. 1996. Converting cancer genes into killer genes. </w:t>
      </w:r>
      <w:r w:rsidRPr="006E12E2">
        <w:rPr>
          <w:i/>
          <w:noProof/>
        </w:rPr>
        <w:t>Proc Natl Acad Sci U S A,</w:t>
      </w:r>
      <w:r w:rsidRPr="006E12E2">
        <w:rPr>
          <w:noProof/>
        </w:rPr>
        <w:t xml:space="preserve"> 93</w:t>
      </w:r>
      <w:r w:rsidRPr="006E12E2">
        <w:rPr>
          <w:b/>
          <w:noProof/>
        </w:rPr>
        <w:t>,</w:t>
      </w:r>
      <w:r w:rsidRPr="006E12E2">
        <w:rPr>
          <w:noProof/>
        </w:rPr>
        <w:t xml:space="preserve"> 4192-6.</w:t>
      </w:r>
    </w:p>
    <w:p w14:paraId="1E8E7B70" w14:textId="77777777" w:rsidR="006E12E2" w:rsidRPr="006E12E2" w:rsidRDefault="006E12E2" w:rsidP="006E12E2">
      <w:pPr>
        <w:pStyle w:val="EndNoteBibliography"/>
        <w:ind w:left="720" w:hanging="720"/>
        <w:rPr>
          <w:noProof/>
        </w:rPr>
      </w:pPr>
      <w:r w:rsidRPr="006E12E2">
        <w:rPr>
          <w:noProof/>
        </w:rPr>
        <w:t xml:space="preserve">DE FERAUDY, S., REVET, I., BEZROOKOVE, V., FEENEY, L. &amp; CLEAVER, J. E. 2010. A minority of foci or pan-nuclear apoptotic staining of gammaH2AX in the S phase after UV damage contain DNA double-strand breaks. </w:t>
      </w:r>
      <w:r w:rsidRPr="006E12E2">
        <w:rPr>
          <w:i/>
          <w:noProof/>
        </w:rPr>
        <w:t>Proc Natl Acad Sci U S A,</w:t>
      </w:r>
      <w:r w:rsidRPr="006E12E2">
        <w:rPr>
          <w:noProof/>
        </w:rPr>
        <w:t xml:space="preserve"> 107</w:t>
      </w:r>
      <w:r w:rsidRPr="006E12E2">
        <w:rPr>
          <w:b/>
          <w:noProof/>
        </w:rPr>
        <w:t>,</w:t>
      </w:r>
      <w:r w:rsidRPr="006E12E2">
        <w:rPr>
          <w:noProof/>
        </w:rPr>
        <w:t xml:space="preserve"> 6870-5.</w:t>
      </w:r>
    </w:p>
    <w:p w14:paraId="1D2EDDCE" w14:textId="77777777" w:rsidR="006E12E2" w:rsidRPr="006E12E2" w:rsidRDefault="006E12E2" w:rsidP="006E12E2">
      <w:pPr>
        <w:pStyle w:val="EndNoteBibliography"/>
        <w:ind w:left="720" w:hanging="720"/>
        <w:rPr>
          <w:noProof/>
        </w:rPr>
      </w:pPr>
      <w:r w:rsidRPr="006E12E2">
        <w:rPr>
          <w:noProof/>
        </w:rPr>
        <w:t xml:space="preserve">DE GRAMONT, A., VIGNOUD, J., TOURNIGAND, C., LOUVET, C., ANDRÉ, T., VARETTE, C., RAYMOND, E., MOREAU, S., LE BAIL, N. &amp; KRULIK, M. 1997. Oxaliplatin with high-dose leucovorin and 5-fluorouracil 48-hour continuous infusion in pretreated metastatic colorectal cancer. </w:t>
      </w:r>
      <w:r w:rsidRPr="006E12E2">
        <w:rPr>
          <w:i/>
          <w:noProof/>
        </w:rPr>
        <w:t>Eur J Cancer,</w:t>
      </w:r>
      <w:r w:rsidRPr="006E12E2">
        <w:rPr>
          <w:noProof/>
        </w:rPr>
        <w:t xml:space="preserve"> 33</w:t>
      </w:r>
      <w:r w:rsidRPr="006E12E2">
        <w:rPr>
          <w:b/>
          <w:noProof/>
        </w:rPr>
        <w:t>,</w:t>
      </w:r>
      <w:r w:rsidRPr="006E12E2">
        <w:rPr>
          <w:noProof/>
        </w:rPr>
        <w:t xml:space="preserve"> 214-9.</w:t>
      </w:r>
    </w:p>
    <w:p w14:paraId="5BB20E03" w14:textId="77777777" w:rsidR="006E12E2" w:rsidRPr="006E12E2" w:rsidRDefault="006E12E2" w:rsidP="006E12E2">
      <w:pPr>
        <w:pStyle w:val="EndNoteBibliography"/>
        <w:ind w:left="720" w:hanging="720"/>
        <w:rPr>
          <w:noProof/>
        </w:rPr>
      </w:pPr>
      <w:r w:rsidRPr="006E12E2">
        <w:rPr>
          <w:noProof/>
        </w:rPr>
        <w:t xml:space="preserve">DE LA CHAPELLE, A. 2004. Genetic predisposition to colorectal cancer. </w:t>
      </w:r>
      <w:r w:rsidRPr="006E12E2">
        <w:rPr>
          <w:i/>
          <w:noProof/>
        </w:rPr>
        <w:t>Nat Rev Cancer,</w:t>
      </w:r>
      <w:r w:rsidRPr="006E12E2">
        <w:rPr>
          <w:noProof/>
        </w:rPr>
        <w:t xml:space="preserve"> 4</w:t>
      </w:r>
      <w:r w:rsidRPr="006E12E2">
        <w:rPr>
          <w:b/>
          <w:noProof/>
        </w:rPr>
        <w:t>,</w:t>
      </w:r>
      <w:r w:rsidRPr="006E12E2">
        <w:rPr>
          <w:noProof/>
        </w:rPr>
        <w:t xml:space="preserve"> 769-80.</w:t>
      </w:r>
    </w:p>
    <w:p w14:paraId="7B49FA2B" w14:textId="77777777" w:rsidR="006E12E2" w:rsidRPr="006E12E2" w:rsidRDefault="006E12E2" w:rsidP="006E12E2">
      <w:pPr>
        <w:pStyle w:val="EndNoteBibliography"/>
        <w:ind w:left="720" w:hanging="720"/>
        <w:rPr>
          <w:noProof/>
        </w:rPr>
      </w:pPr>
      <w:r w:rsidRPr="006E12E2">
        <w:rPr>
          <w:noProof/>
        </w:rPr>
        <w:t xml:space="preserve">DE SOUSA E MELO, F., WANG, X., JANSEN, M., FESSLER, E., TRINH, A., DE ROOIJ, L. P., DE JONG, J. H., DE BOER, O. J., VAN LEERSUM, R., BIJLSMA, M. F., RODERMOND, H., VAN DER HEIJDEN, M., VAN NOESEL, C. J., TUYNMAN, J. B., DEKKER, E., MARKOWETZ, F., MEDEMA, J. P. &amp; VERMEULEN, L. 2013. Poor-prognosis colon cancer is defined by a molecularly distinct subtype and develops from serrated precursor lesions. </w:t>
      </w:r>
      <w:r w:rsidRPr="006E12E2">
        <w:rPr>
          <w:i/>
          <w:noProof/>
        </w:rPr>
        <w:t>Nat Med,</w:t>
      </w:r>
      <w:r w:rsidRPr="006E12E2">
        <w:rPr>
          <w:noProof/>
        </w:rPr>
        <w:t xml:space="preserve"> 19</w:t>
      </w:r>
      <w:r w:rsidRPr="006E12E2">
        <w:rPr>
          <w:b/>
          <w:noProof/>
        </w:rPr>
        <w:t>,</w:t>
      </w:r>
      <w:r w:rsidRPr="006E12E2">
        <w:rPr>
          <w:noProof/>
        </w:rPr>
        <w:t xml:space="preserve"> 614-8.</w:t>
      </w:r>
    </w:p>
    <w:p w14:paraId="6A35FB76" w14:textId="77777777" w:rsidR="006E12E2" w:rsidRPr="006E12E2" w:rsidRDefault="006E12E2" w:rsidP="006E12E2">
      <w:pPr>
        <w:pStyle w:val="EndNoteBibliography"/>
        <w:ind w:left="720" w:hanging="720"/>
        <w:rPr>
          <w:noProof/>
        </w:rPr>
      </w:pPr>
      <w:r w:rsidRPr="006E12E2">
        <w:rPr>
          <w:noProof/>
        </w:rPr>
        <w:t xml:space="preserve">DE SOUSA, E. M., VERMEULEN, L., RICHEL, D. &amp; MEDEMA, J. P. 2011. Targeting Wnt signaling in colon cancer stem cells. </w:t>
      </w:r>
      <w:r w:rsidRPr="006E12E2">
        <w:rPr>
          <w:i/>
          <w:noProof/>
        </w:rPr>
        <w:t>Clin Cancer Res,</w:t>
      </w:r>
      <w:r w:rsidRPr="006E12E2">
        <w:rPr>
          <w:noProof/>
        </w:rPr>
        <w:t xml:space="preserve"> 17</w:t>
      </w:r>
      <w:r w:rsidRPr="006E12E2">
        <w:rPr>
          <w:b/>
          <w:noProof/>
        </w:rPr>
        <w:t>,</w:t>
      </w:r>
      <w:r w:rsidRPr="006E12E2">
        <w:rPr>
          <w:noProof/>
        </w:rPr>
        <w:t xml:space="preserve"> 647-53.</w:t>
      </w:r>
    </w:p>
    <w:p w14:paraId="05D1F65F" w14:textId="77777777" w:rsidR="006E12E2" w:rsidRPr="006E12E2" w:rsidRDefault="006E12E2" w:rsidP="006E12E2">
      <w:pPr>
        <w:pStyle w:val="EndNoteBibliography"/>
        <w:ind w:left="720" w:hanging="720"/>
        <w:rPr>
          <w:noProof/>
        </w:rPr>
      </w:pPr>
      <w:r w:rsidRPr="006E12E2">
        <w:rPr>
          <w:noProof/>
        </w:rPr>
        <w:t xml:space="preserve">DEATON, A. M. &amp; BIRD, A. 2011. CpG islands and the regulation of transcription. </w:t>
      </w:r>
      <w:r w:rsidRPr="006E12E2">
        <w:rPr>
          <w:i/>
          <w:noProof/>
        </w:rPr>
        <w:t>Genes Dev,</w:t>
      </w:r>
      <w:r w:rsidRPr="006E12E2">
        <w:rPr>
          <w:noProof/>
        </w:rPr>
        <w:t xml:space="preserve"> 25</w:t>
      </w:r>
      <w:r w:rsidRPr="006E12E2">
        <w:rPr>
          <w:b/>
          <w:noProof/>
        </w:rPr>
        <w:t>,</w:t>
      </w:r>
      <w:r w:rsidRPr="006E12E2">
        <w:rPr>
          <w:noProof/>
        </w:rPr>
        <w:t xml:space="preserve"> 1010-22.</w:t>
      </w:r>
    </w:p>
    <w:p w14:paraId="5B4FC4B5" w14:textId="77777777" w:rsidR="006E12E2" w:rsidRPr="006E12E2" w:rsidRDefault="006E12E2" w:rsidP="006E12E2">
      <w:pPr>
        <w:pStyle w:val="EndNoteBibliography"/>
        <w:ind w:left="720" w:hanging="720"/>
        <w:rPr>
          <w:noProof/>
        </w:rPr>
      </w:pPr>
      <w:r w:rsidRPr="006E12E2">
        <w:rPr>
          <w:noProof/>
        </w:rPr>
        <w:t xml:space="preserve">DECRISTOFARO, M. F., BETZ, B. L., RORIE, C. J., REISMAN, D. N., WANG, W. &amp; WEISSMAN, B. E. 2001. Characterization of SWI/SNF protein expression in human breast cancer cell lines and other malignancies. </w:t>
      </w:r>
      <w:r w:rsidRPr="006E12E2">
        <w:rPr>
          <w:i/>
          <w:noProof/>
        </w:rPr>
        <w:t>J Cell Physiol,</w:t>
      </w:r>
      <w:r w:rsidRPr="006E12E2">
        <w:rPr>
          <w:noProof/>
        </w:rPr>
        <w:t xml:space="preserve"> 186</w:t>
      </w:r>
      <w:r w:rsidRPr="006E12E2">
        <w:rPr>
          <w:b/>
          <w:noProof/>
        </w:rPr>
        <w:t>,</w:t>
      </w:r>
      <w:r w:rsidRPr="006E12E2">
        <w:rPr>
          <w:noProof/>
        </w:rPr>
        <w:t xml:space="preserve"> 136-45.</w:t>
      </w:r>
    </w:p>
    <w:p w14:paraId="0174741D" w14:textId="77777777" w:rsidR="006E12E2" w:rsidRPr="006E12E2" w:rsidRDefault="006E12E2" w:rsidP="006E12E2">
      <w:pPr>
        <w:pStyle w:val="EndNoteBibliography"/>
        <w:ind w:left="720" w:hanging="720"/>
        <w:rPr>
          <w:noProof/>
        </w:rPr>
      </w:pPr>
      <w:r w:rsidRPr="006E12E2">
        <w:rPr>
          <w:noProof/>
        </w:rPr>
        <w:t xml:space="preserve">DEL RIO, M., MOLLEVI, C., BIBEAU, F., VIE, N., SELVES, J., EMILE, J. F., ROGER, P., GONGORA, C., ROBERT, J., TUBIANA-MATHIEU, N., YCHOU, M. &amp; MARTINEAU, P. 2017. Molecular subtypes of metastatic colorectal cancer are associated with patient response to irinotecan-based therapies. </w:t>
      </w:r>
      <w:r w:rsidRPr="006E12E2">
        <w:rPr>
          <w:i/>
          <w:noProof/>
        </w:rPr>
        <w:t>Eur J Cancer,</w:t>
      </w:r>
      <w:r w:rsidRPr="006E12E2">
        <w:rPr>
          <w:noProof/>
        </w:rPr>
        <w:t xml:space="preserve"> 76</w:t>
      </w:r>
      <w:r w:rsidRPr="006E12E2">
        <w:rPr>
          <w:b/>
          <w:noProof/>
        </w:rPr>
        <w:t>,</w:t>
      </w:r>
      <w:r w:rsidRPr="006E12E2">
        <w:rPr>
          <w:noProof/>
        </w:rPr>
        <w:t xml:space="preserve"> 68-75.</w:t>
      </w:r>
    </w:p>
    <w:p w14:paraId="09FAD32F" w14:textId="77777777" w:rsidR="006E12E2" w:rsidRPr="006E12E2" w:rsidRDefault="006E12E2" w:rsidP="006E12E2">
      <w:pPr>
        <w:pStyle w:val="EndNoteBibliography"/>
        <w:ind w:left="720" w:hanging="720"/>
        <w:rPr>
          <w:noProof/>
        </w:rPr>
      </w:pPr>
      <w:r w:rsidRPr="006E12E2">
        <w:rPr>
          <w:noProof/>
        </w:rPr>
        <w:t xml:space="preserve">DENG, Y., WANG, L., TAN, S., KIM, G. P., DOU, R., CHEN, D., CAI, Y., FU, X., ZHU, J. &amp; WANG, J. 2015. KRAS as a predictor of poor prognosis and benefit from postoperative FOLFOX chemotherapy in patients with stage II and III colorectal cancer. </w:t>
      </w:r>
      <w:r w:rsidRPr="006E12E2">
        <w:rPr>
          <w:i/>
          <w:noProof/>
        </w:rPr>
        <w:t>Mol Oncol,</w:t>
      </w:r>
      <w:r w:rsidRPr="006E12E2">
        <w:rPr>
          <w:noProof/>
        </w:rPr>
        <w:t xml:space="preserve"> 9</w:t>
      </w:r>
      <w:r w:rsidRPr="006E12E2">
        <w:rPr>
          <w:b/>
          <w:noProof/>
        </w:rPr>
        <w:t>,</w:t>
      </w:r>
      <w:r w:rsidRPr="006E12E2">
        <w:rPr>
          <w:noProof/>
        </w:rPr>
        <w:t xml:space="preserve"> 1341-7.</w:t>
      </w:r>
    </w:p>
    <w:p w14:paraId="7470492D" w14:textId="77777777" w:rsidR="006E12E2" w:rsidRPr="006E12E2" w:rsidRDefault="006E12E2" w:rsidP="006E12E2">
      <w:pPr>
        <w:pStyle w:val="EndNoteBibliography"/>
        <w:ind w:left="720" w:hanging="720"/>
        <w:rPr>
          <w:noProof/>
        </w:rPr>
      </w:pPr>
      <w:r w:rsidRPr="006E12E2">
        <w:rPr>
          <w:noProof/>
        </w:rPr>
        <w:t xml:space="preserve">DICKSON, M. A., MAHONEY, M. R., TAP, W. D., D'ANGELO, S. P., KEOHAN, M. L., VAN TINE, B. A., AGULNIK, M., HORVATH, L. E., NAIR, J. S. &amp; SCHWARTZ, G. K. 2016. Phase II study of MLN8237 (Alisertib) in advanced/metastatic sarcoma. </w:t>
      </w:r>
      <w:r w:rsidRPr="006E12E2">
        <w:rPr>
          <w:i/>
          <w:noProof/>
        </w:rPr>
        <w:t>Ann Oncol,</w:t>
      </w:r>
      <w:r w:rsidRPr="006E12E2">
        <w:rPr>
          <w:noProof/>
        </w:rPr>
        <w:t xml:space="preserve"> 27</w:t>
      </w:r>
      <w:r w:rsidRPr="006E12E2">
        <w:rPr>
          <w:b/>
          <w:noProof/>
        </w:rPr>
        <w:t>,</w:t>
      </w:r>
      <w:r w:rsidRPr="006E12E2">
        <w:rPr>
          <w:noProof/>
        </w:rPr>
        <w:t xml:space="preserve"> 1855-60.</w:t>
      </w:r>
    </w:p>
    <w:p w14:paraId="722BBFAB" w14:textId="77777777" w:rsidR="006E12E2" w:rsidRPr="006E12E2" w:rsidRDefault="006E12E2" w:rsidP="006E12E2">
      <w:pPr>
        <w:pStyle w:val="EndNoteBibliography"/>
        <w:ind w:left="720" w:hanging="720"/>
        <w:rPr>
          <w:noProof/>
        </w:rPr>
      </w:pPr>
      <w:r w:rsidRPr="006E12E2">
        <w:rPr>
          <w:noProof/>
        </w:rPr>
        <w:t xml:space="preserve">DILLEY, W. G., KALYANARAMAN, S., VERMA, S., COBB, J. P., LARAMIE, J. M. &amp; LAIRMORE, T. C. 2005. Global gene expression in neuroendocrine tumors from patients with the MEN1 syndrome. </w:t>
      </w:r>
      <w:r w:rsidRPr="006E12E2">
        <w:rPr>
          <w:i/>
          <w:noProof/>
        </w:rPr>
        <w:t>Mol Cancer,</w:t>
      </w:r>
      <w:r w:rsidRPr="006E12E2">
        <w:rPr>
          <w:noProof/>
        </w:rPr>
        <w:t xml:space="preserve"> 4</w:t>
      </w:r>
      <w:r w:rsidRPr="006E12E2">
        <w:rPr>
          <w:b/>
          <w:noProof/>
        </w:rPr>
        <w:t>,</w:t>
      </w:r>
      <w:r w:rsidRPr="006E12E2">
        <w:rPr>
          <w:noProof/>
        </w:rPr>
        <w:t xml:space="preserve"> 9.</w:t>
      </w:r>
    </w:p>
    <w:p w14:paraId="2BAF9CB3" w14:textId="77777777" w:rsidR="006E12E2" w:rsidRPr="006E12E2" w:rsidRDefault="006E12E2" w:rsidP="006E12E2">
      <w:pPr>
        <w:pStyle w:val="EndNoteBibliography"/>
        <w:ind w:left="720" w:hanging="720"/>
        <w:rPr>
          <w:noProof/>
        </w:rPr>
      </w:pPr>
      <w:r w:rsidRPr="006E12E2">
        <w:rPr>
          <w:noProof/>
        </w:rPr>
        <w:t xml:space="preserve">DOMINGUEZ, A. A., LIM, W. A. &amp; QI, L. S. 2016. Beyond editing: repurposing CRISPR-Cas9 for precision genome regulation and interrogation. </w:t>
      </w:r>
      <w:r w:rsidRPr="006E12E2">
        <w:rPr>
          <w:i/>
          <w:noProof/>
        </w:rPr>
        <w:t>Nat Rev Mol Cell Biol,</w:t>
      </w:r>
      <w:r w:rsidRPr="006E12E2">
        <w:rPr>
          <w:noProof/>
        </w:rPr>
        <w:t xml:space="preserve"> 17</w:t>
      </w:r>
      <w:r w:rsidRPr="006E12E2">
        <w:rPr>
          <w:b/>
          <w:noProof/>
        </w:rPr>
        <w:t>,</w:t>
      </w:r>
      <w:r w:rsidRPr="006E12E2">
        <w:rPr>
          <w:noProof/>
        </w:rPr>
        <w:t xml:space="preserve"> 5-15.</w:t>
      </w:r>
    </w:p>
    <w:p w14:paraId="2EC64104" w14:textId="77777777" w:rsidR="006E12E2" w:rsidRPr="006E12E2" w:rsidRDefault="006E12E2" w:rsidP="006E12E2">
      <w:pPr>
        <w:pStyle w:val="EndNoteBibliography"/>
        <w:ind w:left="720" w:hanging="720"/>
        <w:rPr>
          <w:noProof/>
        </w:rPr>
      </w:pPr>
      <w:r w:rsidRPr="006E12E2">
        <w:rPr>
          <w:noProof/>
        </w:rPr>
        <w:t xml:space="preserve">DONG, S., HAN, J., CHEN, H., LIU, T., HUEN, M. S., YANG, Y., GUO, C. &amp; HUANG, J. 2014. The human SRCAP chromatin remodeling complex promotes DNA-end resection. </w:t>
      </w:r>
      <w:r w:rsidRPr="006E12E2">
        <w:rPr>
          <w:i/>
          <w:noProof/>
        </w:rPr>
        <w:t>Curr Biol,</w:t>
      </w:r>
      <w:r w:rsidRPr="006E12E2">
        <w:rPr>
          <w:noProof/>
        </w:rPr>
        <w:t xml:space="preserve"> 24</w:t>
      </w:r>
      <w:r w:rsidRPr="006E12E2">
        <w:rPr>
          <w:b/>
          <w:noProof/>
        </w:rPr>
        <w:t>,</w:t>
      </w:r>
      <w:r w:rsidRPr="006E12E2">
        <w:rPr>
          <w:noProof/>
        </w:rPr>
        <w:t xml:space="preserve"> 2097-110.</w:t>
      </w:r>
    </w:p>
    <w:p w14:paraId="233DCF35" w14:textId="77777777" w:rsidR="006E12E2" w:rsidRPr="006E12E2" w:rsidRDefault="006E12E2" w:rsidP="006E12E2">
      <w:pPr>
        <w:pStyle w:val="EndNoteBibliography"/>
        <w:ind w:left="720" w:hanging="720"/>
        <w:rPr>
          <w:noProof/>
        </w:rPr>
      </w:pPr>
      <w:r w:rsidRPr="006E12E2">
        <w:rPr>
          <w:noProof/>
        </w:rPr>
        <w:t xml:space="preserve">DOUILLARD, J. Y., CUNNINGHAM, D., ROTH, A. D., NAVARRO, M., JAMES, R. D., KARASEK, P., JANDIK, P., IVESON, T., CARMICHAEL, J., ALAKL, M., GRUIA, G., AWAD, L. &amp; ROUGIER, P. 2000. Irinotecan combined with fluorouracil compared with fluorouracil alone as first-line treatment for metastatic colorectal cancer: a multicentre randomised trial. </w:t>
      </w:r>
      <w:r w:rsidRPr="006E12E2">
        <w:rPr>
          <w:i/>
          <w:noProof/>
        </w:rPr>
        <w:t>Lancet,</w:t>
      </w:r>
      <w:r w:rsidRPr="006E12E2">
        <w:rPr>
          <w:noProof/>
        </w:rPr>
        <w:t xml:space="preserve"> 355</w:t>
      </w:r>
      <w:r w:rsidRPr="006E12E2">
        <w:rPr>
          <w:b/>
          <w:noProof/>
        </w:rPr>
        <w:t>,</w:t>
      </w:r>
      <w:r w:rsidRPr="006E12E2">
        <w:rPr>
          <w:noProof/>
        </w:rPr>
        <w:t xml:space="preserve"> 1041-7.</w:t>
      </w:r>
    </w:p>
    <w:p w14:paraId="7627174A" w14:textId="77777777" w:rsidR="006E12E2" w:rsidRPr="006E12E2" w:rsidRDefault="006E12E2" w:rsidP="006E12E2">
      <w:pPr>
        <w:pStyle w:val="EndNoteBibliography"/>
        <w:ind w:left="720" w:hanging="720"/>
        <w:rPr>
          <w:noProof/>
        </w:rPr>
      </w:pPr>
      <w:r w:rsidRPr="006E12E2">
        <w:rPr>
          <w:noProof/>
        </w:rPr>
        <w:t xml:space="preserve">DOUILLARD, J. Y., OLINER, K. S., SIENA, S., TABERNERO, J., BURKES, R., BARUGEL, M., HUMBLET, Y., BODOKY, G., CUNNINGHAM, D., JASSEM, J., RIVERA, F., KOCÁKOVA, I., RUFF, P., BŁASIŃSKA-MORAWIEC, M., ŠMAKAL, M., CANON, J. L., ROTHER, M., WILLIAMS, R., RONG, A., WIEZOREK, J., SIDHU, R. &amp; PATTERSON, S. D. 2013. Panitumumab-FOLFOX4 treatment and RAS mutations in colorectal cancer. </w:t>
      </w:r>
      <w:r w:rsidRPr="006E12E2">
        <w:rPr>
          <w:i/>
          <w:noProof/>
        </w:rPr>
        <w:t>N Engl J Med,</w:t>
      </w:r>
      <w:r w:rsidRPr="006E12E2">
        <w:rPr>
          <w:noProof/>
        </w:rPr>
        <w:t xml:space="preserve"> 369</w:t>
      </w:r>
      <w:r w:rsidRPr="006E12E2">
        <w:rPr>
          <w:b/>
          <w:noProof/>
        </w:rPr>
        <w:t>,</w:t>
      </w:r>
      <w:r w:rsidRPr="006E12E2">
        <w:rPr>
          <w:noProof/>
        </w:rPr>
        <w:t xml:space="preserve"> 1023-34.</w:t>
      </w:r>
    </w:p>
    <w:p w14:paraId="171E60B1" w14:textId="77777777" w:rsidR="006E12E2" w:rsidRPr="006E12E2" w:rsidRDefault="006E12E2" w:rsidP="006E12E2">
      <w:pPr>
        <w:pStyle w:val="EndNoteBibliography"/>
        <w:ind w:left="720" w:hanging="720"/>
        <w:rPr>
          <w:noProof/>
        </w:rPr>
      </w:pPr>
      <w:r w:rsidRPr="006E12E2">
        <w:rPr>
          <w:noProof/>
        </w:rPr>
        <w:t xml:space="preserve">DRYHURST, D., MCMULLEN, B., FAZLI, L., RENNIE, P. S. &amp; AUSIÓ, J. 2012. Histone H2A.Z prepares the prostate specific antigen (PSA) gene for androgen receptor-mediated transcription and is upregulated in a model of prostate cancer progression. </w:t>
      </w:r>
      <w:r w:rsidRPr="006E12E2">
        <w:rPr>
          <w:i/>
          <w:noProof/>
        </w:rPr>
        <w:t>Cancer Lett,</w:t>
      </w:r>
      <w:r w:rsidRPr="006E12E2">
        <w:rPr>
          <w:noProof/>
        </w:rPr>
        <w:t xml:space="preserve"> 315</w:t>
      </w:r>
      <w:r w:rsidRPr="006E12E2">
        <w:rPr>
          <w:b/>
          <w:noProof/>
        </w:rPr>
        <w:t>,</w:t>
      </w:r>
      <w:r w:rsidRPr="006E12E2">
        <w:rPr>
          <w:noProof/>
        </w:rPr>
        <w:t xml:space="preserve"> 38-47.</w:t>
      </w:r>
    </w:p>
    <w:p w14:paraId="7D5D8730" w14:textId="77777777" w:rsidR="006E12E2" w:rsidRPr="006E12E2" w:rsidRDefault="006E12E2" w:rsidP="006E12E2">
      <w:pPr>
        <w:pStyle w:val="EndNoteBibliography"/>
        <w:ind w:left="720" w:hanging="720"/>
        <w:rPr>
          <w:noProof/>
        </w:rPr>
      </w:pPr>
      <w:r w:rsidRPr="006E12E2">
        <w:rPr>
          <w:noProof/>
        </w:rPr>
        <w:t xml:space="preserve">DUKES, C. E. 1932. The classification of cancer of the rectum. </w:t>
      </w:r>
      <w:r w:rsidRPr="006E12E2">
        <w:rPr>
          <w:i/>
          <w:noProof/>
        </w:rPr>
        <w:t>Journal of Pathology,</w:t>
      </w:r>
      <w:r w:rsidRPr="006E12E2">
        <w:rPr>
          <w:noProof/>
        </w:rPr>
        <w:t xml:space="preserve"> 35</w:t>
      </w:r>
      <w:r w:rsidRPr="006E12E2">
        <w:rPr>
          <w:b/>
          <w:noProof/>
        </w:rPr>
        <w:t>,</w:t>
      </w:r>
      <w:r w:rsidRPr="006E12E2">
        <w:rPr>
          <w:noProof/>
        </w:rPr>
        <w:t xml:space="preserve"> 323-332.</w:t>
      </w:r>
    </w:p>
    <w:p w14:paraId="747EC071" w14:textId="77777777" w:rsidR="006E12E2" w:rsidRPr="006E12E2" w:rsidRDefault="006E12E2" w:rsidP="006E12E2">
      <w:pPr>
        <w:pStyle w:val="EndNoteBibliography"/>
        <w:ind w:left="720" w:hanging="720"/>
        <w:rPr>
          <w:noProof/>
        </w:rPr>
      </w:pPr>
      <w:r w:rsidRPr="006E12E2">
        <w:rPr>
          <w:noProof/>
        </w:rPr>
        <w:t xml:space="preserve">DUNICAN, D. S., MCWILLIAM, P., TIGHE, O., PARLE-MCDERMOTT, A. &amp; CROKE, D. T. 2002. Gene expression differences between the microsatellite instability (MIN) and chromosomal instability (CIN) phenotypes in colorectal cancer revealed by high-density cDNA array hybridization. </w:t>
      </w:r>
      <w:r w:rsidRPr="006E12E2">
        <w:rPr>
          <w:i/>
          <w:noProof/>
        </w:rPr>
        <w:t>Oncogene,</w:t>
      </w:r>
      <w:r w:rsidRPr="006E12E2">
        <w:rPr>
          <w:noProof/>
        </w:rPr>
        <w:t xml:space="preserve"> 21</w:t>
      </w:r>
      <w:r w:rsidRPr="006E12E2">
        <w:rPr>
          <w:b/>
          <w:noProof/>
        </w:rPr>
        <w:t>,</w:t>
      </w:r>
      <w:r w:rsidRPr="006E12E2">
        <w:rPr>
          <w:noProof/>
        </w:rPr>
        <w:t xml:space="preserve"> 3253-7.</w:t>
      </w:r>
    </w:p>
    <w:p w14:paraId="427E1D6E" w14:textId="77777777" w:rsidR="006E12E2" w:rsidRPr="006E12E2" w:rsidRDefault="006E12E2" w:rsidP="006E12E2">
      <w:pPr>
        <w:pStyle w:val="EndNoteBibliography"/>
        <w:ind w:left="720" w:hanging="720"/>
        <w:rPr>
          <w:noProof/>
        </w:rPr>
      </w:pPr>
      <w:r w:rsidRPr="006E12E2">
        <w:rPr>
          <w:noProof/>
        </w:rPr>
        <w:t xml:space="preserve">DYRSØ, T., KØLVRAA, S., BRUUN-PETERSEN, G., CRÜUGER, D. G., LI, J., WANG, K., BOLUND, L., LI, S., LINDEBJERG, J. &amp; JAKOBSEN, A. 2011. Identification of chromosome aberrations in sporadic microsatellite stable and unstable colorectal cancers using array comparative genomic hybridization. </w:t>
      </w:r>
      <w:r w:rsidRPr="006E12E2">
        <w:rPr>
          <w:i/>
          <w:noProof/>
        </w:rPr>
        <w:t>Cancer Genetics,</w:t>
      </w:r>
      <w:r w:rsidRPr="006E12E2">
        <w:rPr>
          <w:noProof/>
        </w:rPr>
        <w:t xml:space="preserve"> 204</w:t>
      </w:r>
      <w:r w:rsidRPr="006E12E2">
        <w:rPr>
          <w:b/>
          <w:noProof/>
        </w:rPr>
        <w:t>,</w:t>
      </w:r>
      <w:r w:rsidRPr="006E12E2">
        <w:rPr>
          <w:noProof/>
        </w:rPr>
        <w:t xml:space="preserve"> 84-95.</w:t>
      </w:r>
    </w:p>
    <w:p w14:paraId="36DE083A" w14:textId="77777777" w:rsidR="006E12E2" w:rsidRPr="006E12E2" w:rsidRDefault="006E12E2" w:rsidP="006E12E2">
      <w:pPr>
        <w:pStyle w:val="EndNoteBibliography"/>
        <w:ind w:left="720" w:hanging="720"/>
        <w:rPr>
          <w:noProof/>
        </w:rPr>
      </w:pPr>
      <w:r w:rsidRPr="006E12E2">
        <w:rPr>
          <w:noProof/>
        </w:rPr>
        <w:t xml:space="preserve">EIRÍN-LÓPEZ, J. M., GONZÁLEZ-ROMERO, R., DRYHURST, D., ISHIBASHI, T. &amp; AUSIÓ, J. 2009. The evolutionary differentiation of two histone H2A.Z variants in chordates (H2A.Z-1 and H2A.Z-2) is mediated by a stepwise mutation process that affects three amino acid residues. </w:t>
      </w:r>
      <w:r w:rsidRPr="006E12E2">
        <w:rPr>
          <w:i/>
          <w:noProof/>
        </w:rPr>
        <w:t>BMC Evol Biol,</w:t>
      </w:r>
      <w:r w:rsidRPr="006E12E2">
        <w:rPr>
          <w:noProof/>
        </w:rPr>
        <w:t xml:space="preserve"> 9</w:t>
      </w:r>
      <w:r w:rsidRPr="006E12E2">
        <w:rPr>
          <w:b/>
          <w:noProof/>
        </w:rPr>
        <w:t>,</w:t>
      </w:r>
      <w:r w:rsidRPr="006E12E2">
        <w:rPr>
          <w:noProof/>
        </w:rPr>
        <w:t xml:space="preserve"> 31.</w:t>
      </w:r>
    </w:p>
    <w:p w14:paraId="280865BD" w14:textId="77777777" w:rsidR="006E12E2" w:rsidRPr="006E12E2" w:rsidRDefault="006E12E2" w:rsidP="006E12E2">
      <w:pPr>
        <w:pStyle w:val="EndNoteBibliography"/>
        <w:ind w:left="720" w:hanging="720"/>
        <w:rPr>
          <w:noProof/>
        </w:rPr>
      </w:pPr>
      <w:r w:rsidRPr="006E12E2">
        <w:rPr>
          <w:noProof/>
        </w:rPr>
        <w:t xml:space="preserve">EISSENBERG, J. C., WONG, M. &amp; CHRIVIA, J. C. 2005. Human SRCAP and Drosophila melanogaster DOM are homologs that function in the notch signaling pathway. </w:t>
      </w:r>
      <w:r w:rsidRPr="006E12E2">
        <w:rPr>
          <w:i/>
          <w:noProof/>
        </w:rPr>
        <w:t>Mol Cell Biol,</w:t>
      </w:r>
      <w:r w:rsidRPr="006E12E2">
        <w:rPr>
          <w:noProof/>
        </w:rPr>
        <w:t xml:space="preserve"> 25</w:t>
      </w:r>
      <w:r w:rsidRPr="006E12E2">
        <w:rPr>
          <w:b/>
          <w:noProof/>
        </w:rPr>
        <w:t>,</w:t>
      </w:r>
      <w:r w:rsidRPr="006E12E2">
        <w:rPr>
          <w:noProof/>
        </w:rPr>
        <w:t xml:space="preserve"> 6559-69.</w:t>
      </w:r>
    </w:p>
    <w:p w14:paraId="748BAF71" w14:textId="77777777" w:rsidR="006E12E2" w:rsidRPr="006E12E2" w:rsidRDefault="006E12E2" w:rsidP="006E12E2">
      <w:pPr>
        <w:pStyle w:val="EndNoteBibliography"/>
        <w:ind w:left="720" w:hanging="720"/>
        <w:rPr>
          <w:noProof/>
        </w:rPr>
      </w:pPr>
      <w:r w:rsidRPr="006E12E2">
        <w:rPr>
          <w:noProof/>
        </w:rPr>
        <w:t xml:space="preserve">ELSALEH, H., POWELL, B., MCCAUL, K., GRIEU, F., GRANT, R., JOSEPH, D. &amp; IACOPETTA, B. 2001. P53 alteration and microsatellite instability have predictive value for survival benefit from chemotherapy in stage III colorectal carcinoma. </w:t>
      </w:r>
      <w:r w:rsidRPr="006E12E2">
        <w:rPr>
          <w:i/>
          <w:noProof/>
        </w:rPr>
        <w:t>Clin Cancer Res,</w:t>
      </w:r>
      <w:r w:rsidRPr="006E12E2">
        <w:rPr>
          <w:noProof/>
        </w:rPr>
        <w:t xml:space="preserve"> 7</w:t>
      </w:r>
      <w:r w:rsidRPr="006E12E2">
        <w:rPr>
          <w:b/>
          <w:noProof/>
        </w:rPr>
        <w:t>,</w:t>
      </w:r>
      <w:r w:rsidRPr="006E12E2">
        <w:rPr>
          <w:noProof/>
        </w:rPr>
        <w:t xml:space="preserve"> 1343-9.</w:t>
      </w:r>
    </w:p>
    <w:p w14:paraId="05C3BF1F" w14:textId="77777777" w:rsidR="006E12E2" w:rsidRPr="006E12E2" w:rsidRDefault="006E12E2" w:rsidP="006E12E2">
      <w:pPr>
        <w:pStyle w:val="EndNoteBibliography"/>
        <w:ind w:left="720" w:hanging="720"/>
        <w:rPr>
          <w:noProof/>
        </w:rPr>
      </w:pPr>
      <w:r w:rsidRPr="006E12E2">
        <w:rPr>
          <w:noProof/>
        </w:rPr>
        <w:t xml:space="preserve">ERISMAN, M. D., SCOTT, J. K. &amp; ASTRIN, S. M. 1989. Evidence that the familial adenomatous polyposis gene is involved in a subset of colon cancers with a complementable defect in c-myc regulation. </w:t>
      </w:r>
      <w:r w:rsidRPr="006E12E2">
        <w:rPr>
          <w:i/>
          <w:noProof/>
        </w:rPr>
        <w:t>Proc Natl Acad Sci U S A,</w:t>
      </w:r>
      <w:r w:rsidRPr="006E12E2">
        <w:rPr>
          <w:noProof/>
        </w:rPr>
        <w:t xml:space="preserve"> 86</w:t>
      </w:r>
      <w:r w:rsidRPr="006E12E2">
        <w:rPr>
          <w:b/>
          <w:noProof/>
        </w:rPr>
        <w:t>,</w:t>
      </w:r>
      <w:r w:rsidRPr="006E12E2">
        <w:rPr>
          <w:noProof/>
        </w:rPr>
        <w:t xml:space="preserve"> 4264-8.</w:t>
      </w:r>
    </w:p>
    <w:p w14:paraId="4A1C81F3" w14:textId="77777777" w:rsidR="006E12E2" w:rsidRPr="006E12E2" w:rsidRDefault="006E12E2" w:rsidP="006E12E2">
      <w:pPr>
        <w:pStyle w:val="EndNoteBibliography"/>
        <w:ind w:left="720" w:hanging="720"/>
        <w:rPr>
          <w:noProof/>
        </w:rPr>
      </w:pPr>
      <w:r w:rsidRPr="006E12E2">
        <w:rPr>
          <w:noProof/>
        </w:rPr>
        <w:t xml:space="preserve">ESHGHI, M. J., FATEMI, R., HASHEMY, A., ALDULAIMI, D. &amp; KHODADOOSTAN, M. 2011. A retrospective study of patients with colorectal polyps. </w:t>
      </w:r>
      <w:r w:rsidRPr="006E12E2">
        <w:rPr>
          <w:i/>
          <w:noProof/>
        </w:rPr>
        <w:t>Gastroenterol Hepatol Bed Bench,</w:t>
      </w:r>
      <w:r w:rsidRPr="006E12E2">
        <w:rPr>
          <w:noProof/>
        </w:rPr>
        <w:t xml:space="preserve"> 4</w:t>
      </w:r>
      <w:r w:rsidRPr="006E12E2">
        <w:rPr>
          <w:b/>
          <w:noProof/>
        </w:rPr>
        <w:t>,</w:t>
      </w:r>
      <w:r w:rsidRPr="006E12E2">
        <w:rPr>
          <w:noProof/>
        </w:rPr>
        <w:t xml:space="preserve"> 17-22.</w:t>
      </w:r>
    </w:p>
    <w:p w14:paraId="7F033DD4" w14:textId="77777777" w:rsidR="006E12E2" w:rsidRPr="006E12E2" w:rsidRDefault="006E12E2" w:rsidP="006E12E2">
      <w:pPr>
        <w:pStyle w:val="EndNoteBibliography"/>
        <w:ind w:left="720" w:hanging="720"/>
        <w:rPr>
          <w:noProof/>
        </w:rPr>
      </w:pPr>
      <w:r w:rsidRPr="006E12E2">
        <w:rPr>
          <w:noProof/>
        </w:rPr>
        <w:t xml:space="preserve">EWALD, B., SAMPATH, D. &amp; PLUNKETT, W. 2007. H2AX phosphorylation marks gemcitabine-induced stalled replication forks and their collapse upon S-phase checkpoint abrogation. </w:t>
      </w:r>
      <w:r w:rsidRPr="006E12E2">
        <w:rPr>
          <w:i/>
          <w:noProof/>
        </w:rPr>
        <w:t>Mol Cancer Ther,</w:t>
      </w:r>
      <w:r w:rsidRPr="006E12E2">
        <w:rPr>
          <w:noProof/>
        </w:rPr>
        <w:t xml:space="preserve"> 6</w:t>
      </w:r>
      <w:r w:rsidRPr="006E12E2">
        <w:rPr>
          <w:b/>
          <w:noProof/>
        </w:rPr>
        <w:t>,</w:t>
      </w:r>
      <w:r w:rsidRPr="006E12E2">
        <w:rPr>
          <w:noProof/>
        </w:rPr>
        <w:t xml:space="preserve"> 1239-48.</w:t>
      </w:r>
    </w:p>
    <w:p w14:paraId="486F0D9C" w14:textId="77777777" w:rsidR="006E12E2" w:rsidRPr="006E12E2" w:rsidRDefault="006E12E2" w:rsidP="006E12E2">
      <w:pPr>
        <w:pStyle w:val="EndNoteBibliography"/>
        <w:ind w:left="720" w:hanging="720"/>
        <w:rPr>
          <w:noProof/>
        </w:rPr>
      </w:pPr>
      <w:r w:rsidRPr="006E12E2">
        <w:rPr>
          <w:noProof/>
        </w:rPr>
        <w:t xml:space="preserve">FAAST, R., THONGLAIROAM, V., SCHULZ, T. C., BEALL, J., WELLS, J. R., TAYLOR, H., MATTHAEI, K., RATHJEN, P. D., TREMETHICK, D. J. &amp; LYONS, I. 2001. Histone variant H2A.Z is required for early mammalian development. </w:t>
      </w:r>
      <w:r w:rsidRPr="006E12E2">
        <w:rPr>
          <w:i/>
          <w:noProof/>
        </w:rPr>
        <w:t>Curr Biol,</w:t>
      </w:r>
      <w:r w:rsidRPr="006E12E2">
        <w:rPr>
          <w:noProof/>
        </w:rPr>
        <w:t xml:space="preserve"> 11</w:t>
      </w:r>
      <w:r w:rsidRPr="006E12E2">
        <w:rPr>
          <w:b/>
          <w:noProof/>
        </w:rPr>
        <w:t>,</w:t>
      </w:r>
      <w:r w:rsidRPr="006E12E2">
        <w:rPr>
          <w:noProof/>
        </w:rPr>
        <w:t xml:space="preserve"> 1183-7.</w:t>
      </w:r>
    </w:p>
    <w:p w14:paraId="371468A0" w14:textId="77777777" w:rsidR="006E12E2" w:rsidRPr="006E12E2" w:rsidRDefault="006E12E2" w:rsidP="006E12E2">
      <w:pPr>
        <w:pStyle w:val="EndNoteBibliography"/>
        <w:ind w:left="720" w:hanging="720"/>
        <w:rPr>
          <w:noProof/>
        </w:rPr>
      </w:pPr>
      <w:r w:rsidRPr="006E12E2">
        <w:rPr>
          <w:noProof/>
        </w:rPr>
        <w:t xml:space="preserve">FALCONE, A., RICCI, S., BRUNETTI, I., PFANNER, E., ALLEGRINI, G., BARBARA, C., CRINÒ, L., BENEDETTI, G., EVANGELISTA, W., FANCHINI, L., CORTESI, E., PICONE, V., VITELLO, S., CHIARA, S., GRANETTO, C., PORCILE, G., FIORETTO, L., ORLANDINI, C., ANDREUCCETTI, M., MASI, G. &amp; OVEST, G. O. N. 2007. Phase III trial of infusional fluorouracil, leucovorin, oxaliplatin, and irinotecan (FOLFOXIRI) compared with infusional fluorouracil, leucovorin, and irinotecan (FOLFIRI) as first-line treatment for metastatic colorectal cancer: the Gruppo Oncologico Nord Ovest. </w:t>
      </w:r>
      <w:r w:rsidRPr="006E12E2">
        <w:rPr>
          <w:i/>
          <w:noProof/>
        </w:rPr>
        <w:t>J Clin Oncol,</w:t>
      </w:r>
      <w:r w:rsidRPr="006E12E2">
        <w:rPr>
          <w:noProof/>
        </w:rPr>
        <w:t xml:space="preserve"> 25</w:t>
      </w:r>
      <w:r w:rsidRPr="006E12E2">
        <w:rPr>
          <w:b/>
          <w:noProof/>
        </w:rPr>
        <w:t>,</w:t>
      </w:r>
      <w:r w:rsidRPr="006E12E2">
        <w:rPr>
          <w:noProof/>
        </w:rPr>
        <w:t xml:space="preserve"> 1670-6.</w:t>
      </w:r>
    </w:p>
    <w:p w14:paraId="6A276CC5" w14:textId="77777777" w:rsidR="006E12E2" w:rsidRPr="006E12E2" w:rsidRDefault="006E12E2" w:rsidP="006E12E2">
      <w:pPr>
        <w:pStyle w:val="EndNoteBibliography"/>
        <w:ind w:left="720" w:hanging="720"/>
        <w:rPr>
          <w:noProof/>
        </w:rPr>
      </w:pPr>
      <w:r w:rsidRPr="006E12E2">
        <w:rPr>
          <w:noProof/>
        </w:rPr>
        <w:t xml:space="preserve">FATHI, A. T., WANDER, S. A., BLONQUIST, T. M., BRUNNER, A. M., AMREIN, P. C., SUPKO, J., HERMANCE, N. M., MANNING, A. L., SADRZADEH, H., BALLEN, K. K., ATTAR, E. C., GRAUBERT, T. A., HOBBS, G., JOSEPH, C., PERRY, A. M., BURKE, M., SILVER, R., FOSTER, J., BERGERON, M., RAMOS, A. Y., SOM, T. T., FISHMAN, K. M., MCGREGOR, K. L., CONNOLLY, C., NEUBERG, D. S. &amp; CHEN, Y. B. 2017. Phase I study of the aurora A kinase inhibitor alisertib with induction chemotherapy in patients with acute myeloid leukemia. </w:t>
      </w:r>
      <w:r w:rsidRPr="006E12E2">
        <w:rPr>
          <w:i/>
          <w:noProof/>
        </w:rPr>
        <w:t>Haematologica,</w:t>
      </w:r>
      <w:r w:rsidRPr="006E12E2">
        <w:rPr>
          <w:noProof/>
        </w:rPr>
        <w:t xml:space="preserve"> 102</w:t>
      </w:r>
      <w:r w:rsidRPr="006E12E2">
        <w:rPr>
          <w:b/>
          <w:noProof/>
        </w:rPr>
        <w:t>,</w:t>
      </w:r>
      <w:r w:rsidRPr="006E12E2">
        <w:rPr>
          <w:noProof/>
        </w:rPr>
        <w:t xml:space="preserve"> 719-727.</w:t>
      </w:r>
    </w:p>
    <w:p w14:paraId="4BBDB148" w14:textId="77777777" w:rsidR="006E12E2" w:rsidRPr="006E12E2" w:rsidRDefault="006E12E2" w:rsidP="006E12E2">
      <w:pPr>
        <w:pStyle w:val="EndNoteBibliography"/>
        <w:ind w:left="720" w:hanging="720"/>
        <w:rPr>
          <w:noProof/>
        </w:rPr>
      </w:pPr>
      <w:r w:rsidRPr="006E12E2">
        <w:rPr>
          <w:noProof/>
        </w:rPr>
        <w:t xml:space="preserve">FEARON, E. R. &amp; VOGELSTEIN, B. 1990. A genetic model for colorectal tumorigenesis. </w:t>
      </w:r>
      <w:r w:rsidRPr="006E12E2">
        <w:rPr>
          <w:i/>
          <w:noProof/>
        </w:rPr>
        <w:t>Cell,</w:t>
      </w:r>
      <w:r w:rsidRPr="006E12E2">
        <w:rPr>
          <w:noProof/>
        </w:rPr>
        <w:t xml:space="preserve"> 61</w:t>
      </w:r>
      <w:r w:rsidRPr="006E12E2">
        <w:rPr>
          <w:b/>
          <w:noProof/>
        </w:rPr>
        <w:t>,</w:t>
      </w:r>
      <w:r w:rsidRPr="006E12E2">
        <w:rPr>
          <w:noProof/>
        </w:rPr>
        <w:t xml:space="preserve"> 759-67.</w:t>
      </w:r>
    </w:p>
    <w:p w14:paraId="663FAD5D" w14:textId="77777777" w:rsidR="006E12E2" w:rsidRPr="006E12E2" w:rsidRDefault="006E12E2" w:rsidP="006E12E2">
      <w:pPr>
        <w:pStyle w:val="EndNoteBibliography"/>
        <w:ind w:left="720" w:hanging="720"/>
        <w:rPr>
          <w:noProof/>
        </w:rPr>
      </w:pPr>
      <w:r w:rsidRPr="006E12E2">
        <w:rPr>
          <w:noProof/>
        </w:rPr>
        <w:t xml:space="preserve">FEELEY, K. M., FULLARD, J. F., HENEGHAN, M. A., SMITH, T., MAHER, M., MURPHY, R. P. &amp; O'GORMAN, T. A. 1999. Microsatellite instability in sporadic colorectal carcinoma is not an indicator of prognosis. </w:t>
      </w:r>
      <w:r w:rsidRPr="006E12E2">
        <w:rPr>
          <w:i/>
          <w:noProof/>
        </w:rPr>
        <w:t>J Pathol,</w:t>
      </w:r>
      <w:r w:rsidRPr="006E12E2">
        <w:rPr>
          <w:noProof/>
        </w:rPr>
        <w:t xml:space="preserve"> 188</w:t>
      </w:r>
      <w:r w:rsidRPr="006E12E2">
        <w:rPr>
          <w:b/>
          <w:noProof/>
        </w:rPr>
        <w:t>,</w:t>
      </w:r>
      <w:r w:rsidRPr="006E12E2">
        <w:rPr>
          <w:noProof/>
        </w:rPr>
        <w:t xml:space="preserve"> 14-7.</w:t>
      </w:r>
    </w:p>
    <w:p w14:paraId="503909DC" w14:textId="77777777" w:rsidR="006E12E2" w:rsidRPr="006E12E2" w:rsidRDefault="006E12E2" w:rsidP="006E12E2">
      <w:pPr>
        <w:pStyle w:val="EndNoteBibliography"/>
        <w:ind w:left="720" w:hanging="720"/>
        <w:rPr>
          <w:noProof/>
        </w:rPr>
      </w:pPr>
      <w:r w:rsidRPr="006E12E2">
        <w:rPr>
          <w:noProof/>
        </w:rPr>
        <w:t xml:space="preserve">FENECH, M. 2002. Chromosomal biomarkers of genomic instability relevant to cancer. </w:t>
      </w:r>
      <w:r w:rsidRPr="006E12E2">
        <w:rPr>
          <w:i/>
          <w:noProof/>
        </w:rPr>
        <w:t>Drug Discov Today,</w:t>
      </w:r>
      <w:r w:rsidRPr="006E12E2">
        <w:rPr>
          <w:noProof/>
        </w:rPr>
        <w:t xml:space="preserve"> 7</w:t>
      </w:r>
      <w:r w:rsidRPr="006E12E2">
        <w:rPr>
          <w:b/>
          <w:noProof/>
        </w:rPr>
        <w:t>,</w:t>
      </w:r>
      <w:r w:rsidRPr="006E12E2">
        <w:rPr>
          <w:noProof/>
        </w:rPr>
        <w:t xml:space="preserve"> 1128-37.</w:t>
      </w:r>
    </w:p>
    <w:p w14:paraId="19F3E97A" w14:textId="77777777" w:rsidR="006E12E2" w:rsidRPr="006E12E2" w:rsidRDefault="006E12E2" w:rsidP="006E12E2">
      <w:pPr>
        <w:pStyle w:val="EndNoteBibliography"/>
        <w:ind w:left="720" w:hanging="720"/>
        <w:rPr>
          <w:noProof/>
        </w:rPr>
      </w:pPr>
      <w:r w:rsidRPr="006E12E2">
        <w:rPr>
          <w:noProof/>
        </w:rPr>
        <w:t xml:space="preserve">FISCHER, F., BAERENFALLER, K. &amp; JIRICNY, J. 2007. 5-Fluorouracil is efficiently removed from DNA by the base excision and mismatch repair systems. </w:t>
      </w:r>
      <w:r w:rsidRPr="006E12E2">
        <w:rPr>
          <w:i/>
          <w:noProof/>
        </w:rPr>
        <w:t>Gastroenterology,</w:t>
      </w:r>
      <w:r w:rsidRPr="006E12E2">
        <w:rPr>
          <w:noProof/>
        </w:rPr>
        <w:t xml:space="preserve"> 133</w:t>
      </w:r>
      <w:r w:rsidRPr="006E12E2">
        <w:rPr>
          <w:b/>
          <w:noProof/>
        </w:rPr>
        <w:t>,</w:t>
      </w:r>
      <w:r w:rsidRPr="006E12E2">
        <w:rPr>
          <w:noProof/>
        </w:rPr>
        <w:t xml:space="preserve"> 1858-68.</w:t>
      </w:r>
    </w:p>
    <w:p w14:paraId="1E354175" w14:textId="77777777" w:rsidR="006E12E2" w:rsidRPr="006E12E2" w:rsidRDefault="006E12E2" w:rsidP="006E12E2">
      <w:pPr>
        <w:pStyle w:val="EndNoteBibliography"/>
        <w:ind w:left="720" w:hanging="720"/>
        <w:rPr>
          <w:noProof/>
        </w:rPr>
      </w:pPr>
      <w:r w:rsidRPr="006E12E2">
        <w:rPr>
          <w:noProof/>
        </w:rPr>
        <w:t xml:space="preserve">FISHER, R. A., NUCCI, M. R., THAKER, H. M., WEREMOWICZ, S., GENEST, D. R. &amp; CASTRILLON, D. H. 2004. Complete hydatidiform mole retaining a chromosome 11 of maternal origin: molecular genetic analysis of a case. </w:t>
      </w:r>
      <w:r w:rsidRPr="006E12E2">
        <w:rPr>
          <w:i/>
          <w:noProof/>
        </w:rPr>
        <w:t>Mod Pathol,</w:t>
      </w:r>
      <w:r w:rsidRPr="006E12E2">
        <w:rPr>
          <w:noProof/>
        </w:rPr>
        <w:t xml:space="preserve"> 17</w:t>
      </w:r>
      <w:r w:rsidRPr="006E12E2">
        <w:rPr>
          <w:b/>
          <w:noProof/>
        </w:rPr>
        <w:t>,</w:t>
      </w:r>
      <w:r w:rsidRPr="006E12E2">
        <w:rPr>
          <w:noProof/>
        </w:rPr>
        <w:t xml:space="preserve"> 1155-60.</w:t>
      </w:r>
    </w:p>
    <w:p w14:paraId="68165605" w14:textId="77777777" w:rsidR="006E12E2" w:rsidRPr="006E12E2" w:rsidRDefault="006E12E2" w:rsidP="006E12E2">
      <w:pPr>
        <w:pStyle w:val="EndNoteBibliography"/>
        <w:ind w:left="720" w:hanging="720"/>
        <w:rPr>
          <w:noProof/>
        </w:rPr>
      </w:pPr>
      <w:r w:rsidRPr="006E12E2">
        <w:rPr>
          <w:noProof/>
        </w:rPr>
        <w:t xml:space="preserve">GAGOU, M. E., GANESH, A., PHEAR, G., ROBINSON, D., PETERMANN, E., COX, A. &amp; MEUTH, M. 2014. Human PIF1 helicase supports DNA replication and cell growth under oncogenic-stress. </w:t>
      </w:r>
      <w:r w:rsidRPr="006E12E2">
        <w:rPr>
          <w:i/>
          <w:noProof/>
        </w:rPr>
        <w:t>Oncotarget,</w:t>
      </w:r>
      <w:r w:rsidRPr="006E12E2">
        <w:rPr>
          <w:noProof/>
        </w:rPr>
        <w:t xml:space="preserve"> 5</w:t>
      </w:r>
      <w:r w:rsidRPr="006E12E2">
        <w:rPr>
          <w:b/>
          <w:noProof/>
        </w:rPr>
        <w:t>,</w:t>
      </w:r>
      <w:r w:rsidRPr="006E12E2">
        <w:rPr>
          <w:noProof/>
        </w:rPr>
        <w:t xml:space="preserve"> 11381-98.</w:t>
      </w:r>
    </w:p>
    <w:p w14:paraId="2861E563" w14:textId="77777777" w:rsidR="006E12E2" w:rsidRPr="006E12E2" w:rsidRDefault="006E12E2" w:rsidP="006E12E2">
      <w:pPr>
        <w:pStyle w:val="EndNoteBibliography"/>
        <w:ind w:left="720" w:hanging="720"/>
        <w:rPr>
          <w:noProof/>
        </w:rPr>
      </w:pPr>
      <w:r w:rsidRPr="006E12E2">
        <w:rPr>
          <w:noProof/>
        </w:rPr>
        <w:t xml:space="preserve">GARY, R. K. &amp; KINDELL, S. M. 2005. Quantitative assay of senescence-associated beta-galactosidase activity in mammalian cell extracts. </w:t>
      </w:r>
      <w:r w:rsidRPr="006E12E2">
        <w:rPr>
          <w:i/>
          <w:noProof/>
        </w:rPr>
        <w:t>Anal Biochem,</w:t>
      </w:r>
      <w:r w:rsidRPr="006E12E2">
        <w:rPr>
          <w:noProof/>
        </w:rPr>
        <w:t xml:space="preserve"> 343</w:t>
      </w:r>
      <w:r w:rsidRPr="006E12E2">
        <w:rPr>
          <w:b/>
          <w:noProof/>
        </w:rPr>
        <w:t>,</w:t>
      </w:r>
      <w:r w:rsidRPr="006E12E2">
        <w:rPr>
          <w:noProof/>
        </w:rPr>
        <w:t xml:space="preserve"> 329-34.</w:t>
      </w:r>
    </w:p>
    <w:p w14:paraId="1B15A387" w14:textId="77777777" w:rsidR="006E12E2" w:rsidRPr="006E12E2" w:rsidRDefault="006E12E2" w:rsidP="006E12E2">
      <w:pPr>
        <w:pStyle w:val="EndNoteBibliography"/>
        <w:ind w:left="720" w:hanging="720"/>
        <w:rPr>
          <w:noProof/>
        </w:rPr>
      </w:pPr>
      <w:r w:rsidRPr="006E12E2">
        <w:rPr>
          <w:noProof/>
        </w:rPr>
        <w:t xml:space="preserve">GERTLER, R., ROSENBERG, R., STRICKER, D., FRIEDERICHS, J., HOOS, A., WERNER, M., ULM, K., HOLZMANN, B., NEKARDA, H. &amp; SIEWERT, J. R. 2004. Telomere length and human telomerase reverse transcriptase expression as markers for progression and prognosis of colorectal carcinoma. </w:t>
      </w:r>
      <w:r w:rsidRPr="006E12E2">
        <w:rPr>
          <w:i/>
          <w:noProof/>
        </w:rPr>
        <w:t>J Clin Oncol,</w:t>
      </w:r>
      <w:r w:rsidRPr="006E12E2">
        <w:rPr>
          <w:noProof/>
        </w:rPr>
        <w:t xml:space="preserve"> 22</w:t>
      </w:r>
      <w:r w:rsidRPr="006E12E2">
        <w:rPr>
          <w:b/>
          <w:noProof/>
        </w:rPr>
        <w:t>,</w:t>
      </w:r>
      <w:r w:rsidRPr="006E12E2">
        <w:rPr>
          <w:noProof/>
        </w:rPr>
        <w:t xml:space="preserve"> 1807-14.</w:t>
      </w:r>
    </w:p>
    <w:p w14:paraId="1CB16DE0" w14:textId="77777777" w:rsidR="006E12E2" w:rsidRPr="006E12E2" w:rsidRDefault="006E12E2" w:rsidP="006E12E2">
      <w:pPr>
        <w:pStyle w:val="EndNoteBibliography"/>
        <w:ind w:left="720" w:hanging="720"/>
        <w:rPr>
          <w:noProof/>
        </w:rPr>
      </w:pPr>
      <w:r w:rsidRPr="006E12E2">
        <w:rPr>
          <w:noProof/>
        </w:rPr>
        <w:t xml:space="preserve">GIACCHETTI, S., PERPOINT, B., ZIDANI, R., LE BAIL, N., FAGGIUOLO, R., FOCAN, C., CHOLLET, P., LLORY, J. F., LETOURNEAU, Y., COUDERT, B., BERTHEAUT-CVITKOVIC, F., LARREGAIN-FOURNIER, D., LE ROL, A., WALTER, S., ADAM, R., MISSET, J. L. &amp; LÉVI, F. 2000. Phase III multicenter randomized trial of oxaliplatin added to chronomodulated fluorouracil-leucovorin as first-line treatment of metastatic colorectal cancer. </w:t>
      </w:r>
      <w:r w:rsidRPr="006E12E2">
        <w:rPr>
          <w:i/>
          <w:noProof/>
        </w:rPr>
        <w:t>J Clin Oncol,</w:t>
      </w:r>
      <w:r w:rsidRPr="006E12E2">
        <w:rPr>
          <w:noProof/>
        </w:rPr>
        <w:t xml:space="preserve"> 18</w:t>
      </w:r>
      <w:r w:rsidRPr="006E12E2">
        <w:rPr>
          <w:b/>
          <w:noProof/>
        </w:rPr>
        <w:t>,</w:t>
      </w:r>
      <w:r w:rsidRPr="006E12E2">
        <w:rPr>
          <w:noProof/>
        </w:rPr>
        <w:t xml:space="preserve"> 136-47.</w:t>
      </w:r>
    </w:p>
    <w:p w14:paraId="6C75FE29" w14:textId="77777777" w:rsidR="006E12E2" w:rsidRPr="006E12E2" w:rsidRDefault="006E12E2" w:rsidP="006E12E2">
      <w:pPr>
        <w:pStyle w:val="EndNoteBibliography"/>
        <w:ind w:left="720" w:hanging="720"/>
        <w:rPr>
          <w:noProof/>
        </w:rPr>
      </w:pPr>
      <w:r w:rsidRPr="006E12E2">
        <w:rPr>
          <w:noProof/>
        </w:rPr>
        <w:t xml:space="preserve">GIANTONIO, B. J., CATALANO, P. J., MEROPOL, N. J., O'DWYER, P. J., MITCHELL, E. P., ALBERTS, S. R., SCHWARTZ, M. A., BENSON, A. B. &amp; E3200, E. C. O. G. S. 2007. Bevacizumab in combination with oxaliplatin, fluorouracil, and leucovorin (FOLFOX4) for previously treated metastatic colorectal cancer: results from the Eastern Cooperative Oncology Group Study E3200. </w:t>
      </w:r>
      <w:r w:rsidRPr="006E12E2">
        <w:rPr>
          <w:i/>
          <w:noProof/>
        </w:rPr>
        <w:t>J Clin Oncol,</w:t>
      </w:r>
      <w:r w:rsidRPr="006E12E2">
        <w:rPr>
          <w:noProof/>
        </w:rPr>
        <w:t xml:space="preserve"> 25</w:t>
      </w:r>
      <w:r w:rsidRPr="006E12E2">
        <w:rPr>
          <w:b/>
          <w:noProof/>
        </w:rPr>
        <w:t>,</w:t>
      </w:r>
      <w:r w:rsidRPr="006E12E2">
        <w:rPr>
          <w:noProof/>
        </w:rPr>
        <w:t xml:space="preserve"> 1539-44.</w:t>
      </w:r>
    </w:p>
    <w:p w14:paraId="02038715" w14:textId="77777777" w:rsidR="006E12E2" w:rsidRPr="006E12E2" w:rsidRDefault="006E12E2" w:rsidP="006E12E2">
      <w:pPr>
        <w:pStyle w:val="EndNoteBibliography"/>
        <w:ind w:left="720" w:hanging="720"/>
        <w:rPr>
          <w:noProof/>
        </w:rPr>
      </w:pPr>
      <w:r w:rsidRPr="006E12E2">
        <w:rPr>
          <w:noProof/>
        </w:rPr>
        <w:t xml:space="preserve">GIGLIA-MARI, G., ZOTTER, A. &amp; VERMEULEN, W. 2011. DNA damage response. </w:t>
      </w:r>
      <w:r w:rsidRPr="006E12E2">
        <w:rPr>
          <w:i/>
          <w:noProof/>
        </w:rPr>
        <w:t>Cold Spring Harb Perspect Biol,</w:t>
      </w:r>
      <w:r w:rsidRPr="006E12E2">
        <w:rPr>
          <w:noProof/>
        </w:rPr>
        <w:t xml:space="preserve"> 3</w:t>
      </w:r>
      <w:r w:rsidRPr="006E12E2">
        <w:rPr>
          <w:b/>
          <w:noProof/>
        </w:rPr>
        <w:t>,</w:t>
      </w:r>
      <w:r w:rsidRPr="006E12E2">
        <w:rPr>
          <w:noProof/>
        </w:rPr>
        <w:t xml:space="preserve"> a000745.</w:t>
      </w:r>
    </w:p>
    <w:p w14:paraId="73477FE9" w14:textId="77777777" w:rsidR="006E12E2" w:rsidRPr="006E12E2" w:rsidRDefault="006E12E2" w:rsidP="006E12E2">
      <w:pPr>
        <w:pStyle w:val="EndNoteBibliography"/>
        <w:ind w:left="720" w:hanging="720"/>
        <w:rPr>
          <w:noProof/>
        </w:rPr>
      </w:pPr>
      <w:r w:rsidRPr="006E12E2">
        <w:rPr>
          <w:noProof/>
        </w:rPr>
        <w:t xml:space="preserve">GOLDBERG, R. M., SARGENT, D. J., MORTON, R. F., FUCHS, C. S., RAMANATHAN, R. K., WILLIAMSON, S. K., FINDLAY, B. P., PITOT, H. C. &amp; ALBERTS, S. R. 2004. A randomized controlled trial of fluorouracil plus leucovorin, irinotecan, and oxaliplatin combinations in patients with previously untreated metastatic colorectal cancer. </w:t>
      </w:r>
      <w:r w:rsidRPr="006E12E2">
        <w:rPr>
          <w:i/>
          <w:noProof/>
        </w:rPr>
        <w:t>J Clin Oncol,</w:t>
      </w:r>
      <w:r w:rsidRPr="006E12E2">
        <w:rPr>
          <w:noProof/>
        </w:rPr>
        <w:t xml:space="preserve"> 22</w:t>
      </w:r>
      <w:r w:rsidRPr="006E12E2">
        <w:rPr>
          <w:b/>
          <w:noProof/>
        </w:rPr>
        <w:t>,</w:t>
      </w:r>
      <w:r w:rsidRPr="006E12E2">
        <w:rPr>
          <w:noProof/>
        </w:rPr>
        <w:t xml:space="preserve"> 23-30.</w:t>
      </w:r>
    </w:p>
    <w:p w14:paraId="7A4C0A83" w14:textId="77777777" w:rsidR="006E12E2" w:rsidRPr="006E12E2" w:rsidRDefault="006E12E2" w:rsidP="006E12E2">
      <w:pPr>
        <w:pStyle w:val="EndNoteBibliography"/>
        <w:ind w:left="720" w:hanging="720"/>
        <w:rPr>
          <w:noProof/>
        </w:rPr>
      </w:pPr>
      <w:r w:rsidRPr="006E12E2">
        <w:rPr>
          <w:noProof/>
        </w:rPr>
        <w:t xml:space="preserve">GRAHAM, C. N., HECHMATI, G., HJELMGREN, J., DE LIÈGE, F., LANIER, J., KNOX, H. &amp; BARBER, B. 2014. Cost-effectiveness analysis of panitumumab plus mFOLFOX6 compared with bevacizumab plus mFOLFOX6 for first-line treatment of patients with wild-type RAS metastatic colorectal cancer. </w:t>
      </w:r>
      <w:r w:rsidRPr="006E12E2">
        <w:rPr>
          <w:i/>
          <w:noProof/>
        </w:rPr>
        <w:t>Eur J Cancer,</w:t>
      </w:r>
      <w:r w:rsidRPr="006E12E2">
        <w:rPr>
          <w:noProof/>
        </w:rPr>
        <w:t xml:space="preserve"> 50</w:t>
      </w:r>
      <w:r w:rsidRPr="006E12E2">
        <w:rPr>
          <w:b/>
          <w:noProof/>
        </w:rPr>
        <w:t>,</w:t>
      </w:r>
      <w:r w:rsidRPr="006E12E2">
        <w:rPr>
          <w:noProof/>
        </w:rPr>
        <w:t xml:space="preserve"> 2791-801.</w:t>
      </w:r>
    </w:p>
    <w:p w14:paraId="13DF7824" w14:textId="77777777" w:rsidR="006E12E2" w:rsidRPr="006E12E2" w:rsidRDefault="006E12E2" w:rsidP="006E12E2">
      <w:pPr>
        <w:pStyle w:val="EndNoteBibliography"/>
        <w:ind w:left="720" w:hanging="720"/>
        <w:rPr>
          <w:noProof/>
        </w:rPr>
      </w:pPr>
      <w:r w:rsidRPr="006E12E2">
        <w:rPr>
          <w:noProof/>
        </w:rPr>
        <w:t xml:space="preserve">GRODEN, J., THLIVERIS, A., SAMOWITZ, W., CARLSON, M., GELBERT, L., ALBERTSEN, H., JOSLYN, G., STEVENS, J., SPIRIO, L. &amp; ROBERTSON, M. 1991. Identification and characterization of the familial adenomatous polyposis coli gene. </w:t>
      </w:r>
      <w:r w:rsidRPr="006E12E2">
        <w:rPr>
          <w:i/>
          <w:noProof/>
        </w:rPr>
        <w:t>Cell,</w:t>
      </w:r>
      <w:r w:rsidRPr="006E12E2">
        <w:rPr>
          <w:noProof/>
        </w:rPr>
        <w:t xml:space="preserve"> 66</w:t>
      </w:r>
      <w:r w:rsidRPr="006E12E2">
        <w:rPr>
          <w:b/>
          <w:noProof/>
        </w:rPr>
        <w:t>,</w:t>
      </w:r>
      <w:r w:rsidRPr="006E12E2">
        <w:rPr>
          <w:noProof/>
        </w:rPr>
        <w:t xml:space="preserve"> 589-600.</w:t>
      </w:r>
    </w:p>
    <w:p w14:paraId="7638EB43" w14:textId="77777777" w:rsidR="006E12E2" w:rsidRPr="006E12E2" w:rsidRDefault="006E12E2" w:rsidP="006E12E2">
      <w:pPr>
        <w:pStyle w:val="EndNoteBibliography"/>
        <w:ind w:left="720" w:hanging="720"/>
        <w:rPr>
          <w:noProof/>
        </w:rPr>
      </w:pPr>
      <w:r w:rsidRPr="006E12E2">
        <w:rPr>
          <w:noProof/>
        </w:rPr>
        <w:t>GUILLEM, J. G., CALLE JR, J. P.-L., CELLINI, C., MURRAY, M., NG, J., PATY, P. B., QUAN, S. H. Q., WONG, W. D., COHEN, A. M. &amp; FAZZARI, M. 1999. Varying features of early age-of- onset &amp;#039;sporadic&amp;#039; and hereditary nonpolyposis colorectal cancer patients.</w:t>
      </w:r>
    </w:p>
    <w:p w14:paraId="36A52819" w14:textId="77777777" w:rsidR="006E12E2" w:rsidRPr="006E12E2" w:rsidRDefault="006E12E2" w:rsidP="006E12E2">
      <w:pPr>
        <w:pStyle w:val="EndNoteBibliography"/>
        <w:ind w:left="720" w:hanging="720"/>
        <w:rPr>
          <w:noProof/>
        </w:rPr>
      </w:pPr>
      <w:r w:rsidRPr="006E12E2">
        <w:rPr>
          <w:noProof/>
        </w:rPr>
        <w:t xml:space="preserve">GUILLEMETTE, B., BATAILLE, A. R., GÉVRY, N., ADAM, M., BLANCHETTE, M., ROBERT, F. &amp; GAUDREAU, L. 2005. Variant histone H2A.Z is globally localized to the promoters of inactive yeast genes and regulates nucleosome positioning. </w:t>
      </w:r>
      <w:r w:rsidRPr="006E12E2">
        <w:rPr>
          <w:i/>
          <w:noProof/>
        </w:rPr>
        <w:t>PLoS Biol,</w:t>
      </w:r>
      <w:r w:rsidRPr="006E12E2">
        <w:rPr>
          <w:noProof/>
        </w:rPr>
        <w:t xml:space="preserve"> 3</w:t>
      </w:r>
      <w:r w:rsidRPr="006E12E2">
        <w:rPr>
          <w:b/>
          <w:noProof/>
        </w:rPr>
        <w:t>,</w:t>
      </w:r>
      <w:r w:rsidRPr="006E12E2">
        <w:rPr>
          <w:noProof/>
        </w:rPr>
        <w:t xml:space="preserve"> e384.</w:t>
      </w:r>
    </w:p>
    <w:p w14:paraId="057CEB1B" w14:textId="77777777" w:rsidR="006E12E2" w:rsidRPr="006E12E2" w:rsidRDefault="006E12E2" w:rsidP="006E12E2">
      <w:pPr>
        <w:pStyle w:val="EndNoteBibliography"/>
        <w:ind w:left="720" w:hanging="720"/>
        <w:rPr>
          <w:noProof/>
        </w:rPr>
      </w:pPr>
      <w:r w:rsidRPr="006E12E2">
        <w:rPr>
          <w:noProof/>
        </w:rPr>
        <w:t xml:space="preserve">GUILLOTIN, D. &amp; MARTIN, S. A. 2014. Exploiting DNA mismatch repair deficiency as a therapeutic strategy. </w:t>
      </w:r>
      <w:r w:rsidRPr="006E12E2">
        <w:rPr>
          <w:i/>
          <w:noProof/>
        </w:rPr>
        <w:t>Exp Cell Res,</w:t>
      </w:r>
      <w:r w:rsidRPr="006E12E2">
        <w:rPr>
          <w:noProof/>
        </w:rPr>
        <w:t xml:space="preserve"> 329</w:t>
      </w:r>
      <w:r w:rsidRPr="006E12E2">
        <w:rPr>
          <w:b/>
          <w:noProof/>
        </w:rPr>
        <w:t>,</w:t>
      </w:r>
      <w:r w:rsidRPr="006E12E2">
        <w:rPr>
          <w:noProof/>
        </w:rPr>
        <w:t xml:space="preserve"> 110-5.</w:t>
      </w:r>
    </w:p>
    <w:p w14:paraId="644FCEE0" w14:textId="77777777" w:rsidR="006E12E2" w:rsidRPr="006E12E2" w:rsidRDefault="006E12E2" w:rsidP="006E12E2">
      <w:pPr>
        <w:pStyle w:val="EndNoteBibliography"/>
        <w:ind w:left="720" w:hanging="720"/>
        <w:rPr>
          <w:noProof/>
        </w:rPr>
      </w:pPr>
      <w:r w:rsidRPr="006E12E2">
        <w:rPr>
          <w:noProof/>
        </w:rPr>
        <w:t xml:space="preserve">GUINNEY, J., DIENSTMANN, R., WANG, X., DE REYNIÈS, A., SCHLICKER, A., SONESON, C., MARISA, L., ROEPMAN, P., NYAMUNDANDA, G., ANGELINO, P., BOT, B. M., MORRIS, J. S., SIMON, I. M., GERSTER, S., FESSLER, E., DE SOUSA E MELO, F., MISSIAGLIA, E., RAMAY, H., BARRAS, D., HOMICSKO, K., MARU, D., MANYAM, G. C., BROOM, B., BOIGE, V., PEREZ-VILLAMIL, B., LADERAS, T., SALAZAR, R., GRAY, J. W., HANAHAN, D., TABERNERO, J., BERNARDS, R., FRIEND, S. H., LAURENT-PUIG, P., MEDEMA, J. P., SADANANDAM, A., WESSELS, L., DELORENZI, M., KOPETZ, S., VERMEULEN, L. &amp; TEJPAR, S. 2015. The consensus molecular subtypes of colorectal cancer. </w:t>
      </w:r>
      <w:r w:rsidRPr="006E12E2">
        <w:rPr>
          <w:i/>
          <w:noProof/>
        </w:rPr>
        <w:t>Nat Med,</w:t>
      </w:r>
      <w:r w:rsidRPr="006E12E2">
        <w:rPr>
          <w:noProof/>
        </w:rPr>
        <w:t xml:space="preserve"> 21</w:t>
      </w:r>
      <w:r w:rsidRPr="006E12E2">
        <w:rPr>
          <w:b/>
          <w:noProof/>
        </w:rPr>
        <w:t>,</w:t>
      </w:r>
      <w:r w:rsidRPr="006E12E2">
        <w:rPr>
          <w:noProof/>
        </w:rPr>
        <w:t xml:space="preserve"> 1350-6.</w:t>
      </w:r>
    </w:p>
    <w:p w14:paraId="1B1C9050" w14:textId="77777777" w:rsidR="006E12E2" w:rsidRPr="006E12E2" w:rsidRDefault="006E12E2" w:rsidP="006E12E2">
      <w:pPr>
        <w:pStyle w:val="EndNoteBibliography"/>
        <w:ind w:left="720" w:hanging="720"/>
        <w:rPr>
          <w:noProof/>
        </w:rPr>
      </w:pPr>
      <w:r w:rsidRPr="006E12E2">
        <w:rPr>
          <w:noProof/>
        </w:rPr>
        <w:t xml:space="preserve">GURARD-LEVIN, Z. A., WILSON, L. O., PANCALDI, V., POSTEL-VINAY, S., SOUSA, F. G., REYES, C., MARANGONI, E., GENTIEN, D., VALENCIA, A., POMMIER, Y., COTTU, P. &amp; ALMOUZNI, G. 2016. Chromatin Regulators as a Guide for Cancer Treatment Choice. </w:t>
      </w:r>
      <w:r w:rsidRPr="006E12E2">
        <w:rPr>
          <w:i/>
          <w:noProof/>
        </w:rPr>
        <w:t>Mol Cancer Ther,</w:t>
      </w:r>
      <w:r w:rsidRPr="006E12E2">
        <w:rPr>
          <w:noProof/>
        </w:rPr>
        <w:t xml:space="preserve"> 15</w:t>
      </w:r>
      <w:r w:rsidRPr="006E12E2">
        <w:rPr>
          <w:b/>
          <w:noProof/>
        </w:rPr>
        <w:t>,</w:t>
      </w:r>
      <w:r w:rsidRPr="006E12E2">
        <w:rPr>
          <w:noProof/>
        </w:rPr>
        <w:t xml:space="preserve"> 1768-77.</w:t>
      </w:r>
    </w:p>
    <w:p w14:paraId="4B5FA35A" w14:textId="77777777" w:rsidR="006E12E2" w:rsidRPr="006E12E2" w:rsidRDefault="006E12E2" w:rsidP="006E12E2">
      <w:pPr>
        <w:pStyle w:val="EndNoteBibliography"/>
        <w:ind w:left="720" w:hanging="720"/>
        <w:rPr>
          <w:noProof/>
        </w:rPr>
      </w:pPr>
      <w:r w:rsidRPr="006E12E2">
        <w:rPr>
          <w:noProof/>
        </w:rPr>
        <w:t xml:space="preserve">GÉVRY, N., CHAN, H. M., LAFLAMME, L., LIVINGSTON, D. M. &amp; GAUDREAU, L. 2007. p21 transcription is regulated by differential localization of histone H2A.Z. </w:t>
      </w:r>
      <w:r w:rsidRPr="006E12E2">
        <w:rPr>
          <w:i/>
          <w:noProof/>
        </w:rPr>
        <w:t>Genes Dev,</w:t>
      </w:r>
      <w:r w:rsidRPr="006E12E2">
        <w:rPr>
          <w:noProof/>
        </w:rPr>
        <w:t xml:space="preserve"> 21</w:t>
      </w:r>
      <w:r w:rsidRPr="006E12E2">
        <w:rPr>
          <w:b/>
          <w:noProof/>
        </w:rPr>
        <w:t>,</w:t>
      </w:r>
      <w:r w:rsidRPr="006E12E2">
        <w:rPr>
          <w:noProof/>
        </w:rPr>
        <w:t xml:space="preserve"> 1869-81.</w:t>
      </w:r>
    </w:p>
    <w:p w14:paraId="127C07EC" w14:textId="77777777" w:rsidR="006E12E2" w:rsidRPr="006E12E2" w:rsidRDefault="006E12E2" w:rsidP="006E12E2">
      <w:pPr>
        <w:pStyle w:val="EndNoteBibliography"/>
        <w:ind w:left="720" w:hanging="720"/>
        <w:rPr>
          <w:noProof/>
        </w:rPr>
      </w:pPr>
      <w:r w:rsidRPr="006E12E2">
        <w:rPr>
          <w:noProof/>
        </w:rPr>
        <w:t xml:space="preserve">GÉVRY, N., HARDY, S., JACQUES, P. E., LAFLAMME, L., SVOTELIS, A., ROBERT, F. &amp; GAUDREAU, L. 2009. Histone H2A.Z is essential for estrogen receptor signaling. </w:t>
      </w:r>
      <w:r w:rsidRPr="006E12E2">
        <w:rPr>
          <w:i/>
          <w:noProof/>
        </w:rPr>
        <w:t>Genes Dev,</w:t>
      </w:r>
      <w:r w:rsidRPr="006E12E2">
        <w:rPr>
          <w:noProof/>
        </w:rPr>
        <w:t xml:space="preserve"> 23</w:t>
      </w:r>
      <w:r w:rsidRPr="006E12E2">
        <w:rPr>
          <w:b/>
          <w:noProof/>
        </w:rPr>
        <w:t>,</w:t>
      </w:r>
      <w:r w:rsidRPr="006E12E2">
        <w:rPr>
          <w:noProof/>
        </w:rPr>
        <w:t xml:space="preserve"> 1522-33.</w:t>
      </w:r>
    </w:p>
    <w:p w14:paraId="69F1488E" w14:textId="77777777" w:rsidR="006E12E2" w:rsidRPr="006E12E2" w:rsidRDefault="006E12E2" w:rsidP="006E12E2">
      <w:pPr>
        <w:pStyle w:val="EndNoteBibliography"/>
        <w:ind w:left="720" w:hanging="720"/>
        <w:rPr>
          <w:noProof/>
        </w:rPr>
      </w:pPr>
      <w:r w:rsidRPr="006E12E2">
        <w:rPr>
          <w:noProof/>
        </w:rPr>
        <w:t xml:space="preserve">HALF, E., BERCOVICH, D. &amp; ROZEN, P. 2009. Familial adenomatous polyposis. </w:t>
      </w:r>
      <w:r w:rsidRPr="006E12E2">
        <w:rPr>
          <w:i/>
          <w:noProof/>
        </w:rPr>
        <w:t>Orphanet J Rare Dis,</w:t>
      </w:r>
      <w:r w:rsidRPr="006E12E2">
        <w:rPr>
          <w:noProof/>
        </w:rPr>
        <w:t xml:space="preserve"> 4</w:t>
      </w:r>
      <w:r w:rsidRPr="006E12E2">
        <w:rPr>
          <w:b/>
          <w:noProof/>
        </w:rPr>
        <w:t>,</w:t>
      </w:r>
      <w:r w:rsidRPr="006E12E2">
        <w:rPr>
          <w:noProof/>
        </w:rPr>
        <w:t xml:space="preserve"> 22.</w:t>
      </w:r>
    </w:p>
    <w:p w14:paraId="139836CE" w14:textId="77777777" w:rsidR="006E12E2" w:rsidRPr="006E12E2" w:rsidRDefault="006E12E2" w:rsidP="006E12E2">
      <w:pPr>
        <w:pStyle w:val="EndNoteBibliography"/>
        <w:ind w:left="720" w:hanging="720"/>
        <w:rPr>
          <w:noProof/>
        </w:rPr>
      </w:pPr>
      <w:r w:rsidRPr="006E12E2">
        <w:rPr>
          <w:noProof/>
        </w:rPr>
        <w:t xml:space="preserve">HALL, J. M., LEE, M. K., NEWMAN, B., MORROW, J. E., ANDERSON, L. A., HUEY, B. &amp; KING, M. C. 1990. Linkage of early-onset familial breast cancer to chromosome 17q21. </w:t>
      </w:r>
      <w:r w:rsidRPr="006E12E2">
        <w:rPr>
          <w:i/>
          <w:noProof/>
        </w:rPr>
        <w:t>Science,</w:t>
      </w:r>
      <w:r w:rsidRPr="006E12E2">
        <w:rPr>
          <w:noProof/>
        </w:rPr>
        <w:t xml:space="preserve"> 250</w:t>
      </w:r>
      <w:r w:rsidRPr="006E12E2">
        <w:rPr>
          <w:b/>
          <w:noProof/>
        </w:rPr>
        <w:t>,</w:t>
      </w:r>
      <w:r w:rsidRPr="006E12E2">
        <w:rPr>
          <w:noProof/>
        </w:rPr>
        <w:t xml:space="preserve"> 1684-9.</w:t>
      </w:r>
    </w:p>
    <w:p w14:paraId="01D05282" w14:textId="77777777" w:rsidR="006E12E2" w:rsidRPr="006E12E2" w:rsidRDefault="006E12E2" w:rsidP="006E12E2">
      <w:pPr>
        <w:pStyle w:val="EndNoteBibliography"/>
        <w:ind w:left="720" w:hanging="720"/>
        <w:rPr>
          <w:noProof/>
        </w:rPr>
      </w:pPr>
      <w:r w:rsidRPr="006E12E2">
        <w:rPr>
          <w:noProof/>
        </w:rPr>
        <w:t>HANAHAN, D. &amp; WEINBERG, R. A. 2000. The hallmarks of cancer.</w:t>
      </w:r>
    </w:p>
    <w:p w14:paraId="2536D283" w14:textId="77777777" w:rsidR="006E12E2" w:rsidRPr="006E12E2" w:rsidRDefault="006E12E2" w:rsidP="006E12E2">
      <w:pPr>
        <w:pStyle w:val="EndNoteBibliography"/>
        <w:ind w:left="720" w:hanging="720"/>
        <w:rPr>
          <w:noProof/>
        </w:rPr>
      </w:pPr>
      <w:r w:rsidRPr="006E12E2">
        <w:rPr>
          <w:noProof/>
        </w:rPr>
        <w:t>HANAHAN, D. &amp; WEINBERG, R. A. 2011. Hallmarks of cancer: The next generation.</w:t>
      </w:r>
    </w:p>
    <w:p w14:paraId="3DD57151" w14:textId="77777777" w:rsidR="006E12E2" w:rsidRPr="006E12E2" w:rsidRDefault="006E12E2" w:rsidP="006E12E2">
      <w:pPr>
        <w:pStyle w:val="EndNoteBibliography"/>
        <w:ind w:left="720" w:hanging="720"/>
        <w:rPr>
          <w:noProof/>
        </w:rPr>
      </w:pPr>
      <w:r w:rsidRPr="006E12E2">
        <w:rPr>
          <w:noProof/>
        </w:rPr>
        <w:t xml:space="preserve">HARDY, S., JACQUES, P. E., GÉVRY, N., FOREST, A., FORTIN, M. E., LAFLAMME, L., GAUDREAU, L. &amp; ROBERT, F. 2009. The euchromatic and heterochromatic landscapes are shaped by antagonizing effects of transcription on H2A.Z deposition. </w:t>
      </w:r>
      <w:r w:rsidRPr="006E12E2">
        <w:rPr>
          <w:i/>
          <w:noProof/>
        </w:rPr>
        <w:t>PLoS Genet,</w:t>
      </w:r>
      <w:r w:rsidRPr="006E12E2">
        <w:rPr>
          <w:noProof/>
        </w:rPr>
        <w:t xml:space="preserve"> 5</w:t>
      </w:r>
      <w:r w:rsidRPr="006E12E2">
        <w:rPr>
          <w:b/>
          <w:noProof/>
        </w:rPr>
        <w:t>,</w:t>
      </w:r>
      <w:r w:rsidRPr="006E12E2">
        <w:rPr>
          <w:noProof/>
        </w:rPr>
        <w:t xml:space="preserve"> e1000687.</w:t>
      </w:r>
    </w:p>
    <w:p w14:paraId="75A9D29A" w14:textId="77777777" w:rsidR="006E12E2" w:rsidRPr="006E12E2" w:rsidRDefault="006E12E2" w:rsidP="006E12E2">
      <w:pPr>
        <w:pStyle w:val="EndNoteBibliography"/>
        <w:ind w:left="720" w:hanging="720"/>
        <w:rPr>
          <w:noProof/>
        </w:rPr>
      </w:pPr>
      <w:r w:rsidRPr="006E12E2">
        <w:rPr>
          <w:noProof/>
        </w:rPr>
        <w:t xml:space="preserve">HEMMINKI, A., MECKLIN, J. P., JARVINEN, H., AALTONEN, L. &amp; JOENSUU, H. 2000. Microsatellite instability is a favorable prognostic indicator in patients with colorectal cancer receiving chemotherapy. </w:t>
      </w:r>
      <w:r w:rsidRPr="006E12E2">
        <w:rPr>
          <w:i/>
          <w:noProof/>
        </w:rPr>
        <w:t>Gastroenterology,</w:t>
      </w:r>
      <w:r w:rsidRPr="006E12E2">
        <w:rPr>
          <w:noProof/>
        </w:rPr>
        <w:t xml:space="preserve"> 119</w:t>
      </w:r>
      <w:r w:rsidRPr="006E12E2">
        <w:rPr>
          <w:b/>
          <w:noProof/>
        </w:rPr>
        <w:t>,</w:t>
      </w:r>
      <w:r w:rsidRPr="006E12E2">
        <w:rPr>
          <w:noProof/>
        </w:rPr>
        <w:t xml:space="preserve"> 921-928.</w:t>
      </w:r>
    </w:p>
    <w:p w14:paraId="7936FD1F" w14:textId="77777777" w:rsidR="006E12E2" w:rsidRPr="006E12E2" w:rsidRDefault="006E12E2" w:rsidP="006E12E2">
      <w:pPr>
        <w:pStyle w:val="EndNoteBibliography"/>
        <w:ind w:left="720" w:hanging="720"/>
        <w:rPr>
          <w:noProof/>
        </w:rPr>
      </w:pPr>
      <w:r w:rsidRPr="006E12E2">
        <w:rPr>
          <w:noProof/>
        </w:rPr>
        <w:t xml:space="preserve">HEO, S. H., LEE, J. Y., YANG, K. M. &amp; PARK, K. S. 2015. ELK3 Expression Correlates With Cell Migration, Invasion, and Membrane Type 1-Matrix Metalloproteinase Expression in MDA-MB-231 Breast Cancer Cells. </w:t>
      </w:r>
      <w:r w:rsidRPr="006E12E2">
        <w:rPr>
          <w:i/>
          <w:noProof/>
        </w:rPr>
        <w:t>Gene Expr,</w:t>
      </w:r>
      <w:r w:rsidRPr="006E12E2">
        <w:rPr>
          <w:noProof/>
        </w:rPr>
        <w:t xml:space="preserve"> 16</w:t>
      </w:r>
      <w:r w:rsidRPr="006E12E2">
        <w:rPr>
          <w:b/>
          <w:noProof/>
        </w:rPr>
        <w:t>,</w:t>
      </w:r>
      <w:r w:rsidRPr="006E12E2">
        <w:rPr>
          <w:noProof/>
        </w:rPr>
        <w:t xml:space="preserve"> 197-203.</w:t>
      </w:r>
    </w:p>
    <w:p w14:paraId="66A01786" w14:textId="77777777" w:rsidR="006E12E2" w:rsidRPr="006E12E2" w:rsidRDefault="006E12E2" w:rsidP="006E12E2">
      <w:pPr>
        <w:pStyle w:val="EndNoteBibliography"/>
        <w:ind w:left="720" w:hanging="720"/>
        <w:rPr>
          <w:noProof/>
        </w:rPr>
      </w:pPr>
      <w:r w:rsidRPr="006E12E2">
        <w:rPr>
          <w:noProof/>
        </w:rPr>
        <w:t xml:space="preserve">HERMSEN, M., POSTMA, C., BAAK, J., WEISS, M., RAPALLO, A., SCIUTTO, A., ROEMEN, G., ARENDS, J. W., WILLIAMS, R., GIARETTI, W., DE GOEIJ, A. &amp; MEIJER, G. 2002. Colorectal adenoma to carcinoma progression follows multiple pathways of chromosomal instability. </w:t>
      </w:r>
      <w:r w:rsidRPr="006E12E2">
        <w:rPr>
          <w:i/>
          <w:noProof/>
        </w:rPr>
        <w:t>Gastroenterology,</w:t>
      </w:r>
      <w:r w:rsidRPr="006E12E2">
        <w:rPr>
          <w:noProof/>
        </w:rPr>
        <w:t xml:space="preserve"> 123</w:t>
      </w:r>
      <w:r w:rsidRPr="006E12E2">
        <w:rPr>
          <w:b/>
          <w:noProof/>
        </w:rPr>
        <w:t>,</w:t>
      </w:r>
      <w:r w:rsidRPr="006E12E2">
        <w:rPr>
          <w:noProof/>
        </w:rPr>
        <w:t xml:space="preserve"> 1109-19.</w:t>
      </w:r>
    </w:p>
    <w:p w14:paraId="579D5FFE" w14:textId="77777777" w:rsidR="006E12E2" w:rsidRPr="006E12E2" w:rsidRDefault="006E12E2" w:rsidP="006E12E2">
      <w:pPr>
        <w:pStyle w:val="EndNoteBibliography"/>
        <w:ind w:left="720" w:hanging="720"/>
        <w:rPr>
          <w:noProof/>
        </w:rPr>
      </w:pPr>
      <w:r w:rsidRPr="006E12E2">
        <w:rPr>
          <w:noProof/>
        </w:rPr>
        <w:t xml:space="preserve">HERNANDEZ- BLAZQUEZ, F. J., HABIB, M., DUMOLLARD, J. M., BARTHELEMY, C., BENCHAIB, M., DE CAPOA, A., NIVELEAU, A. &amp; HERNANDEZ-BLAZQUEZ, F. J. 2000. Evaluation of global DNA hypomethylation in human colon cancer tissues by immunohistochemistry and image analysis. </w:t>
      </w:r>
      <w:r w:rsidRPr="006E12E2">
        <w:rPr>
          <w:i/>
          <w:noProof/>
        </w:rPr>
        <w:t>Gut,</w:t>
      </w:r>
      <w:r w:rsidRPr="006E12E2">
        <w:rPr>
          <w:noProof/>
        </w:rPr>
        <w:t xml:space="preserve"> 47</w:t>
      </w:r>
      <w:r w:rsidRPr="006E12E2">
        <w:rPr>
          <w:b/>
          <w:noProof/>
        </w:rPr>
        <w:t>,</w:t>
      </w:r>
      <w:r w:rsidRPr="006E12E2">
        <w:rPr>
          <w:noProof/>
        </w:rPr>
        <w:t xml:space="preserve"> 689-693.</w:t>
      </w:r>
    </w:p>
    <w:p w14:paraId="7667D18C" w14:textId="77777777" w:rsidR="006E12E2" w:rsidRPr="006E12E2" w:rsidRDefault="006E12E2" w:rsidP="006E12E2">
      <w:pPr>
        <w:pStyle w:val="EndNoteBibliography"/>
        <w:ind w:left="720" w:hanging="720"/>
        <w:rPr>
          <w:noProof/>
        </w:rPr>
      </w:pPr>
      <w:r w:rsidRPr="006E12E2">
        <w:rPr>
          <w:noProof/>
        </w:rPr>
        <w:t xml:space="preserve">HOOD, R. L., LINES, M. A., NIKKEL, S. M., SCHWARTZENTRUBER, J., BEAULIEU, C., NOWACZYK, M. J., ALLANSON, J., KIM, C. A., WIECZOREK, D., MOILANEN, J. S., LACOMBE, D., GILLESSEN-KAESBACH, G., WHITEFORD, M. L., QUAIO, C. R., GOMY, I., BERTOLA, D. R., ALBRECHT, B., PLATZER, K., MCGILLIVRAY, G., ZOU, R., MCLEOD, D. R., CHUDLEY, A. E., CHODIRKER, B. N., MARCADIER, J., MAJEWSKI, J., BULMAN, D. E., WHITE, S. M., BOYCOTT, K. M. &amp; CONSORTIUM, F. C. 2012. Mutations in SRCAP, encoding SNF2-related CREBBP activator protein, cause Floating-Harbor syndrome. </w:t>
      </w:r>
      <w:r w:rsidRPr="006E12E2">
        <w:rPr>
          <w:i/>
          <w:noProof/>
        </w:rPr>
        <w:t>Am J Hum Genet,</w:t>
      </w:r>
      <w:r w:rsidRPr="006E12E2">
        <w:rPr>
          <w:noProof/>
        </w:rPr>
        <w:t xml:space="preserve"> 90</w:t>
      </w:r>
      <w:r w:rsidRPr="006E12E2">
        <w:rPr>
          <w:b/>
          <w:noProof/>
        </w:rPr>
        <w:t>,</w:t>
      </w:r>
      <w:r w:rsidRPr="006E12E2">
        <w:rPr>
          <w:noProof/>
        </w:rPr>
        <w:t xml:space="preserve"> 308-13.</w:t>
      </w:r>
    </w:p>
    <w:p w14:paraId="0CFB0541" w14:textId="77777777" w:rsidR="006E12E2" w:rsidRPr="006E12E2" w:rsidRDefault="006E12E2" w:rsidP="006E12E2">
      <w:pPr>
        <w:pStyle w:val="EndNoteBibliography"/>
        <w:ind w:left="720" w:hanging="720"/>
        <w:rPr>
          <w:noProof/>
        </w:rPr>
      </w:pPr>
      <w:r w:rsidRPr="006E12E2">
        <w:rPr>
          <w:noProof/>
        </w:rPr>
        <w:t xml:space="preserve">HOOD, R. L., SCHENKEL, L. C., NIKKEL, S. M., AINSWORTH, P. J., PARE, G., BOYCOTT, K. M., BULMAN, D. E. &amp; SADIKOVIC, B. 2016. The defining DNA methylation signature of Floating-Harbor Syndrome. </w:t>
      </w:r>
      <w:r w:rsidRPr="006E12E2">
        <w:rPr>
          <w:i/>
          <w:noProof/>
        </w:rPr>
        <w:t>Sci Rep,</w:t>
      </w:r>
      <w:r w:rsidRPr="006E12E2">
        <w:rPr>
          <w:noProof/>
        </w:rPr>
        <w:t xml:space="preserve"> 6</w:t>
      </w:r>
      <w:r w:rsidRPr="006E12E2">
        <w:rPr>
          <w:b/>
          <w:noProof/>
        </w:rPr>
        <w:t>,</w:t>
      </w:r>
      <w:r w:rsidRPr="006E12E2">
        <w:rPr>
          <w:noProof/>
        </w:rPr>
        <w:t xml:space="preserve"> 38803.</w:t>
      </w:r>
    </w:p>
    <w:p w14:paraId="26557FBB" w14:textId="77777777" w:rsidR="006E12E2" w:rsidRPr="006E12E2" w:rsidRDefault="006E12E2" w:rsidP="006E12E2">
      <w:pPr>
        <w:pStyle w:val="EndNoteBibliography"/>
        <w:ind w:left="720" w:hanging="720"/>
        <w:rPr>
          <w:noProof/>
        </w:rPr>
      </w:pPr>
      <w:r w:rsidRPr="006E12E2">
        <w:rPr>
          <w:noProof/>
        </w:rPr>
        <w:t xml:space="preserve">HORVAT, M. &amp; STABUC, B. 2011. Microsatellite instability in colorectal cancer. </w:t>
      </w:r>
      <w:r w:rsidRPr="006E12E2">
        <w:rPr>
          <w:i/>
          <w:noProof/>
        </w:rPr>
        <w:t>Radiology and Oncology,</w:t>
      </w:r>
      <w:r w:rsidRPr="006E12E2">
        <w:rPr>
          <w:noProof/>
        </w:rPr>
        <w:t xml:space="preserve"> 45</w:t>
      </w:r>
      <w:r w:rsidRPr="006E12E2">
        <w:rPr>
          <w:b/>
          <w:noProof/>
        </w:rPr>
        <w:t>,</w:t>
      </w:r>
      <w:r w:rsidRPr="006E12E2">
        <w:rPr>
          <w:noProof/>
        </w:rPr>
        <w:t xml:space="preserve"> 75-81.</w:t>
      </w:r>
    </w:p>
    <w:p w14:paraId="7E49EDEA" w14:textId="77777777" w:rsidR="006E12E2" w:rsidRPr="006E12E2" w:rsidRDefault="006E12E2" w:rsidP="006E12E2">
      <w:pPr>
        <w:pStyle w:val="EndNoteBibliography"/>
        <w:ind w:left="720" w:hanging="720"/>
        <w:rPr>
          <w:noProof/>
        </w:rPr>
      </w:pPr>
      <w:r w:rsidRPr="006E12E2">
        <w:rPr>
          <w:noProof/>
        </w:rPr>
        <w:t xml:space="preserve">HORVATH, P. &amp; BARRANGOU, R. 2010. CRISPR/Cas, the immune system of bacteria and archaea. </w:t>
      </w:r>
      <w:r w:rsidRPr="006E12E2">
        <w:rPr>
          <w:i/>
          <w:noProof/>
        </w:rPr>
        <w:t>Science,</w:t>
      </w:r>
      <w:r w:rsidRPr="006E12E2">
        <w:rPr>
          <w:noProof/>
        </w:rPr>
        <w:t xml:space="preserve"> 327</w:t>
      </w:r>
      <w:r w:rsidRPr="006E12E2">
        <w:rPr>
          <w:b/>
          <w:noProof/>
        </w:rPr>
        <w:t>,</w:t>
      </w:r>
      <w:r w:rsidRPr="006E12E2">
        <w:rPr>
          <w:noProof/>
        </w:rPr>
        <w:t xml:space="preserve"> 167-70.</w:t>
      </w:r>
    </w:p>
    <w:p w14:paraId="6307C550" w14:textId="77777777" w:rsidR="006E12E2" w:rsidRPr="006E12E2" w:rsidRDefault="006E12E2" w:rsidP="006E12E2">
      <w:pPr>
        <w:pStyle w:val="EndNoteBibliography"/>
        <w:ind w:left="720" w:hanging="720"/>
        <w:rPr>
          <w:noProof/>
        </w:rPr>
      </w:pPr>
      <w:r w:rsidRPr="006E12E2">
        <w:rPr>
          <w:noProof/>
        </w:rPr>
        <w:t xml:space="preserve">HU, Y. H., CHEN, Q., LU, Y. X., ZHANG, J. M., LIN, C., ZHANG, F., ZHANG, W. J., LI, X. M., ZHANG, W. &amp; LI, X. N. 2017. Hypermethylation of NDN promotes cell proliferation by activating the Wnt signaling pathway in colorectal cancer. </w:t>
      </w:r>
      <w:r w:rsidRPr="006E12E2">
        <w:rPr>
          <w:i/>
          <w:noProof/>
        </w:rPr>
        <w:t>Oncotarget,</w:t>
      </w:r>
      <w:r w:rsidRPr="006E12E2">
        <w:rPr>
          <w:noProof/>
        </w:rPr>
        <w:t xml:space="preserve"> 8</w:t>
      </w:r>
      <w:r w:rsidRPr="006E12E2">
        <w:rPr>
          <w:b/>
          <w:noProof/>
        </w:rPr>
        <w:t>,</w:t>
      </w:r>
      <w:r w:rsidRPr="006E12E2">
        <w:rPr>
          <w:noProof/>
        </w:rPr>
        <w:t xml:space="preserve"> 46191-46203.</w:t>
      </w:r>
    </w:p>
    <w:p w14:paraId="4C29AA22" w14:textId="77777777" w:rsidR="006E12E2" w:rsidRPr="006E12E2" w:rsidRDefault="006E12E2" w:rsidP="006E12E2">
      <w:pPr>
        <w:pStyle w:val="EndNoteBibliography"/>
        <w:ind w:left="720" w:hanging="720"/>
        <w:rPr>
          <w:noProof/>
        </w:rPr>
      </w:pPr>
      <w:r w:rsidRPr="006E12E2">
        <w:rPr>
          <w:noProof/>
        </w:rPr>
        <w:t xml:space="preserve">HUA, S., KALLEN, C. B., DHAR, R., BAQUERO, M. T., MASON, C. E., RUSSELL, B. A., SHAH, P. K., LIU, J., KHRAMTSOV, A., TRETIAKOVA, M. S., KRAUSZ, T. N., OLOPADE, O. I., RIMM, D. L. &amp; WHITE, K. P. 2008. Genomic analysis of estrogen cascade reveals histone variant H2A.Z associated with breast cancer progression. </w:t>
      </w:r>
      <w:r w:rsidRPr="006E12E2">
        <w:rPr>
          <w:i/>
          <w:noProof/>
        </w:rPr>
        <w:t>Mol Syst Biol,</w:t>
      </w:r>
      <w:r w:rsidRPr="006E12E2">
        <w:rPr>
          <w:noProof/>
        </w:rPr>
        <w:t xml:space="preserve"> 4</w:t>
      </w:r>
      <w:r w:rsidRPr="006E12E2">
        <w:rPr>
          <w:b/>
          <w:noProof/>
        </w:rPr>
        <w:t>,</w:t>
      </w:r>
      <w:r w:rsidRPr="006E12E2">
        <w:rPr>
          <w:noProof/>
        </w:rPr>
        <w:t xml:space="preserve"> 188.</w:t>
      </w:r>
    </w:p>
    <w:p w14:paraId="031EC68D" w14:textId="77777777" w:rsidR="006E12E2" w:rsidRPr="006E12E2" w:rsidRDefault="006E12E2" w:rsidP="006E12E2">
      <w:pPr>
        <w:pStyle w:val="EndNoteBibliography"/>
        <w:ind w:left="720" w:hanging="720"/>
        <w:rPr>
          <w:noProof/>
        </w:rPr>
      </w:pPr>
      <w:r w:rsidRPr="006E12E2">
        <w:rPr>
          <w:noProof/>
        </w:rPr>
        <w:t xml:space="preserve">IARC 2015. IARC Monographs evaluate consumption of red meat and processed meat. </w:t>
      </w:r>
      <w:r w:rsidRPr="006E12E2">
        <w:rPr>
          <w:i/>
          <w:noProof/>
        </w:rPr>
        <w:t>Press Release No. 240.</w:t>
      </w:r>
      <w:r w:rsidRPr="006E12E2">
        <w:rPr>
          <w:noProof/>
        </w:rPr>
        <w:t xml:space="preserve"> World Health Organisation.</w:t>
      </w:r>
    </w:p>
    <w:p w14:paraId="49DADCAA" w14:textId="77777777" w:rsidR="006E12E2" w:rsidRPr="006E12E2" w:rsidRDefault="006E12E2" w:rsidP="006E12E2">
      <w:pPr>
        <w:pStyle w:val="EndNoteBibliography"/>
        <w:ind w:left="720" w:hanging="720"/>
        <w:rPr>
          <w:noProof/>
        </w:rPr>
      </w:pPr>
      <w:r w:rsidRPr="006E12E2">
        <w:rPr>
          <w:noProof/>
        </w:rPr>
        <w:t xml:space="preserve">ISAAC, R. S., JIANG, F., DOUDNA, J. A., LIM, W. A., NARLIKAR, G. J. &amp; ALMEIDA, R. 2016. Nucleosome breathing and remodeling constrain CRISPR-Cas9 function. </w:t>
      </w:r>
      <w:r w:rsidRPr="006E12E2">
        <w:rPr>
          <w:i/>
          <w:noProof/>
        </w:rPr>
        <w:t>Elife,</w:t>
      </w:r>
      <w:r w:rsidRPr="006E12E2">
        <w:rPr>
          <w:noProof/>
        </w:rPr>
        <w:t xml:space="preserve"> 5.</w:t>
      </w:r>
    </w:p>
    <w:p w14:paraId="5C293353" w14:textId="77777777" w:rsidR="006E12E2" w:rsidRPr="006E12E2" w:rsidRDefault="006E12E2" w:rsidP="006E12E2">
      <w:pPr>
        <w:pStyle w:val="EndNoteBibliography"/>
        <w:ind w:left="720" w:hanging="720"/>
        <w:rPr>
          <w:noProof/>
        </w:rPr>
      </w:pPr>
      <w:r w:rsidRPr="006E12E2">
        <w:rPr>
          <w:noProof/>
        </w:rPr>
        <w:t xml:space="preserve">ISSA, J. P. 2008. Colon cancer: it's CIN or CIMP. </w:t>
      </w:r>
      <w:r w:rsidRPr="006E12E2">
        <w:rPr>
          <w:i/>
          <w:noProof/>
        </w:rPr>
        <w:t>Clin Cancer Res,</w:t>
      </w:r>
      <w:r w:rsidRPr="006E12E2">
        <w:rPr>
          <w:noProof/>
        </w:rPr>
        <w:t xml:space="preserve"> 14</w:t>
      </w:r>
      <w:r w:rsidRPr="006E12E2">
        <w:rPr>
          <w:b/>
          <w:noProof/>
        </w:rPr>
        <w:t>,</w:t>
      </w:r>
      <w:r w:rsidRPr="006E12E2">
        <w:rPr>
          <w:noProof/>
        </w:rPr>
        <w:t xml:space="preserve"> 5939-40.</w:t>
      </w:r>
    </w:p>
    <w:p w14:paraId="60AC90AE" w14:textId="77777777" w:rsidR="006E12E2" w:rsidRPr="006E12E2" w:rsidRDefault="006E12E2" w:rsidP="006E12E2">
      <w:pPr>
        <w:pStyle w:val="EndNoteBibliography"/>
        <w:ind w:left="720" w:hanging="720"/>
        <w:rPr>
          <w:noProof/>
        </w:rPr>
      </w:pPr>
      <w:r w:rsidRPr="006E12E2">
        <w:rPr>
          <w:noProof/>
        </w:rPr>
        <w:t xml:space="preserve">IWAI, A., TAKEGAMI, T., SHIOZAKI, T. &amp; MIYAZAKI, T. 2011. Hepatitis C virus NS3 protein can activate the Notch-signaling pathway through binding to a transcription factor, SRCAP. </w:t>
      </w:r>
      <w:r w:rsidRPr="006E12E2">
        <w:rPr>
          <w:i/>
          <w:noProof/>
        </w:rPr>
        <w:t>PLoS One,</w:t>
      </w:r>
      <w:r w:rsidRPr="006E12E2">
        <w:rPr>
          <w:noProof/>
        </w:rPr>
        <w:t xml:space="preserve"> 6</w:t>
      </w:r>
      <w:r w:rsidRPr="006E12E2">
        <w:rPr>
          <w:b/>
          <w:noProof/>
        </w:rPr>
        <w:t>,</w:t>
      </w:r>
      <w:r w:rsidRPr="006E12E2">
        <w:rPr>
          <w:noProof/>
        </w:rPr>
        <w:t xml:space="preserve"> e20718.</w:t>
      </w:r>
    </w:p>
    <w:p w14:paraId="0061288A" w14:textId="77777777" w:rsidR="006E12E2" w:rsidRPr="006E12E2" w:rsidRDefault="006E12E2" w:rsidP="006E12E2">
      <w:pPr>
        <w:pStyle w:val="EndNoteBibliography"/>
        <w:ind w:left="720" w:hanging="720"/>
        <w:rPr>
          <w:noProof/>
        </w:rPr>
      </w:pPr>
      <w:r w:rsidRPr="006E12E2">
        <w:rPr>
          <w:noProof/>
        </w:rPr>
        <w:t xml:space="preserve">JEGGO, P. A., PEARL, L. H. &amp; CARR, A. M. 2016. DNA repair, genome stability and cancer: a historical perspective. </w:t>
      </w:r>
      <w:r w:rsidRPr="006E12E2">
        <w:rPr>
          <w:i/>
          <w:noProof/>
        </w:rPr>
        <w:t>Nat Rev Cancer,</w:t>
      </w:r>
      <w:r w:rsidRPr="006E12E2">
        <w:rPr>
          <w:noProof/>
        </w:rPr>
        <w:t xml:space="preserve"> 16</w:t>
      </w:r>
      <w:r w:rsidRPr="006E12E2">
        <w:rPr>
          <w:b/>
          <w:noProof/>
        </w:rPr>
        <w:t>,</w:t>
      </w:r>
      <w:r w:rsidRPr="006E12E2">
        <w:rPr>
          <w:noProof/>
        </w:rPr>
        <w:t xml:space="preserve"> 35-42.</w:t>
      </w:r>
    </w:p>
    <w:p w14:paraId="4F2D33DC" w14:textId="77777777" w:rsidR="006E12E2" w:rsidRPr="006E12E2" w:rsidRDefault="006E12E2" w:rsidP="006E12E2">
      <w:pPr>
        <w:pStyle w:val="EndNoteBibliography"/>
        <w:ind w:left="720" w:hanging="720"/>
        <w:rPr>
          <w:noProof/>
        </w:rPr>
      </w:pPr>
      <w:r w:rsidRPr="006E12E2">
        <w:rPr>
          <w:noProof/>
        </w:rPr>
        <w:t xml:space="preserve">JO, W. S. &amp; CARETHERS, J. M. 2006. Chemotherapeutic implications in microsatellite unstable colorectal cancer. </w:t>
      </w:r>
      <w:r w:rsidRPr="006E12E2">
        <w:rPr>
          <w:i/>
          <w:noProof/>
        </w:rPr>
        <w:t>Cancer Biomark,</w:t>
      </w:r>
      <w:r w:rsidRPr="006E12E2">
        <w:rPr>
          <w:noProof/>
        </w:rPr>
        <w:t xml:space="preserve"> 2</w:t>
      </w:r>
      <w:r w:rsidRPr="006E12E2">
        <w:rPr>
          <w:b/>
          <w:noProof/>
        </w:rPr>
        <w:t>,</w:t>
      </w:r>
      <w:r w:rsidRPr="006E12E2">
        <w:rPr>
          <w:noProof/>
        </w:rPr>
        <w:t xml:space="preserve"> 51-60.</w:t>
      </w:r>
    </w:p>
    <w:p w14:paraId="327EDC7D" w14:textId="77777777" w:rsidR="006E12E2" w:rsidRPr="006E12E2" w:rsidRDefault="006E12E2" w:rsidP="006E12E2">
      <w:pPr>
        <w:pStyle w:val="EndNoteBibliography"/>
        <w:ind w:left="720" w:hanging="720"/>
        <w:rPr>
          <w:noProof/>
        </w:rPr>
      </w:pPr>
      <w:r w:rsidRPr="006E12E2">
        <w:rPr>
          <w:noProof/>
        </w:rPr>
        <w:t xml:space="preserve">JOHNSTON, H., KNEER, J., CHACKALAPARAMPIL, I., YACIUK, P. &amp; CHRIVIA, J. 1999a. Identification of a novel SNF2/ SWI2 protein family member, SRCAP, which interacts with CREB-binding protein. </w:t>
      </w:r>
      <w:r w:rsidRPr="006E12E2">
        <w:rPr>
          <w:i/>
          <w:noProof/>
        </w:rPr>
        <w:t>J. Biol. Chem.,</w:t>
      </w:r>
      <w:r w:rsidRPr="006E12E2">
        <w:rPr>
          <w:noProof/>
        </w:rPr>
        <w:t xml:space="preserve"> 274</w:t>
      </w:r>
      <w:r w:rsidRPr="006E12E2">
        <w:rPr>
          <w:b/>
          <w:noProof/>
        </w:rPr>
        <w:t>,</w:t>
      </w:r>
      <w:r w:rsidRPr="006E12E2">
        <w:rPr>
          <w:noProof/>
        </w:rPr>
        <w:t xml:space="preserve"> 16370-16376.</w:t>
      </w:r>
    </w:p>
    <w:p w14:paraId="0FB0E094" w14:textId="77777777" w:rsidR="006E12E2" w:rsidRPr="006E12E2" w:rsidRDefault="006E12E2" w:rsidP="006E12E2">
      <w:pPr>
        <w:pStyle w:val="EndNoteBibliography"/>
        <w:ind w:left="720" w:hanging="720"/>
        <w:rPr>
          <w:noProof/>
        </w:rPr>
      </w:pPr>
      <w:r w:rsidRPr="006E12E2">
        <w:rPr>
          <w:noProof/>
        </w:rPr>
        <w:t xml:space="preserve">JOHNSTON, H., KNEER, J., CHACKALAPARAMPIL, I., YACIUK, P. &amp; CHRIVIA, J. 1999b. Identification of a novel SNF2/SWI2 protein family member, SRCAP, which interacts with CREB-binding protein. </w:t>
      </w:r>
      <w:r w:rsidRPr="006E12E2">
        <w:rPr>
          <w:i/>
          <w:noProof/>
        </w:rPr>
        <w:t>J Biol Chem,</w:t>
      </w:r>
      <w:r w:rsidRPr="006E12E2">
        <w:rPr>
          <w:noProof/>
        </w:rPr>
        <w:t xml:space="preserve"> 274</w:t>
      </w:r>
      <w:r w:rsidRPr="006E12E2">
        <w:rPr>
          <w:b/>
          <w:noProof/>
        </w:rPr>
        <w:t>,</w:t>
      </w:r>
      <w:r w:rsidRPr="006E12E2">
        <w:rPr>
          <w:noProof/>
        </w:rPr>
        <w:t xml:space="preserve"> 16370-6.</w:t>
      </w:r>
    </w:p>
    <w:p w14:paraId="2C19F12E" w14:textId="77777777" w:rsidR="006E12E2" w:rsidRPr="006E12E2" w:rsidRDefault="006E12E2" w:rsidP="006E12E2">
      <w:pPr>
        <w:pStyle w:val="EndNoteBibliography"/>
        <w:ind w:left="720" w:hanging="720"/>
        <w:rPr>
          <w:noProof/>
        </w:rPr>
      </w:pPr>
      <w:r w:rsidRPr="006E12E2">
        <w:rPr>
          <w:noProof/>
        </w:rPr>
        <w:t xml:space="preserve">JOHNSTON, P. G. &amp; KAYE, S. 2001. Capecitabine: a novel agent for the treatment of solid tumors. </w:t>
      </w:r>
      <w:r w:rsidRPr="006E12E2">
        <w:rPr>
          <w:i/>
          <w:noProof/>
        </w:rPr>
        <w:t>Anticancer Drugs,</w:t>
      </w:r>
      <w:r w:rsidRPr="006E12E2">
        <w:rPr>
          <w:noProof/>
        </w:rPr>
        <w:t xml:space="preserve"> 12</w:t>
      </w:r>
      <w:r w:rsidRPr="006E12E2">
        <w:rPr>
          <w:b/>
          <w:noProof/>
        </w:rPr>
        <w:t>,</w:t>
      </w:r>
      <w:r w:rsidRPr="006E12E2">
        <w:rPr>
          <w:noProof/>
        </w:rPr>
        <w:t xml:space="preserve"> 639-46.</w:t>
      </w:r>
    </w:p>
    <w:p w14:paraId="2D61AD58" w14:textId="77777777" w:rsidR="006E12E2" w:rsidRPr="006E12E2" w:rsidRDefault="006E12E2" w:rsidP="006E12E2">
      <w:pPr>
        <w:pStyle w:val="EndNoteBibliography"/>
        <w:ind w:left="720" w:hanging="720"/>
        <w:rPr>
          <w:noProof/>
        </w:rPr>
      </w:pPr>
      <w:r w:rsidRPr="006E12E2">
        <w:rPr>
          <w:noProof/>
        </w:rPr>
        <w:t xml:space="preserve">JOHNSTON, P. G., LENZ, H. J., LEICHMAN, C. G., DANENBERG, K. D., ALLEGRA, C. J., DANENBERG, P. V. &amp; LEICHMAN, L. 1995. Thymidylate synthase gene and protein expression correlate and are associated with response to 5-fluorouracil in human colorectal and gastric tumors. </w:t>
      </w:r>
      <w:r w:rsidRPr="006E12E2">
        <w:rPr>
          <w:i/>
          <w:noProof/>
        </w:rPr>
        <w:t>Cancer Res,</w:t>
      </w:r>
      <w:r w:rsidRPr="006E12E2">
        <w:rPr>
          <w:noProof/>
        </w:rPr>
        <w:t xml:space="preserve"> 55</w:t>
      </w:r>
      <w:r w:rsidRPr="006E12E2">
        <w:rPr>
          <w:b/>
          <w:noProof/>
        </w:rPr>
        <w:t>,</w:t>
      </w:r>
      <w:r w:rsidRPr="006E12E2">
        <w:rPr>
          <w:noProof/>
        </w:rPr>
        <w:t xml:space="preserve"> 1407-12.</w:t>
      </w:r>
    </w:p>
    <w:p w14:paraId="02FFC2D4" w14:textId="77777777" w:rsidR="006E12E2" w:rsidRPr="006E12E2" w:rsidRDefault="006E12E2" w:rsidP="006E12E2">
      <w:pPr>
        <w:pStyle w:val="EndNoteBibliography"/>
        <w:ind w:left="720" w:hanging="720"/>
        <w:rPr>
          <w:noProof/>
        </w:rPr>
      </w:pPr>
      <w:r w:rsidRPr="006E12E2">
        <w:rPr>
          <w:noProof/>
        </w:rPr>
        <w:t xml:space="preserve">JONES, S., PARMIGIANI, G., DIEHL, F., VELCULESCU, V. E., KINZLER, K. W., VOGELSTEIN, B., CHEN, W.-D., MARKOWITZ, S. D., WILLIS, J., SIEGEL, C., BEERENWINKEL, N., TRAULSEN, A., ANTAL, T. &amp; NOWAK, M. A. 2008. Comparative lesion sequencing provides insights into tumor evolution. </w:t>
      </w:r>
      <w:r w:rsidRPr="006E12E2">
        <w:rPr>
          <w:i/>
          <w:noProof/>
        </w:rPr>
        <w:t>Proceedings of the National Academy of Sciences of the United States of America,</w:t>
      </w:r>
      <w:r w:rsidRPr="006E12E2">
        <w:rPr>
          <w:noProof/>
        </w:rPr>
        <w:t xml:space="preserve"> 105</w:t>
      </w:r>
      <w:r w:rsidRPr="006E12E2">
        <w:rPr>
          <w:b/>
          <w:noProof/>
        </w:rPr>
        <w:t>,</w:t>
      </w:r>
      <w:r w:rsidRPr="006E12E2">
        <w:rPr>
          <w:noProof/>
        </w:rPr>
        <w:t xml:space="preserve"> 4283-4288.</w:t>
      </w:r>
    </w:p>
    <w:p w14:paraId="52679146" w14:textId="77777777" w:rsidR="006E12E2" w:rsidRPr="006E12E2" w:rsidRDefault="006E12E2" w:rsidP="006E12E2">
      <w:pPr>
        <w:pStyle w:val="EndNoteBibliography"/>
        <w:ind w:left="720" w:hanging="720"/>
        <w:rPr>
          <w:noProof/>
        </w:rPr>
      </w:pPr>
      <w:r w:rsidRPr="006E12E2">
        <w:rPr>
          <w:noProof/>
        </w:rPr>
        <w:t xml:space="preserve">JOSSÉ, R., MARTIN, S. E., GUHA, R., ORMANOGLU, P., PFISTER, T. D., REAPER, P. M., BARNES, C. S., JONES, J., CHARLTON, P., POLLARD, J. R., MORRIS, J., DOROSHOW, J. H. &amp; POMMIER, Y. 2014. ATR inhibitors VE-821 and VX-970 sensitize cancer cells to topoisomerase i inhibitors by disabling DNA replication initiation and fork elongation responses. </w:t>
      </w:r>
      <w:r w:rsidRPr="006E12E2">
        <w:rPr>
          <w:i/>
          <w:noProof/>
        </w:rPr>
        <w:t>Cancer Res,</w:t>
      </w:r>
      <w:r w:rsidRPr="006E12E2">
        <w:rPr>
          <w:noProof/>
        </w:rPr>
        <w:t xml:space="preserve"> 74</w:t>
      </w:r>
      <w:r w:rsidRPr="006E12E2">
        <w:rPr>
          <w:b/>
          <w:noProof/>
        </w:rPr>
        <w:t>,</w:t>
      </w:r>
      <w:r w:rsidRPr="006E12E2">
        <w:rPr>
          <w:noProof/>
        </w:rPr>
        <w:t xml:space="preserve"> 6968-79.</w:t>
      </w:r>
    </w:p>
    <w:p w14:paraId="28A745ED" w14:textId="77777777" w:rsidR="006E12E2" w:rsidRPr="006E12E2" w:rsidRDefault="006E12E2" w:rsidP="006E12E2">
      <w:pPr>
        <w:pStyle w:val="EndNoteBibliography"/>
        <w:ind w:left="720" w:hanging="720"/>
        <w:rPr>
          <w:noProof/>
        </w:rPr>
      </w:pPr>
      <w:r w:rsidRPr="006E12E2">
        <w:rPr>
          <w:noProof/>
        </w:rPr>
        <w:t xml:space="preserve">JOVER, R., JOVER, P., ZAPATER, A., CASTELLS, X., PIÑOL, M., LLOR, J., XICOLA, V., ANDREU, R. M., BESSA, L., CUBIELLA, J. M., BUJANDA, J., REÑÉ, X., CLOFENT, J. D., MORILLAS, D., NICOLÁS-PÉREZ, A., PAYA, C. &amp; ALENDA, C. 2006. Mismatch repair status in the prediction of benefit from adjuvant fluorouracil chemotherapy in colorectal cancer. </w:t>
      </w:r>
      <w:r w:rsidRPr="006E12E2">
        <w:rPr>
          <w:i/>
          <w:noProof/>
        </w:rPr>
        <w:t>Gut,</w:t>
      </w:r>
      <w:r w:rsidRPr="006E12E2">
        <w:rPr>
          <w:noProof/>
        </w:rPr>
        <w:t xml:space="preserve"> 55</w:t>
      </w:r>
      <w:r w:rsidRPr="006E12E2">
        <w:rPr>
          <w:b/>
          <w:noProof/>
        </w:rPr>
        <w:t>,</w:t>
      </w:r>
      <w:r w:rsidRPr="006E12E2">
        <w:rPr>
          <w:noProof/>
        </w:rPr>
        <w:t xml:space="preserve"> 848-855.</w:t>
      </w:r>
    </w:p>
    <w:p w14:paraId="18498CDF" w14:textId="77777777" w:rsidR="006E12E2" w:rsidRPr="006E12E2" w:rsidRDefault="006E12E2" w:rsidP="006E12E2">
      <w:pPr>
        <w:pStyle w:val="EndNoteBibliography"/>
        <w:ind w:left="720" w:hanging="720"/>
        <w:rPr>
          <w:noProof/>
        </w:rPr>
      </w:pPr>
      <w:r w:rsidRPr="006E12E2">
        <w:rPr>
          <w:noProof/>
        </w:rPr>
        <w:t xml:space="preserve">KADOCH, C., HARGREAVES, D. C., HODGES, C., ELIAS, L., HO, L., RANISH, J. &amp; CRABTREE, G. R. 2013. Proteomic and bioinformatic analysis of mammalian SWI/SNF complexes identifies extensive roles in human malignancy. </w:t>
      </w:r>
      <w:r w:rsidRPr="006E12E2">
        <w:rPr>
          <w:i/>
          <w:noProof/>
        </w:rPr>
        <w:t>Nat Genet,</w:t>
      </w:r>
      <w:r w:rsidRPr="006E12E2">
        <w:rPr>
          <w:noProof/>
        </w:rPr>
        <w:t xml:space="preserve"> 45</w:t>
      </w:r>
      <w:r w:rsidRPr="006E12E2">
        <w:rPr>
          <w:b/>
          <w:noProof/>
        </w:rPr>
        <w:t>,</w:t>
      </w:r>
      <w:r w:rsidRPr="006E12E2">
        <w:rPr>
          <w:noProof/>
        </w:rPr>
        <w:t xml:space="preserve"> 592-601.</w:t>
      </w:r>
    </w:p>
    <w:p w14:paraId="283B1EE2" w14:textId="77777777" w:rsidR="006E12E2" w:rsidRPr="006E12E2" w:rsidRDefault="006E12E2" w:rsidP="006E12E2">
      <w:pPr>
        <w:pStyle w:val="EndNoteBibliography"/>
        <w:ind w:left="720" w:hanging="720"/>
        <w:rPr>
          <w:noProof/>
        </w:rPr>
      </w:pPr>
      <w:r w:rsidRPr="006E12E2">
        <w:rPr>
          <w:noProof/>
        </w:rPr>
        <w:t xml:space="preserve">KALLIONIEMI, A., KALLIONIEMI, O.-P., SUDAR, D., GRAY, J. W., WALDMAN, F., PINKEL, D. &amp; RUTOVITZ, D. 1992. Comparative genomic hybridization for molecular cytogenetic analysis of solid tumors. </w:t>
      </w:r>
      <w:r w:rsidRPr="006E12E2">
        <w:rPr>
          <w:i/>
          <w:noProof/>
        </w:rPr>
        <w:t>Science,</w:t>
      </w:r>
      <w:r w:rsidRPr="006E12E2">
        <w:rPr>
          <w:noProof/>
        </w:rPr>
        <w:t xml:space="preserve"> 258</w:t>
      </w:r>
      <w:r w:rsidRPr="006E12E2">
        <w:rPr>
          <w:b/>
          <w:noProof/>
        </w:rPr>
        <w:t>,</w:t>
      </w:r>
      <w:r w:rsidRPr="006E12E2">
        <w:rPr>
          <w:noProof/>
        </w:rPr>
        <w:t xml:space="preserve"> 818-821.</w:t>
      </w:r>
    </w:p>
    <w:p w14:paraId="3EB794B4" w14:textId="77777777" w:rsidR="006E12E2" w:rsidRPr="006E12E2" w:rsidRDefault="006E12E2" w:rsidP="006E12E2">
      <w:pPr>
        <w:pStyle w:val="EndNoteBibliography"/>
        <w:ind w:left="720" w:hanging="720"/>
        <w:rPr>
          <w:noProof/>
        </w:rPr>
      </w:pPr>
      <w:r w:rsidRPr="006E12E2">
        <w:rPr>
          <w:noProof/>
        </w:rPr>
        <w:t xml:space="preserve">KALYAN, A., KIRCHER, S., SHAH, H., MULCAHY, M. &amp; BENSON, A. 2018. Updates on immunotherapy for colorectal cancer. </w:t>
      </w:r>
      <w:r w:rsidRPr="006E12E2">
        <w:rPr>
          <w:i/>
          <w:noProof/>
        </w:rPr>
        <w:t>J Gastrointest Oncol,</w:t>
      </w:r>
      <w:r w:rsidRPr="006E12E2">
        <w:rPr>
          <w:noProof/>
        </w:rPr>
        <w:t xml:space="preserve"> 9</w:t>
      </w:r>
      <w:r w:rsidRPr="006E12E2">
        <w:rPr>
          <w:b/>
          <w:noProof/>
        </w:rPr>
        <w:t>,</w:t>
      </w:r>
      <w:r w:rsidRPr="006E12E2">
        <w:rPr>
          <w:noProof/>
        </w:rPr>
        <w:t xml:space="preserve"> 160-169.</w:t>
      </w:r>
    </w:p>
    <w:p w14:paraId="198DCEB8" w14:textId="77777777" w:rsidR="006E12E2" w:rsidRPr="006E12E2" w:rsidRDefault="006E12E2" w:rsidP="006E12E2">
      <w:pPr>
        <w:pStyle w:val="EndNoteBibliography"/>
        <w:ind w:left="720" w:hanging="720"/>
        <w:rPr>
          <w:noProof/>
        </w:rPr>
      </w:pPr>
      <w:r w:rsidRPr="006E12E2">
        <w:rPr>
          <w:noProof/>
        </w:rPr>
        <w:t xml:space="preserve">KANTH, V., BHALSING, S., SASIKALA, M., RAO, G., PRADEEP, R., AVANTHI, U. &amp; REDDY, D. 2014. Microsatellite instability and promoter hypermethylation in colorectal cancer in India. </w:t>
      </w:r>
      <w:r w:rsidRPr="006E12E2">
        <w:rPr>
          <w:i/>
          <w:noProof/>
        </w:rPr>
        <w:t>Tumor Biol.,</w:t>
      </w:r>
      <w:r w:rsidRPr="006E12E2">
        <w:rPr>
          <w:noProof/>
        </w:rPr>
        <w:t xml:space="preserve"> 35</w:t>
      </w:r>
      <w:r w:rsidRPr="006E12E2">
        <w:rPr>
          <w:b/>
          <w:noProof/>
        </w:rPr>
        <w:t>,</w:t>
      </w:r>
      <w:r w:rsidRPr="006E12E2">
        <w:rPr>
          <w:noProof/>
        </w:rPr>
        <w:t xml:space="preserve"> 4347-4355.</w:t>
      </w:r>
    </w:p>
    <w:p w14:paraId="120201CB" w14:textId="77777777" w:rsidR="006E12E2" w:rsidRPr="006E12E2" w:rsidRDefault="006E12E2" w:rsidP="006E12E2">
      <w:pPr>
        <w:pStyle w:val="EndNoteBibliography"/>
        <w:ind w:left="720" w:hanging="720"/>
        <w:rPr>
          <w:noProof/>
        </w:rPr>
      </w:pPr>
      <w:r w:rsidRPr="006E12E2">
        <w:rPr>
          <w:noProof/>
        </w:rPr>
        <w:t xml:space="preserve">KAPLAN, K. B., BURDS, A. A., SWEDLOW, J. R., BEKIR, S. S., SORGER, P. K. &amp; NÄTHKE, I. S. 2001. A role for the Adenomatous Polyposis Coli protein in chromosome segregation. </w:t>
      </w:r>
      <w:r w:rsidRPr="006E12E2">
        <w:rPr>
          <w:i/>
          <w:noProof/>
        </w:rPr>
        <w:t>Nat Cell Biol,</w:t>
      </w:r>
      <w:r w:rsidRPr="006E12E2">
        <w:rPr>
          <w:noProof/>
        </w:rPr>
        <w:t xml:space="preserve"> 3</w:t>
      </w:r>
      <w:r w:rsidRPr="006E12E2">
        <w:rPr>
          <w:b/>
          <w:noProof/>
        </w:rPr>
        <w:t>,</w:t>
      </w:r>
      <w:r w:rsidRPr="006E12E2">
        <w:rPr>
          <w:noProof/>
        </w:rPr>
        <w:t xml:space="preserve"> 429-32.</w:t>
      </w:r>
    </w:p>
    <w:p w14:paraId="3EBA7C18" w14:textId="77777777" w:rsidR="006E12E2" w:rsidRPr="006E12E2" w:rsidRDefault="006E12E2" w:rsidP="006E12E2">
      <w:pPr>
        <w:pStyle w:val="EndNoteBibliography"/>
        <w:ind w:left="720" w:hanging="720"/>
        <w:rPr>
          <w:noProof/>
        </w:rPr>
      </w:pPr>
      <w:r w:rsidRPr="006E12E2">
        <w:rPr>
          <w:noProof/>
        </w:rPr>
        <w:t xml:space="preserve">KASS, E. M. &amp; JASIN, M. 2010. Collaboration and competition between DNA double-strand break repair pathways. </w:t>
      </w:r>
      <w:r w:rsidRPr="006E12E2">
        <w:rPr>
          <w:i/>
          <w:noProof/>
        </w:rPr>
        <w:t>FEBS Lett,</w:t>
      </w:r>
      <w:r w:rsidRPr="006E12E2">
        <w:rPr>
          <w:noProof/>
        </w:rPr>
        <w:t xml:space="preserve"> 584</w:t>
      </w:r>
      <w:r w:rsidRPr="006E12E2">
        <w:rPr>
          <w:b/>
          <w:noProof/>
        </w:rPr>
        <w:t>,</w:t>
      </w:r>
      <w:r w:rsidRPr="006E12E2">
        <w:rPr>
          <w:noProof/>
        </w:rPr>
        <w:t xml:space="preserve"> 3703-8.</w:t>
      </w:r>
    </w:p>
    <w:p w14:paraId="3A45FE2E" w14:textId="77777777" w:rsidR="006E12E2" w:rsidRPr="006E12E2" w:rsidRDefault="006E12E2" w:rsidP="006E12E2">
      <w:pPr>
        <w:pStyle w:val="EndNoteBibliography"/>
        <w:ind w:left="720" w:hanging="720"/>
        <w:rPr>
          <w:noProof/>
        </w:rPr>
      </w:pPr>
      <w:r w:rsidRPr="006E12E2">
        <w:rPr>
          <w:noProof/>
        </w:rPr>
        <w:t xml:space="preserve">KATHER, J. N., HALAMA, N. &amp; JAEGER, D. 2018. Genomics and emerging biomarkers for immunotherapy of colorectal cancer. </w:t>
      </w:r>
      <w:r w:rsidRPr="006E12E2">
        <w:rPr>
          <w:i/>
          <w:noProof/>
        </w:rPr>
        <w:t>Semin Cancer Biol</w:t>
      </w:r>
      <w:r w:rsidRPr="006E12E2">
        <w:rPr>
          <w:noProof/>
        </w:rPr>
        <w:t>.</w:t>
      </w:r>
    </w:p>
    <w:p w14:paraId="4CD19FDB" w14:textId="77777777" w:rsidR="006E12E2" w:rsidRPr="006E12E2" w:rsidRDefault="006E12E2" w:rsidP="006E12E2">
      <w:pPr>
        <w:pStyle w:val="EndNoteBibliography"/>
        <w:ind w:left="720" w:hanging="720"/>
        <w:rPr>
          <w:noProof/>
        </w:rPr>
      </w:pPr>
      <w:r w:rsidRPr="006E12E2">
        <w:rPr>
          <w:noProof/>
        </w:rPr>
        <w:t xml:space="preserve">KELLEY, M. R., LOGSDON, D. &amp; FISHEL, M. L. 2014. Targeting DNA repair pathways for cancer treatment: what's new? </w:t>
      </w:r>
      <w:r w:rsidRPr="006E12E2">
        <w:rPr>
          <w:i/>
          <w:noProof/>
        </w:rPr>
        <w:t>Future Oncol,</w:t>
      </w:r>
      <w:r w:rsidRPr="006E12E2">
        <w:rPr>
          <w:noProof/>
        </w:rPr>
        <w:t xml:space="preserve"> 10</w:t>
      </w:r>
      <w:r w:rsidRPr="006E12E2">
        <w:rPr>
          <w:b/>
          <w:noProof/>
        </w:rPr>
        <w:t>,</w:t>
      </w:r>
      <w:r w:rsidRPr="006E12E2">
        <w:rPr>
          <w:noProof/>
        </w:rPr>
        <w:t xml:space="preserve"> 1215-37.</w:t>
      </w:r>
    </w:p>
    <w:p w14:paraId="7B4F6297" w14:textId="77777777" w:rsidR="006E12E2" w:rsidRPr="006E12E2" w:rsidRDefault="006E12E2" w:rsidP="006E12E2">
      <w:pPr>
        <w:pStyle w:val="EndNoteBibliography"/>
        <w:ind w:left="720" w:hanging="720"/>
        <w:rPr>
          <w:noProof/>
        </w:rPr>
      </w:pPr>
      <w:r w:rsidRPr="006E12E2">
        <w:rPr>
          <w:noProof/>
        </w:rPr>
        <w:t xml:space="preserve">KHAN, S. A., REDDY, D. &amp; GUPTA, S. 2015. Global histone post-translational modifications and cancer: Biomarkers for diagnosis, prognosis and treatment? </w:t>
      </w:r>
      <w:r w:rsidRPr="006E12E2">
        <w:rPr>
          <w:i/>
          <w:noProof/>
        </w:rPr>
        <w:t>World J Biol Chem,</w:t>
      </w:r>
      <w:r w:rsidRPr="006E12E2">
        <w:rPr>
          <w:noProof/>
        </w:rPr>
        <w:t xml:space="preserve"> 6</w:t>
      </w:r>
      <w:r w:rsidRPr="006E12E2">
        <w:rPr>
          <w:b/>
          <w:noProof/>
        </w:rPr>
        <w:t>,</w:t>
      </w:r>
      <w:r w:rsidRPr="006E12E2">
        <w:rPr>
          <w:noProof/>
        </w:rPr>
        <w:t xml:space="preserve"> 333-45.</w:t>
      </w:r>
    </w:p>
    <w:p w14:paraId="4D54EC05" w14:textId="77777777" w:rsidR="006E12E2" w:rsidRPr="006E12E2" w:rsidRDefault="006E12E2" w:rsidP="006E12E2">
      <w:pPr>
        <w:pStyle w:val="EndNoteBibliography"/>
        <w:ind w:left="720" w:hanging="720"/>
        <w:rPr>
          <w:noProof/>
        </w:rPr>
      </w:pPr>
      <w:r w:rsidRPr="006E12E2">
        <w:rPr>
          <w:noProof/>
        </w:rPr>
        <w:t xml:space="preserve">KINZLER, K. W. &amp; VOGELSTEIN, B. 1996. Lessons from hereditary colorectal cancer. </w:t>
      </w:r>
      <w:r w:rsidRPr="006E12E2">
        <w:rPr>
          <w:i/>
          <w:noProof/>
        </w:rPr>
        <w:t>Cell,</w:t>
      </w:r>
      <w:r w:rsidRPr="006E12E2">
        <w:rPr>
          <w:noProof/>
        </w:rPr>
        <w:t xml:space="preserve"> 87</w:t>
      </w:r>
      <w:r w:rsidRPr="006E12E2">
        <w:rPr>
          <w:b/>
          <w:noProof/>
        </w:rPr>
        <w:t>,</w:t>
      </w:r>
      <w:r w:rsidRPr="006E12E2">
        <w:rPr>
          <w:noProof/>
        </w:rPr>
        <w:t xml:space="preserve"> 159-70.</w:t>
      </w:r>
    </w:p>
    <w:p w14:paraId="4D5D1CB6" w14:textId="77777777" w:rsidR="006E12E2" w:rsidRPr="006E12E2" w:rsidRDefault="006E12E2" w:rsidP="006E12E2">
      <w:pPr>
        <w:pStyle w:val="EndNoteBibliography"/>
        <w:ind w:left="720" w:hanging="720"/>
        <w:rPr>
          <w:noProof/>
        </w:rPr>
      </w:pPr>
      <w:r w:rsidRPr="006E12E2">
        <w:rPr>
          <w:noProof/>
        </w:rPr>
        <w:t xml:space="preserve">KOBAYASHI, H., OHNO, S., SASAKI, Y. &amp; MATSUURA, M. 2013. Hereditary breast and ovarian cancer susceptibility genes (review). </w:t>
      </w:r>
      <w:r w:rsidRPr="006E12E2">
        <w:rPr>
          <w:i/>
          <w:noProof/>
        </w:rPr>
        <w:t>Oncol Rep,</w:t>
      </w:r>
      <w:r w:rsidRPr="006E12E2">
        <w:rPr>
          <w:noProof/>
        </w:rPr>
        <w:t xml:space="preserve"> 30</w:t>
      </w:r>
      <w:r w:rsidRPr="006E12E2">
        <w:rPr>
          <w:b/>
          <w:noProof/>
        </w:rPr>
        <w:t>,</w:t>
      </w:r>
      <w:r w:rsidRPr="006E12E2">
        <w:rPr>
          <w:noProof/>
        </w:rPr>
        <w:t xml:space="preserve"> 1019-29.</w:t>
      </w:r>
    </w:p>
    <w:p w14:paraId="534EC6CB" w14:textId="77777777" w:rsidR="006E12E2" w:rsidRPr="006E12E2" w:rsidRDefault="006E12E2" w:rsidP="006E12E2">
      <w:pPr>
        <w:pStyle w:val="EndNoteBibliography"/>
        <w:ind w:left="720" w:hanging="720"/>
        <w:rPr>
          <w:noProof/>
        </w:rPr>
      </w:pPr>
      <w:r w:rsidRPr="006E12E2">
        <w:rPr>
          <w:noProof/>
        </w:rPr>
        <w:t xml:space="preserve">KOBOR, M. S., VENKATASUBRAHMANYAM, S., MENEGHINI, M. D., GIN, J. W., JENNINGS, J. L., LINK, A. J., MADHANI, H. D. &amp; RINE, J. 2004. A protein complex containing the conserved Swi2/Snf2-related ATPase Swr1p deposits histone variant H2A.Z into euchromatin. </w:t>
      </w:r>
      <w:r w:rsidRPr="006E12E2">
        <w:rPr>
          <w:i/>
          <w:noProof/>
        </w:rPr>
        <w:t>PLoS Biol,</w:t>
      </w:r>
      <w:r w:rsidRPr="006E12E2">
        <w:rPr>
          <w:noProof/>
        </w:rPr>
        <w:t xml:space="preserve"> 2</w:t>
      </w:r>
      <w:r w:rsidRPr="006E12E2">
        <w:rPr>
          <w:b/>
          <w:noProof/>
        </w:rPr>
        <w:t>,</w:t>
      </w:r>
      <w:r w:rsidRPr="006E12E2">
        <w:rPr>
          <w:noProof/>
        </w:rPr>
        <w:t xml:space="preserve"> E131.</w:t>
      </w:r>
    </w:p>
    <w:p w14:paraId="15CECA6D" w14:textId="77777777" w:rsidR="006E12E2" w:rsidRPr="006E12E2" w:rsidRDefault="006E12E2" w:rsidP="006E12E2">
      <w:pPr>
        <w:pStyle w:val="EndNoteBibliography"/>
        <w:ind w:left="720" w:hanging="720"/>
        <w:rPr>
          <w:noProof/>
        </w:rPr>
      </w:pPr>
      <w:r w:rsidRPr="006E12E2">
        <w:rPr>
          <w:noProof/>
        </w:rPr>
        <w:t xml:space="preserve">KONG, S. Y., KIM, K. S., KIM, J., KIM, M. K., LEE, K. H., LEE, J. Y., OH, N., PARK, J. I., PARK, J. H., HEO, S. H., SHIM, S. H., LEE, D. R., KIM, K. P. &amp; PARK, K. S. 2016. The ELK3-GATA3 axis orchestrates invasion and metastasis of breast cancer cells in vitro and in vivo. </w:t>
      </w:r>
      <w:r w:rsidRPr="006E12E2">
        <w:rPr>
          <w:i/>
          <w:noProof/>
        </w:rPr>
        <w:t>Oncotarget,</w:t>
      </w:r>
      <w:r w:rsidRPr="006E12E2">
        <w:rPr>
          <w:noProof/>
        </w:rPr>
        <w:t xml:space="preserve"> 7</w:t>
      </w:r>
      <w:r w:rsidRPr="006E12E2">
        <w:rPr>
          <w:b/>
          <w:noProof/>
        </w:rPr>
        <w:t>,</w:t>
      </w:r>
      <w:r w:rsidRPr="006E12E2">
        <w:rPr>
          <w:noProof/>
        </w:rPr>
        <w:t xml:space="preserve"> 65137-65146.</w:t>
      </w:r>
    </w:p>
    <w:p w14:paraId="0643D85C" w14:textId="77777777" w:rsidR="006E12E2" w:rsidRPr="006E12E2" w:rsidRDefault="006E12E2" w:rsidP="006E12E2">
      <w:pPr>
        <w:pStyle w:val="EndNoteBibliography"/>
        <w:ind w:left="720" w:hanging="720"/>
        <w:rPr>
          <w:noProof/>
        </w:rPr>
      </w:pPr>
      <w:r w:rsidRPr="006E12E2">
        <w:rPr>
          <w:noProof/>
        </w:rPr>
        <w:t xml:space="preserve">KOZYREVA, V. K., KISELEVA, A. A., ICE, R. J., JONES, B. C., LOSKUTOV, Y. V., MATALKAH, F., SMOLKIN, M. B., MARINAK, K., LIVENGOOD, R. H., SALKENI, M. A., WEN, S., HAZARD, H. W., LAYNE, G. P., WALSH, C. M., CANTRELL, P. S., KILBY, G. W., MAHAVADI, S., SHAH, N. &amp; PUGACHEVA, E. N. 2016. Combination of Eribulin and Aurora A Inhibitor MLN8237 Prevents Metastatic Colonization and Induces Cytotoxic Autophagy in Breast Cancer. </w:t>
      </w:r>
      <w:r w:rsidRPr="006E12E2">
        <w:rPr>
          <w:i/>
          <w:noProof/>
        </w:rPr>
        <w:t>Mol Cancer Ther,</w:t>
      </w:r>
      <w:r w:rsidRPr="006E12E2">
        <w:rPr>
          <w:noProof/>
        </w:rPr>
        <w:t xml:space="preserve"> 15</w:t>
      </w:r>
      <w:r w:rsidRPr="006E12E2">
        <w:rPr>
          <w:b/>
          <w:noProof/>
        </w:rPr>
        <w:t>,</w:t>
      </w:r>
      <w:r w:rsidRPr="006E12E2">
        <w:rPr>
          <w:noProof/>
        </w:rPr>
        <w:t xml:space="preserve"> 1809-22.</w:t>
      </w:r>
    </w:p>
    <w:p w14:paraId="0980496C" w14:textId="77777777" w:rsidR="006E12E2" w:rsidRPr="006E12E2" w:rsidRDefault="006E12E2" w:rsidP="006E12E2">
      <w:pPr>
        <w:pStyle w:val="EndNoteBibliography"/>
        <w:ind w:left="720" w:hanging="720"/>
        <w:rPr>
          <w:noProof/>
        </w:rPr>
      </w:pPr>
      <w:r w:rsidRPr="006E12E2">
        <w:rPr>
          <w:noProof/>
        </w:rPr>
        <w:t xml:space="preserve">KREJCI, L., ALTMANNOVA, V., SPIREK, M. &amp; ZHAO, X. 2012. Homologous recombination and its regulation. </w:t>
      </w:r>
      <w:r w:rsidRPr="006E12E2">
        <w:rPr>
          <w:i/>
          <w:noProof/>
        </w:rPr>
        <w:t>Nucleic Acids Res,</w:t>
      </w:r>
      <w:r w:rsidRPr="006E12E2">
        <w:rPr>
          <w:noProof/>
        </w:rPr>
        <w:t xml:space="preserve"> 40</w:t>
      </w:r>
      <w:r w:rsidRPr="006E12E2">
        <w:rPr>
          <w:b/>
          <w:noProof/>
        </w:rPr>
        <w:t>,</w:t>
      </w:r>
      <w:r w:rsidRPr="006E12E2">
        <w:rPr>
          <w:noProof/>
        </w:rPr>
        <w:t xml:space="preserve"> 5795-818.</w:t>
      </w:r>
    </w:p>
    <w:p w14:paraId="536C6208" w14:textId="77777777" w:rsidR="006E12E2" w:rsidRPr="006E12E2" w:rsidRDefault="006E12E2" w:rsidP="006E12E2">
      <w:pPr>
        <w:pStyle w:val="EndNoteBibliography"/>
        <w:ind w:left="720" w:hanging="720"/>
        <w:rPr>
          <w:noProof/>
        </w:rPr>
      </w:pPr>
      <w:r w:rsidRPr="006E12E2">
        <w:rPr>
          <w:noProof/>
        </w:rPr>
        <w:t xml:space="preserve">KUSHNIR, V. M., GOODWIN, J., SAFAR, E., CHOKSHI, R. V., AZAR, R. R., DAVIDSON, N. O. &amp; WATSON, R. 2014. Advanced Colorectal Adenomas in Patients Under 45 Years of Age Are Mostly Sporadic. </w:t>
      </w:r>
      <w:r w:rsidRPr="006E12E2">
        <w:rPr>
          <w:i/>
          <w:noProof/>
        </w:rPr>
        <w:t>Digestive Diseases and Sciences</w:t>
      </w:r>
      <w:r w:rsidRPr="006E12E2">
        <w:rPr>
          <w:noProof/>
        </w:rPr>
        <w:t>.</w:t>
      </w:r>
    </w:p>
    <w:p w14:paraId="6438FD1C" w14:textId="77777777" w:rsidR="006E12E2" w:rsidRPr="006E12E2" w:rsidRDefault="006E12E2" w:rsidP="006E12E2">
      <w:pPr>
        <w:pStyle w:val="EndNoteBibliography"/>
        <w:ind w:left="720" w:hanging="720"/>
        <w:rPr>
          <w:noProof/>
        </w:rPr>
      </w:pPr>
      <w:r w:rsidRPr="006E12E2">
        <w:rPr>
          <w:noProof/>
        </w:rPr>
        <w:t xml:space="preserve">LAL, G. &amp; GALLINGER, S. 2000. Familial adenomatous polyposis. </w:t>
      </w:r>
      <w:r w:rsidRPr="006E12E2">
        <w:rPr>
          <w:i/>
          <w:noProof/>
        </w:rPr>
        <w:t>Semin Surg Oncol,</w:t>
      </w:r>
      <w:r w:rsidRPr="006E12E2">
        <w:rPr>
          <w:noProof/>
        </w:rPr>
        <w:t xml:space="preserve"> 18</w:t>
      </w:r>
      <w:r w:rsidRPr="006E12E2">
        <w:rPr>
          <w:b/>
          <w:noProof/>
        </w:rPr>
        <w:t>,</w:t>
      </w:r>
      <w:r w:rsidRPr="006E12E2">
        <w:rPr>
          <w:noProof/>
        </w:rPr>
        <w:t xml:space="preserve"> 314-23.</w:t>
      </w:r>
    </w:p>
    <w:p w14:paraId="3687941D" w14:textId="77777777" w:rsidR="006E12E2" w:rsidRPr="006E12E2" w:rsidRDefault="006E12E2" w:rsidP="006E12E2">
      <w:pPr>
        <w:pStyle w:val="EndNoteBibliography"/>
        <w:ind w:left="720" w:hanging="720"/>
        <w:rPr>
          <w:noProof/>
        </w:rPr>
      </w:pPr>
      <w:r w:rsidRPr="006E12E2">
        <w:rPr>
          <w:noProof/>
        </w:rPr>
        <w:t xml:space="preserve">LAMBERTI, C., LUNDIN, C., SAUERBRUCH, C., FRIEDRICHS, C., BÜTTNER, C., BOGDANOW, C. &amp; PAGENSTECHER, C. 2007. Microsatellite instability did not predict individual survival of unselected patients with colorectal cancer. </w:t>
      </w:r>
      <w:r w:rsidRPr="006E12E2">
        <w:rPr>
          <w:i/>
          <w:noProof/>
        </w:rPr>
        <w:t>International Journal of Colorectal Disease,</w:t>
      </w:r>
      <w:r w:rsidRPr="006E12E2">
        <w:rPr>
          <w:noProof/>
        </w:rPr>
        <w:t xml:space="preserve"> 22</w:t>
      </w:r>
      <w:r w:rsidRPr="006E12E2">
        <w:rPr>
          <w:b/>
          <w:noProof/>
        </w:rPr>
        <w:t>,</w:t>
      </w:r>
      <w:r w:rsidRPr="006E12E2">
        <w:rPr>
          <w:noProof/>
        </w:rPr>
        <w:t xml:space="preserve"> 145-152.</w:t>
      </w:r>
    </w:p>
    <w:p w14:paraId="4F89A006" w14:textId="77777777" w:rsidR="006E12E2" w:rsidRPr="006E12E2" w:rsidRDefault="006E12E2" w:rsidP="006E12E2">
      <w:pPr>
        <w:pStyle w:val="EndNoteBibliography"/>
        <w:ind w:left="720" w:hanging="720"/>
        <w:rPr>
          <w:noProof/>
        </w:rPr>
      </w:pPr>
      <w:r w:rsidRPr="006E12E2">
        <w:rPr>
          <w:noProof/>
        </w:rPr>
        <w:t xml:space="preserve">LANDERS, J. E., CASSEL, S. L. &amp; GEORGE, D. L. 1997. Translational enhancement of mdm2 oncogene expression in human tumor cells containing a stabilized wild-type p53 protein. </w:t>
      </w:r>
      <w:r w:rsidRPr="006E12E2">
        <w:rPr>
          <w:i/>
          <w:noProof/>
        </w:rPr>
        <w:t>Cancer Res,</w:t>
      </w:r>
      <w:r w:rsidRPr="006E12E2">
        <w:rPr>
          <w:noProof/>
        </w:rPr>
        <w:t xml:space="preserve"> 57</w:t>
      </w:r>
      <w:r w:rsidRPr="006E12E2">
        <w:rPr>
          <w:b/>
          <w:noProof/>
        </w:rPr>
        <w:t>,</w:t>
      </w:r>
      <w:r w:rsidRPr="006E12E2">
        <w:rPr>
          <w:noProof/>
        </w:rPr>
        <w:t xml:space="preserve"> 3562-8.</w:t>
      </w:r>
    </w:p>
    <w:p w14:paraId="1F1B46B0" w14:textId="77777777" w:rsidR="006E12E2" w:rsidRPr="006E12E2" w:rsidRDefault="006E12E2" w:rsidP="006E12E2">
      <w:pPr>
        <w:pStyle w:val="EndNoteBibliography"/>
        <w:ind w:left="720" w:hanging="720"/>
        <w:rPr>
          <w:noProof/>
        </w:rPr>
      </w:pPr>
      <w:r w:rsidRPr="006E12E2">
        <w:rPr>
          <w:noProof/>
        </w:rPr>
        <w:t xml:space="preserve">LATRICK, C. M., MAREK, M., OUARARHNI, K., PAPIN, C., STOLL, I., IGNATYEVA, M., OBRI, A., ENNIFAR, E., DIMITROV, S., ROMIER, C. &amp; HAMICHE, A. 2016. Molecular basis and specificity of H2A.Z-H2B recognition and deposition by the histone chaperone YL1. </w:t>
      </w:r>
      <w:r w:rsidRPr="006E12E2">
        <w:rPr>
          <w:i/>
          <w:noProof/>
        </w:rPr>
        <w:t>Nat Struct Mol Biol,</w:t>
      </w:r>
      <w:r w:rsidRPr="006E12E2">
        <w:rPr>
          <w:noProof/>
        </w:rPr>
        <w:t xml:space="preserve"> 23</w:t>
      </w:r>
      <w:r w:rsidRPr="006E12E2">
        <w:rPr>
          <w:b/>
          <w:noProof/>
        </w:rPr>
        <w:t>,</w:t>
      </w:r>
      <w:r w:rsidRPr="006E12E2">
        <w:rPr>
          <w:noProof/>
        </w:rPr>
        <w:t xml:space="preserve"> 309-16.</w:t>
      </w:r>
    </w:p>
    <w:p w14:paraId="0DF39449" w14:textId="77777777" w:rsidR="006E12E2" w:rsidRPr="006E12E2" w:rsidRDefault="006E12E2" w:rsidP="006E12E2">
      <w:pPr>
        <w:pStyle w:val="EndNoteBibliography"/>
        <w:ind w:left="720" w:hanging="720"/>
        <w:rPr>
          <w:noProof/>
        </w:rPr>
      </w:pPr>
      <w:r w:rsidRPr="006E12E2">
        <w:rPr>
          <w:noProof/>
        </w:rPr>
        <w:t xml:space="preserve">LEE, J. H., HUR, W., HONG, S. W., KIM, J. H., KIM, S. M., LEE, E. B. &amp; YOON, S. K. 2017. ELK3 promotes the migration and invasion of liver cancer stem cells by targeting HIF-1α. </w:t>
      </w:r>
      <w:r w:rsidRPr="006E12E2">
        <w:rPr>
          <w:i/>
          <w:noProof/>
        </w:rPr>
        <w:t>Oncol Rep,</w:t>
      </w:r>
      <w:r w:rsidRPr="006E12E2">
        <w:rPr>
          <w:noProof/>
        </w:rPr>
        <w:t xml:space="preserve"> 37</w:t>
      </w:r>
      <w:r w:rsidRPr="006E12E2">
        <w:rPr>
          <w:b/>
          <w:noProof/>
        </w:rPr>
        <w:t>,</w:t>
      </w:r>
      <w:r w:rsidRPr="006E12E2">
        <w:rPr>
          <w:noProof/>
        </w:rPr>
        <w:t xml:space="preserve"> 813-822.</w:t>
      </w:r>
    </w:p>
    <w:p w14:paraId="3B6B3F2A" w14:textId="77777777" w:rsidR="006E12E2" w:rsidRPr="006E12E2" w:rsidRDefault="006E12E2" w:rsidP="006E12E2">
      <w:pPr>
        <w:pStyle w:val="EndNoteBibliography"/>
        <w:ind w:left="720" w:hanging="720"/>
        <w:rPr>
          <w:noProof/>
        </w:rPr>
      </w:pPr>
      <w:r w:rsidRPr="006E12E2">
        <w:rPr>
          <w:noProof/>
        </w:rPr>
        <w:t xml:space="preserve">LEE, J. H., PARK, J. H., JUNG, Y., KIM, J. H., JONG, H. S., KIM, T. Y. &amp; BANG, Y. J. 2006. Histone deacetylase inhibitor enhances 5-fluorouracil cytotoxicity by down-regulating thymidylate synthase in human cancer cells. </w:t>
      </w:r>
      <w:r w:rsidRPr="006E12E2">
        <w:rPr>
          <w:i/>
          <w:noProof/>
        </w:rPr>
        <w:t>Mol Cancer Ther,</w:t>
      </w:r>
      <w:r w:rsidRPr="006E12E2">
        <w:rPr>
          <w:noProof/>
        </w:rPr>
        <w:t xml:space="preserve"> 5</w:t>
      </w:r>
      <w:r w:rsidRPr="006E12E2">
        <w:rPr>
          <w:b/>
          <w:noProof/>
        </w:rPr>
        <w:t>,</w:t>
      </w:r>
      <w:r w:rsidRPr="006E12E2">
        <w:rPr>
          <w:noProof/>
        </w:rPr>
        <w:t xml:space="preserve"> 3085-95.</w:t>
      </w:r>
    </w:p>
    <w:p w14:paraId="212E8D40" w14:textId="77777777" w:rsidR="006E12E2" w:rsidRPr="006E12E2" w:rsidRDefault="006E12E2" w:rsidP="006E12E2">
      <w:pPr>
        <w:pStyle w:val="EndNoteBibliography"/>
        <w:ind w:left="720" w:hanging="720"/>
        <w:rPr>
          <w:noProof/>
        </w:rPr>
      </w:pPr>
      <w:r w:rsidRPr="006E12E2">
        <w:rPr>
          <w:noProof/>
        </w:rPr>
        <w:t xml:space="preserve">LEE, M. A., BYUN, J. H., SHIM, B. Y., WOO, I. S., KANG, J. H., HONG, Y. S., LEE, K. S., CHOI, M. G., CHANG, S. K., OH, S. T., CHOI, S. I. &amp; LEE, D. S. 2005. Irinotecan, continuous 5-fluorouracil, and low dose of leucovorin (modified FOLFIRI) as first line of therapy in recurrent or metastatic colorectal cancer. </w:t>
      </w:r>
      <w:r w:rsidRPr="006E12E2">
        <w:rPr>
          <w:i/>
          <w:noProof/>
        </w:rPr>
        <w:t>Korean J Intern Med,</w:t>
      </w:r>
      <w:r w:rsidRPr="006E12E2">
        <w:rPr>
          <w:noProof/>
        </w:rPr>
        <w:t xml:space="preserve"> 20</w:t>
      </w:r>
      <w:r w:rsidRPr="006E12E2">
        <w:rPr>
          <w:b/>
          <w:noProof/>
        </w:rPr>
        <w:t>,</w:t>
      </w:r>
      <w:r w:rsidRPr="006E12E2">
        <w:rPr>
          <w:noProof/>
        </w:rPr>
        <w:t xml:space="preserve"> 205-9.</w:t>
      </w:r>
    </w:p>
    <w:p w14:paraId="64B470C2" w14:textId="77777777" w:rsidR="006E12E2" w:rsidRPr="006E12E2" w:rsidRDefault="006E12E2" w:rsidP="006E12E2">
      <w:pPr>
        <w:pStyle w:val="EndNoteBibliography"/>
        <w:ind w:left="720" w:hanging="720"/>
        <w:rPr>
          <w:noProof/>
        </w:rPr>
      </w:pPr>
      <w:r w:rsidRPr="006E12E2">
        <w:rPr>
          <w:noProof/>
        </w:rPr>
        <w:t xml:space="preserve">LEE, S., HWANG, K. S., LEE, H., KIM, J. &amp; KANG, G. 2004. Aberrant CpG island hypermethylation of multiple genes in colorectal neoplasia. </w:t>
      </w:r>
      <w:r w:rsidRPr="006E12E2">
        <w:rPr>
          <w:i/>
          <w:noProof/>
        </w:rPr>
        <w:t>Lab. Invest.,</w:t>
      </w:r>
      <w:r w:rsidRPr="006E12E2">
        <w:rPr>
          <w:noProof/>
        </w:rPr>
        <w:t xml:space="preserve"> 84</w:t>
      </w:r>
      <w:r w:rsidRPr="006E12E2">
        <w:rPr>
          <w:b/>
          <w:noProof/>
        </w:rPr>
        <w:t>,</w:t>
      </w:r>
      <w:r w:rsidRPr="006E12E2">
        <w:rPr>
          <w:noProof/>
        </w:rPr>
        <w:t xml:space="preserve"> 884-893.</w:t>
      </w:r>
    </w:p>
    <w:p w14:paraId="330598ED" w14:textId="77777777" w:rsidR="006E12E2" w:rsidRPr="006E12E2" w:rsidRDefault="006E12E2" w:rsidP="006E12E2">
      <w:pPr>
        <w:pStyle w:val="EndNoteBibliography"/>
        <w:ind w:left="720" w:hanging="720"/>
        <w:rPr>
          <w:noProof/>
        </w:rPr>
      </w:pPr>
      <w:r w:rsidRPr="006E12E2">
        <w:rPr>
          <w:noProof/>
        </w:rPr>
        <w:t xml:space="preserve">LEE, V., MURPHY, A., LE, D. T. &amp; DIAZ, L. A. 2016. Mismatch Repair Deficiency and Response to Immune Checkpoint Blockade. </w:t>
      </w:r>
      <w:r w:rsidRPr="006E12E2">
        <w:rPr>
          <w:i/>
          <w:noProof/>
        </w:rPr>
        <w:t>Oncologist,</w:t>
      </w:r>
      <w:r w:rsidRPr="006E12E2">
        <w:rPr>
          <w:noProof/>
        </w:rPr>
        <w:t xml:space="preserve"> 21</w:t>
      </w:r>
      <w:r w:rsidRPr="006E12E2">
        <w:rPr>
          <w:b/>
          <w:noProof/>
        </w:rPr>
        <w:t>,</w:t>
      </w:r>
      <w:r w:rsidRPr="006E12E2">
        <w:rPr>
          <w:noProof/>
        </w:rPr>
        <w:t xml:space="preserve"> 1200-1211.</w:t>
      </w:r>
    </w:p>
    <w:p w14:paraId="3EBA7190" w14:textId="77777777" w:rsidR="006E12E2" w:rsidRPr="006E12E2" w:rsidRDefault="006E12E2" w:rsidP="006E12E2">
      <w:pPr>
        <w:pStyle w:val="EndNoteBibliography"/>
        <w:ind w:left="720" w:hanging="720"/>
        <w:rPr>
          <w:noProof/>
        </w:rPr>
      </w:pPr>
      <w:r w:rsidRPr="006E12E2">
        <w:rPr>
          <w:noProof/>
        </w:rPr>
        <w:t xml:space="preserve">LENGAUER, C., KINZLER, K. &amp; VOGELSTEIN, B. 1997. Genetic instability in colorectal cancers. </w:t>
      </w:r>
      <w:r w:rsidRPr="006E12E2">
        <w:rPr>
          <w:i/>
          <w:noProof/>
        </w:rPr>
        <w:t>Nature,</w:t>
      </w:r>
      <w:r w:rsidRPr="006E12E2">
        <w:rPr>
          <w:noProof/>
        </w:rPr>
        <w:t xml:space="preserve"> 386</w:t>
      </w:r>
      <w:r w:rsidRPr="006E12E2">
        <w:rPr>
          <w:b/>
          <w:noProof/>
        </w:rPr>
        <w:t>,</w:t>
      </w:r>
      <w:r w:rsidRPr="006E12E2">
        <w:rPr>
          <w:noProof/>
        </w:rPr>
        <w:t xml:space="preserve"> 623-627.</w:t>
      </w:r>
    </w:p>
    <w:p w14:paraId="21CE6B3F" w14:textId="77777777" w:rsidR="006E12E2" w:rsidRPr="006E12E2" w:rsidRDefault="006E12E2" w:rsidP="006E12E2">
      <w:pPr>
        <w:pStyle w:val="EndNoteBibliography"/>
        <w:ind w:left="720" w:hanging="720"/>
        <w:rPr>
          <w:noProof/>
        </w:rPr>
      </w:pPr>
      <w:r w:rsidRPr="006E12E2">
        <w:rPr>
          <w:noProof/>
        </w:rPr>
        <w:t xml:space="preserve">LEON, J., GUERRERO, I. &amp; PELLICER, A. 1987. Differential expression of the ras gene family in mice. </w:t>
      </w:r>
      <w:r w:rsidRPr="006E12E2">
        <w:rPr>
          <w:i/>
          <w:noProof/>
        </w:rPr>
        <w:t>Mol Cell Biol,</w:t>
      </w:r>
      <w:r w:rsidRPr="006E12E2">
        <w:rPr>
          <w:noProof/>
        </w:rPr>
        <w:t xml:space="preserve"> 7</w:t>
      </w:r>
      <w:r w:rsidRPr="006E12E2">
        <w:rPr>
          <w:b/>
          <w:noProof/>
        </w:rPr>
        <w:t>,</w:t>
      </w:r>
      <w:r w:rsidRPr="006E12E2">
        <w:rPr>
          <w:noProof/>
        </w:rPr>
        <w:t xml:space="preserve"> 1535-40.</w:t>
      </w:r>
    </w:p>
    <w:p w14:paraId="55436D9B" w14:textId="77777777" w:rsidR="006E12E2" w:rsidRPr="006E12E2" w:rsidRDefault="006E12E2" w:rsidP="006E12E2">
      <w:pPr>
        <w:pStyle w:val="EndNoteBibliography"/>
        <w:ind w:left="720" w:hanging="720"/>
        <w:rPr>
          <w:noProof/>
        </w:rPr>
      </w:pPr>
      <w:r w:rsidRPr="006E12E2">
        <w:rPr>
          <w:noProof/>
        </w:rPr>
        <w:t xml:space="preserve">LEUNG, S., YUEN, S., CHUNG, L., CHU, K., CHAN, A. &amp; HO, J. 1999. hMLH1 promoter methylation and lack of hMLH1 expression in sporadic gastric carcinomas with high-frequency microsatellite instability. </w:t>
      </w:r>
      <w:r w:rsidRPr="006E12E2">
        <w:rPr>
          <w:i/>
          <w:noProof/>
        </w:rPr>
        <w:t>Cancer Res.,</w:t>
      </w:r>
      <w:r w:rsidRPr="006E12E2">
        <w:rPr>
          <w:noProof/>
        </w:rPr>
        <w:t xml:space="preserve"> 59</w:t>
      </w:r>
      <w:r w:rsidRPr="006E12E2">
        <w:rPr>
          <w:b/>
          <w:noProof/>
        </w:rPr>
        <w:t>,</w:t>
      </w:r>
      <w:r w:rsidRPr="006E12E2">
        <w:rPr>
          <w:noProof/>
        </w:rPr>
        <w:t xml:space="preserve"> 159-164.</w:t>
      </w:r>
    </w:p>
    <w:p w14:paraId="538942E2" w14:textId="77777777" w:rsidR="006E12E2" w:rsidRPr="006E12E2" w:rsidRDefault="006E12E2" w:rsidP="006E12E2">
      <w:pPr>
        <w:pStyle w:val="EndNoteBibliography"/>
        <w:ind w:left="720" w:hanging="720"/>
        <w:rPr>
          <w:noProof/>
        </w:rPr>
      </w:pPr>
      <w:r w:rsidRPr="006E12E2">
        <w:rPr>
          <w:noProof/>
        </w:rPr>
        <w:t xml:space="preserve">LEY, T. J., MARDIS, E. R., DING, L., FULTON, B., MCLELLAN, M. D., CHEN, K., DOOLING, D., DUNFORD-SHORE, B. H., MCGRATH, S., HICKENBOTHAM, M., COOK, L., ABBOTT, R., LARSON, D. E., KOBOLDT, D. C., POHL, C., SMITH, S., HAWKINS, A., ABBOTT, S., LOCKE, D., HILLIER, L. W., MINER, T., FULTON, L., MAGRINI, V., WYLIE, T., GLASSCOCK, J., CONYERS, J., SANDER, N., SHI, X., OSBORNE, J. R., MINX, P., GORDON, D., CHINWALLA, A., ZHAO, Y., RIES, R. E., PAYTON, J. E., WESTERVELT, P., TOMASSON, M. H., WATSON, M., BATY, J., IVANOVICH, J., HEATH, S., SHANNON, W. D., NAGARAJAN, R., WALTER, M. J., LINK, D. C., GRAUBERT, T. A., DIPERSIO, J. F. &amp; WILSON, R. K. 2008. DNA sequencing of a cytogenetically normal acute myeloid leukaemia genome. </w:t>
      </w:r>
      <w:r w:rsidRPr="006E12E2">
        <w:rPr>
          <w:i/>
          <w:noProof/>
        </w:rPr>
        <w:t>Nature,</w:t>
      </w:r>
      <w:r w:rsidRPr="006E12E2">
        <w:rPr>
          <w:noProof/>
        </w:rPr>
        <w:t xml:space="preserve"> 456</w:t>
      </w:r>
      <w:r w:rsidRPr="006E12E2">
        <w:rPr>
          <w:b/>
          <w:noProof/>
        </w:rPr>
        <w:t>,</w:t>
      </w:r>
      <w:r w:rsidRPr="006E12E2">
        <w:rPr>
          <w:noProof/>
        </w:rPr>
        <w:t xml:space="preserve"> 66-72.</w:t>
      </w:r>
    </w:p>
    <w:p w14:paraId="16E3246E" w14:textId="77777777" w:rsidR="006E12E2" w:rsidRPr="006E12E2" w:rsidRDefault="006E12E2" w:rsidP="006E12E2">
      <w:pPr>
        <w:pStyle w:val="EndNoteBibliography"/>
        <w:ind w:left="720" w:hanging="720"/>
        <w:rPr>
          <w:noProof/>
        </w:rPr>
      </w:pPr>
      <w:r w:rsidRPr="006E12E2">
        <w:rPr>
          <w:noProof/>
        </w:rPr>
        <w:t xml:space="preserve">LI, Y., MENG, G. &amp; GUO, Q. N. 2008. Changes in genomic imprinting and gene expression associated with transformation in a model of human osteosarcoma. </w:t>
      </w:r>
      <w:r w:rsidRPr="006E12E2">
        <w:rPr>
          <w:i/>
          <w:noProof/>
        </w:rPr>
        <w:t>Exp Mol Pathol,</w:t>
      </w:r>
      <w:r w:rsidRPr="006E12E2">
        <w:rPr>
          <w:noProof/>
        </w:rPr>
        <w:t xml:space="preserve"> 84</w:t>
      </w:r>
      <w:r w:rsidRPr="006E12E2">
        <w:rPr>
          <w:b/>
          <w:noProof/>
        </w:rPr>
        <w:t>,</w:t>
      </w:r>
      <w:r w:rsidRPr="006E12E2">
        <w:rPr>
          <w:noProof/>
        </w:rPr>
        <w:t xml:space="preserve"> 234-9.</w:t>
      </w:r>
    </w:p>
    <w:p w14:paraId="0F06C3E8" w14:textId="77777777" w:rsidR="006E12E2" w:rsidRPr="006E12E2" w:rsidRDefault="006E12E2" w:rsidP="006E12E2">
      <w:pPr>
        <w:pStyle w:val="EndNoteBibliography"/>
        <w:ind w:left="720" w:hanging="720"/>
        <w:rPr>
          <w:noProof/>
        </w:rPr>
      </w:pPr>
      <w:r w:rsidRPr="006E12E2">
        <w:rPr>
          <w:noProof/>
        </w:rPr>
        <w:t xml:space="preserve">LIANG, X., SHAN, S., PAN, L., ZHAO, J., RANJAN, A., WANG, F., ZHANG, Z., HUANG, Y., FENG, H., WEI, D., HUANG, L., LIU, X., ZHONG, Q., LOU, J., LI, G., WU, C. &amp; ZHOU, Z. 2016. Structural basis of H2A.Z recognition by SRCAP chromatin-remodeling subunit YL1. </w:t>
      </w:r>
      <w:r w:rsidRPr="006E12E2">
        <w:rPr>
          <w:i/>
          <w:noProof/>
        </w:rPr>
        <w:t>Nat Struct Mol Biol,</w:t>
      </w:r>
      <w:r w:rsidRPr="006E12E2">
        <w:rPr>
          <w:noProof/>
        </w:rPr>
        <w:t xml:space="preserve"> 23</w:t>
      </w:r>
      <w:r w:rsidRPr="006E12E2">
        <w:rPr>
          <w:b/>
          <w:noProof/>
        </w:rPr>
        <w:t>,</w:t>
      </w:r>
      <w:r w:rsidRPr="006E12E2">
        <w:rPr>
          <w:noProof/>
        </w:rPr>
        <w:t xml:space="preserve"> 317-23.</w:t>
      </w:r>
    </w:p>
    <w:p w14:paraId="4F552EC4" w14:textId="77777777" w:rsidR="006E12E2" w:rsidRPr="006E12E2" w:rsidRDefault="006E12E2" w:rsidP="006E12E2">
      <w:pPr>
        <w:pStyle w:val="EndNoteBibliography"/>
        <w:ind w:left="720" w:hanging="720"/>
        <w:rPr>
          <w:noProof/>
        </w:rPr>
      </w:pPr>
      <w:r w:rsidRPr="006E12E2">
        <w:rPr>
          <w:noProof/>
        </w:rPr>
        <w:t xml:space="preserve">LIU, D., KEIJZERS, G. &amp; RASMUSSEN, L. J. 2017. DNA mismatch repair and its many roles in eukaryotic cells. </w:t>
      </w:r>
      <w:r w:rsidRPr="006E12E2">
        <w:rPr>
          <w:i/>
          <w:noProof/>
        </w:rPr>
        <w:t>Mutat Res,</w:t>
      </w:r>
      <w:r w:rsidRPr="006E12E2">
        <w:rPr>
          <w:noProof/>
        </w:rPr>
        <w:t xml:space="preserve"> 773</w:t>
      </w:r>
      <w:r w:rsidRPr="006E12E2">
        <w:rPr>
          <w:b/>
          <w:noProof/>
        </w:rPr>
        <w:t>,</w:t>
      </w:r>
      <w:r w:rsidRPr="006E12E2">
        <w:rPr>
          <w:noProof/>
        </w:rPr>
        <w:t xml:space="preserve"> 174-187.</w:t>
      </w:r>
    </w:p>
    <w:p w14:paraId="2644B18E" w14:textId="77777777" w:rsidR="006E12E2" w:rsidRPr="006E12E2" w:rsidRDefault="006E12E2" w:rsidP="006E12E2">
      <w:pPr>
        <w:pStyle w:val="EndNoteBibliography"/>
        <w:ind w:left="720" w:hanging="720"/>
        <w:rPr>
          <w:noProof/>
        </w:rPr>
      </w:pPr>
      <w:r w:rsidRPr="006E12E2">
        <w:rPr>
          <w:noProof/>
        </w:rPr>
        <w:t xml:space="preserve">LIU, J. J., CHAO, J. R., JIANG, M. C., NG, S. Y., YEN, J. J. &amp; YANG-YEN, H. F. 1995. Ras transformation results in an elevated level of cyclin D1 and acceleration of G1 progression in NIH 3T3 cells. </w:t>
      </w:r>
      <w:r w:rsidRPr="006E12E2">
        <w:rPr>
          <w:i/>
          <w:noProof/>
        </w:rPr>
        <w:t>Mol Cell Biol,</w:t>
      </w:r>
      <w:r w:rsidRPr="006E12E2">
        <w:rPr>
          <w:noProof/>
        </w:rPr>
        <w:t xml:space="preserve"> 15</w:t>
      </w:r>
      <w:r w:rsidRPr="006E12E2">
        <w:rPr>
          <w:b/>
          <w:noProof/>
        </w:rPr>
        <w:t>,</w:t>
      </w:r>
      <w:r w:rsidRPr="006E12E2">
        <w:rPr>
          <w:noProof/>
        </w:rPr>
        <w:t xml:space="preserve"> 3654-63.</w:t>
      </w:r>
    </w:p>
    <w:p w14:paraId="6DF5F28D" w14:textId="77777777" w:rsidR="006E12E2" w:rsidRPr="006E12E2" w:rsidRDefault="006E12E2" w:rsidP="006E12E2">
      <w:pPr>
        <w:pStyle w:val="EndNoteBibliography"/>
        <w:ind w:left="720" w:hanging="720"/>
        <w:rPr>
          <w:noProof/>
        </w:rPr>
      </w:pPr>
      <w:r w:rsidRPr="006E12E2">
        <w:rPr>
          <w:noProof/>
        </w:rPr>
        <w:t xml:space="preserve">LIVAK, K. J. &amp; SCHMITTGEN, T. D. 2001. Analysis of relative gene expression data using real-time quantitative PCR and the 2(-Delta Delta C(T)) Method. </w:t>
      </w:r>
      <w:r w:rsidRPr="006E12E2">
        <w:rPr>
          <w:i/>
          <w:noProof/>
        </w:rPr>
        <w:t>Methods,</w:t>
      </w:r>
      <w:r w:rsidRPr="006E12E2">
        <w:rPr>
          <w:noProof/>
        </w:rPr>
        <w:t xml:space="preserve"> 25</w:t>
      </w:r>
      <w:r w:rsidRPr="006E12E2">
        <w:rPr>
          <w:b/>
          <w:noProof/>
        </w:rPr>
        <w:t>,</w:t>
      </w:r>
      <w:r w:rsidRPr="006E12E2">
        <w:rPr>
          <w:noProof/>
        </w:rPr>
        <w:t xml:space="preserve"> 402-8.</w:t>
      </w:r>
    </w:p>
    <w:p w14:paraId="2AE536D2" w14:textId="77777777" w:rsidR="006E12E2" w:rsidRPr="006E12E2" w:rsidRDefault="006E12E2" w:rsidP="006E12E2">
      <w:pPr>
        <w:pStyle w:val="EndNoteBibliography"/>
        <w:ind w:left="720" w:hanging="720"/>
        <w:rPr>
          <w:noProof/>
        </w:rPr>
      </w:pPr>
      <w:r w:rsidRPr="006E12E2">
        <w:rPr>
          <w:noProof/>
        </w:rPr>
        <w:t xml:space="preserve">LIÈVRE, A., BACHET, J. B., LE CORRE, D., BOIGE, V., LANDI, B., EMILE, J. F., CÔTÉ, J. F., TOMASIC, G., PENNA, C., DUCREUX, M., ROUGIER, P., PENAULT-LLORCA, F. &amp; LAURENT-PUIG, P. 2006. KRAS mutation status is predictive of response to cetuximab therapy in colorectal cancer. </w:t>
      </w:r>
      <w:r w:rsidRPr="006E12E2">
        <w:rPr>
          <w:i/>
          <w:noProof/>
        </w:rPr>
        <w:t>Cancer Res,</w:t>
      </w:r>
      <w:r w:rsidRPr="006E12E2">
        <w:rPr>
          <w:noProof/>
        </w:rPr>
        <w:t xml:space="preserve"> 66</w:t>
      </w:r>
      <w:r w:rsidRPr="006E12E2">
        <w:rPr>
          <w:b/>
          <w:noProof/>
        </w:rPr>
        <w:t>,</w:t>
      </w:r>
      <w:r w:rsidRPr="006E12E2">
        <w:rPr>
          <w:noProof/>
        </w:rPr>
        <w:t xml:space="preserve"> 3992-5.</w:t>
      </w:r>
    </w:p>
    <w:p w14:paraId="46EEB506" w14:textId="77777777" w:rsidR="006E12E2" w:rsidRPr="006E12E2" w:rsidRDefault="006E12E2" w:rsidP="006E12E2">
      <w:pPr>
        <w:pStyle w:val="EndNoteBibliography"/>
        <w:ind w:left="720" w:hanging="720"/>
        <w:rPr>
          <w:noProof/>
        </w:rPr>
      </w:pPr>
      <w:r w:rsidRPr="006E12E2">
        <w:rPr>
          <w:noProof/>
        </w:rPr>
        <w:t xml:space="preserve">LLOSA, N. J., CRUISE, M., TAM, A., WICKS, E. C., HECHENBLEIKNER, E. M., TAUBE, J. M., BLOSSER, R. L., FAN, H., WANG, H., LUBER, B. S., ZHANG, M., PAPADOPOULOS, N., KINZLER, K. W., VOGELSTEIN, B., SEARS, C. L., ANDERS, R. A., PARDOLL, D. M. &amp; HOUSSEAU, F. 2015. The vigorous immune microenvironment of microsatellite instable colon cancer is balanced by multiple counter-inhibitory checkpoints. </w:t>
      </w:r>
      <w:r w:rsidRPr="006E12E2">
        <w:rPr>
          <w:i/>
          <w:noProof/>
        </w:rPr>
        <w:t>Cancer Discov,</w:t>
      </w:r>
      <w:r w:rsidRPr="006E12E2">
        <w:rPr>
          <w:noProof/>
        </w:rPr>
        <w:t xml:space="preserve"> 5</w:t>
      </w:r>
      <w:r w:rsidRPr="006E12E2">
        <w:rPr>
          <w:b/>
          <w:noProof/>
        </w:rPr>
        <w:t>,</w:t>
      </w:r>
      <w:r w:rsidRPr="006E12E2">
        <w:rPr>
          <w:noProof/>
        </w:rPr>
        <w:t xml:space="preserve"> 43-51.</w:t>
      </w:r>
    </w:p>
    <w:p w14:paraId="45F50BFF" w14:textId="77777777" w:rsidR="006E12E2" w:rsidRPr="006E12E2" w:rsidRDefault="006E12E2" w:rsidP="006E12E2">
      <w:pPr>
        <w:pStyle w:val="EndNoteBibliography"/>
        <w:ind w:left="720" w:hanging="720"/>
        <w:rPr>
          <w:noProof/>
        </w:rPr>
      </w:pPr>
      <w:r w:rsidRPr="006E12E2">
        <w:rPr>
          <w:noProof/>
        </w:rPr>
        <w:t xml:space="preserve">LOEB, L. A. &amp; HARRIS, C. C. 2008. Advances in chemical carcinogenesis: a historical review and prospective. </w:t>
      </w:r>
      <w:r w:rsidRPr="006E12E2">
        <w:rPr>
          <w:i/>
          <w:noProof/>
        </w:rPr>
        <w:t>Cancer Res,</w:t>
      </w:r>
      <w:r w:rsidRPr="006E12E2">
        <w:rPr>
          <w:noProof/>
        </w:rPr>
        <w:t xml:space="preserve"> 68</w:t>
      </w:r>
      <w:r w:rsidRPr="006E12E2">
        <w:rPr>
          <w:b/>
          <w:noProof/>
        </w:rPr>
        <w:t>,</w:t>
      </w:r>
      <w:r w:rsidRPr="006E12E2">
        <w:rPr>
          <w:noProof/>
        </w:rPr>
        <w:t xml:space="preserve"> 6863-72.</w:t>
      </w:r>
    </w:p>
    <w:p w14:paraId="40E6926B" w14:textId="77777777" w:rsidR="006E12E2" w:rsidRPr="006E12E2" w:rsidRDefault="006E12E2" w:rsidP="006E12E2">
      <w:pPr>
        <w:pStyle w:val="EndNoteBibliography"/>
        <w:ind w:left="720" w:hanging="720"/>
        <w:rPr>
          <w:noProof/>
        </w:rPr>
      </w:pPr>
      <w:r w:rsidRPr="006E12E2">
        <w:rPr>
          <w:noProof/>
        </w:rPr>
        <w:t xml:space="preserve">LONGLEY, D. B., BOYER, J., ALLEN, W. L., LATIF, T., FERGUSON, P. R., MAXWELL, P. J., MCDERMOTT, U., LYNCH, M., HARKIN, D. P. &amp; JOHNSTON, P. G. 2002. The role of thymidylate synthase induction in modulating p53-regulated gene expression in response to 5-fluorouracil and antifolates. </w:t>
      </w:r>
      <w:r w:rsidRPr="006E12E2">
        <w:rPr>
          <w:i/>
          <w:noProof/>
        </w:rPr>
        <w:t>Cancer Res,</w:t>
      </w:r>
      <w:r w:rsidRPr="006E12E2">
        <w:rPr>
          <w:noProof/>
        </w:rPr>
        <w:t xml:space="preserve"> 62</w:t>
      </w:r>
      <w:r w:rsidRPr="006E12E2">
        <w:rPr>
          <w:b/>
          <w:noProof/>
        </w:rPr>
        <w:t>,</w:t>
      </w:r>
      <w:r w:rsidRPr="006E12E2">
        <w:rPr>
          <w:noProof/>
        </w:rPr>
        <w:t xml:space="preserve"> 2644-9.</w:t>
      </w:r>
    </w:p>
    <w:p w14:paraId="23D3E07C" w14:textId="77777777" w:rsidR="006E12E2" w:rsidRPr="006E12E2" w:rsidRDefault="006E12E2" w:rsidP="006E12E2">
      <w:pPr>
        <w:pStyle w:val="EndNoteBibliography"/>
        <w:ind w:left="720" w:hanging="720"/>
        <w:rPr>
          <w:noProof/>
        </w:rPr>
      </w:pPr>
      <w:r w:rsidRPr="006E12E2">
        <w:rPr>
          <w:noProof/>
        </w:rPr>
        <w:t xml:space="preserve">LONGLEY, D. B., HARKIN, D. P. &amp; JOHNSTON, P. G. 2003. 5-fluorouracil: mechanisms of action and clinical strategies. </w:t>
      </w:r>
      <w:r w:rsidRPr="006E12E2">
        <w:rPr>
          <w:i/>
          <w:noProof/>
        </w:rPr>
        <w:t>Nat Rev Cancer,</w:t>
      </w:r>
      <w:r w:rsidRPr="006E12E2">
        <w:rPr>
          <w:noProof/>
        </w:rPr>
        <w:t xml:space="preserve"> 3</w:t>
      </w:r>
      <w:r w:rsidRPr="006E12E2">
        <w:rPr>
          <w:b/>
          <w:noProof/>
        </w:rPr>
        <w:t>,</w:t>
      </w:r>
      <w:r w:rsidRPr="006E12E2">
        <w:rPr>
          <w:noProof/>
        </w:rPr>
        <w:t xml:space="preserve"> 330-8.</w:t>
      </w:r>
    </w:p>
    <w:p w14:paraId="3F856C92" w14:textId="77777777" w:rsidR="006E12E2" w:rsidRPr="006E12E2" w:rsidRDefault="006E12E2" w:rsidP="006E12E2">
      <w:pPr>
        <w:pStyle w:val="EndNoteBibliography"/>
        <w:ind w:left="720" w:hanging="720"/>
        <w:rPr>
          <w:noProof/>
        </w:rPr>
      </w:pPr>
      <w:r w:rsidRPr="006E12E2">
        <w:rPr>
          <w:noProof/>
        </w:rPr>
        <w:t xml:space="preserve">LOUKOLA, A., EKLIN, K., LAIHO, P., SALOVAARA, R., KRISTO, P., JÄRVINEN, H., MECKLIN, J. P., LAUNONEN, V. &amp; AALTONEN, L. A. 2001. Microsatellite marker analysis in screening for hereditary nonpolyposis colorectal cancer (HNPCC). </w:t>
      </w:r>
      <w:r w:rsidRPr="006E12E2">
        <w:rPr>
          <w:i/>
          <w:noProof/>
        </w:rPr>
        <w:t>Cancer Res,</w:t>
      </w:r>
      <w:r w:rsidRPr="006E12E2">
        <w:rPr>
          <w:noProof/>
        </w:rPr>
        <w:t xml:space="preserve"> 61</w:t>
      </w:r>
      <w:r w:rsidRPr="006E12E2">
        <w:rPr>
          <w:b/>
          <w:noProof/>
        </w:rPr>
        <w:t>,</w:t>
      </w:r>
      <w:r w:rsidRPr="006E12E2">
        <w:rPr>
          <w:noProof/>
        </w:rPr>
        <w:t xml:space="preserve"> 4545-9.</w:t>
      </w:r>
    </w:p>
    <w:p w14:paraId="585565E6" w14:textId="77777777" w:rsidR="006E12E2" w:rsidRPr="006E12E2" w:rsidRDefault="006E12E2" w:rsidP="006E12E2">
      <w:pPr>
        <w:pStyle w:val="EndNoteBibliography"/>
        <w:ind w:left="720" w:hanging="720"/>
        <w:rPr>
          <w:noProof/>
        </w:rPr>
      </w:pPr>
      <w:r w:rsidRPr="006E12E2">
        <w:rPr>
          <w:noProof/>
        </w:rPr>
        <w:t xml:space="preserve">LU, J. W., LIAO, C. Y., YANG, W. Y., LIN, Y. M., JIN, S. L., WANG, H. D. &amp; YUH, C. H. 2014. Overexpression of endothelin 1 triggers hepatocarcinogenesis in zebrafish and promotes cell proliferation and migration through the AKT pathway. </w:t>
      </w:r>
      <w:r w:rsidRPr="006E12E2">
        <w:rPr>
          <w:i/>
          <w:noProof/>
        </w:rPr>
        <w:t>PLoS One,</w:t>
      </w:r>
      <w:r w:rsidRPr="006E12E2">
        <w:rPr>
          <w:noProof/>
        </w:rPr>
        <w:t xml:space="preserve"> 9</w:t>
      </w:r>
      <w:r w:rsidRPr="006E12E2">
        <w:rPr>
          <w:b/>
          <w:noProof/>
        </w:rPr>
        <w:t>,</w:t>
      </w:r>
      <w:r w:rsidRPr="006E12E2">
        <w:rPr>
          <w:noProof/>
        </w:rPr>
        <w:t xml:space="preserve"> e85318.</w:t>
      </w:r>
    </w:p>
    <w:p w14:paraId="21AC6470" w14:textId="77777777" w:rsidR="006E12E2" w:rsidRPr="006E12E2" w:rsidRDefault="006E12E2" w:rsidP="006E12E2">
      <w:pPr>
        <w:pStyle w:val="EndNoteBibliography"/>
        <w:ind w:left="720" w:hanging="720"/>
        <w:rPr>
          <w:noProof/>
        </w:rPr>
      </w:pPr>
      <w:r w:rsidRPr="006E12E2">
        <w:rPr>
          <w:noProof/>
        </w:rPr>
        <w:t xml:space="preserve">LUO, J., EMANUELE, M. J., LI, D., CREIGHTON, C. J., SCHLABACH, M. R., WESTBROOK, T. F., WONG, K. K. &amp; ELLEDGE, S. J. 2009. A genome-wide RNAi screen identifies multiple synthetic lethal interactions with the Ras oncogene. </w:t>
      </w:r>
      <w:r w:rsidRPr="006E12E2">
        <w:rPr>
          <w:i/>
          <w:noProof/>
        </w:rPr>
        <w:t>Cell,</w:t>
      </w:r>
      <w:r w:rsidRPr="006E12E2">
        <w:rPr>
          <w:noProof/>
        </w:rPr>
        <w:t xml:space="preserve"> 137</w:t>
      </w:r>
      <w:r w:rsidRPr="006E12E2">
        <w:rPr>
          <w:b/>
          <w:noProof/>
        </w:rPr>
        <w:t>,</w:t>
      </w:r>
      <w:r w:rsidRPr="006E12E2">
        <w:rPr>
          <w:noProof/>
        </w:rPr>
        <w:t xml:space="preserve"> 835-48.</w:t>
      </w:r>
    </w:p>
    <w:p w14:paraId="2B593F26" w14:textId="77777777" w:rsidR="006E12E2" w:rsidRPr="006E12E2" w:rsidRDefault="006E12E2" w:rsidP="006E12E2">
      <w:pPr>
        <w:pStyle w:val="EndNoteBibliography"/>
        <w:ind w:left="720" w:hanging="720"/>
        <w:rPr>
          <w:noProof/>
        </w:rPr>
      </w:pPr>
      <w:r w:rsidRPr="006E12E2">
        <w:rPr>
          <w:noProof/>
        </w:rPr>
        <w:t xml:space="preserve">LYNCH, H. T., SMYRK, T. &amp; LYNCH, J. 1997. An update of HNPCC (Lynch syndrome). </w:t>
      </w:r>
      <w:r w:rsidRPr="006E12E2">
        <w:rPr>
          <w:i/>
          <w:noProof/>
        </w:rPr>
        <w:t>Cancer Genet Cytogenet,</w:t>
      </w:r>
      <w:r w:rsidRPr="006E12E2">
        <w:rPr>
          <w:noProof/>
        </w:rPr>
        <w:t xml:space="preserve"> 93</w:t>
      </w:r>
      <w:r w:rsidRPr="006E12E2">
        <w:rPr>
          <w:b/>
          <w:noProof/>
        </w:rPr>
        <w:t>,</w:t>
      </w:r>
      <w:r w:rsidRPr="006E12E2">
        <w:rPr>
          <w:noProof/>
        </w:rPr>
        <w:t xml:space="preserve"> 84-99.</w:t>
      </w:r>
    </w:p>
    <w:p w14:paraId="130DF79D" w14:textId="77777777" w:rsidR="006E12E2" w:rsidRPr="006E12E2" w:rsidRDefault="006E12E2" w:rsidP="006E12E2">
      <w:pPr>
        <w:pStyle w:val="EndNoteBibliography"/>
        <w:ind w:left="720" w:hanging="720"/>
        <w:rPr>
          <w:noProof/>
        </w:rPr>
      </w:pPr>
      <w:r w:rsidRPr="006E12E2">
        <w:rPr>
          <w:noProof/>
        </w:rPr>
        <w:t xml:space="preserve">MACVILLE, M., SCHRÖCK, E., PADILLA-NASH, H., KECK, C., GHADIMI, B. M., ZIMONJIC, D., POPESCU, N. &amp; RIED, T. 1999. Comprehensive and definitive molecular cytogenetic characterization of HeLa cells by spectral karyotyping. </w:t>
      </w:r>
      <w:r w:rsidRPr="006E12E2">
        <w:rPr>
          <w:i/>
          <w:noProof/>
        </w:rPr>
        <w:t>Cancer Res,</w:t>
      </w:r>
      <w:r w:rsidRPr="006E12E2">
        <w:rPr>
          <w:noProof/>
        </w:rPr>
        <w:t xml:space="preserve"> 59</w:t>
      </w:r>
      <w:r w:rsidRPr="006E12E2">
        <w:rPr>
          <w:b/>
          <w:noProof/>
        </w:rPr>
        <w:t>,</w:t>
      </w:r>
      <w:r w:rsidRPr="006E12E2">
        <w:rPr>
          <w:noProof/>
        </w:rPr>
        <w:t xml:space="preserve"> 141-50.</w:t>
      </w:r>
    </w:p>
    <w:p w14:paraId="2D2455A2" w14:textId="77777777" w:rsidR="006E12E2" w:rsidRPr="006E12E2" w:rsidRDefault="006E12E2" w:rsidP="006E12E2">
      <w:pPr>
        <w:pStyle w:val="EndNoteBibliography"/>
        <w:ind w:left="720" w:hanging="720"/>
        <w:rPr>
          <w:noProof/>
        </w:rPr>
      </w:pPr>
      <w:r w:rsidRPr="006E12E2">
        <w:rPr>
          <w:noProof/>
        </w:rPr>
        <w:t xml:space="preserve">MAEDER, M. L., LINDER, S. J., CASCIO, V. M., FU, Y., HO, Q. H. &amp; JOUNG, J. K. 2013. CRISPR RNA-guided activation of endogenous human genes. </w:t>
      </w:r>
      <w:r w:rsidRPr="006E12E2">
        <w:rPr>
          <w:i/>
          <w:noProof/>
        </w:rPr>
        <w:t>Nat Methods,</w:t>
      </w:r>
      <w:r w:rsidRPr="006E12E2">
        <w:rPr>
          <w:noProof/>
        </w:rPr>
        <w:t xml:space="preserve"> 10</w:t>
      </w:r>
      <w:r w:rsidRPr="006E12E2">
        <w:rPr>
          <w:b/>
          <w:noProof/>
        </w:rPr>
        <w:t>,</w:t>
      </w:r>
      <w:r w:rsidRPr="006E12E2">
        <w:rPr>
          <w:noProof/>
        </w:rPr>
        <w:t xml:space="preserve"> 977-9.</w:t>
      </w:r>
    </w:p>
    <w:p w14:paraId="579E9E3C" w14:textId="77777777" w:rsidR="006E12E2" w:rsidRPr="006E12E2" w:rsidRDefault="006E12E2" w:rsidP="006E12E2">
      <w:pPr>
        <w:pStyle w:val="EndNoteBibliography"/>
        <w:ind w:left="720" w:hanging="720"/>
        <w:rPr>
          <w:noProof/>
        </w:rPr>
      </w:pPr>
      <w:r w:rsidRPr="006E12E2">
        <w:rPr>
          <w:noProof/>
        </w:rPr>
        <w:t xml:space="preserve">MALLIRI, A., RYGIEL, T. P., VAN DER KAMMEN, R. A., SONG, J. Y., ENGERS, R., HURLSTONE, A. F., CLEVERS, H. &amp; COLLARD, J. G. 2006. The rac activator Tiam1 is a Wnt-responsive gene that modifies intestinal tumor development. </w:t>
      </w:r>
      <w:r w:rsidRPr="006E12E2">
        <w:rPr>
          <w:i/>
          <w:noProof/>
        </w:rPr>
        <w:t>J Biol Chem,</w:t>
      </w:r>
      <w:r w:rsidRPr="006E12E2">
        <w:rPr>
          <w:noProof/>
        </w:rPr>
        <w:t xml:space="preserve"> 281</w:t>
      </w:r>
      <w:r w:rsidRPr="006E12E2">
        <w:rPr>
          <w:b/>
          <w:noProof/>
        </w:rPr>
        <w:t>,</w:t>
      </w:r>
      <w:r w:rsidRPr="006E12E2">
        <w:rPr>
          <w:noProof/>
        </w:rPr>
        <w:t xml:space="preserve"> 543-8.</w:t>
      </w:r>
    </w:p>
    <w:p w14:paraId="7C645763" w14:textId="77777777" w:rsidR="006E12E2" w:rsidRPr="006E12E2" w:rsidRDefault="006E12E2" w:rsidP="006E12E2">
      <w:pPr>
        <w:pStyle w:val="EndNoteBibliography"/>
        <w:ind w:left="720" w:hanging="720"/>
        <w:rPr>
          <w:noProof/>
        </w:rPr>
      </w:pPr>
      <w:r w:rsidRPr="006E12E2">
        <w:rPr>
          <w:noProof/>
        </w:rPr>
        <w:t xml:space="preserve">MANDAL, P. K., BLANPAIN, C. &amp; ROSSI, D. J. 2011. DNA damage response in adult stem cells: pathways and consequences. </w:t>
      </w:r>
      <w:r w:rsidRPr="006E12E2">
        <w:rPr>
          <w:i/>
          <w:noProof/>
        </w:rPr>
        <w:t>Nat Rev Mol Cell Biol,</w:t>
      </w:r>
      <w:r w:rsidRPr="006E12E2">
        <w:rPr>
          <w:noProof/>
        </w:rPr>
        <w:t xml:space="preserve"> 12</w:t>
      </w:r>
      <w:r w:rsidRPr="006E12E2">
        <w:rPr>
          <w:b/>
          <w:noProof/>
        </w:rPr>
        <w:t>,</w:t>
      </w:r>
      <w:r w:rsidRPr="006E12E2">
        <w:rPr>
          <w:noProof/>
        </w:rPr>
        <w:t xml:space="preserve"> 198-202.</w:t>
      </w:r>
    </w:p>
    <w:p w14:paraId="3690FAE8" w14:textId="77777777" w:rsidR="006E12E2" w:rsidRPr="006E12E2" w:rsidRDefault="006E12E2" w:rsidP="006E12E2">
      <w:pPr>
        <w:pStyle w:val="EndNoteBibliography"/>
        <w:ind w:left="720" w:hanging="720"/>
        <w:rPr>
          <w:noProof/>
        </w:rPr>
      </w:pPr>
      <w:r w:rsidRPr="006E12E2">
        <w:rPr>
          <w:noProof/>
        </w:rPr>
        <w:t xml:space="preserve">MANIKOTH AYYATHAN, D., ILIĆ, N., GIL-HENN, H. &amp; BLANK, M. 2017. Generation of SMURF2 knockout human cells using the CRISPR/Cas9 system. </w:t>
      </w:r>
      <w:r w:rsidRPr="006E12E2">
        <w:rPr>
          <w:i/>
          <w:noProof/>
        </w:rPr>
        <w:t>Anal Biochem,</w:t>
      </w:r>
      <w:r w:rsidRPr="006E12E2">
        <w:rPr>
          <w:noProof/>
        </w:rPr>
        <w:t xml:space="preserve"> 531</w:t>
      </w:r>
      <w:r w:rsidRPr="006E12E2">
        <w:rPr>
          <w:b/>
          <w:noProof/>
        </w:rPr>
        <w:t>,</w:t>
      </w:r>
      <w:r w:rsidRPr="006E12E2">
        <w:rPr>
          <w:noProof/>
        </w:rPr>
        <w:t xml:space="preserve"> 56-59.</w:t>
      </w:r>
    </w:p>
    <w:p w14:paraId="4D3C7100" w14:textId="77777777" w:rsidR="006E12E2" w:rsidRPr="006E12E2" w:rsidRDefault="006E12E2" w:rsidP="006E12E2">
      <w:pPr>
        <w:pStyle w:val="EndNoteBibliography"/>
        <w:ind w:left="720" w:hanging="720"/>
        <w:rPr>
          <w:noProof/>
        </w:rPr>
      </w:pPr>
      <w:r w:rsidRPr="006E12E2">
        <w:rPr>
          <w:noProof/>
        </w:rPr>
        <w:t xml:space="preserve">MARISA, L., DE REYNIÈS, A., DUVAL, A., SELVES, J., GAUB, M. P., VESCOVO, L., ETIENNE-GRIMALDI, M. C., SCHIAPPA, R., GUENOT, D., AYADI, M., KIRZIN, S., CHAZAL, M., FLÉJOU, J. F., BENCHIMOL, D., BERGER, A., LAGARDE, A., PENCREACH, E., PIARD, F., ELIAS, D., PARC, Y., OLSCHWANG, S., MILANO, G., LAURENT-PUIG, P. &amp; BOIGE, V. 2013. Gene expression classification of colon cancer into molecular subtypes: characterization, validation, and prognostic value. </w:t>
      </w:r>
      <w:r w:rsidRPr="006E12E2">
        <w:rPr>
          <w:i/>
          <w:noProof/>
        </w:rPr>
        <w:t>PLoS Med,</w:t>
      </w:r>
      <w:r w:rsidRPr="006E12E2">
        <w:rPr>
          <w:noProof/>
        </w:rPr>
        <w:t xml:space="preserve"> 10</w:t>
      </w:r>
      <w:r w:rsidRPr="006E12E2">
        <w:rPr>
          <w:b/>
          <w:noProof/>
        </w:rPr>
        <w:t>,</w:t>
      </w:r>
      <w:r w:rsidRPr="006E12E2">
        <w:rPr>
          <w:noProof/>
        </w:rPr>
        <w:t xml:space="preserve"> e1001453.</w:t>
      </w:r>
    </w:p>
    <w:p w14:paraId="6AD63419" w14:textId="77777777" w:rsidR="006E12E2" w:rsidRPr="006E12E2" w:rsidRDefault="006E12E2" w:rsidP="006E12E2">
      <w:pPr>
        <w:pStyle w:val="EndNoteBibliography"/>
        <w:ind w:left="720" w:hanging="720"/>
        <w:rPr>
          <w:noProof/>
        </w:rPr>
      </w:pPr>
      <w:r w:rsidRPr="006E12E2">
        <w:rPr>
          <w:noProof/>
        </w:rPr>
        <w:t xml:space="preserve">MARTI, T. M., HEFNER, E., FEENEY, L., NATALE, V. &amp; CLEAVER, J. E. 2006. H2AX phosphorylation within the G1 phase after UV irradiation depends on nucleotide excision repair and not DNA double-strand breaks. </w:t>
      </w:r>
      <w:r w:rsidRPr="006E12E2">
        <w:rPr>
          <w:i/>
          <w:noProof/>
        </w:rPr>
        <w:t>Proc Natl Acad Sci U S A,</w:t>
      </w:r>
      <w:r w:rsidRPr="006E12E2">
        <w:rPr>
          <w:noProof/>
        </w:rPr>
        <w:t xml:space="preserve"> 103</w:t>
      </w:r>
      <w:r w:rsidRPr="006E12E2">
        <w:rPr>
          <w:b/>
          <w:noProof/>
        </w:rPr>
        <w:t>,</w:t>
      </w:r>
      <w:r w:rsidRPr="006E12E2">
        <w:rPr>
          <w:noProof/>
        </w:rPr>
        <w:t xml:space="preserve"> 9891-6.</w:t>
      </w:r>
    </w:p>
    <w:p w14:paraId="7AC4941B" w14:textId="77777777" w:rsidR="006E12E2" w:rsidRPr="006E12E2" w:rsidRDefault="006E12E2" w:rsidP="006E12E2">
      <w:pPr>
        <w:pStyle w:val="EndNoteBibliography"/>
        <w:ind w:left="720" w:hanging="720"/>
        <w:rPr>
          <w:noProof/>
        </w:rPr>
      </w:pPr>
      <w:r w:rsidRPr="006E12E2">
        <w:rPr>
          <w:noProof/>
        </w:rPr>
        <w:t xml:space="preserve">MARTINCORENA, I., RAINE, K. M., GERSTUNG, M., DAWSON, K. J., HAASE, K., VAN LOO, P., DAVIES, H., STRATTON, M. R. &amp; CAMPBELL, P. J. 2017. Universal Patterns of Selection in Cancer and Somatic Tissues. </w:t>
      </w:r>
      <w:r w:rsidRPr="006E12E2">
        <w:rPr>
          <w:i/>
          <w:noProof/>
        </w:rPr>
        <w:t>Cell</w:t>
      </w:r>
      <w:r w:rsidRPr="006E12E2">
        <w:rPr>
          <w:noProof/>
        </w:rPr>
        <w:t>.</w:t>
      </w:r>
    </w:p>
    <w:p w14:paraId="5DC07F62" w14:textId="77777777" w:rsidR="006E12E2" w:rsidRPr="006E12E2" w:rsidRDefault="006E12E2" w:rsidP="006E12E2">
      <w:pPr>
        <w:pStyle w:val="EndNoteBibliography"/>
        <w:ind w:left="720" w:hanging="720"/>
        <w:rPr>
          <w:noProof/>
        </w:rPr>
      </w:pPr>
      <w:r w:rsidRPr="006E12E2">
        <w:rPr>
          <w:noProof/>
        </w:rPr>
        <w:t xml:space="preserve">MATTERA, L., ESCAFFIT, F., PILLAIRE, M., SELVES, J., TYTECA, S., HOFFMANN, J., GOURRAUD, P. A., CHEVILLARD-BRIET, M., CAZAUX, C. &amp; TROUCHE, D. 2009. The p400/ Tip60 ratio is critical for colorectal cancer cell proliferation through DNA damage response pathways. </w:t>
      </w:r>
      <w:r w:rsidRPr="006E12E2">
        <w:rPr>
          <w:i/>
          <w:noProof/>
        </w:rPr>
        <w:t>Oncogene,</w:t>
      </w:r>
      <w:r w:rsidRPr="006E12E2">
        <w:rPr>
          <w:noProof/>
        </w:rPr>
        <w:t xml:space="preserve"> 28</w:t>
      </w:r>
      <w:r w:rsidRPr="006E12E2">
        <w:rPr>
          <w:b/>
          <w:noProof/>
        </w:rPr>
        <w:t>,</w:t>
      </w:r>
      <w:r w:rsidRPr="006E12E2">
        <w:rPr>
          <w:noProof/>
        </w:rPr>
        <w:t xml:space="preserve"> 1506-1517.</w:t>
      </w:r>
    </w:p>
    <w:p w14:paraId="35392FFC" w14:textId="77777777" w:rsidR="006E12E2" w:rsidRPr="006E12E2" w:rsidRDefault="006E12E2" w:rsidP="006E12E2">
      <w:pPr>
        <w:pStyle w:val="EndNoteBibliography"/>
        <w:ind w:left="720" w:hanging="720"/>
        <w:rPr>
          <w:noProof/>
        </w:rPr>
      </w:pPr>
      <w:r w:rsidRPr="006E12E2">
        <w:rPr>
          <w:noProof/>
        </w:rPr>
        <w:t xml:space="preserve">MAUS, M. K., HANNA, D. L., STEPHENS, C. L., ASTROW, S. H., YANG, D., GRIMMINGER, P. P., LOUPAKIS, F., HSIANG, J. H., ZEGER, G., WAKATSUKI, T., BARZI, A. &amp; LENZ, H. J. 2015. Distinct gene expression profiles of proximal and distal colorectal cancer: implications for cytotoxic and targeted therapy. </w:t>
      </w:r>
      <w:r w:rsidRPr="006E12E2">
        <w:rPr>
          <w:i/>
          <w:noProof/>
        </w:rPr>
        <w:t>Pharmacogenomics J,</w:t>
      </w:r>
      <w:r w:rsidRPr="006E12E2">
        <w:rPr>
          <w:noProof/>
        </w:rPr>
        <w:t xml:space="preserve"> 15</w:t>
      </w:r>
      <w:r w:rsidRPr="006E12E2">
        <w:rPr>
          <w:b/>
          <w:noProof/>
        </w:rPr>
        <w:t>,</w:t>
      </w:r>
      <w:r w:rsidRPr="006E12E2">
        <w:rPr>
          <w:noProof/>
        </w:rPr>
        <w:t xml:space="preserve"> 354-62.</w:t>
      </w:r>
    </w:p>
    <w:p w14:paraId="046CC380" w14:textId="77777777" w:rsidR="006E12E2" w:rsidRPr="006E12E2" w:rsidRDefault="006E12E2" w:rsidP="006E12E2">
      <w:pPr>
        <w:pStyle w:val="EndNoteBibliography"/>
        <w:ind w:left="720" w:hanging="720"/>
        <w:rPr>
          <w:noProof/>
        </w:rPr>
      </w:pPr>
      <w:r w:rsidRPr="006E12E2">
        <w:rPr>
          <w:noProof/>
        </w:rPr>
        <w:t xml:space="preserve">MCLELLAN, E. A., OWEN, R. A., STEPNIEWSKA, K. A., SHEFFIELD, J. P. &amp; LEMOINE, N. R. 1993. High frequency of K-ras mutations in sporadic colorectal adenomas. </w:t>
      </w:r>
      <w:r w:rsidRPr="006E12E2">
        <w:rPr>
          <w:i/>
          <w:noProof/>
        </w:rPr>
        <w:t>Gut,</w:t>
      </w:r>
      <w:r w:rsidRPr="006E12E2">
        <w:rPr>
          <w:noProof/>
        </w:rPr>
        <w:t xml:space="preserve"> 34</w:t>
      </w:r>
      <w:r w:rsidRPr="006E12E2">
        <w:rPr>
          <w:b/>
          <w:noProof/>
        </w:rPr>
        <w:t>,</w:t>
      </w:r>
      <w:r w:rsidRPr="006E12E2">
        <w:rPr>
          <w:noProof/>
        </w:rPr>
        <w:t xml:space="preserve"> 392-6.</w:t>
      </w:r>
    </w:p>
    <w:p w14:paraId="73BFBE08" w14:textId="77777777" w:rsidR="006E12E2" w:rsidRPr="006E12E2" w:rsidRDefault="006E12E2" w:rsidP="006E12E2">
      <w:pPr>
        <w:pStyle w:val="EndNoteBibliography"/>
        <w:ind w:left="720" w:hanging="720"/>
        <w:rPr>
          <w:noProof/>
        </w:rPr>
      </w:pPr>
      <w:r w:rsidRPr="006E12E2">
        <w:rPr>
          <w:noProof/>
        </w:rPr>
        <w:t xml:space="preserve">MESSINA, G., ATTERRATO, M. T. &amp; DIMITRI, P. 2016. When chromatin organisation floats astray: the Srcap gene and Floating-Harbor syndrome. </w:t>
      </w:r>
      <w:r w:rsidRPr="006E12E2">
        <w:rPr>
          <w:i/>
          <w:noProof/>
        </w:rPr>
        <w:t>J Med Genet,</w:t>
      </w:r>
      <w:r w:rsidRPr="006E12E2">
        <w:rPr>
          <w:noProof/>
        </w:rPr>
        <w:t xml:space="preserve"> 53</w:t>
      </w:r>
      <w:r w:rsidRPr="006E12E2">
        <w:rPr>
          <w:b/>
          <w:noProof/>
        </w:rPr>
        <w:t>,</w:t>
      </w:r>
      <w:r w:rsidRPr="006E12E2">
        <w:rPr>
          <w:noProof/>
        </w:rPr>
        <w:t xml:space="preserve"> 793-797.</w:t>
      </w:r>
    </w:p>
    <w:p w14:paraId="455BE4CF" w14:textId="77777777" w:rsidR="006E12E2" w:rsidRPr="006E12E2" w:rsidRDefault="006E12E2" w:rsidP="006E12E2">
      <w:pPr>
        <w:pStyle w:val="EndNoteBibliography"/>
        <w:ind w:left="720" w:hanging="720"/>
        <w:rPr>
          <w:noProof/>
        </w:rPr>
      </w:pPr>
      <w:r w:rsidRPr="006E12E2">
        <w:rPr>
          <w:noProof/>
        </w:rPr>
        <w:t xml:space="preserve">MEYERS, M., WAGNER, M. W., HWANG, H. S., KINSELLA, T. J. &amp; BOOTHMAN, D. A. 2001. Role of the hMLH1 DNA mismatch repair protein in fluoropyrimidine-mediated cell death and cell cycle responses. </w:t>
      </w:r>
      <w:r w:rsidRPr="006E12E2">
        <w:rPr>
          <w:i/>
          <w:noProof/>
        </w:rPr>
        <w:t>Cancer Res,</w:t>
      </w:r>
      <w:r w:rsidRPr="006E12E2">
        <w:rPr>
          <w:noProof/>
        </w:rPr>
        <w:t xml:space="preserve"> 61</w:t>
      </w:r>
      <w:r w:rsidRPr="006E12E2">
        <w:rPr>
          <w:b/>
          <w:noProof/>
        </w:rPr>
        <w:t>,</w:t>
      </w:r>
      <w:r w:rsidRPr="006E12E2">
        <w:rPr>
          <w:noProof/>
        </w:rPr>
        <w:t xml:space="preserve"> 5193-201.</w:t>
      </w:r>
    </w:p>
    <w:p w14:paraId="5B625574" w14:textId="77777777" w:rsidR="006E12E2" w:rsidRPr="006E12E2" w:rsidRDefault="006E12E2" w:rsidP="006E12E2">
      <w:pPr>
        <w:pStyle w:val="EndNoteBibliography"/>
        <w:ind w:left="720" w:hanging="720"/>
        <w:rPr>
          <w:noProof/>
        </w:rPr>
      </w:pPr>
      <w:r w:rsidRPr="006E12E2">
        <w:rPr>
          <w:noProof/>
        </w:rPr>
        <w:t xml:space="preserve">MIGLIORE, L., MIGHELI, F., SPISNI, R. &amp; COPPEDÈ, F. 2011. Genetics, cytogenetics, and epigenetics of colorectal cancer. </w:t>
      </w:r>
      <w:r w:rsidRPr="006E12E2">
        <w:rPr>
          <w:i/>
          <w:noProof/>
        </w:rPr>
        <w:t>J Biomed Biotechnol,</w:t>
      </w:r>
      <w:r w:rsidRPr="006E12E2">
        <w:rPr>
          <w:noProof/>
        </w:rPr>
        <w:t xml:space="preserve"> 2011</w:t>
      </w:r>
      <w:r w:rsidRPr="006E12E2">
        <w:rPr>
          <w:b/>
          <w:noProof/>
        </w:rPr>
        <w:t>,</w:t>
      </w:r>
      <w:r w:rsidRPr="006E12E2">
        <w:rPr>
          <w:noProof/>
        </w:rPr>
        <w:t xml:space="preserve"> 792362.</w:t>
      </w:r>
    </w:p>
    <w:p w14:paraId="351F43C8" w14:textId="77777777" w:rsidR="006E12E2" w:rsidRPr="006E12E2" w:rsidRDefault="006E12E2" w:rsidP="006E12E2">
      <w:pPr>
        <w:pStyle w:val="EndNoteBibliography"/>
        <w:ind w:left="720" w:hanging="720"/>
        <w:rPr>
          <w:noProof/>
        </w:rPr>
      </w:pPr>
      <w:r w:rsidRPr="006E12E2">
        <w:rPr>
          <w:noProof/>
        </w:rPr>
        <w:t xml:space="preserve">MILLER, D. G. 1980. On the nature of susceptibility to cancer. The presidential address. </w:t>
      </w:r>
      <w:r w:rsidRPr="006E12E2">
        <w:rPr>
          <w:i/>
          <w:noProof/>
        </w:rPr>
        <w:t>Cancer,</w:t>
      </w:r>
      <w:r w:rsidRPr="006E12E2">
        <w:rPr>
          <w:noProof/>
        </w:rPr>
        <w:t xml:space="preserve"> 46</w:t>
      </w:r>
      <w:r w:rsidRPr="006E12E2">
        <w:rPr>
          <w:b/>
          <w:noProof/>
        </w:rPr>
        <w:t>,</w:t>
      </w:r>
      <w:r w:rsidRPr="006E12E2">
        <w:rPr>
          <w:noProof/>
        </w:rPr>
        <w:t xml:space="preserve"> 1307-1318.</w:t>
      </w:r>
    </w:p>
    <w:p w14:paraId="401FE828" w14:textId="77777777" w:rsidR="006E12E2" w:rsidRPr="006E12E2" w:rsidRDefault="006E12E2" w:rsidP="006E12E2">
      <w:pPr>
        <w:pStyle w:val="EndNoteBibliography"/>
        <w:ind w:left="720" w:hanging="720"/>
        <w:rPr>
          <w:noProof/>
        </w:rPr>
      </w:pPr>
      <w:r w:rsidRPr="006E12E2">
        <w:rPr>
          <w:noProof/>
        </w:rPr>
        <w:t xml:space="preserve">MIYAKI, M., IIJIMA, T., KIMURA, J., YASUNO, M., MORI, T., HAYASHI, Y., KOIKE, M., SHITARA, N., IWAMA, T. &amp; KUROKI, T. 1999. Frequent mutation of beta-catenin and APC genes in primary colorectal tumors from patients with hereditary nonpolyposis colorectal cancer. </w:t>
      </w:r>
      <w:r w:rsidRPr="006E12E2">
        <w:rPr>
          <w:i/>
          <w:noProof/>
        </w:rPr>
        <w:t>Cancer Res,</w:t>
      </w:r>
      <w:r w:rsidRPr="006E12E2">
        <w:rPr>
          <w:noProof/>
        </w:rPr>
        <w:t xml:space="preserve"> 59</w:t>
      </w:r>
      <w:r w:rsidRPr="006E12E2">
        <w:rPr>
          <w:b/>
          <w:noProof/>
        </w:rPr>
        <w:t>,</w:t>
      </w:r>
      <w:r w:rsidRPr="006E12E2">
        <w:rPr>
          <w:noProof/>
        </w:rPr>
        <w:t xml:space="preserve"> 4506-9.</w:t>
      </w:r>
    </w:p>
    <w:p w14:paraId="5AC3674D" w14:textId="77777777" w:rsidR="006E12E2" w:rsidRPr="006E12E2" w:rsidRDefault="006E12E2" w:rsidP="006E12E2">
      <w:pPr>
        <w:pStyle w:val="EndNoteBibliography"/>
        <w:ind w:left="720" w:hanging="720"/>
        <w:rPr>
          <w:noProof/>
        </w:rPr>
      </w:pPr>
      <w:r w:rsidRPr="006E12E2">
        <w:rPr>
          <w:noProof/>
        </w:rPr>
        <w:t xml:space="preserve">MIYAZAKI, J., TAKAKI, S., ARAKI, K., TASHIRO, F., TOMINAGA, A., TAKATSU, K. &amp; YAMAMURA, K. 1989. Expression vector system based on the chicken beta-actin promoter directs efficient production of interleukin-5. </w:t>
      </w:r>
      <w:r w:rsidRPr="006E12E2">
        <w:rPr>
          <w:i/>
          <w:noProof/>
        </w:rPr>
        <w:t>Gene,</w:t>
      </w:r>
      <w:r w:rsidRPr="006E12E2">
        <w:rPr>
          <w:noProof/>
        </w:rPr>
        <w:t xml:space="preserve"> 79</w:t>
      </w:r>
      <w:r w:rsidRPr="006E12E2">
        <w:rPr>
          <w:b/>
          <w:noProof/>
        </w:rPr>
        <w:t>,</w:t>
      </w:r>
      <w:r w:rsidRPr="006E12E2">
        <w:rPr>
          <w:noProof/>
        </w:rPr>
        <w:t xml:space="preserve"> 269-77.</w:t>
      </w:r>
    </w:p>
    <w:p w14:paraId="1E5F715D" w14:textId="77777777" w:rsidR="006E12E2" w:rsidRPr="006E12E2" w:rsidRDefault="006E12E2" w:rsidP="006E12E2">
      <w:pPr>
        <w:pStyle w:val="EndNoteBibliography"/>
        <w:ind w:left="720" w:hanging="720"/>
        <w:rPr>
          <w:noProof/>
        </w:rPr>
      </w:pPr>
      <w:r w:rsidRPr="006E12E2">
        <w:rPr>
          <w:noProof/>
        </w:rPr>
        <w:t xml:space="preserve">MOHELNIKOVA-DUCHONOVA, B., MELICHAR, B. &amp; SOUCEK, P. 2014. FOLFOX/FOLFIRI pharmacogenetics: the call for a personalized approach in colorectal cancer therapy. </w:t>
      </w:r>
      <w:r w:rsidRPr="006E12E2">
        <w:rPr>
          <w:i/>
          <w:noProof/>
        </w:rPr>
        <w:t>World J Gastroenterol,</w:t>
      </w:r>
      <w:r w:rsidRPr="006E12E2">
        <w:rPr>
          <w:noProof/>
        </w:rPr>
        <w:t xml:space="preserve"> 20</w:t>
      </w:r>
      <w:r w:rsidRPr="006E12E2">
        <w:rPr>
          <w:b/>
          <w:noProof/>
        </w:rPr>
        <w:t>,</w:t>
      </w:r>
      <w:r w:rsidRPr="006E12E2">
        <w:rPr>
          <w:noProof/>
        </w:rPr>
        <w:t xml:space="preserve"> 10316-30.</w:t>
      </w:r>
    </w:p>
    <w:p w14:paraId="26EE0B4E" w14:textId="77777777" w:rsidR="006E12E2" w:rsidRPr="006E12E2" w:rsidRDefault="006E12E2" w:rsidP="006E12E2">
      <w:pPr>
        <w:pStyle w:val="EndNoteBibliography"/>
        <w:ind w:left="720" w:hanging="720"/>
        <w:rPr>
          <w:noProof/>
        </w:rPr>
      </w:pPr>
      <w:r w:rsidRPr="006E12E2">
        <w:rPr>
          <w:noProof/>
        </w:rPr>
        <w:t xml:space="preserve">MOJARDÍN, L., BOTET, J., MORENO, S. &amp; SALAS, M. 2015. Chromosome segregation and organization are targets of 5'-Fluorouracil in eukaryotic cells. </w:t>
      </w:r>
      <w:r w:rsidRPr="006E12E2">
        <w:rPr>
          <w:i/>
          <w:noProof/>
        </w:rPr>
        <w:t>Cell Cycle,</w:t>
      </w:r>
      <w:r w:rsidRPr="006E12E2">
        <w:rPr>
          <w:noProof/>
        </w:rPr>
        <w:t xml:space="preserve"> 14</w:t>
      </w:r>
      <w:r w:rsidRPr="006E12E2">
        <w:rPr>
          <w:b/>
          <w:noProof/>
        </w:rPr>
        <w:t>,</w:t>
      </w:r>
      <w:r w:rsidRPr="006E12E2">
        <w:rPr>
          <w:noProof/>
        </w:rPr>
        <w:t xml:space="preserve"> 206-18.</w:t>
      </w:r>
    </w:p>
    <w:p w14:paraId="5F673338" w14:textId="77777777" w:rsidR="006E12E2" w:rsidRPr="006E12E2" w:rsidRDefault="006E12E2" w:rsidP="006E12E2">
      <w:pPr>
        <w:pStyle w:val="EndNoteBibliography"/>
        <w:ind w:left="720" w:hanging="720"/>
        <w:rPr>
          <w:noProof/>
        </w:rPr>
      </w:pPr>
      <w:r w:rsidRPr="006E12E2">
        <w:rPr>
          <w:noProof/>
        </w:rPr>
        <w:t xml:space="preserve">MONROY, M. A., RUHL, D. D., XU, X., GRANNER, D. K., YACIUK, P. &amp; CHRIVIA, J. C. 2001. Regulation of cAMP-responsive element-binding protein-mediated transcription by the SNF2/SWI-related protein, SRCAP. </w:t>
      </w:r>
      <w:r w:rsidRPr="006E12E2">
        <w:rPr>
          <w:i/>
          <w:noProof/>
        </w:rPr>
        <w:t>J Biol Chem,</w:t>
      </w:r>
      <w:r w:rsidRPr="006E12E2">
        <w:rPr>
          <w:noProof/>
        </w:rPr>
        <w:t xml:space="preserve"> 276</w:t>
      </w:r>
      <w:r w:rsidRPr="006E12E2">
        <w:rPr>
          <w:b/>
          <w:noProof/>
        </w:rPr>
        <w:t>,</w:t>
      </w:r>
      <w:r w:rsidRPr="006E12E2">
        <w:rPr>
          <w:noProof/>
        </w:rPr>
        <w:t xml:space="preserve"> 40721-6.</w:t>
      </w:r>
    </w:p>
    <w:p w14:paraId="48EA59D3" w14:textId="77777777" w:rsidR="006E12E2" w:rsidRPr="006E12E2" w:rsidRDefault="006E12E2" w:rsidP="006E12E2">
      <w:pPr>
        <w:pStyle w:val="EndNoteBibliography"/>
        <w:ind w:left="720" w:hanging="720"/>
        <w:rPr>
          <w:noProof/>
        </w:rPr>
      </w:pPr>
      <w:r w:rsidRPr="006E12E2">
        <w:rPr>
          <w:noProof/>
        </w:rPr>
        <w:t xml:space="preserve">MONROY, M. A., SCHOTT, N. M., COX, L., CHEN, J. D., RUH, M. &amp; CHRIVIA, J. C. 2003. SNF2-related CBP activator protein (SRCAP) functions as a coactivator of steroid receptor-mediated transcription through synergistic interactions with CARM-1 and GRIP-1. </w:t>
      </w:r>
      <w:r w:rsidRPr="006E12E2">
        <w:rPr>
          <w:i/>
          <w:noProof/>
        </w:rPr>
        <w:t>Mol Endocrinol,</w:t>
      </w:r>
      <w:r w:rsidRPr="006E12E2">
        <w:rPr>
          <w:noProof/>
        </w:rPr>
        <w:t xml:space="preserve"> 17</w:t>
      </w:r>
      <w:r w:rsidRPr="006E12E2">
        <w:rPr>
          <w:b/>
          <w:noProof/>
        </w:rPr>
        <w:t>,</w:t>
      </w:r>
      <w:r w:rsidRPr="006E12E2">
        <w:rPr>
          <w:noProof/>
        </w:rPr>
        <w:t xml:space="preserve"> 2519-28.</w:t>
      </w:r>
    </w:p>
    <w:p w14:paraId="16BC15E9" w14:textId="77777777" w:rsidR="006E12E2" w:rsidRPr="006E12E2" w:rsidRDefault="006E12E2" w:rsidP="006E12E2">
      <w:pPr>
        <w:pStyle w:val="EndNoteBibliography"/>
        <w:ind w:left="720" w:hanging="720"/>
        <w:rPr>
          <w:noProof/>
        </w:rPr>
      </w:pPr>
      <w:r w:rsidRPr="006E12E2">
        <w:rPr>
          <w:noProof/>
        </w:rPr>
        <w:t xml:space="preserve">MOON, H. G., OH, K., LEE, J., LEE, M., KIM, J. Y., YOO, T. K., SEO, M. W., PARK, A. K., RYU, H. S., JUNG, E. J., KIM, N., JEONG, S., HAN, W., LEE, D. S. &amp; NOH, D. Y. 2015. Prognostic and functional importance of the engraftment-associated genes in the patient-derived xenograft models of triple-negative breast cancers. </w:t>
      </w:r>
      <w:r w:rsidRPr="006E12E2">
        <w:rPr>
          <w:i/>
          <w:noProof/>
        </w:rPr>
        <w:t>Breast Cancer Res Treat,</w:t>
      </w:r>
      <w:r w:rsidRPr="006E12E2">
        <w:rPr>
          <w:noProof/>
        </w:rPr>
        <w:t xml:space="preserve"> 154</w:t>
      </w:r>
      <w:r w:rsidRPr="006E12E2">
        <w:rPr>
          <w:b/>
          <w:noProof/>
        </w:rPr>
        <w:t>,</w:t>
      </w:r>
      <w:r w:rsidRPr="006E12E2">
        <w:rPr>
          <w:noProof/>
        </w:rPr>
        <w:t xml:space="preserve"> 13-22.</w:t>
      </w:r>
    </w:p>
    <w:p w14:paraId="40C249B6" w14:textId="77777777" w:rsidR="006E12E2" w:rsidRPr="006E12E2" w:rsidRDefault="006E12E2" w:rsidP="006E12E2">
      <w:pPr>
        <w:pStyle w:val="EndNoteBibliography"/>
        <w:ind w:left="720" w:hanging="720"/>
        <w:rPr>
          <w:noProof/>
        </w:rPr>
      </w:pPr>
      <w:r w:rsidRPr="006E12E2">
        <w:rPr>
          <w:noProof/>
        </w:rPr>
        <w:t xml:space="preserve">MOREL, D., ALMOUZNI, G., SORIA, J. C. &amp; POSTEL-VINAY, S. 2017. Targeting chromatin defects in selected solid tumors based on oncogene addiction, synthetic lethality and epigenetic antagonism. </w:t>
      </w:r>
      <w:r w:rsidRPr="006E12E2">
        <w:rPr>
          <w:i/>
          <w:noProof/>
        </w:rPr>
        <w:t>Ann Oncol,</w:t>
      </w:r>
      <w:r w:rsidRPr="006E12E2">
        <w:rPr>
          <w:noProof/>
        </w:rPr>
        <w:t xml:space="preserve"> 28</w:t>
      </w:r>
      <w:r w:rsidRPr="006E12E2">
        <w:rPr>
          <w:b/>
          <w:noProof/>
        </w:rPr>
        <w:t>,</w:t>
      </w:r>
      <w:r w:rsidRPr="006E12E2">
        <w:rPr>
          <w:noProof/>
        </w:rPr>
        <w:t xml:space="preserve"> 254-269.</w:t>
      </w:r>
    </w:p>
    <w:p w14:paraId="12FD7B94" w14:textId="77777777" w:rsidR="006E12E2" w:rsidRPr="006E12E2" w:rsidRDefault="006E12E2" w:rsidP="006E12E2">
      <w:pPr>
        <w:pStyle w:val="EndNoteBibliography"/>
        <w:ind w:left="720" w:hanging="720"/>
        <w:rPr>
          <w:noProof/>
        </w:rPr>
      </w:pPr>
      <w:r w:rsidRPr="006E12E2">
        <w:rPr>
          <w:noProof/>
        </w:rPr>
        <w:t xml:space="preserve">MORILLO-HUESCA, M., CLEMENTE-RUIZ, M., ANDÚJAR, E. &amp; PRADO, F. 2010. The SWR1 histone replacement complex causes genetic instability and genome-wide transcription misregulation in the absence of H2A.Z. </w:t>
      </w:r>
      <w:r w:rsidRPr="006E12E2">
        <w:rPr>
          <w:i/>
          <w:noProof/>
        </w:rPr>
        <w:t>PLoS One,</w:t>
      </w:r>
      <w:r w:rsidRPr="006E12E2">
        <w:rPr>
          <w:noProof/>
        </w:rPr>
        <w:t xml:space="preserve"> 5</w:t>
      </w:r>
      <w:r w:rsidRPr="006E12E2">
        <w:rPr>
          <w:b/>
          <w:noProof/>
        </w:rPr>
        <w:t>,</w:t>
      </w:r>
      <w:r w:rsidRPr="006E12E2">
        <w:rPr>
          <w:noProof/>
        </w:rPr>
        <w:t xml:space="preserve"> e12143.</w:t>
      </w:r>
    </w:p>
    <w:p w14:paraId="010CB53D" w14:textId="77777777" w:rsidR="006E12E2" w:rsidRPr="006E12E2" w:rsidRDefault="006E12E2" w:rsidP="006E12E2">
      <w:pPr>
        <w:pStyle w:val="EndNoteBibliography"/>
        <w:ind w:left="720" w:hanging="720"/>
        <w:rPr>
          <w:noProof/>
        </w:rPr>
      </w:pPr>
      <w:r w:rsidRPr="006E12E2">
        <w:rPr>
          <w:noProof/>
        </w:rPr>
        <w:t xml:space="preserve">MYERS, K. N., BARONE, G., GANESH, A., STAPLES, C. J., HOWARD, A. E., BEVERIDGE, R. D., MASLEN, S., SKEHEL, J. M. &amp; COLLIS, S. J. 2016. The bornavirus-derived human protein EBLN1 promotes efficient cell cycle transit, microtubule organisation and genome stability. </w:t>
      </w:r>
      <w:r w:rsidRPr="006E12E2">
        <w:rPr>
          <w:i/>
          <w:noProof/>
        </w:rPr>
        <w:t>Sci Rep,</w:t>
      </w:r>
      <w:r w:rsidRPr="006E12E2">
        <w:rPr>
          <w:noProof/>
        </w:rPr>
        <w:t xml:space="preserve"> 6</w:t>
      </w:r>
      <w:r w:rsidRPr="006E12E2">
        <w:rPr>
          <w:b/>
          <w:noProof/>
        </w:rPr>
        <w:t>,</w:t>
      </w:r>
      <w:r w:rsidRPr="006E12E2">
        <w:rPr>
          <w:noProof/>
        </w:rPr>
        <w:t xml:space="preserve"> 35548.</w:t>
      </w:r>
    </w:p>
    <w:p w14:paraId="655AC2A2" w14:textId="77777777" w:rsidR="006E12E2" w:rsidRPr="006E12E2" w:rsidRDefault="006E12E2" w:rsidP="006E12E2">
      <w:pPr>
        <w:pStyle w:val="EndNoteBibliography"/>
        <w:ind w:left="720" w:hanging="720"/>
        <w:rPr>
          <w:noProof/>
        </w:rPr>
      </w:pPr>
      <w:r w:rsidRPr="006E12E2">
        <w:rPr>
          <w:noProof/>
        </w:rPr>
        <w:t xml:space="preserve">NAKAYAMA, G., HIBI, K., KODERA, Y., KOIKE, M., FUJIWARA, M. &amp; NAKAO, A. 2007. P16 methylation in serum as a potential marker for the malignancy of colorectal carcinoma. </w:t>
      </w:r>
      <w:r w:rsidRPr="006E12E2">
        <w:rPr>
          <w:i/>
          <w:noProof/>
        </w:rPr>
        <w:t>Anticancer Res,</w:t>
      </w:r>
      <w:r w:rsidRPr="006E12E2">
        <w:rPr>
          <w:noProof/>
        </w:rPr>
        <w:t xml:space="preserve"> 27</w:t>
      </w:r>
      <w:r w:rsidRPr="006E12E2">
        <w:rPr>
          <w:b/>
          <w:noProof/>
        </w:rPr>
        <w:t>,</w:t>
      </w:r>
      <w:r w:rsidRPr="006E12E2">
        <w:rPr>
          <w:noProof/>
        </w:rPr>
        <w:t xml:space="preserve"> 3367-70.</w:t>
      </w:r>
    </w:p>
    <w:p w14:paraId="51782096" w14:textId="77777777" w:rsidR="006E12E2" w:rsidRPr="006E12E2" w:rsidRDefault="006E12E2" w:rsidP="006E12E2">
      <w:pPr>
        <w:pStyle w:val="EndNoteBibliography"/>
        <w:ind w:left="720" w:hanging="720"/>
        <w:rPr>
          <w:noProof/>
        </w:rPr>
      </w:pPr>
      <w:r w:rsidRPr="006E12E2">
        <w:rPr>
          <w:noProof/>
        </w:rPr>
        <w:t xml:space="preserve">NATIONALCANCERINSTITUTE. 2015. </w:t>
      </w:r>
      <w:r w:rsidRPr="006E12E2">
        <w:rPr>
          <w:i/>
          <w:noProof/>
        </w:rPr>
        <w:t xml:space="preserve">What is cancer? </w:t>
      </w:r>
      <w:r w:rsidRPr="006E12E2">
        <w:rPr>
          <w:noProof/>
        </w:rPr>
        <w:t>[Online].  [Accessed].</w:t>
      </w:r>
    </w:p>
    <w:p w14:paraId="60F60647" w14:textId="77777777" w:rsidR="006E12E2" w:rsidRPr="006E12E2" w:rsidRDefault="006E12E2" w:rsidP="006E12E2">
      <w:pPr>
        <w:pStyle w:val="EndNoteBibliography"/>
        <w:ind w:left="720" w:hanging="720"/>
        <w:rPr>
          <w:noProof/>
        </w:rPr>
      </w:pPr>
      <w:r w:rsidRPr="006E12E2">
        <w:rPr>
          <w:noProof/>
        </w:rPr>
        <w:t xml:space="preserve">NERVI, C., DE MARINIS, E. &amp; CODACCI-PISANELLI, G. 2015. Epigenetic treatment of solid tumours: a review of clinical trials. </w:t>
      </w:r>
      <w:r w:rsidRPr="006E12E2">
        <w:rPr>
          <w:i/>
          <w:noProof/>
        </w:rPr>
        <w:t>Clin Epigenetics,</w:t>
      </w:r>
      <w:r w:rsidRPr="006E12E2">
        <w:rPr>
          <w:noProof/>
        </w:rPr>
        <w:t xml:space="preserve"> 7</w:t>
      </w:r>
      <w:r w:rsidRPr="006E12E2">
        <w:rPr>
          <w:b/>
          <w:noProof/>
        </w:rPr>
        <w:t>,</w:t>
      </w:r>
      <w:r w:rsidRPr="006E12E2">
        <w:rPr>
          <w:noProof/>
        </w:rPr>
        <w:t xml:space="preserve"> 127.</w:t>
      </w:r>
    </w:p>
    <w:p w14:paraId="313824F5" w14:textId="1FBFD6E3" w:rsidR="006E12E2" w:rsidRPr="006E12E2" w:rsidRDefault="006E12E2" w:rsidP="006E12E2">
      <w:pPr>
        <w:pStyle w:val="EndNoteBibliography"/>
        <w:ind w:left="720" w:hanging="720"/>
        <w:rPr>
          <w:noProof/>
        </w:rPr>
      </w:pPr>
      <w:r w:rsidRPr="006E12E2">
        <w:rPr>
          <w:noProof/>
        </w:rPr>
        <w:t xml:space="preserve">NHS 2014. Bowel Cancer Screening Programme. </w:t>
      </w:r>
      <w:hyperlink r:id="rId178" w:history="1">
        <w:r w:rsidRPr="006E12E2">
          <w:rPr>
            <w:rStyle w:val="Hyperlink"/>
            <w:rFonts w:asciiTheme="minorHAnsi" w:hAnsiTheme="minorHAnsi"/>
            <w:noProof/>
            <w:sz w:val="24"/>
            <w:lang w:val="en-GB"/>
          </w:rPr>
          <w:t>http://www.cancerscreening.nhs.uk/bowel/</w:t>
        </w:r>
      </w:hyperlink>
      <w:r w:rsidRPr="006E12E2">
        <w:rPr>
          <w:noProof/>
        </w:rPr>
        <w:t>.</w:t>
      </w:r>
    </w:p>
    <w:p w14:paraId="4B22A50C" w14:textId="77777777" w:rsidR="006E12E2" w:rsidRPr="006E12E2" w:rsidRDefault="006E12E2" w:rsidP="006E12E2">
      <w:pPr>
        <w:pStyle w:val="EndNoteBibliography"/>
        <w:ind w:left="720" w:hanging="720"/>
        <w:rPr>
          <w:noProof/>
        </w:rPr>
      </w:pPr>
      <w:r w:rsidRPr="006E12E2">
        <w:rPr>
          <w:noProof/>
        </w:rPr>
        <w:t xml:space="preserve">NICE 2006. Capecitabine and Oxaliplatin in the adjuvant treatment of stage III (Dukes' C) colon cancer. </w:t>
      </w:r>
      <w:r w:rsidRPr="006E12E2">
        <w:rPr>
          <w:i/>
          <w:noProof/>
        </w:rPr>
        <w:t>Technology Appraisal Guidance 100.</w:t>
      </w:r>
      <w:r w:rsidRPr="006E12E2">
        <w:rPr>
          <w:noProof/>
        </w:rPr>
        <w:t xml:space="preserve"> NICE.</w:t>
      </w:r>
    </w:p>
    <w:p w14:paraId="1CC467C3" w14:textId="77777777" w:rsidR="006E12E2" w:rsidRPr="006E12E2" w:rsidRDefault="006E12E2" w:rsidP="006E12E2">
      <w:pPr>
        <w:pStyle w:val="EndNoteBibliography"/>
        <w:ind w:left="720" w:hanging="720"/>
        <w:rPr>
          <w:noProof/>
        </w:rPr>
      </w:pPr>
      <w:r w:rsidRPr="006E12E2">
        <w:rPr>
          <w:noProof/>
        </w:rPr>
        <w:t xml:space="preserve">NIKKEL, S. M., DAUBER, A., DE MUNNIK, S., CONNOLLY, M., HOOD, R. L., CALUSERIU, O., HURST, J., KINI, U., NOWACZYK, M. J., AFENJAR, A., ALBRECHT, B., ALLANSON, J. E., BALESTRI, P., BEN-OMRAN, T., BRANCATI, F., CORDEIRO, I., DA CUNHA, B. S., DELANEY, L. A., DESTRÉE, A., FITZPATRICK, D., FORZANO, F., GHALI, N., GILLIES, G., HARWOOD, K., HENDRIKS, Y. M., HÉRON, D., HOISCHEN, A., HONEY, E. M., HOEFSLOOT, L. H., IBRAHIM, J., JACOB, C. M., KANT, S. G., KIM, C. A., KIRK, E. P., KNOERS, N. V., LACOMBE, D., LEE, C., LO, I. F., LUCAS, L. S., MARI, F., MERICQ, V., MOILANEN, J. S., MØLLER, S. T., MOORTGAT, S., PILZ, D. T., POPE, K., PRICE, S., RENIERI, A., SÁ, J., SCHOOTS, J., SILVEIRA, E. L., SIMON, M. E., SLAVOTINEK, A., TEMPLE, I. K., VAN DER BURGT, I., DE VRIES, B. B., WEISFELD-ADAMS, J. D., WHITEFORD, M. L., WIERCZOREK, D., WIT, J. M., YEE, C. F., BEAULIEU, C. L., WHITE, S. M., BULMAN, D. E., BONGERS, E., BRUNNER, H., FEINGOLD, M., BOYCOTT, K. M. &amp; CONSORTIUM, F. C. 2013. The phenotype of Floating-Harbor syndrome: clinical characterization of 52 individuals with mutations in exon 34 of SRCAP. </w:t>
      </w:r>
      <w:r w:rsidRPr="006E12E2">
        <w:rPr>
          <w:i/>
          <w:noProof/>
        </w:rPr>
        <w:t>Orphanet J Rare Dis,</w:t>
      </w:r>
      <w:r w:rsidRPr="006E12E2">
        <w:rPr>
          <w:noProof/>
        </w:rPr>
        <w:t xml:space="preserve"> 8</w:t>
      </w:r>
      <w:r w:rsidRPr="006E12E2">
        <w:rPr>
          <w:b/>
          <w:noProof/>
        </w:rPr>
        <w:t>,</w:t>
      </w:r>
      <w:r w:rsidRPr="006E12E2">
        <w:rPr>
          <w:noProof/>
        </w:rPr>
        <w:t xml:space="preserve"> 63.</w:t>
      </w:r>
    </w:p>
    <w:p w14:paraId="4A54858D" w14:textId="77777777" w:rsidR="006E12E2" w:rsidRPr="006E12E2" w:rsidRDefault="006E12E2" w:rsidP="006E12E2">
      <w:pPr>
        <w:pStyle w:val="EndNoteBibliography"/>
        <w:ind w:left="720" w:hanging="720"/>
        <w:rPr>
          <w:noProof/>
        </w:rPr>
      </w:pPr>
      <w:r w:rsidRPr="006E12E2">
        <w:rPr>
          <w:noProof/>
        </w:rPr>
        <w:t xml:space="preserve">NISHIDA, N., NAGASAKA, T., KASHIWAGI, K., BOLAND, C. R. &amp; GOEL, A. 2007. High copy amplification of the Aurora-A gene is associated with chromosomal instability phenotype in human colorectal cancers. </w:t>
      </w:r>
      <w:r w:rsidRPr="006E12E2">
        <w:rPr>
          <w:i/>
          <w:noProof/>
        </w:rPr>
        <w:t>Cancer Biol. Ther.,</w:t>
      </w:r>
      <w:r w:rsidRPr="006E12E2">
        <w:rPr>
          <w:noProof/>
        </w:rPr>
        <w:t xml:space="preserve"> 6</w:t>
      </w:r>
      <w:r w:rsidRPr="006E12E2">
        <w:rPr>
          <w:b/>
          <w:noProof/>
        </w:rPr>
        <w:t>,</w:t>
      </w:r>
      <w:r w:rsidRPr="006E12E2">
        <w:rPr>
          <w:noProof/>
        </w:rPr>
        <w:t xml:space="preserve"> 525-533.</w:t>
      </w:r>
    </w:p>
    <w:p w14:paraId="1C9D09C9" w14:textId="77777777" w:rsidR="006E12E2" w:rsidRPr="006E12E2" w:rsidRDefault="006E12E2" w:rsidP="006E12E2">
      <w:pPr>
        <w:pStyle w:val="EndNoteBibliography"/>
        <w:ind w:left="720" w:hanging="720"/>
        <w:rPr>
          <w:noProof/>
        </w:rPr>
      </w:pPr>
      <w:r w:rsidRPr="006E12E2">
        <w:rPr>
          <w:noProof/>
        </w:rPr>
        <w:t xml:space="preserve">NOVELLASDEMUNT, L., ANTAS, P. &amp; LI, V. S. 2015. Targeting Wnt signaling in colorectal cancer. A Review in the Theme: Cell Signaling: Proteins, Pathways and Mechanisms. </w:t>
      </w:r>
      <w:r w:rsidRPr="006E12E2">
        <w:rPr>
          <w:i/>
          <w:noProof/>
        </w:rPr>
        <w:t>Am J Physiol Cell Physiol,</w:t>
      </w:r>
      <w:r w:rsidRPr="006E12E2">
        <w:rPr>
          <w:noProof/>
        </w:rPr>
        <w:t xml:space="preserve"> 309</w:t>
      </w:r>
      <w:r w:rsidRPr="006E12E2">
        <w:rPr>
          <w:b/>
          <w:noProof/>
        </w:rPr>
        <w:t>,</w:t>
      </w:r>
      <w:r w:rsidRPr="006E12E2">
        <w:rPr>
          <w:noProof/>
        </w:rPr>
        <w:t xml:space="preserve"> C511-21.</w:t>
      </w:r>
    </w:p>
    <w:p w14:paraId="74FBC960" w14:textId="77777777" w:rsidR="006E12E2" w:rsidRPr="006E12E2" w:rsidRDefault="006E12E2" w:rsidP="006E12E2">
      <w:pPr>
        <w:pStyle w:val="EndNoteBibliography"/>
        <w:ind w:left="720" w:hanging="720"/>
        <w:rPr>
          <w:noProof/>
        </w:rPr>
      </w:pPr>
      <w:r w:rsidRPr="006E12E2">
        <w:rPr>
          <w:noProof/>
        </w:rPr>
        <w:t xml:space="preserve">OCVIRK, J. 2009. Advances in the treatment of metastatic colorectal carcinoma. </w:t>
      </w:r>
      <w:r w:rsidRPr="006E12E2">
        <w:rPr>
          <w:i/>
          <w:noProof/>
        </w:rPr>
        <w:t>Radiology and Oncology,</w:t>
      </w:r>
      <w:r w:rsidRPr="006E12E2">
        <w:rPr>
          <w:noProof/>
        </w:rPr>
        <w:t xml:space="preserve"> 43</w:t>
      </w:r>
      <w:r w:rsidRPr="006E12E2">
        <w:rPr>
          <w:b/>
          <w:noProof/>
        </w:rPr>
        <w:t>,</w:t>
      </w:r>
      <w:r w:rsidRPr="006E12E2">
        <w:rPr>
          <w:noProof/>
        </w:rPr>
        <w:t xml:space="preserve"> 1-8.</w:t>
      </w:r>
    </w:p>
    <w:p w14:paraId="35B41C81" w14:textId="77777777" w:rsidR="006E12E2" w:rsidRPr="006E12E2" w:rsidRDefault="006E12E2" w:rsidP="006E12E2">
      <w:pPr>
        <w:pStyle w:val="EndNoteBibliography"/>
        <w:ind w:left="720" w:hanging="720"/>
        <w:rPr>
          <w:noProof/>
        </w:rPr>
      </w:pPr>
      <w:r w:rsidRPr="006E12E2">
        <w:rPr>
          <w:noProof/>
        </w:rPr>
        <w:t>OFFICEFORNATIONALSTATISTICS 2015. Cancer Registration Statistics, England: 2015.</w:t>
      </w:r>
    </w:p>
    <w:p w14:paraId="35416272" w14:textId="77777777" w:rsidR="006E12E2" w:rsidRPr="006E12E2" w:rsidRDefault="006E12E2" w:rsidP="006E12E2">
      <w:pPr>
        <w:pStyle w:val="EndNoteBibliography"/>
        <w:ind w:left="720" w:hanging="720"/>
        <w:rPr>
          <w:noProof/>
        </w:rPr>
      </w:pPr>
      <w:r w:rsidRPr="006E12E2">
        <w:rPr>
          <w:noProof/>
        </w:rPr>
        <w:t xml:space="preserve">OGINO, S. &amp; GOEL, A. 2008. Molecular classification and correlates in colorectal cancer. </w:t>
      </w:r>
      <w:r w:rsidRPr="006E12E2">
        <w:rPr>
          <w:i/>
          <w:noProof/>
        </w:rPr>
        <w:t>J Mol Diagn,</w:t>
      </w:r>
      <w:r w:rsidRPr="006E12E2">
        <w:rPr>
          <w:noProof/>
        </w:rPr>
        <w:t xml:space="preserve"> 10</w:t>
      </w:r>
      <w:r w:rsidRPr="006E12E2">
        <w:rPr>
          <w:b/>
          <w:noProof/>
        </w:rPr>
        <w:t>,</w:t>
      </w:r>
      <w:r w:rsidRPr="006E12E2">
        <w:rPr>
          <w:noProof/>
        </w:rPr>
        <w:t xml:space="preserve"> 13-27.</w:t>
      </w:r>
    </w:p>
    <w:p w14:paraId="1668DF18" w14:textId="77777777" w:rsidR="006E12E2" w:rsidRPr="006E12E2" w:rsidRDefault="006E12E2" w:rsidP="006E12E2">
      <w:pPr>
        <w:pStyle w:val="EndNoteBibliography"/>
        <w:ind w:left="720" w:hanging="720"/>
        <w:rPr>
          <w:noProof/>
        </w:rPr>
      </w:pPr>
      <w:r w:rsidRPr="006E12E2">
        <w:rPr>
          <w:noProof/>
        </w:rPr>
        <w:t xml:space="preserve">OKUGAWA, Y., GRADY, W. M. &amp; GOEL, A. 2015. Epigenetic Alterations in Colorectal Cancer: Emerging Biomarkers. </w:t>
      </w:r>
      <w:r w:rsidRPr="006E12E2">
        <w:rPr>
          <w:i/>
          <w:noProof/>
        </w:rPr>
        <w:t>Gastroenterology,</w:t>
      </w:r>
      <w:r w:rsidRPr="006E12E2">
        <w:rPr>
          <w:noProof/>
        </w:rPr>
        <w:t xml:space="preserve"> 149</w:t>
      </w:r>
      <w:r w:rsidRPr="006E12E2">
        <w:rPr>
          <w:b/>
          <w:noProof/>
        </w:rPr>
        <w:t>,</w:t>
      </w:r>
      <w:r w:rsidRPr="006E12E2">
        <w:rPr>
          <w:noProof/>
        </w:rPr>
        <w:t xml:space="preserve"> 1204-1225.e12.</w:t>
      </w:r>
    </w:p>
    <w:p w14:paraId="4B310CA0" w14:textId="77777777" w:rsidR="006E12E2" w:rsidRPr="006E12E2" w:rsidRDefault="006E12E2" w:rsidP="006E12E2">
      <w:pPr>
        <w:pStyle w:val="EndNoteBibliography"/>
        <w:ind w:left="720" w:hanging="720"/>
        <w:rPr>
          <w:noProof/>
        </w:rPr>
      </w:pPr>
      <w:r w:rsidRPr="006E12E2">
        <w:rPr>
          <w:noProof/>
        </w:rPr>
        <w:t xml:space="preserve">OSTLING, O. &amp; JOHANSON, K. J. 1984. Microelectrophoretic study of radiation-induced DNA damages in individual mammalian cells. </w:t>
      </w:r>
      <w:r w:rsidRPr="006E12E2">
        <w:rPr>
          <w:i/>
          <w:noProof/>
        </w:rPr>
        <w:t>Biochem Biophys Res Commun,</w:t>
      </w:r>
      <w:r w:rsidRPr="006E12E2">
        <w:rPr>
          <w:noProof/>
        </w:rPr>
        <w:t xml:space="preserve"> 123</w:t>
      </w:r>
      <w:r w:rsidRPr="006E12E2">
        <w:rPr>
          <w:b/>
          <w:noProof/>
        </w:rPr>
        <w:t>,</w:t>
      </w:r>
      <w:r w:rsidRPr="006E12E2">
        <w:rPr>
          <w:noProof/>
        </w:rPr>
        <w:t xml:space="preserve"> 291-8.</w:t>
      </w:r>
    </w:p>
    <w:p w14:paraId="5355CF39" w14:textId="77777777" w:rsidR="006E12E2" w:rsidRPr="006E12E2" w:rsidRDefault="006E12E2" w:rsidP="006E12E2">
      <w:pPr>
        <w:pStyle w:val="EndNoteBibliography"/>
        <w:ind w:left="720" w:hanging="720"/>
        <w:rPr>
          <w:noProof/>
        </w:rPr>
      </w:pPr>
      <w:r w:rsidRPr="006E12E2">
        <w:rPr>
          <w:noProof/>
        </w:rPr>
        <w:t xml:space="preserve">PAPAMICHAEL, D., AUDISIO, R. A., GLIMELIUS, B., DE GRAMONT, A., GLYNNE-JONES, R., HALLER, D., KÖHNE, C. H., ROSTOFT, S., LEMMENS, V., MITRY, E., RUTTEN, H., SARGENT, D., SASTRE, J., SEYMOUR, M., STARLING, N., VAN CUTSEM, E. &amp; AAPRO, M. 2015. Treatment of colorectal cancer in older patients: International Society of Geriatric Oncology (SIOG) consensus recommendations 2013. </w:t>
      </w:r>
      <w:r w:rsidRPr="006E12E2">
        <w:rPr>
          <w:i/>
          <w:noProof/>
        </w:rPr>
        <w:t>Ann Oncol,</w:t>
      </w:r>
      <w:r w:rsidRPr="006E12E2">
        <w:rPr>
          <w:noProof/>
        </w:rPr>
        <w:t xml:space="preserve"> 26</w:t>
      </w:r>
      <w:r w:rsidRPr="006E12E2">
        <w:rPr>
          <w:b/>
          <w:noProof/>
        </w:rPr>
        <w:t>,</w:t>
      </w:r>
      <w:r w:rsidRPr="006E12E2">
        <w:rPr>
          <w:noProof/>
        </w:rPr>
        <w:t xml:space="preserve"> 463-476.</w:t>
      </w:r>
    </w:p>
    <w:p w14:paraId="56D23476" w14:textId="77777777" w:rsidR="006E12E2" w:rsidRPr="006E12E2" w:rsidRDefault="006E12E2" w:rsidP="006E12E2">
      <w:pPr>
        <w:pStyle w:val="EndNoteBibliography"/>
        <w:ind w:left="720" w:hanging="720"/>
        <w:rPr>
          <w:noProof/>
        </w:rPr>
      </w:pPr>
      <w:r w:rsidRPr="006E12E2">
        <w:rPr>
          <w:noProof/>
        </w:rPr>
        <w:t xml:space="preserve">PAPAMICHOS-CHRONAKIS, M., WATANABE, S., RANDO, O. J. &amp; PETERSON, C. L. 2011. Global regulation of H2A.Z localization by the INO80 chromatin-remodeling enzyme is essential for genome integrity. </w:t>
      </w:r>
      <w:r w:rsidRPr="006E12E2">
        <w:rPr>
          <w:i/>
          <w:noProof/>
        </w:rPr>
        <w:t>Cell,</w:t>
      </w:r>
      <w:r w:rsidRPr="006E12E2">
        <w:rPr>
          <w:noProof/>
        </w:rPr>
        <w:t xml:space="preserve"> 144</w:t>
      </w:r>
      <w:r w:rsidRPr="006E12E2">
        <w:rPr>
          <w:b/>
          <w:noProof/>
        </w:rPr>
        <w:t>,</w:t>
      </w:r>
      <w:r w:rsidRPr="006E12E2">
        <w:rPr>
          <w:noProof/>
        </w:rPr>
        <w:t xml:space="preserve"> 200-13.</w:t>
      </w:r>
    </w:p>
    <w:p w14:paraId="15603B19" w14:textId="77777777" w:rsidR="006E12E2" w:rsidRPr="006E12E2" w:rsidRDefault="006E12E2" w:rsidP="006E12E2">
      <w:pPr>
        <w:pStyle w:val="EndNoteBibliography"/>
        <w:ind w:left="720" w:hanging="720"/>
        <w:rPr>
          <w:noProof/>
        </w:rPr>
      </w:pPr>
      <w:r w:rsidRPr="006E12E2">
        <w:rPr>
          <w:noProof/>
        </w:rPr>
        <w:t xml:space="preserve">PARIKH, C., SUBRAHMANYAM, R. &amp; REN, R. 2007. Oncogenic NRAS, KRAS, and HRAS exhibit different leukemogenic potentials in mice. </w:t>
      </w:r>
      <w:r w:rsidRPr="006E12E2">
        <w:rPr>
          <w:i/>
          <w:noProof/>
        </w:rPr>
        <w:t>Cancer Res,</w:t>
      </w:r>
      <w:r w:rsidRPr="006E12E2">
        <w:rPr>
          <w:noProof/>
        </w:rPr>
        <w:t xml:space="preserve"> 67</w:t>
      </w:r>
      <w:r w:rsidRPr="006E12E2">
        <w:rPr>
          <w:b/>
          <w:noProof/>
        </w:rPr>
        <w:t>,</w:t>
      </w:r>
      <w:r w:rsidRPr="006E12E2">
        <w:rPr>
          <w:noProof/>
        </w:rPr>
        <w:t xml:space="preserve"> 7139-46.</w:t>
      </w:r>
    </w:p>
    <w:p w14:paraId="53384394" w14:textId="77777777" w:rsidR="006E12E2" w:rsidRPr="006E12E2" w:rsidRDefault="006E12E2" w:rsidP="006E12E2">
      <w:pPr>
        <w:pStyle w:val="EndNoteBibliography"/>
        <w:ind w:left="720" w:hanging="720"/>
        <w:rPr>
          <w:noProof/>
        </w:rPr>
      </w:pPr>
      <w:r w:rsidRPr="006E12E2">
        <w:rPr>
          <w:noProof/>
        </w:rPr>
        <w:t xml:space="preserve">PARK, J. H., KIM, K. P., KO, J. J. &amp; PARK, K. S. 2016. PI3K/Akt/mTOR activation by suppression of ELK3 mediates chemosensitivity of MDA-MB-231 cells to doxorubicin by inhibiting autophagy. </w:t>
      </w:r>
      <w:r w:rsidRPr="006E12E2">
        <w:rPr>
          <w:i/>
          <w:noProof/>
        </w:rPr>
        <w:t>Biochem Biophys Res Commun,</w:t>
      </w:r>
      <w:r w:rsidRPr="006E12E2">
        <w:rPr>
          <w:noProof/>
        </w:rPr>
        <w:t xml:space="preserve"> 477</w:t>
      </w:r>
      <w:r w:rsidRPr="006E12E2">
        <w:rPr>
          <w:b/>
          <w:noProof/>
        </w:rPr>
        <w:t>,</w:t>
      </w:r>
      <w:r w:rsidRPr="006E12E2">
        <w:rPr>
          <w:noProof/>
        </w:rPr>
        <w:t xml:space="preserve"> 277-82.</w:t>
      </w:r>
    </w:p>
    <w:p w14:paraId="38BF92A5" w14:textId="77777777" w:rsidR="006E12E2" w:rsidRPr="006E12E2" w:rsidRDefault="006E12E2" w:rsidP="006E12E2">
      <w:pPr>
        <w:pStyle w:val="EndNoteBibliography"/>
        <w:ind w:left="720" w:hanging="720"/>
        <w:rPr>
          <w:noProof/>
        </w:rPr>
      </w:pPr>
      <w:r w:rsidRPr="006E12E2">
        <w:rPr>
          <w:noProof/>
        </w:rPr>
        <w:t xml:space="preserve">PARK, J. J., DEMPEWOLF, E., ZHANG, W. &amp; WANG, Z. Y. 2017. RNA-guided transcriptional activation via CRISPR/dCas9 mimics overexpression phenotypes in Arabidopsis. </w:t>
      </w:r>
      <w:r w:rsidRPr="006E12E2">
        <w:rPr>
          <w:i/>
          <w:noProof/>
        </w:rPr>
        <w:t>PLoS One,</w:t>
      </w:r>
      <w:r w:rsidRPr="006E12E2">
        <w:rPr>
          <w:noProof/>
        </w:rPr>
        <w:t xml:space="preserve"> 12</w:t>
      </w:r>
      <w:r w:rsidRPr="006E12E2">
        <w:rPr>
          <w:b/>
          <w:noProof/>
        </w:rPr>
        <w:t>,</w:t>
      </w:r>
      <w:r w:rsidRPr="006E12E2">
        <w:rPr>
          <w:noProof/>
        </w:rPr>
        <w:t xml:space="preserve"> e0179410.</w:t>
      </w:r>
    </w:p>
    <w:p w14:paraId="5DBBF52B" w14:textId="77777777" w:rsidR="006E12E2" w:rsidRPr="006E12E2" w:rsidRDefault="006E12E2" w:rsidP="006E12E2">
      <w:pPr>
        <w:pStyle w:val="EndNoteBibliography"/>
        <w:ind w:left="720" w:hanging="720"/>
        <w:rPr>
          <w:noProof/>
        </w:rPr>
      </w:pPr>
      <w:r w:rsidRPr="006E12E2">
        <w:rPr>
          <w:noProof/>
        </w:rPr>
        <w:t xml:space="preserve">PEETERS, M., DOUILLARD, J. Y., VAN CUTSEM, E., SIENA, S., ZHANG, K., WILLIAMS, R. &amp; WIEZOREK, J. 2013. Mutant KRAS codon 12 and 13 alleles in patients with metastatic colorectal cancer: assessment as prognostic and predictive biomarkers of response to panitumumab. </w:t>
      </w:r>
      <w:r w:rsidRPr="006E12E2">
        <w:rPr>
          <w:i/>
          <w:noProof/>
        </w:rPr>
        <w:t>J Clin Oncol,</w:t>
      </w:r>
      <w:r w:rsidRPr="006E12E2">
        <w:rPr>
          <w:noProof/>
        </w:rPr>
        <w:t xml:space="preserve"> 31</w:t>
      </w:r>
      <w:r w:rsidRPr="006E12E2">
        <w:rPr>
          <w:b/>
          <w:noProof/>
        </w:rPr>
        <w:t>,</w:t>
      </w:r>
      <w:r w:rsidRPr="006E12E2">
        <w:rPr>
          <w:noProof/>
        </w:rPr>
        <w:t xml:space="preserve"> 759-65.</w:t>
      </w:r>
    </w:p>
    <w:p w14:paraId="31EA8998" w14:textId="77777777" w:rsidR="006E12E2" w:rsidRPr="006E12E2" w:rsidRDefault="006E12E2" w:rsidP="006E12E2">
      <w:pPr>
        <w:pStyle w:val="EndNoteBibliography"/>
        <w:ind w:left="720" w:hanging="720"/>
        <w:rPr>
          <w:noProof/>
        </w:rPr>
      </w:pPr>
      <w:r w:rsidRPr="006E12E2">
        <w:rPr>
          <w:noProof/>
        </w:rPr>
        <w:t xml:space="preserve">PEREA, J., LOMAS, M. &amp; HIDALGO, M. 2011. Molecular basis of colorectal cancer: Towards an individualized management? Bases moleculares del cáncer colorrectal: ¿Hacia un manejo individualizado? </w:t>
      </w:r>
      <w:r w:rsidRPr="006E12E2">
        <w:rPr>
          <w:i/>
          <w:noProof/>
        </w:rPr>
        <w:t>Revista Espanola de Enfermedades Digestivas,</w:t>
      </w:r>
      <w:r w:rsidRPr="006E12E2">
        <w:rPr>
          <w:noProof/>
        </w:rPr>
        <w:t xml:space="preserve"> 103</w:t>
      </w:r>
      <w:r w:rsidRPr="006E12E2">
        <w:rPr>
          <w:b/>
          <w:noProof/>
        </w:rPr>
        <w:t>,</w:t>
      </w:r>
      <w:r w:rsidRPr="006E12E2">
        <w:rPr>
          <w:noProof/>
        </w:rPr>
        <w:t xml:space="preserve"> 29.</w:t>
      </w:r>
    </w:p>
    <w:p w14:paraId="510BACCB" w14:textId="77777777" w:rsidR="006E12E2" w:rsidRPr="006E12E2" w:rsidRDefault="006E12E2" w:rsidP="006E12E2">
      <w:pPr>
        <w:pStyle w:val="EndNoteBibliography"/>
        <w:ind w:left="720" w:hanging="720"/>
        <w:rPr>
          <w:noProof/>
        </w:rPr>
      </w:pPr>
      <w:r w:rsidRPr="006E12E2">
        <w:rPr>
          <w:noProof/>
        </w:rPr>
        <w:t xml:space="preserve">PEREZ-PINERA, P., KOCAK, D. D., VOCKLEY, C. M., ADLER, A. F., KABADI, A. M., POLSTEIN, L. R., THAKORE, P. I., GLASS, K. A., OUSTEROUT, D. G., LEONG, K. W., GUILAK, F., CRAWFORD, G. E., REDDY, T. E. &amp; GERSBACH, C. A. 2013. RNA-guided gene activation by CRISPR-Cas9-based transcription factors. </w:t>
      </w:r>
      <w:r w:rsidRPr="006E12E2">
        <w:rPr>
          <w:i/>
          <w:noProof/>
        </w:rPr>
        <w:t>Nat Methods,</w:t>
      </w:r>
      <w:r w:rsidRPr="006E12E2">
        <w:rPr>
          <w:noProof/>
        </w:rPr>
        <w:t xml:space="preserve"> 10</w:t>
      </w:r>
      <w:r w:rsidRPr="006E12E2">
        <w:rPr>
          <w:b/>
          <w:noProof/>
        </w:rPr>
        <w:t>,</w:t>
      </w:r>
      <w:r w:rsidRPr="006E12E2">
        <w:rPr>
          <w:noProof/>
        </w:rPr>
        <w:t xml:space="preserve"> 973-6.</w:t>
      </w:r>
    </w:p>
    <w:p w14:paraId="4C06E463" w14:textId="77777777" w:rsidR="006E12E2" w:rsidRPr="006E12E2" w:rsidRDefault="006E12E2" w:rsidP="006E12E2">
      <w:pPr>
        <w:pStyle w:val="EndNoteBibliography"/>
        <w:ind w:left="720" w:hanging="720"/>
        <w:rPr>
          <w:noProof/>
        </w:rPr>
      </w:pPr>
      <w:r w:rsidRPr="006E12E2">
        <w:rPr>
          <w:noProof/>
        </w:rPr>
        <w:t xml:space="preserve">PEROU, C. M., SØRLIE, T., EISEN, M. B., VAN DE RIJN, M., JEFFREY, S. S., REES, C. A., POLLACK, J. R., ROSS, D. T., JOHNSEN, H., AKSLEN, L. A., FLUGE, O., PERGAMENSCHIKOV, A., WILLIAMS, C., ZHU, S. X., LØNNING, P. E., BØRRESEN-DALE, A. L., BROWN, P. O. &amp; BOTSTEIN, D. 2000. Molecular portraits of human breast tumours. </w:t>
      </w:r>
      <w:r w:rsidRPr="006E12E2">
        <w:rPr>
          <w:i/>
          <w:noProof/>
        </w:rPr>
        <w:t>Nature,</w:t>
      </w:r>
      <w:r w:rsidRPr="006E12E2">
        <w:rPr>
          <w:noProof/>
        </w:rPr>
        <w:t xml:space="preserve"> 406</w:t>
      </w:r>
      <w:r w:rsidRPr="006E12E2">
        <w:rPr>
          <w:b/>
          <w:noProof/>
        </w:rPr>
        <w:t>,</w:t>
      </w:r>
      <w:r w:rsidRPr="006E12E2">
        <w:rPr>
          <w:noProof/>
        </w:rPr>
        <w:t xml:space="preserve"> 747-52.</w:t>
      </w:r>
    </w:p>
    <w:p w14:paraId="0297F2D5" w14:textId="77777777" w:rsidR="006E12E2" w:rsidRPr="006E12E2" w:rsidRDefault="006E12E2" w:rsidP="006E12E2">
      <w:pPr>
        <w:pStyle w:val="EndNoteBibliography"/>
        <w:ind w:left="720" w:hanging="720"/>
        <w:rPr>
          <w:noProof/>
        </w:rPr>
      </w:pPr>
      <w:r w:rsidRPr="006E12E2">
        <w:rPr>
          <w:noProof/>
        </w:rPr>
        <w:t xml:space="preserve">PETERS, U., HUTTER, C. M., HSU, L., SCHUMACHER, F. R., CONTI, D. V., CARLSON, C. S., EDLUND, C. K., HAILE, R. W., GALLINGER, S., ZANKE, B. W., LEMIRE, M., RANGREJ, J., VIJAYARAGHAVAN, R., CHAN, A. T., HAZRA, A., HUNTER, D. J., MA, J., FUCHS, C. S., GIOVANNUCCI, E. L., KRAFT, P., LIU, Y., CHEN, L., JIAO, S., MAKAR, K. W., TAVERNA, D., GRUBER, S. B., RENNERT, G., MORENO, V., ULRICH, C. M., WOODS, M. O., GREEN, R. C., PARFREY, P. S., PRENTICE, R. L., KOOPERBERG, C., JACKSON, R. D., LACROIX, A. Z., CAAN, B. J., HAYES, R. B., BERNDT, S. I., CHANOCK, S. J., SCHOEN, R. E., CHANG-CLAUDE, J., HOFFMEISTER, M., BRENNER, H., FRANK, B., BÉZIEAU, S., KÜRY, S., SLATTERY, M. L., HOPPER, J. L., JENKINS, M. A., LE MARCHAND, L., LINDOR, N. M., NEWCOMB, P. A., SEMINARA, D., HUDSON, T. J., DUGGAN, D. J., POTTER, J. D. &amp; CASEY, G. 2012. Meta-analysis of new genome-wide association studies of colorectal cancer risk. </w:t>
      </w:r>
      <w:r w:rsidRPr="006E12E2">
        <w:rPr>
          <w:i/>
          <w:noProof/>
        </w:rPr>
        <w:t>Hum Genet,</w:t>
      </w:r>
      <w:r w:rsidRPr="006E12E2">
        <w:rPr>
          <w:noProof/>
        </w:rPr>
        <w:t xml:space="preserve"> 131</w:t>
      </w:r>
      <w:r w:rsidRPr="006E12E2">
        <w:rPr>
          <w:b/>
          <w:noProof/>
        </w:rPr>
        <w:t>,</w:t>
      </w:r>
      <w:r w:rsidRPr="006E12E2">
        <w:rPr>
          <w:noProof/>
        </w:rPr>
        <w:t xml:space="preserve"> 217-34.</w:t>
      </w:r>
    </w:p>
    <w:p w14:paraId="3B63619E" w14:textId="77777777" w:rsidR="006E12E2" w:rsidRPr="006E12E2" w:rsidRDefault="006E12E2" w:rsidP="006E12E2">
      <w:pPr>
        <w:pStyle w:val="EndNoteBibliography"/>
        <w:ind w:left="720" w:hanging="720"/>
        <w:rPr>
          <w:noProof/>
        </w:rPr>
      </w:pPr>
      <w:r w:rsidRPr="006E12E2">
        <w:rPr>
          <w:noProof/>
        </w:rPr>
        <w:t xml:space="preserve">PHILLIPS, S. M., BANERJEA, A., FEAKINS, R., LI, S. R., BUSTIN, S. A. &amp; DORUDI, S. 2004. Tumour-infiltrating lymphocytes in colorectal cancer with microsatellite instability are activated and cytotoxic. </w:t>
      </w:r>
      <w:r w:rsidRPr="006E12E2">
        <w:rPr>
          <w:i/>
          <w:noProof/>
        </w:rPr>
        <w:t>Br J Surg,</w:t>
      </w:r>
      <w:r w:rsidRPr="006E12E2">
        <w:rPr>
          <w:noProof/>
        </w:rPr>
        <w:t xml:space="preserve"> 91</w:t>
      </w:r>
      <w:r w:rsidRPr="006E12E2">
        <w:rPr>
          <w:b/>
          <w:noProof/>
        </w:rPr>
        <w:t>,</w:t>
      </w:r>
      <w:r w:rsidRPr="006E12E2">
        <w:rPr>
          <w:noProof/>
        </w:rPr>
        <w:t xml:space="preserve"> 469-75.</w:t>
      </w:r>
    </w:p>
    <w:p w14:paraId="43DDB4C1" w14:textId="77777777" w:rsidR="006E12E2" w:rsidRPr="006E12E2" w:rsidRDefault="006E12E2" w:rsidP="006E12E2">
      <w:pPr>
        <w:pStyle w:val="EndNoteBibliography"/>
        <w:ind w:left="720" w:hanging="720"/>
        <w:rPr>
          <w:noProof/>
        </w:rPr>
      </w:pPr>
      <w:r w:rsidRPr="006E12E2">
        <w:rPr>
          <w:noProof/>
        </w:rPr>
        <w:t xml:space="preserve">PINO, M. S. &amp; CHUNG, D. C. 2010. The chromosomal instability pathway in colon cancer. </w:t>
      </w:r>
      <w:r w:rsidRPr="006E12E2">
        <w:rPr>
          <w:i/>
          <w:noProof/>
        </w:rPr>
        <w:t>Gastroenterology,</w:t>
      </w:r>
      <w:r w:rsidRPr="006E12E2">
        <w:rPr>
          <w:noProof/>
        </w:rPr>
        <w:t xml:space="preserve"> 138</w:t>
      </w:r>
      <w:r w:rsidRPr="006E12E2">
        <w:rPr>
          <w:b/>
          <w:noProof/>
        </w:rPr>
        <w:t>,</w:t>
      </w:r>
      <w:r w:rsidRPr="006E12E2">
        <w:rPr>
          <w:noProof/>
        </w:rPr>
        <w:t xml:space="preserve"> 2059-72.</w:t>
      </w:r>
    </w:p>
    <w:p w14:paraId="449C9A89" w14:textId="77777777" w:rsidR="006E12E2" w:rsidRPr="006E12E2" w:rsidRDefault="006E12E2" w:rsidP="006E12E2">
      <w:pPr>
        <w:pStyle w:val="EndNoteBibliography"/>
        <w:ind w:left="720" w:hanging="720"/>
        <w:rPr>
          <w:noProof/>
        </w:rPr>
      </w:pPr>
      <w:r w:rsidRPr="006E12E2">
        <w:rPr>
          <w:noProof/>
        </w:rPr>
        <w:t xml:space="preserve">PINSKY, P. F. 2000. Does Hereditary Nonpolyposis Colorectal Cancer Explain the Observed Excess Risk of Colorectal Cancer Associated with Family History? </w:t>
      </w:r>
      <w:r w:rsidRPr="006E12E2">
        <w:rPr>
          <w:i/>
          <w:noProof/>
        </w:rPr>
        <w:t>Epidemiology,</w:t>
      </w:r>
      <w:r w:rsidRPr="006E12E2">
        <w:rPr>
          <w:noProof/>
        </w:rPr>
        <w:t xml:space="preserve"> 11</w:t>
      </w:r>
      <w:r w:rsidRPr="006E12E2">
        <w:rPr>
          <w:b/>
          <w:noProof/>
        </w:rPr>
        <w:t>,</w:t>
      </w:r>
      <w:r w:rsidRPr="006E12E2">
        <w:rPr>
          <w:noProof/>
        </w:rPr>
        <w:t xml:space="preserve"> 297-303.</w:t>
      </w:r>
    </w:p>
    <w:p w14:paraId="2B2AE0AD" w14:textId="77777777" w:rsidR="006E12E2" w:rsidRPr="006E12E2" w:rsidRDefault="006E12E2" w:rsidP="006E12E2">
      <w:pPr>
        <w:pStyle w:val="EndNoteBibliography"/>
        <w:ind w:left="720" w:hanging="720"/>
        <w:rPr>
          <w:noProof/>
        </w:rPr>
      </w:pPr>
      <w:r w:rsidRPr="006E12E2">
        <w:rPr>
          <w:noProof/>
        </w:rPr>
        <w:t xml:space="preserve">POULOGIANNIS, G., ICHIMURA, K., HAMOUDI, R. A., LUO, F., LEUNG, S. Y., YUEN, S. T., HARRISON, D. J., WYLLIE, A. H. &amp; ARENDS, M. J. 2010. Prognostic relevance of DNA copy number changes in colorectal cancer. </w:t>
      </w:r>
      <w:r w:rsidRPr="006E12E2">
        <w:rPr>
          <w:i/>
          <w:noProof/>
        </w:rPr>
        <w:t>J Pathol,</w:t>
      </w:r>
      <w:r w:rsidRPr="006E12E2">
        <w:rPr>
          <w:noProof/>
        </w:rPr>
        <w:t xml:space="preserve"> 220</w:t>
      </w:r>
      <w:r w:rsidRPr="006E12E2">
        <w:rPr>
          <w:b/>
          <w:noProof/>
        </w:rPr>
        <w:t>,</w:t>
      </w:r>
      <w:r w:rsidRPr="006E12E2">
        <w:rPr>
          <w:noProof/>
        </w:rPr>
        <w:t xml:space="preserve"> 338-47.</w:t>
      </w:r>
    </w:p>
    <w:p w14:paraId="1A2A8390" w14:textId="77777777" w:rsidR="006E12E2" w:rsidRPr="006E12E2" w:rsidRDefault="006E12E2" w:rsidP="006E12E2">
      <w:pPr>
        <w:pStyle w:val="EndNoteBibliography"/>
        <w:ind w:left="720" w:hanging="720"/>
        <w:rPr>
          <w:noProof/>
        </w:rPr>
      </w:pPr>
      <w:r w:rsidRPr="006E12E2">
        <w:rPr>
          <w:noProof/>
        </w:rPr>
        <w:t xml:space="preserve">RAJAGOPALAN, H., BARDELLI, A., LENGAUER, C., KINZLER, K. W., VOGELSTEIN, B. &amp; VELCULESCU, V. E. 2002. Tumorigenesis: RAF/RAS oncogenes and mismatch-repair status. </w:t>
      </w:r>
      <w:r w:rsidRPr="006E12E2">
        <w:rPr>
          <w:i/>
          <w:noProof/>
        </w:rPr>
        <w:t>Nature,</w:t>
      </w:r>
      <w:r w:rsidRPr="006E12E2">
        <w:rPr>
          <w:noProof/>
        </w:rPr>
        <w:t xml:space="preserve"> 418</w:t>
      </w:r>
      <w:r w:rsidRPr="006E12E2">
        <w:rPr>
          <w:b/>
          <w:noProof/>
        </w:rPr>
        <w:t>,</w:t>
      </w:r>
      <w:r w:rsidRPr="006E12E2">
        <w:rPr>
          <w:noProof/>
        </w:rPr>
        <w:t xml:space="preserve"> 934.</w:t>
      </w:r>
    </w:p>
    <w:p w14:paraId="0866A706" w14:textId="77777777" w:rsidR="006E12E2" w:rsidRPr="006E12E2" w:rsidRDefault="006E12E2" w:rsidP="006E12E2">
      <w:pPr>
        <w:pStyle w:val="EndNoteBibliography"/>
        <w:ind w:left="720" w:hanging="720"/>
        <w:rPr>
          <w:noProof/>
        </w:rPr>
      </w:pPr>
      <w:r w:rsidRPr="006E12E2">
        <w:rPr>
          <w:noProof/>
        </w:rPr>
        <w:t xml:space="preserve">RAMPAZZO, P. D., SERRA, P. D., TERRIN, P. D., DE ROSSI, P. D., BERTORELLE, P. D., CANDIOTTO, P. D., BIANCO, P. D., PUCCIARELLI, P. D. &amp; NITTI, P. D. 2010. Relationship between telomere shortening, genetic instability, and site of tumour origin in colorectal cancers. </w:t>
      </w:r>
      <w:r w:rsidRPr="006E12E2">
        <w:rPr>
          <w:i/>
          <w:noProof/>
        </w:rPr>
        <w:t>British Journal of Cancer,</w:t>
      </w:r>
      <w:r w:rsidRPr="006E12E2">
        <w:rPr>
          <w:noProof/>
        </w:rPr>
        <w:t xml:space="preserve"> 102</w:t>
      </w:r>
      <w:r w:rsidRPr="006E12E2">
        <w:rPr>
          <w:b/>
          <w:noProof/>
        </w:rPr>
        <w:t>,</w:t>
      </w:r>
      <w:r w:rsidRPr="006E12E2">
        <w:rPr>
          <w:noProof/>
        </w:rPr>
        <w:t xml:space="preserve"> 1300-1305.</w:t>
      </w:r>
    </w:p>
    <w:p w14:paraId="7079BE23" w14:textId="77777777" w:rsidR="006E12E2" w:rsidRPr="006E12E2" w:rsidRDefault="006E12E2" w:rsidP="006E12E2">
      <w:pPr>
        <w:pStyle w:val="EndNoteBibliography"/>
        <w:ind w:left="720" w:hanging="720"/>
        <w:rPr>
          <w:noProof/>
        </w:rPr>
      </w:pPr>
      <w:r w:rsidRPr="006E12E2">
        <w:rPr>
          <w:noProof/>
        </w:rPr>
        <w:t xml:space="preserve">RAN, F. A., HSU, P. D., WRIGHT, J., AGARWALA, V., SCOTT, D. A. &amp; ZHANG, F. 2013. Genome engineering using the CRISPR-Cas9 system. </w:t>
      </w:r>
      <w:r w:rsidRPr="006E12E2">
        <w:rPr>
          <w:i/>
          <w:noProof/>
        </w:rPr>
        <w:t>Nat Protoc,</w:t>
      </w:r>
      <w:r w:rsidRPr="006E12E2">
        <w:rPr>
          <w:noProof/>
        </w:rPr>
        <w:t xml:space="preserve"> 8</w:t>
      </w:r>
      <w:r w:rsidRPr="006E12E2">
        <w:rPr>
          <w:b/>
          <w:noProof/>
        </w:rPr>
        <w:t>,</w:t>
      </w:r>
      <w:r w:rsidRPr="006E12E2">
        <w:rPr>
          <w:noProof/>
        </w:rPr>
        <w:t xml:space="preserve"> 2281-308.</w:t>
      </w:r>
    </w:p>
    <w:p w14:paraId="41D3B786" w14:textId="77777777" w:rsidR="006E12E2" w:rsidRPr="006E12E2" w:rsidRDefault="006E12E2" w:rsidP="006E12E2">
      <w:pPr>
        <w:pStyle w:val="EndNoteBibliography"/>
        <w:ind w:left="720" w:hanging="720"/>
        <w:rPr>
          <w:noProof/>
        </w:rPr>
      </w:pPr>
      <w:r w:rsidRPr="006E12E2">
        <w:rPr>
          <w:noProof/>
        </w:rPr>
        <w:t xml:space="preserve">RANGASAMY, D. 2010. Histone variant H2A.Z can serve as a new target for breast cancer therapy. </w:t>
      </w:r>
      <w:r w:rsidRPr="006E12E2">
        <w:rPr>
          <w:i/>
          <w:noProof/>
        </w:rPr>
        <w:t>Curr Med Chem,</w:t>
      </w:r>
      <w:r w:rsidRPr="006E12E2">
        <w:rPr>
          <w:noProof/>
        </w:rPr>
        <w:t xml:space="preserve"> 17</w:t>
      </w:r>
      <w:r w:rsidRPr="006E12E2">
        <w:rPr>
          <w:b/>
          <w:noProof/>
        </w:rPr>
        <w:t>,</w:t>
      </w:r>
      <w:r w:rsidRPr="006E12E2">
        <w:rPr>
          <w:noProof/>
        </w:rPr>
        <w:t xml:space="preserve"> 3155-61.</w:t>
      </w:r>
    </w:p>
    <w:p w14:paraId="13AC0DF7" w14:textId="77777777" w:rsidR="006E12E2" w:rsidRPr="006E12E2" w:rsidRDefault="006E12E2" w:rsidP="006E12E2">
      <w:pPr>
        <w:pStyle w:val="EndNoteBibliography"/>
        <w:ind w:left="720" w:hanging="720"/>
        <w:rPr>
          <w:noProof/>
        </w:rPr>
      </w:pPr>
      <w:r w:rsidRPr="006E12E2">
        <w:rPr>
          <w:noProof/>
        </w:rPr>
        <w:t xml:space="preserve">RANGASAMY, D., GREAVES, I. &amp; TREMETHICK, D. J. 2004. RNA interference demonstrates a novel role for H2A.Z in chromosome segregation. </w:t>
      </w:r>
      <w:r w:rsidRPr="006E12E2">
        <w:rPr>
          <w:i/>
          <w:noProof/>
        </w:rPr>
        <w:t>Nat Struct Mol Biol,</w:t>
      </w:r>
      <w:r w:rsidRPr="006E12E2">
        <w:rPr>
          <w:noProof/>
        </w:rPr>
        <w:t xml:space="preserve"> 11</w:t>
      </w:r>
      <w:r w:rsidRPr="006E12E2">
        <w:rPr>
          <w:b/>
          <w:noProof/>
        </w:rPr>
        <w:t>,</w:t>
      </w:r>
      <w:r w:rsidRPr="006E12E2">
        <w:rPr>
          <w:noProof/>
        </w:rPr>
        <w:t xml:space="preserve"> 650-5.</w:t>
      </w:r>
    </w:p>
    <w:p w14:paraId="07599A4D" w14:textId="77777777" w:rsidR="006E12E2" w:rsidRPr="006E12E2" w:rsidRDefault="006E12E2" w:rsidP="006E12E2">
      <w:pPr>
        <w:pStyle w:val="EndNoteBibliography"/>
        <w:ind w:left="720" w:hanging="720"/>
        <w:rPr>
          <w:noProof/>
        </w:rPr>
      </w:pPr>
      <w:r w:rsidRPr="006E12E2">
        <w:rPr>
          <w:noProof/>
        </w:rPr>
        <w:t xml:space="preserve">RASMUSSEN, S. L., KRARUP, H. B., SUNESEN, K. G., PEDERSEN, I. S., MADSEN, P. H. &amp; THORLACIUS-USSING, O. 2016. Hypermethylated DNA as a biomarker for colorectal cancer: a systematic review. </w:t>
      </w:r>
      <w:r w:rsidRPr="006E12E2">
        <w:rPr>
          <w:i/>
          <w:noProof/>
        </w:rPr>
        <w:t>Colorectal Dis,</w:t>
      </w:r>
      <w:r w:rsidRPr="006E12E2">
        <w:rPr>
          <w:noProof/>
        </w:rPr>
        <w:t xml:space="preserve"> 18</w:t>
      </w:r>
      <w:r w:rsidRPr="006E12E2">
        <w:rPr>
          <w:b/>
          <w:noProof/>
        </w:rPr>
        <w:t>,</w:t>
      </w:r>
      <w:r w:rsidRPr="006E12E2">
        <w:rPr>
          <w:noProof/>
        </w:rPr>
        <w:t xml:space="preserve"> 549-61.</w:t>
      </w:r>
    </w:p>
    <w:p w14:paraId="608BDC67" w14:textId="77777777" w:rsidR="006E12E2" w:rsidRPr="006E12E2" w:rsidRDefault="006E12E2" w:rsidP="006E12E2">
      <w:pPr>
        <w:pStyle w:val="EndNoteBibliography"/>
        <w:ind w:left="720" w:hanging="720"/>
        <w:rPr>
          <w:noProof/>
        </w:rPr>
      </w:pPr>
      <w:r w:rsidRPr="006E12E2">
        <w:rPr>
          <w:noProof/>
        </w:rPr>
        <w:t xml:space="preserve">RIBIC, C. M., SARGENT, D. J., MOORE, M. J., THIBODEAU, S. N., FRENCH, A. J., GOLDBERG, R. M., HAMILTON, S. R., LAURENT-PUIG, P., GRYFE, R., SHEPHERD, L. E., TU, D., REDSTON, M. &amp; GALLINGER, S. 2003. Tumor microsatellite-instability status as a predictor of benefit from fluorouracil-based adjuvant chemotherapy for colon cancer. </w:t>
      </w:r>
      <w:r w:rsidRPr="006E12E2">
        <w:rPr>
          <w:i/>
          <w:noProof/>
        </w:rPr>
        <w:t>N Engl J Med,</w:t>
      </w:r>
      <w:r w:rsidRPr="006E12E2">
        <w:rPr>
          <w:noProof/>
        </w:rPr>
        <w:t xml:space="preserve"> 349</w:t>
      </w:r>
      <w:r w:rsidRPr="006E12E2">
        <w:rPr>
          <w:b/>
          <w:noProof/>
        </w:rPr>
        <w:t>,</w:t>
      </w:r>
      <w:r w:rsidRPr="006E12E2">
        <w:rPr>
          <w:noProof/>
        </w:rPr>
        <w:t xml:space="preserve"> 247-57.</w:t>
      </w:r>
    </w:p>
    <w:p w14:paraId="5CBC3C23" w14:textId="77777777" w:rsidR="006E12E2" w:rsidRPr="006E12E2" w:rsidRDefault="006E12E2" w:rsidP="006E12E2">
      <w:pPr>
        <w:pStyle w:val="EndNoteBibliography"/>
        <w:ind w:left="720" w:hanging="720"/>
        <w:rPr>
          <w:noProof/>
        </w:rPr>
      </w:pPr>
      <w:r w:rsidRPr="006E12E2">
        <w:rPr>
          <w:noProof/>
        </w:rPr>
        <w:t xml:space="preserve">RIEDEL, S. S., NEFF, T. &amp; BERNT, K. M. 2015. Histone profiles in cancer. </w:t>
      </w:r>
      <w:r w:rsidRPr="006E12E2">
        <w:rPr>
          <w:i/>
          <w:noProof/>
        </w:rPr>
        <w:t>Pharmacol Ther,</w:t>
      </w:r>
      <w:r w:rsidRPr="006E12E2">
        <w:rPr>
          <w:noProof/>
        </w:rPr>
        <w:t xml:space="preserve"> 154</w:t>
      </w:r>
      <w:r w:rsidRPr="006E12E2">
        <w:rPr>
          <w:b/>
          <w:noProof/>
        </w:rPr>
        <w:t>,</w:t>
      </w:r>
      <w:r w:rsidRPr="006E12E2">
        <w:rPr>
          <w:noProof/>
        </w:rPr>
        <w:t xml:space="preserve"> 87-109.</w:t>
      </w:r>
    </w:p>
    <w:p w14:paraId="7943381D" w14:textId="77777777" w:rsidR="006E12E2" w:rsidRPr="006E12E2" w:rsidRDefault="006E12E2" w:rsidP="006E12E2">
      <w:pPr>
        <w:pStyle w:val="EndNoteBibliography"/>
        <w:ind w:left="720" w:hanging="720"/>
        <w:rPr>
          <w:noProof/>
        </w:rPr>
      </w:pPr>
      <w:r w:rsidRPr="006E12E2">
        <w:rPr>
          <w:noProof/>
        </w:rPr>
        <w:t xml:space="preserve">ROBERTS, M. L., DROSOPOULOS, K. G., VASILEIOU, I., STRICKER, M., TAOUFIK, E., MAERCKER, C., GUIALIS, A., ALEXIS, M. N. &amp; PINTZAS, A. 2006. Microarray analysis of the differential transformation mediated by Kirsten and Harvey Ras oncogenes in a human colorectal adenocarcinoma cell line. </w:t>
      </w:r>
      <w:r w:rsidRPr="006E12E2">
        <w:rPr>
          <w:i/>
          <w:noProof/>
        </w:rPr>
        <w:t>Int J Cancer,</w:t>
      </w:r>
      <w:r w:rsidRPr="006E12E2">
        <w:rPr>
          <w:noProof/>
        </w:rPr>
        <w:t xml:space="preserve"> 118</w:t>
      </w:r>
      <w:r w:rsidRPr="006E12E2">
        <w:rPr>
          <w:b/>
          <w:noProof/>
        </w:rPr>
        <w:t>,</w:t>
      </w:r>
      <w:r w:rsidRPr="006E12E2">
        <w:rPr>
          <w:noProof/>
        </w:rPr>
        <w:t xml:space="preserve"> 616-27.</w:t>
      </w:r>
    </w:p>
    <w:p w14:paraId="1A66A5F7" w14:textId="77777777" w:rsidR="006E12E2" w:rsidRPr="006E12E2" w:rsidRDefault="006E12E2" w:rsidP="006E12E2">
      <w:pPr>
        <w:pStyle w:val="EndNoteBibliography"/>
        <w:ind w:left="720" w:hanging="720"/>
        <w:rPr>
          <w:noProof/>
        </w:rPr>
      </w:pPr>
      <w:r w:rsidRPr="006E12E2">
        <w:rPr>
          <w:noProof/>
        </w:rPr>
        <w:t xml:space="preserve">ROBERTSON, A. B., KLUNGLAND, A., ROGNES, T. &amp; LEIROS, I. 2009. DNA repair in mammalian cells: Base excision repair: the long and short of it. </w:t>
      </w:r>
      <w:r w:rsidRPr="006E12E2">
        <w:rPr>
          <w:i/>
          <w:noProof/>
        </w:rPr>
        <w:t>Cell Mol Life Sci,</w:t>
      </w:r>
      <w:r w:rsidRPr="006E12E2">
        <w:rPr>
          <w:noProof/>
        </w:rPr>
        <w:t xml:space="preserve"> 66</w:t>
      </w:r>
      <w:r w:rsidRPr="006E12E2">
        <w:rPr>
          <w:b/>
          <w:noProof/>
        </w:rPr>
        <w:t>,</w:t>
      </w:r>
      <w:r w:rsidRPr="006E12E2">
        <w:rPr>
          <w:noProof/>
        </w:rPr>
        <w:t xml:space="preserve"> 981-93.</w:t>
      </w:r>
    </w:p>
    <w:p w14:paraId="0E3CF4F8" w14:textId="77777777" w:rsidR="006E12E2" w:rsidRPr="006E12E2" w:rsidRDefault="006E12E2" w:rsidP="006E12E2">
      <w:pPr>
        <w:pStyle w:val="EndNoteBibliography"/>
        <w:ind w:left="720" w:hanging="720"/>
        <w:rPr>
          <w:noProof/>
        </w:rPr>
      </w:pPr>
      <w:r w:rsidRPr="006E12E2">
        <w:rPr>
          <w:noProof/>
        </w:rPr>
        <w:t xml:space="preserve">RODRIGUES, N. R., ROWAN, A., SMITH, M. E., KERR, I. B., BODMER, W. F., GANNON, J. V. &amp; LANE, D. P. 1990. p53 mutations in colorectal cancer. </w:t>
      </w:r>
      <w:r w:rsidRPr="006E12E2">
        <w:rPr>
          <w:i/>
          <w:noProof/>
        </w:rPr>
        <w:t>Proc Natl Acad Sci U S A,</w:t>
      </w:r>
      <w:r w:rsidRPr="006E12E2">
        <w:rPr>
          <w:noProof/>
        </w:rPr>
        <w:t xml:space="preserve"> 87</w:t>
      </w:r>
      <w:r w:rsidRPr="006E12E2">
        <w:rPr>
          <w:b/>
          <w:noProof/>
        </w:rPr>
        <w:t>,</w:t>
      </w:r>
      <w:r w:rsidRPr="006E12E2">
        <w:rPr>
          <w:noProof/>
        </w:rPr>
        <w:t xml:space="preserve"> 7555-9.</w:t>
      </w:r>
    </w:p>
    <w:p w14:paraId="6B99DAB0" w14:textId="77777777" w:rsidR="006E12E2" w:rsidRPr="006E12E2" w:rsidRDefault="006E12E2" w:rsidP="006E12E2">
      <w:pPr>
        <w:pStyle w:val="EndNoteBibliography"/>
        <w:ind w:left="720" w:hanging="720"/>
        <w:rPr>
          <w:noProof/>
        </w:rPr>
      </w:pPr>
      <w:r w:rsidRPr="006E12E2">
        <w:rPr>
          <w:noProof/>
        </w:rPr>
        <w:t xml:space="preserve">RODRIGUEZ-PUEBLA, M. L., ROBLES, A. I. &amp; CONTI, C. J. 1999. ras activity and cyclin D1 expression: an essential mechanism of mouse skin tumor development. </w:t>
      </w:r>
      <w:r w:rsidRPr="006E12E2">
        <w:rPr>
          <w:i/>
          <w:noProof/>
        </w:rPr>
        <w:t>Mol Carcinog,</w:t>
      </w:r>
      <w:r w:rsidRPr="006E12E2">
        <w:rPr>
          <w:noProof/>
        </w:rPr>
        <w:t xml:space="preserve"> 24</w:t>
      </w:r>
      <w:r w:rsidRPr="006E12E2">
        <w:rPr>
          <w:b/>
          <w:noProof/>
        </w:rPr>
        <w:t>,</w:t>
      </w:r>
      <w:r w:rsidRPr="006E12E2">
        <w:rPr>
          <w:noProof/>
        </w:rPr>
        <w:t xml:space="preserve"> 1-6.</w:t>
      </w:r>
    </w:p>
    <w:p w14:paraId="04115249" w14:textId="77777777" w:rsidR="006E12E2" w:rsidRPr="006E12E2" w:rsidRDefault="006E12E2" w:rsidP="006E12E2">
      <w:pPr>
        <w:pStyle w:val="EndNoteBibliography"/>
        <w:ind w:left="720" w:hanging="720"/>
        <w:rPr>
          <w:noProof/>
        </w:rPr>
      </w:pPr>
      <w:r w:rsidRPr="006E12E2">
        <w:rPr>
          <w:noProof/>
        </w:rPr>
        <w:t xml:space="preserve">ROSS, P. L., CHENG, I., LIU, X., CICEK, M. S., CARROLL, P. R., CASEY, G. &amp; WITTE, J. S. 2009. Carboxypeptidase 4 gene variants and early-onset intermediate-to-high risk prostate cancer. </w:t>
      </w:r>
      <w:r w:rsidRPr="006E12E2">
        <w:rPr>
          <w:i/>
          <w:noProof/>
        </w:rPr>
        <w:t>BMC Cancer,</w:t>
      </w:r>
      <w:r w:rsidRPr="006E12E2">
        <w:rPr>
          <w:noProof/>
        </w:rPr>
        <w:t xml:space="preserve"> 9</w:t>
      </w:r>
      <w:r w:rsidRPr="006E12E2">
        <w:rPr>
          <w:b/>
          <w:noProof/>
        </w:rPr>
        <w:t>,</w:t>
      </w:r>
      <w:r w:rsidRPr="006E12E2">
        <w:rPr>
          <w:noProof/>
        </w:rPr>
        <w:t xml:space="preserve"> 69.</w:t>
      </w:r>
    </w:p>
    <w:p w14:paraId="5C0A972A" w14:textId="77777777" w:rsidR="006E12E2" w:rsidRPr="006E12E2" w:rsidRDefault="006E12E2" w:rsidP="006E12E2">
      <w:pPr>
        <w:pStyle w:val="EndNoteBibliography"/>
        <w:ind w:left="720" w:hanging="720"/>
        <w:rPr>
          <w:noProof/>
        </w:rPr>
      </w:pPr>
      <w:r w:rsidRPr="006E12E2">
        <w:rPr>
          <w:noProof/>
        </w:rPr>
        <w:t xml:space="preserve">ROTHENBERG, M. L., COX, J. V., DEVORE, R. F., HAINSWORTH, J. D., PAZDUR, R., RIVKIN, S. E., MACDONALD, J. S., GEYER, C. E., SANDBACH, J., WOLF, D. L., MOHRLAND, J. S., ELFRING, G. L., MILLER, L. L. &amp; VON HOFF, D. D. 1999. A multicenter, phase II trial of weekly irinotecan (CPT-11) in patients with previously treated colorectal carcinoma. </w:t>
      </w:r>
      <w:r w:rsidRPr="006E12E2">
        <w:rPr>
          <w:i/>
          <w:noProof/>
        </w:rPr>
        <w:t>Cancer,</w:t>
      </w:r>
      <w:r w:rsidRPr="006E12E2">
        <w:rPr>
          <w:noProof/>
        </w:rPr>
        <w:t xml:space="preserve"> 85</w:t>
      </w:r>
      <w:r w:rsidRPr="006E12E2">
        <w:rPr>
          <w:b/>
          <w:noProof/>
        </w:rPr>
        <w:t>,</w:t>
      </w:r>
      <w:r w:rsidRPr="006E12E2">
        <w:rPr>
          <w:noProof/>
        </w:rPr>
        <w:t xml:space="preserve"> 786-95.</w:t>
      </w:r>
    </w:p>
    <w:p w14:paraId="404AAA63" w14:textId="77777777" w:rsidR="006E12E2" w:rsidRPr="006E12E2" w:rsidRDefault="006E12E2" w:rsidP="006E12E2">
      <w:pPr>
        <w:pStyle w:val="EndNoteBibliography"/>
        <w:ind w:left="720" w:hanging="720"/>
        <w:rPr>
          <w:noProof/>
        </w:rPr>
      </w:pPr>
      <w:r w:rsidRPr="006E12E2">
        <w:rPr>
          <w:noProof/>
        </w:rPr>
        <w:t xml:space="preserve">RUAN, H., YANG, H., WEI, H., XIAO, W., LOU, N., QIU, B., XU, G., SONG, Z., XIAO, H., LIU, L., ZHOU, Y., HU, W., CHEN, K., CHEN, X. &amp; ZHANG, X. 2017. Overexpression of SOX4 promotes cell migration and invasion of renal cell carcinoma by inducing epithelial-mesenchymal transition. </w:t>
      </w:r>
      <w:r w:rsidRPr="006E12E2">
        <w:rPr>
          <w:i/>
          <w:noProof/>
        </w:rPr>
        <w:t>Int J Oncol,</w:t>
      </w:r>
      <w:r w:rsidRPr="006E12E2">
        <w:rPr>
          <w:noProof/>
        </w:rPr>
        <w:t xml:space="preserve"> 51</w:t>
      </w:r>
      <w:r w:rsidRPr="006E12E2">
        <w:rPr>
          <w:b/>
          <w:noProof/>
        </w:rPr>
        <w:t>,</w:t>
      </w:r>
      <w:r w:rsidRPr="006E12E2">
        <w:rPr>
          <w:noProof/>
        </w:rPr>
        <w:t xml:space="preserve"> 336-346.</w:t>
      </w:r>
    </w:p>
    <w:p w14:paraId="3B1B38F2" w14:textId="77777777" w:rsidR="006E12E2" w:rsidRPr="006E12E2" w:rsidRDefault="006E12E2" w:rsidP="006E12E2">
      <w:pPr>
        <w:pStyle w:val="EndNoteBibliography"/>
        <w:ind w:left="720" w:hanging="720"/>
        <w:rPr>
          <w:noProof/>
        </w:rPr>
      </w:pPr>
      <w:r w:rsidRPr="006E12E2">
        <w:rPr>
          <w:noProof/>
        </w:rPr>
        <w:t xml:space="preserve">RUHL, D. D., JIN, J., CAI, Y., SWANSON, S., FLORENS, L., WASHBURN, M. P., CONAWAY, R. C., CONAWAY, J. W. &amp; CHRIVIA, J. C. 2006. Purification of a human SRCAP complex that remodels chromatin by incorporating the histone variant H2A.Z into nucleosomes. </w:t>
      </w:r>
      <w:r w:rsidRPr="006E12E2">
        <w:rPr>
          <w:i/>
          <w:noProof/>
        </w:rPr>
        <w:t>Biochemistry,</w:t>
      </w:r>
      <w:r w:rsidRPr="006E12E2">
        <w:rPr>
          <w:noProof/>
        </w:rPr>
        <w:t xml:space="preserve"> 45</w:t>
      </w:r>
      <w:r w:rsidRPr="006E12E2">
        <w:rPr>
          <w:b/>
          <w:noProof/>
        </w:rPr>
        <w:t>,</w:t>
      </w:r>
      <w:r w:rsidRPr="006E12E2">
        <w:rPr>
          <w:noProof/>
        </w:rPr>
        <w:t xml:space="preserve"> 5671-7.</w:t>
      </w:r>
    </w:p>
    <w:p w14:paraId="5B01980E" w14:textId="77777777" w:rsidR="006E12E2" w:rsidRPr="006E12E2" w:rsidRDefault="006E12E2" w:rsidP="006E12E2">
      <w:pPr>
        <w:pStyle w:val="EndNoteBibliography"/>
        <w:ind w:left="720" w:hanging="720"/>
        <w:rPr>
          <w:noProof/>
        </w:rPr>
      </w:pPr>
      <w:r w:rsidRPr="006E12E2">
        <w:rPr>
          <w:noProof/>
        </w:rPr>
        <w:t xml:space="preserve">SADANANDAM, A., LYSSIOTIS, C. A., HOMICSKO, K., COLLISSON, E. A., GIBB, W. J., WULLSCHLEGER, S., OSTOS, L. C., LANNON, W. A., GROTZINGER, C., DEL RIO, M., LHERMITTE, B., OLSHEN, A. B., WIEDENMANN, B., CANTLEY, L. C., GRAY, J. W. &amp; HANAHAN, D. 2013. A colorectal cancer classification system that associates cellular phenotype and responses to therapy. </w:t>
      </w:r>
      <w:r w:rsidRPr="006E12E2">
        <w:rPr>
          <w:i/>
          <w:noProof/>
        </w:rPr>
        <w:t>Nat Med,</w:t>
      </w:r>
      <w:r w:rsidRPr="006E12E2">
        <w:rPr>
          <w:noProof/>
        </w:rPr>
        <w:t xml:space="preserve"> 19</w:t>
      </w:r>
      <w:r w:rsidRPr="006E12E2">
        <w:rPr>
          <w:b/>
          <w:noProof/>
        </w:rPr>
        <w:t>,</w:t>
      </w:r>
      <w:r w:rsidRPr="006E12E2">
        <w:rPr>
          <w:noProof/>
        </w:rPr>
        <w:t xml:space="preserve"> 619-25.</w:t>
      </w:r>
    </w:p>
    <w:p w14:paraId="3310A01B" w14:textId="77777777" w:rsidR="006E12E2" w:rsidRPr="006E12E2" w:rsidRDefault="006E12E2" w:rsidP="006E12E2">
      <w:pPr>
        <w:pStyle w:val="EndNoteBibliography"/>
        <w:ind w:left="720" w:hanging="720"/>
        <w:rPr>
          <w:noProof/>
        </w:rPr>
      </w:pPr>
      <w:r w:rsidRPr="006E12E2">
        <w:rPr>
          <w:noProof/>
        </w:rPr>
        <w:t xml:space="preserve">SALAHSHOR, S., KRESSNER, U., FISCHER, H., LINDMARK, G., GLIMELIUS, B., PÅHLMAN, L. &amp; LINDBLOM, A. 1999. Microsatellite instability in sporadic colorectal cancer is not an independent prognostic factor. </w:t>
      </w:r>
      <w:r w:rsidRPr="006E12E2">
        <w:rPr>
          <w:i/>
          <w:noProof/>
        </w:rPr>
        <w:t>Br J Cancer,</w:t>
      </w:r>
      <w:r w:rsidRPr="006E12E2">
        <w:rPr>
          <w:noProof/>
        </w:rPr>
        <w:t xml:space="preserve"> 81</w:t>
      </w:r>
      <w:r w:rsidRPr="006E12E2">
        <w:rPr>
          <w:b/>
          <w:noProof/>
        </w:rPr>
        <w:t>,</w:t>
      </w:r>
      <w:r w:rsidRPr="006E12E2">
        <w:rPr>
          <w:noProof/>
        </w:rPr>
        <w:t xml:space="preserve"> 190-3.</w:t>
      </w:r>
    </w:p>
    <w:p w14:paraId="4079A9B6" w14:textId="77777777" w:rsidR="006E12E2" w:rsidRPr="006E12E2" w:rsidRDefault="006E12E2" w:rsidP="006E12E2">
      <w:pPr>
        <w:pStyle w:val="EndNoteBibliography"/>
        <w:ind w:left="720" w:hanging="720"/>
        <w:rPr>
          <w:noProof/>
        </w:rPr>
      </w:pPr>
      <w:r w:rsidRPr="006E12E2">
        <w:rPr>
          <w:noProof/>
        </w:rPr>
        <w:t xml:space="preserve">SANKILA, R., AALTONEN, L. A., JÄRVINEN, H. J. &amp; MECKLIN, J. P. 1996. Better survival rates in patients with MLH1-associated hereditary colorectal cancer. </w:t>
      </w:r>
      <w:r w:rsidRPr="006E12E2">
        <w:rPr>
          <w:i/>
          <w:noProof/>
        </w:rPr>
        <w:t>Gastroenterology,</w:t>
      </w:r>
      <w:r w:rsidRPr="006E12E2">
        <w:rPr>
          <w:noProof/>
        </w:rPr>
        <w:t xml:space="preserve"> 110</w:t>
      </w:r>
      <w:r w:rsidRPr="006E12E2">
        <w:rPr>
          <w:b/>
          <w:noProof/>
        </w:rPr>
        <w:t>,</w:t>
      </w:r>
      <w:r w:rsidRPr="006E12E2">
        <w:rPr>
          <w:noProof/>
        </w:rPr>
        <w:t xml:space="preserve"> 682-7.</w:t>
      </w:r>
    </w:p>
    <w:p w14:paraId="0B3E008E" w14:textId="77777777" w:rsidR="006E12E2" w:rsidRPr="006E12E2" w:rsidRDefault="006E12E2" w:rsidP="006E12E2">
      <w:pPr>
        <w:pStyle w:val="EndNoteBibliography"/>
        <w:ind w:left="720" w:hanging="720"/>
        <w:rPr>
          <w:noProof/>
        </w:rPr>
      </w:pPr>
      <w:r w:rsidRPr="006E12E2">
        <w:rPr>
          <w:noProof/>
        </w:rPr>
        <w:t xml:space="preserve">SANTIN, A. D., ZHAN, F., BELLONE, S., PALMIERI, M., CANE, S., BIGNOTTI, E., ANFOSSI, S., GOKDEN, M., DUNN, D., ROMAN, J. J., O'BRIEN, T. J., TIAN, E., CANNON, M. J., SHAUGHNESSY, J. &amp; PECORELLI, S. 2004. Gene expression profiles in primary ovarian serous papillary tumors and normal ovarian epithelium: identification of candidate molecular markers for ovarian cancer diagnosis and therapy. </w:t>
      </w:r>
      <w:r w:rsidRPr="006E12E2">
        <w:rPr>
          <w:i/>
          <w:noProof/>
        </w:rPr>
        <w:t>Int J Cancer,</w:t>
      </w:r>
      <w:r w:rsidRPr="006E12E2">
        <w:rPr>
          <w:noProof/>
        </w:rPr>
        <w:t xml:space="preserve"> 112</w:t>
      </w:r>
      <w:r w:rsidRPr="006E12E2">
        <w:rPr>
          <w:b/>
          <w:noProof/>
        </w:rPr>
        <w:t>,</w:t>
      </w:r>
      <w:r w:rsidRPr="006E12E2">
        <w:rPr>
          <w:noProof/>
        </w:rPr>
        <w:t xml:space="preserve"> 14-25.</w:t>
      </w:r>
    </w:p>
    <w:p w14:paraId="2FD9FFDE" w14:textId="77777777" w:rsidR="006E12E2" w:rsidRPr="006E12E2" w:rsidRDefault="006E12E2" w:rsidP="006E12E2">
      <w:pPr>
        <w:pStyle w:val="EndNoteBibliography"/>
        <w:ind w:left="720" w:hanging="720"/>
        <w:rPr>
          <w:noProof/>
        </w:rPr>
      </w:pPr>
      <w:r w:rsidRPr="006E12E2">
        <w:rPr>
          <w:noProof/>
        </w:rPr>
        <w:t xml:space="preserve">SASAKI, Y., AKASU, T., SAITO, N., KOJIMA, H., MATSUDA, K., NAKAMORI, S., KOMORI, K., AMAGAI, K., YAMAGUCHI, T., OHUE, M., NAGASHIMA, K. &amp; YAMADA, Y. 2016. Prognostic and predictive value of extended RAS mutation and mismatch repair status in stage III colorectal cancer. </w:t>
      </w:r>
      <w:r w:rsidRPr="006E12E2">
        <w:rPr>
          <w:i/>
          <w:noProof/>
        </w:rPr>
        <w:t>Cancer Sci,</w:t>
      </w:r>
      <w:r w:rsidRPr="006E12E2">
        <w:rPr>
          <w:noProof/>
        </w:rPr>
        <w:t xml:space="preserve"> 107</w:t>
      </w:r>
      <w:r w:rsidRPr="006E12E2">
        <w:rPr>
          <w:b/>
          <w:noProof/>
        </w:rPr>
        <w:t>,</w:t>
      </w:r>
      <w:r w:rsidRPr="006E12E2">
        <w:rPr>
          <w:noProof/>
        </w:rPr>
        <w:t xml:space="preserve"> 1006-12.</w:t>
      </w:r>
    </w:p>
    <w:p w14:paraId="5730A515" w14:textId="77777777" w:rsidR="006E12E2" w:rsidRPr="006E12E2" w:rsidRDefault="006E12E2" w:rsidP="006E12E2">
      <w:pPr>
        <w:pStyle w:val="EndNoteBibliography"/>
        <w:ind w:left="720" w:hanging="720"/>
        <w:rPr>
          <w:noProof/>
        </w:rPr>
      </w:pPr>
      <w:r w:rsidRPr="006E12E2">
        <w:rPr>
          <w:noProof/>
        </w:rPr>
        <w:t xml:space="preserve">SCHENA, M., SHALON, D., DAVIS, R. W. &amp; BROWN, P. O. 1995. Quantitative monitoring of gene expression patterns with a complementary DNA microarray. </w:t>
      </w:r>
      <w:r w:rsidRPr="006E12E2">
        <w:rPr>
          <w:i/>
          <w:noProof/>
        </w:rPr>
        <w:t>Science,</w:t>
      </w:r>
      <w:r w:rsidRPr="006E12E2">
        <w:rPr>
          <w:noProof/>
        </w:rPr>
        <w:t xml:space="preserve"> 270</w:t>
      </w:r>
      <w:r w:rsidRPr="006E12E2">
        <w:rPr>
          <w:b/>
          <w:noProof/>
        </w:rPr>
        <w:t>,</w:t>
      </w:r>
      <w:r w:rsidRPr="006E12E2">
        <w:rPr>
          <w:noProof/>
        </w:rPr>
        <w:t xml:space="preserve"> 467-70.</w:t>
      </w:r>
    </w:p>
    <w:p w14:paraId="4A12DA08" w14:textId="77777777" w:rsidR="006E12E2" w:rsidRPr="006E12E2" w:rsidRDefault="006E12E2" w:rsidP="006E12E2">
      <w:pPr>
        <w:pStyle w:val="EndNoteBibliography"/>
        <w:ind w:left="720" w:hanging="720"/>
        <w:rPr>
          <w:noProof/>
        </w:rPr>
      </w:pPr>
      <w:r w:rsidRPr="006E12E2">
        <w:rPr>
          <w:noProof/>
        </w:rPr>
        <w:t xml:space="preserve">SCHINKE-BRAUN, M. &amp; COUGET, J. A. 2007. Expression profiling using affymetrix genechip probe arrays. </w:t>
      </w:r>
      <w:r w:rsidRPr="006E12E2">
        <w:rPr>
          <w:i/>
          <w:noProof/>
        </w:rPr>
        <w:t>Methods Mol Biol,</w:t>
      </w:r>
      <w:r w:rsidRPr="006E12E2">
        <w:rPr>
          <w:noProof/>
        </w:rPr>
        <w:t xml:space="preserve"> 366</w:t>
      </w:r>
      <w:r w:rsidRPr="006E12E2">
        <w:rPr>
          <w:b/>
          <w:noProof/>
        </w:rPr>
        <w:t>,</w:t>
      </w:r>
      <w:r w:rsidRPr="006E12E2">
        <w:rPr>
          <w:noProof/>
        </w:rPr>
        <w:t xml:space="preserve"> 13-40.</w:t>
      </w:r>
    </w:p>
    <w:p w14:paraId="40889166" w14:textId="77777777" w:rsidR="006E12E2" w:rsidRPr="006E12E2" w:rsidRDefault="006E12E2" w:rsidP="006E12E2">
      <w:pPr>
        <w:pStyle w:val="EndNoteBibliography"/>
        <w:ind w:left="720" w:hanging="720"/>
        <w:rPr>
          <w:noProof/>
        </w:rPr>
      </w:pPr>
      <w:r w:rsidRPr="006E12E2">
        <w:rPr>
          <w:noProof/>
        </w:rPr>
        <w:t xml:space="preserve">SCHIRRIPA, M. &amp; LENZ, H. J. 2016. Biomarker in Colorectal Cancer. </w:t>
      </w:r>
      <w:r w:rsidRPr="006E12E2">
        <w:rPr>
          <w:i/>
          <w:noProof/>
        </w:rPr>
        <w:t>Cancer J,</w:t>
      </w:r>
      <w:r w:rsidRPr="006E12E2">
        <w:rPr>
          <w:noProof/>
        </w:rPr>
        <w:t xml:space="preserve"> 22</w:t>
      </w:r>
      <w:r w:rsidRPr="006E12E2">
        <w:rPr>
          <w:b/>
          <w:noProof/>
        </w:rPr>
        <w:t>,</w:t>
      </w:r>
      <w:r w:rsidRPr="006E12E2">
        <w:rPr>
          <w:noProof/>
        </w:rPr>
        <w:t xml:space="preserve"> 156-64.</w:t>
      </w:r>
    </w:p>
    <w:p w14:paraId="44DCDEE0" w14:textId="77777777" w:rsidR="006E12E2" w:rsidRPr="006E12E2" w:rsidRDefault="006E12E2" w:rsidP="006E12E2">
      <w:pPr>
        <w:pStyle w:val="EndNoteBibliography"/>
        <w:ind w:left="720" w:hanging="720"/>
        <w:rPr>
          <w:noProof/>
        </w:rPr>
      </w:pPr>
      <w:r w:rsidRPr="006E12E2">
        <w:rPr>
          <w:noProof/>
        </w:rPr>
        <w:t xml:space="preserve">SCHMOLL, H., VAN CUTSEM, E., STEIN, A., VALENTINI, V., GLIMELIUS, B., HAUSTERMANS, K., NORDLINGER, B., VAN DE VELDE, C. J., BALMANA, J., REGULA, J., NAGTEGAAL, I., BEETS-TAN, R. G., ARNOLD, D., CIARDIELLO, F., HOFF, P., KERR, D., KOHNE, C., LABIANCA, R., PRICE, T., SCHEITHAUER, W., SOBRERO, A., TABERNERO, J., ADERKA, D., BARROSO, S., BODOKY, G., DOUILLARD, J., EL GHAZALY, H., GALLARDO, J., GARIN, A., GLYNNE-JONES, R., JORDAN, K., MESHCHERYAKOV, A., PAPAMICHAIL, D., PFEIFFER, P., SOUGLAKOS, I., TURHAL, S. &amp; CERVANTES, A. 2012. ESMO Consensus Guidelines for management of patients with colon and rectal cancer. A personalized approach to clinical decision making. </w:t>
      </w:r>
      <w:r w:rsidRPr="006E12E2">
        <w:rPr>
          <w:i/>
          <w:noProof/>
        </w:rPr>
        <w:t>Ann. Oncol.,</w:t>
      </w:r>
      <w:r w:rsidRPr="006E12E2">
        <w:rPr>
          <w:noProof/>
        </w:rPr>
        <w:t xml:space="preserve"> 23</w:t>
      </w:r>
      <w:r w:rsidRPr="006E12E2">
        <w:rPr>
          <w:b/>
          <w:noProof/>
        </w:rPr>
        <w:t>,</w:t>
      </w:r>
      <w:r w:rsidRPr="006E12E2">
        <w:rPr>
          <w:noProof/>
        </w:rPr>
        <w:t xml:space="preserve"> 2479-2516.</w:t>
      </w:r>
    </w:p>
    <w:p w14:paraId="12235307" w14:textId="77777777" w:rsidR="006E12E2" w:rsidRPr="006E12E2" w:rsidRDefault="006E12E2" w:rsidP="006E12E2">
      <w:pPr>
        <w:pStyle w:val="EndNoteBibliography"/>
        <w:ind w:left="720" w:hanging="720"/>
        <w:rPr>
          <w:noProof/>
        </w:rPr>
      </w:pPr>
      <w:r w:rsidRPr="006E12E2">
        <w:rPr>
          <w:noProof/>
        </w:rPr>
        <w:t xml:space="preserve">SCHULTZ, L. B., CHEHAB, N. H., MALIKZAY, A. &amp; HALAZONETIS, T. D. 2000. p53 binding protein 1 (53BP1) is an early participant in the cellular response to DNA double-strand breaks. </w:t>
      </w:r>
      <w:r w:rsidRPr="006E12E2">
        <w:rPr>
          <w:i/>
          <w:noProof/>
        </w:rPr>
        <w:t>J Cell Biol,</w:t>
      </w:r>
      <w:r w:rsidRPr="006E12E2">
        <w:rPr>
          <w:noProof/>
        </w:rPr>
        <w:t xml:space="preserve"> 151</w:t>
      </w:r>
      <w:r w:rsidRPr="006E12E2">
        <w:rPr>
          <w:b/>
          <w:noProof/>
        </w:rPr>
        <w:t>,</w:t>
      </w:r>
      <w:r w:rsidRPr="006E12E2">
        <w:rPr>
          <w:noProof/>
        </w:rPr>
        <w:t xml:space="preserve"> 1381-90.</w:t>
      </w:r>
    </w:p>
    <w:p w14:paraId="01B28BE4" w14:textId="77777777" w:rsidR="006E12E2" w:rsidRPr="006E12E2" w:rsidRDefault="006E12E2" w:rsidP="006E12E2">
      <w:pPr>
        <w:pStyle w:val="EndNoteBibliography"/>
        <w:ind w:left="720" w:hanging="720"/>
        <w:rPr>
          <w:noProof/>
        </w:rPr>
      </w:pPr>
      <w:r w:rsidRPr="006E12E2">
        <w:rPr>
          <w:noProof/>
        </w:rPr>
        <w:t xml:space="preserve">SEIFERT, W., MEINECKE, P., KRÜGER, G., ROSSIER, E., HEINRITZ, W., WÜSTHOF, A. &amp; HORN, D. 2014. Expanded spectrum of exon 33 and 34 mutations in SRCAP and follow-up in patients with Floating-Harbor syndrome. </w:t>
      </w:r>
      <w:r w:rsidRPr="006E12E2">
        <w:rPr>
          <w:i/>
          <w:noProof/>
        </w:rPr>
        <w:t>BMC Med Genet,</w:t>
      </w:r>
      <w:r w:rsidRPr="006E12E2">
        <w:rPr>
          <w:noProof/>
        </w:rPr>
        <w:t xml:space="preserve"> 15</w:t>
      </w:r>
      <w:r w:rsidRPr="006E12E2">
        <w:rPr>
          <w:b/>
          <w:noProof/>
        </w:rPr>
        <w:t>,</w:t>
      </w:r>
      <w:r w:rsidRPr="006E12E2">
        <w:rPr>
          <w:noProof/>
        </w:rPr>
        <w:t xml:space="preserve"> 127.</w:t>
      </w:r>
    </w:p>
    <w:p w14:paraId="4CE3D3DC" w14:textId="77777777" w:rsidR="006E12E2" w:rsidRPr="006E12E2" w:rsidRDefault="006E12E2" w:rsidP="006E12E2">
      <w:pPr>
        <w:pStyle w:val="EndNoteBibliography"/>
        <w:ind w:left="720" w:hanging="720"/>
        <w:rPr>
          <w:noProof/>
        </w:rPr>
      </w:pPr>
      <w:r w:rsidRPr="006E12E2">
        <w:rPr>
          <w:noProof/>
        </w:rPr>
        <w:t xml:space="preserve">SHARMA, A., SINGH, K. &amp; ALMASAN, A. 2012. Histone H2AX phosphorylation: a marker for DNA damage. </w:t>
      </w:r>
      <w:r w:rsidRPr="006E12E2">
        <w:rPr>
          <w:i/>
          <w:noProof/>
        </w:rPr>
        <w:t>Methods Mol Biol,</w:t>
      </w:r>
      <w:r w:rsidRPr="006E12E2">
        <w:rPr>
          <w:noProof/>
        </w:rPr>
        <w:t xml:space="preserve"> 920</w:t>
      </w:r>
      <w:r w:rsidRPr="006E12E2">
        <w:rPr>
          <w:b/>
          <w:noProof/>
        </w:rPr>
        <w:t>,</w:t>
      </w:r>
      <w:r w:rsidRPr="006E12E2">
        <w:rPr>
          <w:noProof/>
        </w:rPr>
        <w:t xml:space="preserve"> 613-26.</w:t>
      </w:r>
    </w:p>
    <w:p w14:paraId="790F70DC" w14:textId="77777777" w:rsidR="006E12E2" w:rsidRPr="006E12E2" w:rsidRDefault="006E12E2" w:rsidP="006E12E2">
      <w:pPr>
        <w:pStyle w:val="EndNoteBibliography"/>
        <w:ind w:left="720" w:hanging="720"/>
        <w:rPr>
          <w:noProof/>
        </w:rPr>
      </w:pPr>
      <w:r w:rsidRPr="006E12E2">
        <w:rPr>
          <w:noProof/>
        </w:rPr>
        <w:t xml:space="preserve">SHUCK, S. C., SHORT, E. A. &amp; TURCHI, J. J. 2008. Eukaryotic nucleotide excision repair: from understanding mechanisms to influencing biology. </w:t>
      </w:r>
      <w:r w:rsidRPr="006E12E2">
        <w:rPr>
          <w:i/>
          <w:noProof/>
        </w:rPr>
        <w:t>Cell Res,</w:t>
      </w:r>
      <w:r w:rsidRPr="006E12E2">
        <w:rPr>
          <w:noProof/>
        </w:rPr>
        <w:t xml:space="preserve"> 18</w:t>
      </w:r>
      <w:r w:rsidRPr="006E12E2">
        <w:rPr>
          <w:b/>
          <w:noProof/>
        </w:rPr>
        <w:t>,</w:t>
      </w:r>
      <w:r w:rsidRPr="006E12E2">
        <w:rPr>
          <w:noProof/>
        </w:rPr>
        <w:t xml:space="preserve"> 64-72.</w:t>
      </w:r>
    </w:p>
    <w:p w14:paraId="7FC15FB4" w14:textId="77777777" w:rsidR="006E12E2" w:rsidRPr="006E12E2" w:rsidRDefault="006E12E2" w:rsidP="006E12E2">
      <w:pPr>
        <w:pStyle w:val="EndNoteBibliography"/>
        <w:ind w:left="720" w:hanging="720"/>
        <w:rPr>
          <w:noProof/>
        </w:rPr>
      </w:pPr>
      <w:r w:rsidRPr="006E12E2">
        <w:rPr>
          <w:noProof/>
        </w:rPr>
        <w:t xml:space="preserve">SJÖBLOM, T., JONES, S., WOOD, L. D., PARSONS, D. W., LIN, J., BARBER, T. D., MANDELKER, D., LEARY, R. J., PTAK, J., SILLIMAN, N., SZABO, S., BUCKHAULTS, P., FARRELL, C., MEEH, P., MARKOWITZ, S. D., WILLIS, J., DAWSON, D., WILLSON, J. K., GAZDAR, A. F., HARTIGAN, J., WU, L., LIU, C., PARMIGIANI, G., PARK, B. H., BACHMAN, K. E., PAPADOPOULOS, N., VOGELSTEIN, B., KINZLER, K. W. &amp; VELCULESCU, V. E. 2006. The consensus coding sequences of human breast and colorectal cancers. </w:t>
      </w:r>
      <w:r w:rsidRPr="006E12E2">
        <w:rPr>
          <w:i/>
          <w:noProof/>
        </w:rPr>
        <w:t>Science,</w:t>
      </w:r>
      <w:r w:rsidRPr="006E12E2">
        <w:rPr>
          <w:noProof/>
        </w:rPr>
        <w:t xml:space="preserve"> 314</w:t>
      </w:r>
      <w:r w:rsidRPr="006E12E2">
        <w:rPr>
          <w:b/>
          <w:noProof/>
        </w:rPr>
        <w:t>,</w:t>
      </w:r>
      <w:r w:rsidRPr="006E12E2">
        <w:rPr>
          <w:noProof/>
        </w:rPr>
        <w:t xml:space="preserve"> 268-74.</w:t>
      </w:r>
    </w:p>
    <w:p w14:paraId="41600B5E" w14:textId="77777777" w:rsidR="006E12E2" w:rsidRPr="006E12E2" w:rsidRDefault="006E12E2" w:rsidP="006E12E2">
      <w:pPr>
        <w:pStyle w:val="EndNoteBibliography"/>
        <w:ind w:left="720" w:hanging="720"/>
        <w:rPr>
          <w:noProof/>
        </w:rPr>
      </w:pPr>
      <w:r w:rsidRPr="006E12E2">
        <w:rPr>
          <w:noProof/>
        </w:rPr>
        <w:t xml:space="preserve">SLUPIANEK, A., YERRUM, S., SAFADI, F. F. &amp; MONROY, M. A. 2010. The chromatin remodeling factor SRCAP modulates expression of prostate specific antigen and cellular proliferation in prostate cancer cells. </w:t>
      </w:r>
      <w:r w:rsidRPr="006E12E2">
        <w:rPr>
          <w:i/>
          <w:noProof/>
        </w:rPr>
        <w:t>J Cell Physiol,</w:t>
      </w:r>
      <w:r w:rsidRPr="006E12E2">
        <w:rPr>
          <w:noProof/>
        </w:rPr>
        <w:t xml:space="preserve"> 224</w:t>
      </w:r>
      <w:r w:rsidRPr="006E12E2">
        <w:rPr>
          <w:b/>
          <w:noProof/>
        </w:rPr>
        <w:t>,</w:t>
      </w:r>
      <w:r w:rsidRPr="006E12E2">
        <w:rPr>
          <w:noProof/>
        </w:rPr>
        <w:t xml:space="preserve"> 369-75.</w:t>
      </w:r>
    </w:p>
    <w:p w14:paraId="637C02E9" w14:textId="77777777" w:rsidR="006E12E2" w:rsidRPr="006E12E2" w:rsidRDefault="006E12E2" w:rsidP="006E12E2">
      <w:pPr>
        <w:pStyle w:val="EndNoteBibliography"/>
        <w:ind w:left="720" w:hanging="720"/>
        <w:rPr>
          <w:noProof/>
        </w:rPr>
      </w:pPr>
      <w:r w:rsidRPr="006E12E2">
        <w:rPr>
          <w:noProof/>
        </w:rPr>
        <w:t xml:space="preserve">SOUGLAKOS, J. 2007. Genetic alterations in sporadic and hereditary colorectal cancer: implementations for screening and follow-up. </w:t>
      </w:r>
      <w:r w:rsidRPr="006E12E2">
        <w:rPr>
          <w:i/>
          <w:noProof/>
        </w:rPr>
        <w:t>Dig Dis,</w:t>
      </w:r>
      <w:r w:rsidRPr="006E12E2">
        <w:rPr>
          <w:noProof/>
        </w:rPr>
        <w:t xml:space="preserve"> 25</w:t>
      </w:r>
      <w:r w:rsidRPr="006E12E2">
        <w:rPr>
          <w:b/>
          <w:noProof/>
        </w:rPr>
        <w:t>,</w:t>
      </w:r>
      <w:r w:rsidRPr="006E12E2">
        <w:rPr>
          <w:noProof/>
        </w:rPr>
        <w:t xml:space="preserve"> 9-19.</w:t>
      </w:r>
    </w:p>
    <w:p w14:paraId="5DCE7ACD" w14:textId="77777777" w:rsidR="006E12E2" w:rsidRPr="006E12E2" w:rsidRDefault="006E12E2" w:rsidP="006E12E2">
      <w:pPr>
        <w:pStyle w:val="EndNoteBibliography"/>
        <w:ind w:left="720" w:hanging="720"/>
        <w:rPr>
          <w:noProof/>
        </w:rPr>
      </w:pPr>
      <w:r w:rsidRPr="006E12E2">
        <w:rPr>
          <w:noProof/>
        </w:rPr>
        <w:t xml:space="preserve">SPANDIDOS, D. A. &amp; KERR, I. B. 1984. Elevated expression of the human ras oncogene family in premalignant and malignant tumours of the colorectum. </w:t>
      </w:r>
      <w:r w:rsidRPr="006E12E2">
        <w:rPr>
          <w:i/>
          <w:noProof/>
        </w:rPr>
        <w:t>Br J Cancer,</w:t>
      </w:r>
      <w:r w:rsidRPr="006E12E2">
        <w:rPr>
          <w:noProof/>
        </w:rPr>
        <w:t xml:space="preserve"> 49</w:t>
      </w:r>
      <w:r w:rsidRPr="006E12E2">
        <w:rPr>
          <w:b/>
          <w:noProof/>
        </w:rPr>
        <w:t>,</w:t>
      </w:r>
      <w:r w:rsidRPr="006E12E2">
        <w:rPr>
          <w:noProof/>
        </w:rPr>
        <w:t xml:space="preserve"> 681-8.</w:t>
      </w:r>
    </w:p>
    <w:p w14:paraId="162F5777" w14:textId="77777777" w:rsidR="006E12E2" w:rsidRPr="006E12E2" w:rsidRDefault="006E12E2" w:rsidP="006E12E2">
      <w:pPr>
        <w:pStyle w:val="EndNoteBibliography"/>
        <w:ind w:left="720" w:hanging="720"/>
        <w:rPr>
          <w:noProof/>
        </w:rPr>
      </w:pPr>
      <w:r w:rsidRPr="006E12E2">
        <w:rPr>
          <w:noProof/>
        </w:rPr>
        <w:t xml:space="preserve">STADLER, J. &amp; RICHLY, H. 2017. Regulation of DNA Repair Mechanisms: How the Chromatin Environment Regulates the DNA Damage Response. </w:t>
      </w:r>
      <w:r w:rsidRPr="006E12E2">
        <w:rPr>
          <w:i/>
          <w:noProof/>
        </w:rPr>
        <w:t>Int J Mol Sci,</w:t>
      </w:r>
      <w:r w:rsidRPr="006E12E2">
        <w:rPr>
          <w:noProof/>
        </w:rPr>
        <w:t xml:space="preserve"> 18.</w:t>
      </w:r>
    </w:p>
    <w:p w14:paraId="19D6E0C9" w14:textId="77777777" w:rsidR="006E12E2" w:rsidRPr="006E12E2" w:rsidRDefault="006E12E2" w:rsidP="006E12E2">
      <w:pPr>
        <w:pStyle w:val="EndNoteBibliography"/>
        <w:ind w:left="720" w:hanging="720"/>
        <w:rPr>
          <w:noProof/>
        </w:rPr>
      </w:pPr>
      <w:r w:rsidRPr="006E12E2">
        <w:rPr>
          <w:noProof/>
        </w:rPr>
        <w:t xml:space="preserve">STAPLES, C. J., BARONE, G., MYERS, K. N., GANESH, A., GIBBS-SEYMOUR, I., PATIL, A. A., BEVERIDGE, R. D., DAYE, C., BENISTON, R., MASLEN, S., AHEL, I., SKEHEL, J. M. &amp; COLLIS, S. J. 2016. MRNIP/C5orf45 Interacts with the MRN Complex and Contributes to the DNA Damage Response. </w:t>
      </w:r>
      <w:r w:rsidRPr="006E12E2">
        <w:rPr>
          <w:i/>
          <w:noProof/>
        </w:rPr>
        <w:t>Cell Rep,</w:t>
      </w:r>
      <w:r w:rsidRPr="006E12E2">
        <w:rPr>
          <w:noProof/>
        </w:rPr>
        <w:t xml:space="preserve"> 16</w:t>
      </w:r>
      <w:r w:rsidRPr="006E12E2">
        <w:rPr>
          <w:b/>
          <w:noProof/>
        </w:rPr>
        <w:t>,</w:t>
      </w:r>
      <w:r w:rsidRPr="006E12E2">
        <w:rPr>
          <w:noProof/>
        </w:rPr>
        <w:t xml:space="preserve"> 2565-2575.</w:t>
      </w:r>
    </w:p>
    <w:p w14:paraId="438BD175" w14:textId="77777777" w:rsidR="006E12E2" w:rsidRPr="006E12E2" w:rsidRDefault="006E12E2" w:rsidP="006E12E2">
      <w:pPr>
        <w:pStyle w:val="EndNoteBibliography"/>
        <w:ind w:left="720" w:hanging="720"/>
        <w:rPr>
          <w:noProof/>
        </w:rPr>
      </w:pPr>
      <w:r w:rsidRPr="006E12E2">
        <w:rPr>
          <w:noProof/>
        </w:rPr>
        <w:t xml:space="preserve">STAPLES, C. J., MYERS, K. N., BEVERIDGE, R. D., PATIL, A. A., HOWARD, A. E., BARONE, G., LEE, A. J., SWANTON, C., HOWELL, M., MASLEN, S., SKEHEL, J. M., BOULTON, S. J. &amp; COLLIS, S. J. 2014. Ccdc13 is a novel human centriolar satellite protein required for ciliogenesis and genome stability. </w:t>
      </w:r>
      <w:r w:rsidRPr="006E12E2">
        <w:rPr>
          <w:i/>
          <w:noProof/>
        </w:rPr>
        <w:t>J Cell Sci,</w:t>
      </w:r>
      <w:r w:rsidRPr="006E12E2">
        <w:rPr>
          <w:noProof/>
        </w:rPr>
        <w:t xml:space="preserve"> 127</w:t>
      </w:r>
      <w:r w:rsidRPr="006E12E2">
        <w:rPr>
          <w:b/>
          <w:noProof/>
        </w:rPr>
        <w:t>,</w:t>
      </w:r>
      <w:r w:rsidRPr="006E12E2">
        <w:rPr>
          <w:noProof/>
        </w:rPr>
        <w:t xml:space="preserve"> 2910-9.</w:t>
      </w:r>
    </w:p>
    <w:p w14:paraId="5B5C6F38" w14:textId="77777777" w:rsidR="006E12E2" w:rsidRPr="006E12E2" w:rsidRDefault="006E12E2" w:rsidP="006E12E2">
      <w:pPr>
        <w:pStyle w:val="EndNoteBibliography"/>
        <w:ind w:left="720" w:hanging="720"/>
        <w:rPr>
          <w:noProof/>
        </w:rPr>
      </w:pPr>
      <w:r w:rsidRPr="006E12E2">
        <w:rPr>
          <w:noProof/>
        </w:rPr>
        <w:t xml:space="preserve">STAPLES, C. J., MYERS, K. N., BEVERIDGE, R. D., PATIL, A. A., LEE, A. J., SWANTON, C., HOWELL, M., BOULTON, S. J. &amp; COLLIS, S. J. 2012. The centriolar satellite protein Cep131 is important for genome stability. </w:t>
      </w:r>
      <w:r w:rsidRPr="006E12E2">
        <w:rPr>
          <w:i/>
          <w:noProof/>
        </w:rPr>
        <w:t>J Cell Sci,</w:t>
      </w:r>
      <w:r w:rsidRPr="006E12E2">
        <w:rPr>
          <w:noProof/>
        </w:rPr>
        <w:t xml:space="preserve"> 125</w:t>
      </w:r>
      <w:r w:rsidRPr="006E12E2">
        <w:rPr>
          <w:b/>
          <w:noProof/>
        </w:rPr>
        <w:t>,</w:t>
      </w:r>
      <w:r w:rsidRPr="006E12E2">
        <w:rPr>
          <w:noProof/>
        </w:rPr>
        <w:t xml:space="preserve"> 4770-9.</w:t>
      </w:r>
    </w:p>
    <w:p w14:paraId="466137FA" w14:textId="77777777" w:rsidR="006E12E2" w:rsidRPr="006E12E2" w:rsidRDefault="006E12E2" w:rsidP="006E12E2">
      <w:pPr>
        <w:pStyle w:val="EndNoteBibliography"/>
        <w:ind w:left="720" w:hanging="720"/>
        <w:rPr>
          <w:noProof/>
        </w:rPr>
      </w:pPr>
      <w:r w:rsidRPr="006E12E2">
        <w:rPr>
          <w:noProof/>
        </w:rPr>
        <w:t xml:space="preserve">STECKEL, M., MOLINA-ARCAS, M., WEIGELT, B., MARANI, M., WARNE, P. H., KUZNETSOV, H., KELLY, G., SAUNDERS, B., HOWELL, M., DOWNWARD, J. &amp; HANCOCK, D. C. 2012. Determination of synthetic lethal interactions in KRAS oncogene-dependent cancer cells reveals novel therapeutic targeting strategies. </w:t>
      </w:r>
      <w:r w:rsidRPr="006E12E2">
        <w:rPr>
          <w:i/>
          <w:noProof/>
        </w:rPr>
        <w:t>Cell Res,</w:t>
      </w:r>
      <w:r w:rsidRPr="006E12E2">
        <w:rPr>
          <w:noProof/>
        </w:rPr>
        <w:t xml:space="preserve"> 22</w:t>
      </w:r>
      <w:r w:rsidRPr="006E12E2">
        <w:rPr>
          <w:b/>
          <w:noProof/>
        </w:rPr>
        <w:t>,</w:t>
      </w:r>
      <w:r w:rsidRPr="006E12E2">
        <w:rPr>
          <w:noProof/>
        </w:rPr>
        <w:t xml:space="preserve"> 1227-45.</w:t>
      </w:r>
    </w:p>
    <w:p w14:paraId="37E44789" w14:textId="77777777" w:rsidR="006E12E2" w:rsidRPr="006E12E2" w:rsidRDefault="006E12E2" w:rsidP="006E12E2">
      <w:pPr>
        <w:pStyle w:val="EndNoteBibliography"/>
        <w:ind w:left="720" w:hanging="720"/>
        <w:rPr>
          <w:noProof/>
        </w:rPr>
      </w:pPr>
      <w:r w:rsidRPr="006E12E2">
        <w:rPr>
          <w:noProof/>
        </w:rPr>
        <w:t xml:space="preserve">STRAHL, B. D. &amp; ALLIS, C. D. 2000. The language of covalent histone modifications. </w:t>
      </w:r>
      <w:r w:rsidRPr="006E12E2">
        <w:rPr>
          <w:i/>
          <w:noProof/>
        </w:rPr>
        <w:t>Nature,</w:t>
      </w:r>
      <w:r w:rsidRPr="006E12E2">
        <w:rPr>
          <w:noProof/>
        </w:rPr>
        <w:t xml:space="preserve"> 403</w:t>
      </w:r>
      <w:r w:rsidRPr="006E12E2">
        <w:rPr>
          <w:b/>
          <w:noProof/>
        </w:rPr>
        <w:t>,</w:t>
      </w:r>
      <w:r w:rsidRPr="006E12E2">
        <w:rPr>
          <w:noProof/>
        </w:rPr>
        <w:t xml:space="preserve"> 41-5.</w:t>
      </w:r>
    </w:p>
    <w:p w14:paraId="4B90EE07" w14:textId="77777777" w:rsidR="006E12E2" w:rsidRPr="006E12E2" w:rsidRDefault="006E12E2" w:rsidP="006E12E2">
      <w:pPr>
        <w:pStyle w:val="EndNoteBibliography"/>
        <w:ind w:left="720" w:hanging="720"/>
        <w:rPr>
          <w:noProof/>
        </w:rPr>
      </w:pPr>
      <w:r w:rsidRPr="006E12E2">
        <w:rPr>
          <w:noProof/>
        </w:rPr>
        <w:t xml:space="preserve">STRATTON, M. R., CAMPBELL, P. J. &amp; FUTREAL, P. A. 2009. The cancer genome. </w:t>
      </w:r>
      <w:r w:rsidRPr="006E12E2">
        <w:rPr>
          <w:i/>
          <w:noProof/>
        </w:rPr>
        <w:t>Nature,</w:t>
      </w:r>
      <w:r w:rsidRPr="006E12E2">
        <w:rPr>
          <w:noProof/>
        </w:rPr>
        <w:t xml:space="preserve"> 458</w:t>
      </w:r>
      <w:r w:rsidRPr="006E12E2">
        <w:rPr>
          <w:b/>
          <w:noProof/>
        </w:rPr>
        <w:t>,</w:t>
      </w:r>
      <w:r w:rsidRPr="006E12E2">
        <w:rPr>
          <w:noProof/>
        </w:rPr>
        <w:t xml:space="preserve"> 719-24.</w:t>
      </w:r>
    </w:p>
    <w:p w14:paraId="22E660A8" w14:textId="77777777" w:rsidR="006E12E2" w:rsidRPr="006E12E2" w:rsidRDefault="006E12E2" w:rsidP="006E12E2">
      <w:pPr>
        <w:pStyle w:val="EndNoteBibliography"/>
        <w:ind w:left="720" w:hanging="720"/>
        <w:rPr>
          <w:noProof/>
        </w:rPr>
      </w:pPr>
      <w:r w:rsidRPr="006E12E2">
        <w:rPr>
          <w:noProof/>
        </w:rPr>
        <w:t xml:space="preserve">SULLIVAN, J., RISQUES, R., MANDELSON, M., CHEN, L., BRENTNALL, T. A., BRONNER, M. P., MACMILLAN, M. P., FENG, Z., SIEBERT, JR., POTTER, J. D. &amp; RABINOVITCH, P. S. 2006. Telomere length in the colon declines with age: a relation to colorectal cancer? </w:t>
      </w:r>
      <w:r w:rsidRPr="006E12E2">
        <w:rPr>
          <w:i/>
          <w:noProof/>
        </w:rPr>
        <w:t>Cancer Epidemiol. Biomarkers Prev.,</w:t>
      </w:r>
      <w:r w:rsidRPr="006E12E2">
        <w:rPr>
          <w:noProof/>
        </w:rPr>
        <w:t xml:space="preserve"> 15</w:t>
      </w:r>
      <w:r w:rsidRPr="006E12E2">
        <w:rPr>
          <w:b/>
          <w:noProof/>
        </w:rPr>
        <w:t>,</w:t>
      </w:r>
      <w:r w:rsidRPr="006E12E2">
        <w:rPr>
          <w:noProof/>
        </w:rPr>
        <w:t xml:space="preserve"> 573-577.</w:t>
      </w:r>
    </w:p>
    <w:p w14:paraId="46447C0B" w14:textId="77777777" w:rsidR="006E12E2" w:rsidRPr="006E12E2" w:rsidRDefault="006E12E2" w:rsidP="006E12E2">
      <w:pPr>
        <w:pStyle w:val="EndNoteBibliography"/>
        <w:ind w:left="720" w:hanging="720"/>
        <w:rPr>
          <w:noProof/>
        </w:rPr>
      </w:pPr>
      <w:r w:rsidRPr="006E12E2">
        <w:rPr>
          <w:noProof/>
        </w:rPr>
        <w:t xml:space="preserve">SUN, L., BURNETT, J., GUO, C., XIE, Y., PAN, J., YANG, Z., RAN, Y. &amp; SUN, D. 2016a. CPA4 is a promising diagnostic serum biomarker for pancreatic cancer. </w:t>
      </w:r>
      <w:r w:rsidRPr="006E12E2">
        <w:rPr>
          <w:i/>
          <w:noProof/>
        </w:rPr>
        <w:t>Am J Cancer Res,</w:t>
      </w:r>
      <w:r w:rsidRPr="006E12E2">
        <w:rPr>
          <w:noProof/>
        </w:rPr>
        <w:t xml:space="preserve"> 6</w:t>
      </w:r>
      <w:r w:rsidRPr="006E12E2">
        <w:rPr>
          <w:b/>
          <w:noProof/>
        </w:rPr>
        <w:t>,</w:t>
      </w:r>
      <w:r w:rsidRPr="006E12E2">
        <w:rPr>
          <w:noProof/>
        </w:rPr>
        <w:t xml:space="preserve"> 91-6.</w:t>
      </w:r>
    </w:p>
    <w:p w14:paraId="404A7C51" w14:textId="77777777" w:rsidR="006E12E2" w:rsidRPr="006E12E2" w:rsidRDefault="006E12E2" w:rsidP="006E12E2">
      <w:pPr>
        <w:pStyle w:val="EndNoteBibliography"/>
        <w:ind w:left="720" w:hanging="720"/>
        <w:rPr>
          <w:noProof/>
        </w:rPr>
      </w:pPr>
      <w:r w:rsidRPr="006E12E2">
        <w:rPr>
          <w:noProof/>
        </w:rPr>
        <w:t xml:space="preserve">SUN, L., GUO, C., BURNETT, J., YANG, Z., RAN, Y. &amp; SUN, D. 2016b. Serum carboxypeptidaseA4 levels predict liver metastasis in colorectal carcinoma. </w:t>
      </w:r>
      <w:r w:rsidRPr="006E12E2">
        <w:rPr>
          <w:i/>
          <w:noProof/>
        </w:rPr>
        <w:t>Oncotarget,</w:t>
      </w:r>
      <w:r w:rsidRPr="006E12E2">
        <w:rPr>
          <w:noProof/>
        </w:rPr>
        <w:t xml:space="preserve"> 7</w:t>
      </w:r>
      <w:r w:rsidRPr="006E12E2">
        <w:rPr>
          <w:b/>
          <w:noProof/>
        </w:rPr>
        <w:t>,</w:t>
      </w:r>
      <w:r w:rsidRPr="006E12E2">
        <w:rPr>
          <w:noProof/>
        </w:rPr>
        <w:t xml:space="preserve"> 78688-78697.</w:t>
      </w:r>
    </w:p>
    <w:p w14:paraId="246FCB00" w14:textId="77777777" w:rsidR="006E12E2" w:rsidRPr="006E12E2" w:rsidRDefault="006E12E2" w:rsidP="006E12E2">
      <w:pPr>
        <w:pStyle w:val="EndNoteBibliography"/>
        <w:ind w:left="720" w:hanging="720"/>
        <w:rPr>
          <w:noProof/>
        </w:rPr>
      </w:pPr>
      <w:r w:rsidRPr="006E12E2">
        <w:rPr>
          <w:noProof/>
        </w:rPr>
        <w:t xml:space="preserve">SUN, L., WANG, Y., YUAN, H., BURNETT, J., PAN, J., YANG, Z., RAN, Y., MYERS, I. &amp; SUN, D. 2016c. CPA4 is a Novel Diagnostic and Prognostic Marker for Human Non-Small-Cell Lung Cancer. </w:t>
      </w:r>
      <w:r w:rsidRPr="006E12E2">
        <w:rPr>
          <w:i/>
          <w:noProof/>
        </w:rPr>
        <w:t>J Cancer,</w:t>
      </w:r>
      <w:r w:rsidRPr="006E12E2">
        <w:rPr>
          <w:noProof/>
        </w:rPr>
        <w:t xml:space="preserve"> 7</w:t>
      </w:r>
      <w:r w:rsidRPr="006E12E2">
        <w:rPr>
          <w:b/>
          <w:noProof/>
        </w:rPr>
        <w:t>,</w:t>
      </w:r>
      <w:r w:rsidRPr="006E12E2">
        <w:rPr>
          <w:noProof/>
        </w:rPr>
        <w:t xml:space="preserve"> 1197-204.</w:t>
      </w:r>
    </w:p>
    <w:p w14:paraId="3E8EACE2" w14:textId="77777777" w:rsidR="006E12E2" w:rsidRPr="006E12E2" w:rsidRDefault="006E12E2" w:rsidP="006E12E2">
      <w:pPr>
        <w:pStyle w:val="EndNoteBibliography"/>
        <w:ind w:left="720" w:hanging="720"/>
        <w:rPr>
          <w:noProof/>
        </w:rPr>
      </w:pPr>
      <w:r w:rsidRPr="006E12E2">
        <w:rPr>
          <w:noProof/>
        </w:rPr>
        <w:t xml:space="preserve">SURA, W., KABZA, M., KARLOWSKI, W. M., BIELUSZEWSKI, T., KUS-SLOWINSKA, M., PAWEŁOSZEK, Ł., SADOWSKI, J. &amp; ZIOLKOWSKI, P. A. 2017. Dual Role of the Histone Variant H2A.Z in Transcriptional Regulation of Stress-Response Genes. </w:t>
      </w:r>
      <w:r w:rsidRPr="006E12E2">
        <w:rPr>
          <w:i/>
          <w:noProof/>
        </w:rPr>
        <w:t>Plant Cell,</w:t>
      </w:r>
      <w:r w:rsidRPr="006E12E2">
        <w:rPr>
          <w:noProof/>
        </w:rPr>
        <w:t xml:space="preserve"> 29</w:t>
      </w:r>
      <w:r w:rsidRPr="006E12E2">
        <w:rPr>
          <w:b/>
          <w:noProof/>
        </w:rPr>
        <w:t>,</w:t>
      </w:r>
      <w:r w:rsidRPr="006E12E2">
        <w:rPr>
          <w:noProof/>
        </w:rPr>
        <w:t xml:space="preserve"> 791-807.</w:t>
      </w:r>
    </w:p>
    <w:p w14:paraId="22393D0F" w14:textId="77777777" w:rsidR="006E12E2" w:rsidRPr="006E12E2" w:rsidRDefault="006E12E2" w:rsidP="006E12E2">
      <w:pPr>
        <w:pStyle w:val="EndNoteBibliography"/>
        <w:ind w:left="720" w:hanging="720"/>
        <w:rPr>
          <w:noProof/>
        </w:rPr>
      </w:pPr>
      <w:r w:rsidRPr="006E12E2">
        <w:rPr>
          <w:noProof/>
        </w:rPr>
        <w:t xml:space="preserve">SURAWEERA, N., MOURADOV, D., LI, S., JORISSEN, R. N., HAMPSON, D., GHOSH, A., SENGUPTA, N., THAHA, M., AHMED, S., KIRWAN, M., ALEVA, F., PROPPER, D., FEAKINS, R. M., VULLIAMY, T., ELWOOD, N. J., TIAN, P., WARD, R. L., HAWKINS, N. J., XU, Z. Z., MOLLOY, P. L., JONES, I. T., CROXFORD, M., GIBBS, P., SILVER, A. &amp; SIEBER, O. M. 2016. Relative telomere lengths in tumor and normal mucosa are related to disease progression and chromosome instability profiles in colorectal cancer. </w:t>
      </w:r>
      <w:r w:rsidRPr="006E12E2">
        <w:rPr>
          <w:i/>
          <w:noProof/>
        </w:rPr>
        <w:t>Oncotarget,</w:t>
      </w:r>
      <w:r w:rsidRPr="006E12E2">
        <w:rPr>
          <w:noProof/>
        </w:rPr>
        <w:t xml:space="preserve"> 7</w:t>
      </w:r>
      <w:r w:rsidRPr="006E12E2">
        <w:rPr>
          <w:b/>
          <w:noProof/>
        </w:rPr>
        <w:t>,</w:t>
      </w:r>
      <w:r w:rsidRPr="006E12E2">
        <w:rPr>
          <w:noProof/>
        </w:rPr>
        <w:t xml:space="preserve"> 36474-36488.</w:t>
      </w:r>
    </w:p>
    <w:p w14:paraId="17536998" w14:textId="77777777" w:rsidR="006E12E2" w:rsidRPr="006E12E2" w:rsidRDefault="006E12E2" w:rsidP="006E12E2">
      <w:pPr>
        <w:pStyle w:val="EndNoteBibliography"/>
        <w:ind w:left="720" w:hanging="720"/>
        <w:rPr>
          <w:noProof/>
        </w:rPr>
      </w:pPr>
      <w:r w:rsidRPr="006E12E2">
        <w:rPr>
          <w:noProof/>
        </w:rPr>
        <w:t xml:space="preserve">SUTO, R. K., CLARKSON, M. J., TREMETHICK, D. J. &amp; LUGER, K. 2000. Crystal structure of a nucleosome core particle containing the variant histone H2A.Z. </w:t>
      </w:r>
      <w:r w:rsidRPr="006E12E2">
        <w:rPr>
          <w:i/>
          <w:noProof/>
        </w:rPr>
        <w:t>Nat Struct Biol,</w:t>
      </w:r>
      <w:r w:rsidRPr="006E12E2">
        <w:rPr>
          <w:noProof/>
        </w:rPr>
        <w:t xml:space="preserve"> 7</w:t>
      </w:r>
      <w:r w:rsidRPr="006E12E2">
        <w:rPr>
          <w:b/>
          <w:noProof/>
        </w:rPr>
        <w:t>,</w:t>
      </w:r>
      <w:r w:rsidRPr="006E12E2">
        <w:rPr>
          <w:noProof/>
        </w:rPr>
        <w:t xml:space="preserve"> 1121-4.</w:t>
      </w:r>
    </w:p>
    <w:p w14:paraId="55827DC8" w14:textId="77777777" w:rsidR="006E12E2" w:rsidRPr="006E12E2" w:rsidRDefault="006E12E2" w:rsidP="006E12E2">
      <w:pPr>
        <w:pStyle w:val="EndNoteBibliography"/>
        <w:ind w:left="720" w:hanging="720"/>
        <w:rPr>
          <w:noProof/>
        </w:rPr>
      </w:pPr>
      <w:r w:rsidRPr="006E12E2">
        <w:rPr>
          <w:noProof/>
        </w:rPr>
        <w:t xml:space="preserve">SVOTELIS, A., GÉVRY, N., GRONDIN, G. &amp; GAUDREAU, L. 2010. H2A.Z overexpression promotes cellular proliferation of breast cancer cells. </w:t>
      </w:r>
      <w:r w:rsidRPr="006E12E2">
        <w:rPr>
          <w:i/>
          <w:noProof/>
        </w:rPr>
        <w:t>Cell Cycle,</w:t>
      </w:r>
      <w:r w:rsidRPr="006E12E2">
        <w:rPr>
          <w:noProof/>
        </w:rPr>
        <w:t xml:space="preserve"> 9</w:t>
      </w:r>
      <w:r w:rsidRPr="006E12E2">
        <w:rPr>
          <w:b/>
          <w:noProof/>
        </w:rPr>
        <w:t>,</w:t>
      </w:r>
      <w:r w:rsidRPr="006E12E2">
        <w:rPr>
          <w:noProof/>
        </w:rPr>
        <w:t xml:space="preserve"> 364-70.</w:t>
      </w:r>
    </w:p>
    <w:p w14:paraId="15969AC5" w14:textId="77777777" w:rsidR="006E12E2" w:rsidRPr="006E12E2" w:rsidRDefault="006E12E2" w:rsidP="006E12E2">
      <w:pPr>
        <w:pStyle w:val="EndNoteBibliography"/>
        <w:ind w:left="720" w:hanging="720"/>
        <w:rPr>
          <w:noProof/>
        </w:rPr>
      </w:pPr>
      <w:r w:rsidRPr="006E12E2">
        <w:rPr>
          <w:noProof/>
        </w:rPr>
        <w:t xml:space="preserve">TABATABAI, R., LINHARES, Y., BOLOS, D., MITA, M. &amp; MITA, A. 2017. Targeting the Wnt Pathway in Cancer: A Review of Novel Therapeutics. </w:t>
      </w:r>
      <w:r w:rsidRPr="006E12E2">
        <w:rPr>
          <w:i/>
          <w:noProof/>
        </w:rPr>
        <w:t>Target Oncol</w:t>
      </w:r>
      <w:r w:rsidRPr="006E12E2">
        <w:rPr>
          <w:noProof/>
        </w:rPr>
        <w:t>.</w:t>
      </w:r>
    </w:p>
    <w:p w14:paraId="466B5846" w14:textId="77777777" w:rsidR="006E12E2" w:rsidRPr="006E12E2" w:rsidRDefault="006E12E2" w:rsidP="006E12E2">
      <w:pPr>
        <w:pStyle w:val="EndNoteBibliography"/>
        <w:ind w:left="720" w:hanging="720"/>
        <w:rPr>
          <w:noProof/>
        </w:rPr>
      </w:pPr>
      <w:r w:rsidRPr="006E12E2">
        <w:rPr>
          <w:noProof/>
        </w:rPr>
        <w:t>TAPPENDEN, P., GLYNNE - JONES, R., SHORTHOUSE, A., YOUSSEF, J., SQUIRES, H. &amp; CHILCOTT, J. 2012. Colorectal cancer and its detection, diagnosis, treatment and follow-up: disease and treatment pathways. nden, P., Glynne-Jones, R., Shorthouse, A., Youssef, J., Squires, H. and Chilcott, J. (2012) Colorectal cancer and its detection, diagnosis, treatment and follow-up: disease and treatment pathways. HEDS Discussion Paper 12/09 . (Unpublished).</w:t>
      </w:r>
    </w:p>
    <w:p w14:paraId="6FD9E752" w14:textId="77777777" w:rsidR="006E12E2" w:rsidRPr="006E12E2" w:rsidRDefault="006E12E2" w:rsidP="006E12E2">
      <w:pPr>
        <w:pStyle w:val="EndNoteBibliography"/>
        <w:ind w:left="720" w:hanging="720"/>
        <w:rPr>
          <w:noProof/>
        </w:rPr>
      </w:pPr>
      <w:r w:rsidRPr="006E12E2">
        <w:rPr>
          <w:noProof/>
        </w:rPr>
        <w:t xml:space="preserve">TASSI, E. &amp; WELLSTEIN, A. 2006. The angiogenic switch molecule, secreted FGF-binding protein, an indicator of early stages of pancreatic and colorectal adenocarcinoma. </w:t>
      </w:r>
      <w:r w:rsidRPr="006E12E2">
        <w:rPr>
          <w:i/>
          <w:noProof/>
        </w:rPr>
        <w:t>Semin Oncol,</w:t>
      </w:r>
      <w:r w:rsidRPr="006E12E2">
        <w:rPr>
          <w:noProof/>
        </w:rPr>
        <w:t xml:space="preserve"> 33</w:t>
      </w:r>
      <w:r w:rsidRPr="006E12E2">
        <w:rPr>
          <w:b/>
          <w:noProof/>
        </w:rPr>
        <w:t>,</w:t>
      </w:r>
      <w:r w:rsidRPr="006E12E2">
        <w:rPr>
          <w:noProof/>
        </w:rPr>
        <w:t xml:space="preserve"> S50-6.</w:t>
      </w:r>
    </w:p>
    <w:p w14:paraId="7347BE64" w14:textId="77777777" w:rsidR="006E12E2" w:rsidRPr="006E12E2" w:rsidRDefault="006E12E2" w:rsidP="006E12E2">
      <w:pPr>
        <w:pStyle w:val="EndNoteBibliography"/>
        <w:ind w:left="720" w:hanging="720"/>
        <w:rPr>
          <w:noProof/>
        </w:rPr>
      </w:pPr>
      <w:r w:rsidRPr="006E12E2">
        <w:rPr>
          <w:noProof/>
        </w:rPr>
        <w:t xml:space="preserve">TATY-TATY, G. C., COURILLEAU, C., QUARANTA, M., CARAYON, A., CHAILLEUX, C., AYMARD, F., TROUCHE, D. &amp; CANITROT, Y. 2014. H2A.Z depletion impairs proliferation and viability but not DNA double-strand breaks repair in human immortalized and tumoral cell lines. </w:t>
      </w:r>
      <w:r w:rsidRPr="006E12E2">
        <w:rPr>
          <w:i/>
          <w:noProof/>
        </w:rPr>
        <w:t>Cell Cycle,</w:t>
      </w:r>
      <w:r w:rsidRPr="006E12E2">
        <w:rPr>
          <w:noProof/>
        </w:rPr>
        <w:t xml:space="preserve"> 13</w:t>
      </w:r>
      <w:r w:rsidRPr="006E12E2">
        <w:rPr>
          <w:b/>
          <w:noProof/>
        </w:rPr>
        <w:t>,</w:t>
      </w:r>
      <w:r w:rsidRPr="006E12E2">
        <w:rPr>
          <w:noProof/>
        </w:rPr>
        <w:t xml:space="preserve"> 399-407.</w:t>
      </w:r>
    </w:p>
    <w:p w14:paraId="2DB7AFA5" w14:textId="77777777" w:rsidR="006E12E2" w:rsidRPr="006E12E2" w:rsidRDefault="006E12E2" w:rsidP="006E12E2">
      <w:pPr>
        <w:pStyle w:val="EndNoteBibliography"/>
        <w:ind w:left="720" w:hanging="720"/>
        <w:rPr>
          <w:noProof/>
        </w:rPr>
      </w:pPr>
      <w:r w:rsidRPr="006E12E2">
        <w:rPr>
          <w:noProof/>
        </w:rPr>
        <w:t xml:space="preserve">TCGANETWORK, MEDICINE, A. E. C. O., SERVICES, A. B., HOSPITAL, B. C., MEDICINE, B. C. O., HOPE, B. R. I. O. C. O., AGING, B. I. F. R. O., CENTRE, C. S. M. S. G. S., SCHOOL, H. M., SERVICES, H. F. G. C. C. R. I. A. C. C. H., BIOTECHNOLOGY, H. I. F., ILSBIO, L. L. C., MEDICINE, I. U. S. O., VIROLOGY, I. O. H., BIOLOGY, I. F. S., CONSORTIUM, I. G., BIOMEDICAL, L., HOSPITAL, M. G., UNIVERSITY, M. G. I. A. W., WISCONSIN, M. C. O., CAROLINA, M. U. O. S., CENTER, M. S. K. C., CENTER, M. M., NANTOMICS, INSTITUTE, N. C., NATIONAL HOSPITAL, A., N.GERIA, INSTITUTE, N. H. G. R., SCIENCES, N. I. O. E. H., DISORDERS, N. I. O. D. O. C., ONTARIO TUMOUR BANK, L. N. H. S. C., ONTARIO TUMOUR BANK, O. T. I. F. C. R., ONTARIO TUMOUR BANK, T. E. O. H., UNIVERSITY, O. H. S., SAMUEL OSCHIN COMPREHENSIVE CANCER INSTITUTE, C. D.-S. M. C., INTERNATIONAL, S., SYSTEM, S. J. S. C. H., UNIVERSITY, E. E. L. B. I. O. M. I. O. T. H., HOSPITAL, R. I. A. N. C. S., UNIVERSITY, S. K. C. C. C. A. J. H., BERGEN, U. O., CENTER, U. O. T. M. A. C., HOSPITAL, U. O. A. T., BIRMINGHAM, U. O. A. A., UNIVERSITY OF CALIFORNIA, I. V., CRUZ, U. O. C. S., CENTER, U. O. K. M., LAUSANNE, U. O., CENTER, U. O. N. M. H. S., HILL, U. O. N. C. A. C., CENTER, U. O. O. H. S., PITTSBURGH, U. O., UNIVERSITY OF SÃO PAULO, R. B. Ã. P. M. S., CALIFORNIA, U. O. S., WASHINGTON, U. O., HEALTH, U. O. W. S. O. M. P., INSTITUTE, V. A. R. &amp; LOUIS, W. U. I. S. 2017. Integrated genomic and molecular characterization of cervical cancer. </w:t>
      </w:r>
      <w:r w:rsidRPr="006E12E2">
        <w:rPr>
          <w:i/>
          <w:noProof/>
        </w:rPr>
        <w:t>Nature,</w:t>
      </w:r>
      <w:r w:rsidRPr="006E12E2">
        <w:rPr>
          <w:noProof/>
        </w:rPr>
        <w:t xml:space="preserve"> 543</w:t>
      </w:r>
      <w:r w:rsidRPr="006E12E2">
        <w:rPr>
          <w:b/>
          <w:noProof/>
        </w:rPr>
        <w:t>,</w:t>
      </w:r>
      <w:r w:rsidRPr="006E12E2">
        <w:rPr>
          <w:noProof/>
        </w:rPr>
        <w:t xml:space="preserve"> 378-384.</w:t>
      </w:r>
    </w:p>
    <w:p w14:paraId="10442B94" w14:textId="77777777" w:rsidR="006E12E2" w:rsidRPr="006E12E2" w:rsidRDefault="006E12E2" w:rsidP="006E12E2">
      <w:pPr>
        <w:pStyle w:val="EndNoteBibliography"/>
        <w:ind w:left="720" w:hanging="720"/>
        <w:rPr>
          <w:noProof/>
        </w:rPr>
      </w:pPr>
      <w:r w:rsidRPr="006E12E2">
        <w:rPr>
          <w:noProof/>
        </w:rPr>
        <w:t xml:space="preserve">TEUFEL, A., STEINMANN, S., SIEBLER, J., ZANKE, C., HOHL, H., ADAMI, B., SCHROEDER, M., KLEIN, O., HÖHLER, T., GALLE, P. R., HEIKE, M. &amp; MOEHLER, M. 2004. Irinotecan plus folinic acid/continuous 5-fluorouracil as simplified bimonthly FOLFIRI regimen for first-line therapy of metastatic colorectal cancer. </w:t>
      </w:r>
      <w:r w:rsidRPr="006E12E2">
        <w:rPr>
          <w:i/>
          <w:noProof/>
        </w:rPr>
        <w:t>BMC Cancer,</w:t>
      </w:r>
      <w:r w:rsidRPr="006E12E2">
        <w:rPr>
          <w:noProof/>
        </w:rPr>
        <w:t xml:space="preserve"> 4</w:t>
      </w:r>
      <w:r w:rsidRPr="006E12E2">
        <w:rPr>
          <w:b/>
          <w:noProof/>
        </w:rPr>
        <w:t>,</w:t>
      </w:r>
      <w:r w:rsidRPr="006E12E2">
        <w:rPr>
          <w:noProof/>
        </w:rPr>
        <w:t xml:space="preserve"> 38.</w:t>
      </w:r>
    </w:p>
    <w:p w14:paraId="06761062" w14:textId="77777777" w:rsidR="006E12E2" w:rsidRPr="006E12E2" w:rsidRDefault="006E12E2" w:rsidP="006E12E2">
      <w:pPr>
        <w:pStyle w:val="EndNoteBibliography"/>
        <w:ind w:left="720" w:hanging="720"/>
        <w:rPr>
          <w:noProof/>
        </w:rPr>
      </w:pPr>
      <w:r w:rsidRPr="006E12E2">
        <w:rPr>
          <w:noProof/>
        </w:rPr>
        <w:t xml:space="preserve">THOMSEN, C. E. B., APPELT, A. L., ANDERSEN, R. F., LINDEBJERG, J., JENSEN, L. H. &amp; JAKOBSEN, A. 2017. The prognostic value of simultaneous tumor and serum RAS/RAF mutations in localized colon cancer. </w:t>
      </w:r>
      <w:r w:rsidRPr="006E12E2">
        <w:rPr>
          <w:i/>
          <w:noProof/>
        </w:rPr>
        <w:t>Cancer Med,</w:t>
      </w:r>
      <w:r w:rsidRPr="006E12E2">
        <w:rPr>
          <w:noProof/>
        </w:rPr>
        <w:t xml:space="preserve"> 6</w:t>
      </w:r>
      <w:r w:rsidRPr="006E12E2">
        <w:rPr>
          <w:b/>
          <w:noProof/>
        </w:rPr>
        <w:t>,</w:t>
      </w:r>
      <w:r w:rsidRPr="006E12E2">
        <w:rPr>
          <w:noProof/>
        </w:rPr>
        <w:t xml:space="preserve"> 928-936.</w:t>
      </w:r>
    </w:p>
    <w:p w14:paraId="414056AA" w14:textId="77777777" w:rsidR="006E12E2" w:rsidRPr="006E12E2" w:rsidRDefault="006E12E2" w:rsidP="006E12E2">
      <w:pPr>
        <w:pStyle w:val="EndNoteBibliography"/>
        <w:ind w:left="720" w:hanging="720"/>
        <w:rPr>
          <w:noProof/>
        </w:rPr>
      </w:pPr>
      <w:r w:rsidRPr="006E12E2">
        <w:rPr>
          <w:noProof/>
        </w:rPr>
        <w:t xml:space="preserve">TIAN, S., SIMON, I., MORENO, V., ROEPMAN, P., TABERNERO, J., SNEL, M., VAN'T VEER, L., SALAZAR, R., BERNARDS, R. &amp; CAPELLA, G. 2013. A combined oncogenic pathway signature of BRAF, KRAS and PI3KCA mutation improves colorectal cancer classification and cetuximab treatment prediction. </w:t>
      </w:r>
      <w:r w:rsidRPr="006E12E2">
        <w:rPr>
          <w:i/>
          <w:noProof/>
        </w:rPr>
        <w:t>Gut,</w:t>
      </w:r>
      <w:r w:rsidRPr="006E12E2">
        <w:rPr>
          <w:noProof/>
        </w:rPr>
        <w:t xml:space="preserve"> 62</w:t>
      </w:r>
      <w:r w:rsidRPr="006E12E2">
        <w:rPr>
          <w:b/>
          <w:noProof/>
        </w:rPr>
        <w:t>,</w:t>
      </w:r>
      <w:r w:rsidRPr="006E12E2">
        <w:rPr>
          <w:noProof/>
        </w:rPr>
        <w:t xml:space="preserve"> 540-9.</w:t>
      </w:r>
    </w:p>
    <w:p w14:paraId="5578DD6E" w14:textId="77777777" w:rsidR="006E12E2" w:rsidRPr="006E12E2" w:rsidRDefault="006E12E2" w:rsidP="006E12E2">
      <w:pPr>
        <w:pStyle w:val="EndNoteBibliography"/>
        <w:ind w:left="720" w:hanging="720"/>
        <w:rPr>
          <w:noProof/>
        </w:rPr>
      </w:pPr>
      <w:r w:rsidRPr="006E12E2">
        <w:rPr>
          <w:noProof/>
        </w:rPr>
        <w:t xml:space="preserve">TOH, Y., OKI, E., ODA, S., TOKUNAGA, E., OHNO, S., MAEHARA, Y., NICOLSON, G. L. &amp; SUGIMACHI, K. 1997. Overexpression of the MTA1 gene in gastrointestinal carcinomas: correlation with invasion and metastasis. </w:t>
      </w:r>
      <w:r w:rsidRPr="006E12E2">
        <w:rPr>
          <w:i/>
          <w:noProof/>
        </w:rPr>
        <w:t>Int J Cancer,</w:t>
      </w:r>
      <w:r w:rsidRPr="006E12E2">
        <w:rPr>
          <w:noProof/>
        </w:rPr>
        <w:t xml:space="preserve"> 74</w:t>
      </w:r>
      <w:r w:rsidRPr="006E12E2">
        <w:rPr>
          <w:b/>
          <w:noProof/>
        </w:rPr>
        <w:t>,</w:t>
      </w:r>
      <w:r w:rsidRPr="006E12E2">
        <w:rPr>
          <w:noProof/>
        </w:rPr>
        <w:t xml:space="preserve"> 459-63.</w:t>
      </w:r>
    </w:p>
    <w:p w14:paraId="42E2E3E7" w14:textId="77777777" w:rsidR="006E12E2" w:rsidRPr="006E12E2" w:rsidRDefault="006E12E2" w:rsidP="006E12E2">
      <w:pPr>
        <w:pStyle w:val="EndNoteBibliography"/>
        <w:ind w:left="720" w:hanging="720"/>
        <w:rPr>
          <w:noProof/>
        </w:rPr>
      </w:pPr>
      <w:r w:rsidRPr="006E12E2">
        <w:rPr>
          <w:noProof/>
        </w:rPr>
        <w:t xml:space="preserve">TOURNIGAND, C., ANDRÉ, T., ACHILLE, E., LLEDO, G., FLESH, M., MERY-MIGNARD, D., QUINAUX, E., COUTEAU, C., BUYSE, M., GANEM, G., LANDI, B., COLIN, P., LOUVET, C. &amp; DE GRAMONT, A. 2004. FOLFIRI followed by FOLFOX6 or the reverse sequence in advanced colorectal cancer: a randomized GERCOR study. </w:t>
      </w:r>
      <w:r w:rsidRPr="006E12E2">
        <w:rPr>
          <w:i/>
          <w:noProof/>
        </w:rPr>
        <w:t>J Clin Oncol,</w:t>
      </w:r>
      <w:r w:rsidRPr="006E12E2">
        <w:rPr>
          <w:noProof/>
        </w:rPr>
        <w:t xml:space="preserve"> 22</w:t>
      </w:r>
      <w:r w:rsidRPr="006E12E2">
        <w:rPr>
          <w:b/>
          <w:noProof/>
        </w:rPr>
        <w:t>,</w:t>
      </w:r>
      <w:r w:rsidRPr="006E12E2">
        <w:rPr>
          <w:noProof/>
        </w:rPr>
        <w:t xml:space="preserve"> 229-37.</w:t>
      </w:r>
    </w:p>
    <w:p w14:paraId="394E1B76" w14:textId="77777777" w:rsidR="006E12E2" w:rsidRPr="006E12E2" w:rsidRDefault="006E12E2" w:rsidP="006E12E2">
      <w:pPr>
        <w:pStyle w:val="EndNoteBibliography"/>
        <w:ind w:left="720" w:hanging="720"/>
        <w:rPr>
          <w:noProof/>
        </w:rPr>
      </w:pPr>
      <w:r w:rsidRPr="006E12E2">
        <w:rPr>
          <w:noProof/>
        </w:rPr>
        <w:t xml:space="preserve">TRAINER, D. L., KLINE, T., MCCABE, F. L., FAUCETTE, L. F., FEILD, J., CHAIKIN, M., ANZANO, M., RIEMAN, D., HOFFSTEIN, S. &amp; LI, D. J. 1988. Biological characterization and oncogene expression in human colorectal carcinoma cell lines. </w:t>
      </w:r>
      <w:r w:rsidRPr="006E12E2">
        <w:rPr>
          <w:i/>
          <w:noProof/>
        </w:rPr>
        <w:t>Int J Cancer,</w:t>
      </w:r>
      <w:r w:rsidRPr="006E12E2">
        <w:rPr>
          <w:noProof/>
        </w:rPr>
        <w:t xml:space="preserve"> 41</w:t>
      </w:r>
      <w:r w:rsidRPr="006E12E2">
        <w:rPr>
          <w:b/>
          <w:noProof/>
        </w:rPr>
        <w:t>,</w:t>
      </w:r>
      <w:r w:rsidRPr="006E12E2">
        <w:rPr>
          <w:noProof/>
        </w:rPr>
        <w:t xml:space="preserve"> 287-96.</w:t>
      </w:r>
    </w:p>
    <w:p w14:paraId="54204541" w14:textId="77777777" w:rsidR="006E12E2" w:rsidRPr="006E12E2" w:rsidRDefault="006E12E2" w:rsidP="006E12E2">
      <w:pPr>
        <w:pStyle w:val="EndNoteBibliography"/>
        <w:ind w:left="720" w:hanging="720"/>
        <w:rPr>
          <w:noProof/>
        </w:rPr>
      </w:pPr>
      <w:r w:rsidRPr="006E12E2">
        <w:rPr>
          <w:noProof/>
        </w:rPr>
        <w:t>TROIANI, T. 2015. RAS in Colorectal Cancer:ESMO Biomarker Factsheet. ESMO</w:t>
      </w:r>
    </w:p>
    <w:p w14:paraId="299F4952" w14:textId="77777777" w:rsidR="006E12E2" w:rsidRPr="006E12E2" w:rsidRDefault="006E12E2" w:rsidP="006E12E2">
      <w:pPr>
        <w:pStyle w:val="EndNoteBibliography"/>
        <w:rPr>
          <w:noProof/>
        </w:rPr>
      </w:pPr>
      <w:r w:rsidRPr="006E12E2">
        <w:rPr>
          <w:noProof/>
        </w:rPr>
        <w:t> </w:t>
      </w:r>
    </w:p>
    <w:p w14:paraId="6A4BD2BB" w14:textId="77777777" w:rsidR="006E12E2" w:rsidRPr="006E12E2" w:rsidRDefault="006E12E2" w:rsidP="006E12E2">
      <w:pPr>
        <w:pStyle w:val="EndNoteBibliography"/>
        <w:ind w:left="720" w:hanging="720"/>
        <w:rPr>
          <w:noProof/>
        </w:rPr>
      </w:pPr>
      <w:r w:rsidRPr="006E12E2">
        <w:rPr>
          <w:noProof/>
        </w:rPr>
        <w:t xml:space="preserve">VAKIFAHMETOGLU, H., OLSSON, M. &amp; ZHIVOTOVSKY, B. 2008. Death through a tragedy: mitotic catastrophe. </w:t>
      </w:r>
      <w:r w:rsidRPr="006E12E2">
        <w:rPr>
          <w:i/>
          <w:noProof/>
        </w:rPr>
        <w:t>Cell Death Differ,</w:t>
      </w:r>
      <w:r w:rsidRPr="006E12E2">
        <w:rPr>
          <w:noProof/>
        </w:rPr>
        <w:t xml:space="preserve"> 15</w:t>
      </w:r>
      <w:r w:rsidRPr="006E12E2">
        <w:rPr>
          <w:b/>
          <w:noProof/>
        </w:rPr>
        <w:t>,</w:t>
      </w:r>
      <w:r w:rsidRPr="006E12E2">
        <w:rPr>
          <w:noProof/>
        </w:rPr>
        <w:t xml:space="preserve"> 1153-62.</w:t>
      </w:r>
    </w:p>
    <w:p w14:paraId="2F386593" w14:textId="77777777" w:rsidR="006E12E2" w:rsidRPr="006E12E2" w:rsidRDefault="006E12E2" w:rsidP="006E12E2">
      <w:pPr>
        <w:pStyle w:val="EndNoteBibliography"/>
        <w:ind w:left="720" w:hanging="720"/>
        <w:rPr>
          <w:noProof/>
        </w:rPr>
      </w:pPr>
      <w:r w:rsidRPr="006E12E2">
        <w:rPr>
          <w:noProof/>
        </w:rPr>
        <w:t xml:space="preserve">VAN CUTSEM, E., KÖHNE, C. H., LÁNG, I., FOLPRECHT, G., NOWACKI, M. P., CASCINU, S., SHCHEPOTIN, I., MAUREL, J., CUNNINGHAM, D., TEJPAR, S., SCHLICHTING, M., ZUBEL, A., CELIK, I., ROUGIER, P. &amp; CIARDIELLO, F. 2011. Cetuximab plus irinotecan, fluorouracil, and leucovorin as first-line treatment for metastatic colorectal cancer: updated analysis of overall survival according to tumor KRAS and BRAF mutation status. </w:t>
      </w:r>
      <w:r w:rsidRPr="006E12E2">
        <w:rPr>
          <w:i/>
          <w:noProof/>
        </w:rPr>
        <w:t>J Clin Oncol,</w:t>
      </w:r>
      <w:r w:rsidRPr="006E12E2">
        <w:rPr>
          <w:noProof/>
        </w:rPr>
        <w:t xml:space="preserve"> 29</w:t>
      </w:r>
      <w:r w:rsidRPr="006E12E2">
        <w:rPr>
          <w:b/>
          <w:noProof/>
        </w:rPr>
        <w:t>,</w:t>
      </w:r>
      <w:r w:rsidRPr="006E12E2">
        <w:rPr>
          <w:noProof/>
        </w:rPr>
        <w:t xml:space="preserve"> 2011-9.</w:t>
      </w:r>
    </w:p>
    <w:p w14:paraId="2EDD9E9D" w14:textId="77777777" w:rsidR="006E12E2" w:rsidRPr="006E12E2" w:rsidRDefault="006E12E2" w:rsidP="006E12E2">
      <w:pPr>
        <w:pStyle w:val="EndNoteBibliography"/>
        <w:ind w:left="720" w:hanging="720"/>
        <w:rPr>
          <w:noProof/>
        </w:rPr>
      </w:pPr>
      <w:r w:rsidRPr="006E12E2">
        <w:rPr>
          <w:noProof/>
        </w:rPr>
        <w:t xml:space="preserve">VAN CUTSEM, E., LENZ, H. J., KÖHNE, C. H., HEINEMANN, V., TEJPAR, S., MELEZÍNEK, I., BEIER, F., STROH, C., ROUGIER, P., VAN KRIEKEN, J. H. &amp; CIARDIELLO, F. 2015. Fluorouracil, leucovorin, and irinotecan plus cetuximab treatment and RAS mutations in colorectal cancer. </w:t>
      </w:r>
      <w:r w:rsidRPr="006E12E2">
        <w:rPr>
          <w:i/>
          <w:noProof/>
        </w:rPr>
        <w:t>J Clin Oncol,</w:t>
      </w:r>
      <w:r w:rsidRPr="006E12E2">
        <w:rPr>
          <w:noProof/>
        </w:rPr>
        <w:t xml:space="preserve"> 33</w:t>
      </w:r>
      <w:r w:rsidRPr="006E12E2">
        <w:rPr>
          <w:b/>
          <w:noProof/>
        </w:rPr>
        <w:t>,</w:t>
      </w:r>
      <w:r w:rsidRPr="006E12E2">
        <w:rPr>
          <w:noProof/>
        </w:rPr>
        <w:t xml:space="preserve"> 692-700.</w:t>
      </w:r>
    </w:p>
    <w:p w14:paraId="5C999834" w14:textId="77777777" w:rsidR="006E12E2" w:rsidRPr="006E12E2" w:rsidRDefault="006E12E2" w:rsidP="006E12E2">
      <w:pPr>
        <w:pStyle w:val="EndNoteBibliography"/>
        <w:ind w:left="720" w:hanging="720"/>
        <w:rPr>
          <w:noProof/>
        </w:rPr>
      </w:pPr>
      <w:r w:rsidRPr="006E12E2">
        <w:rPr>
          <w:noProof/>
        </w:rPr>
        <w:t xml:space="preserve">VARDABASSO, C., GASPAR-MAIA, A., HASSON, D., PÜNZELER, S., VALLE-GARCIA, D., STRAUB, T., KEILHAUER, E. C., STRUB, T., DONG, J., PANDA, T., CHUNG, C. Y., YAO, J. L., SINGH, R., SEGURA, M. F., FONTANALS-CIRERA, B., VERMA, A., MANN, M., HERNANDO, E., HAKE, S. B. &amp; BERNSTEIN, E. 2015. Histone Variant H2A.Z.2 Mediates Proliferation and Drug Sensitivity of Malignant Melanoma. </w:t>
      </w:r>
      <w:r w:rsidRPr="006E12E2">
        <w:rPr>
          <w:i/>
          <w:noProof/>
        </w:rPr>
        <w:t>Mol Cell,</w:t>
      </w:r>
      <w:r w:rsidRPr="006E12E2">
        <w:rPr>
          <w:noProof/>
        </w:rPr>
        <w:t xml:space="preserve"> 59</w:t>
      </w:r>
      <w:r w:rsidRPr="006E12E2">
        <w:rPr>
          <w:b/>
          <w:noProof/>
        </w:rPr>
        <w:t>,</w:t>
      </w:r>
      <w:r w:rsidRPr="006E12E2">
        <w:rPr>
          <w:noProof/>
        </w:rPr>
        <w:t xml:space="preserve"> 75-88.</w:t>
      </w:r>
    </w:p>
    <w:p w14:paraId="067A04F6" w14:textId="77777777" w:rsidR="006E12E2" w:rsidRPr="006E12E2" w:rsidRDefault="006E12E2" w:rsidP="006E12E2">
      <w:pPr>
        <w:pStyle w:val="EndNoteBibliography"/>
        <w:ind w:left="720" w:hanging="720"/>
        <w:rPr>
          <w:noProof/>
        </w:rPr>
      </w:pPr>
      <w:r w:rsidRPr="006E12E2">
        <w:rPr>
          <w:noProof/>
        </w:rPr>
        <w:t xml:space="preserve">VARDABASSO, C., HASSON, D., RATNAKUMAR, K., CHUNG, C. Y., DUARTE, L. F. &amp; BERNSTEIN, E. 2014. Histone variants: emerging players in cancer biology. </w:t>
      </w:r>
      <w:r w:rsidRPr="006E12E2">
        <w:rPr>
          <w:i/>
          <w:noProof/>
        </w:rPr>
        <w:t>Cell Mol Life Sci,</w:t>
      </w:r>
      <w:r w:rsidRPr="006E12E2">
        <w:rPr>
          <w:noProof/>
        </w:rPr>
        <w:t xml:space="preserve"> 71</w:t>
      </w:r>
      <w:r w:rsidRPr="006E12E2">
        <w:rPr>
          <w:b/>
          <w:noProof/>
        </w:rPr>
        <w:t>,</w:t>
      </w:r>
      <w:r w:rsidRPr="006E12E2">
        <w:rPr>
          <w:noProof/>
        </w:rPr>
        <w:t xml:space="preserve"> 379-404.</w:t>
      </w:r>
    </w:p>
    <w:p w14:paraId="000F22D2" w14:textId="77777777" w:rsidR="006E12E2" w:rsidRPr="006E12E2" w:rsidRDefault="006E12E2" w:rsidP="006E12E2">
      <w:pPr>
        <w:pStyle w:val="EndNoteBibliography"/>
        <w:ind w:left="720" w:hanging="720"/>
        <w:rPr>
          <w:noProof/>
        </w:rPr>
      </w:pPr>
      <w:r w:rsidRPr="006E12E2">
        <w:rPr>
          <w:noProof/>
        </w:rPr>
        <w:t xml:space="preserve">VASEN, H., MECKLIN, J. P., KHAN, P. &amp; LYNCH, H. 1991. THE INTERNATIONAL- COLLABORATIVE- GROUP-ON-HEREDITARY-NON-POLYPOSIS-COLORECTAL-CANCER (ICG-HNPCC). </w:t>
      </w:r>
      <w:r w:rsidRPr="006E12E2">
        <w:rPr>
          <w:i/>
          <w:noProof/>
        </w:rPr>
        <w:t>Dis. Colon Rectum,</w:t>
      </w:r>
      <w:r w:rsidRPr="006E12E2">
        <w:rPr>
          <w:noProof/>
        </w:rPr>
        <w:t xml:space="preserve"> 34</w:t>
      </w:r>
      <w:r w:rsidRPr="006E12E2">
        <w:rPr>
          <w:b/>
          <w:noProof/>
        </w:rPr>
        <w:t>,</w:t>
      </w:r>
      <w:r w:rsidRPr="006E12E2">
        <w:rPr>
          <w:noProof/>
        </w:rPr>
        <w:t xml:space="preserve"> 424-425.</w:t>
      </w:r>
    </w:p>
    <w:p w14:paraId="6C532228" w14:textId="77777777" w:rsidR="006E12E2" w:rsidRPr="006E12E2" w:rsidRDefault="006E12E2" w:rsidP="006E12E2">
      <w:pPr>
        <w:pStyle w:val="EndNoteBibliography"/>
        <w:ind w:left="720" w:hanging="720"/>
        <w:rPr>
          <w:noProof/>
        </w:rPr>
      </w:pPr>
      <w:r w:rsidRPr="006E12E2">
        <w:rPr>
          <w:noProof/>
        </w:rPr>
        <w:t xml:space="preserve">VOETS, O., TIELEN, F., ELSTAK, E., BENSCHOP, J., GRIMBERGEN, M., STALLEN, J., JANSSEN, R., VAN MARLE, A. &amp; ESSRICH, C. 2017. Highly efficient gene inactivation by adenoviral CRISPR/Cas9 in human primary cells. </w:t>
      </w:r>
      <w:r w:rsidRPr="006E12E2">
        <w:rPr>
          <w:i/>
          <w:noProof/>
        </w:rPr>
        <w:t>PLoS One,</w:t>
      </w:r>
      <w:r w:rsidRPr="006E12E2">
        <w:rPr>
          <w:noProof/>
        </w:rPr>
        <w:t xml:space="preserve"> 12</w:t>
      </w:r>
      <w:r w:rsidRPr="006E12E2">
        <w:rPr>
          <w:b/>
          <w:noProof/>
        </w:rPr>
        <w:t>,</w:t>
      </w:r>
      <w:r w:rsidRPr="006E12E2">
        <w:rPr>
          <w:noProof/>
        </w:rPr>
        <w:t xml:space="preserve"> e0182974.</w:t>
      </w:r>
    </w:p>
    <w:p w14:paraId="0E4B7FA4" w14:textId="77777777" w:rsidR="006E12E2" w:rsidRPr="006E12E2" w:rsidRDefault="006E12E2" w:rsidP="006E12E2">
      <w:pPr>
        <w:pStyle w:val="EndNoteBibliography"/>
        <w:ind w:left="720" w:hanging="720"/>
        <w:rPr>
          <w:noProof/>
        </w:rPr>
      </w:pPr>
      <w:r w:rsidRPr="006E12E2">
        <w:rPr>
          <w:noProof/>
        </w:rPr>
        <w:t xml:space="preserve">VOGELSTEIN, B., FEARON, E. R., HAMILTON, S. R., KERN, S. E., PREISINGER, A. C., LEPPERT, M., NAKAMURA, Y., WHITE, R., SMITS, A. M. &amp; BOS, J. L. 1988. Genetic alterations during colorectal-tumor development. </w:t>
      </w:r>
      <w:r w:rsidRPr="006E12E2">
        <w:rPr>
          <w:i/>
          <w:noProof/>
        </w:rPr>
        <w:t>N Engl J Med,</w:t>
      </w:r>
      <w:r w:rsidRPr="006E12E2">
        <w:rPr>
          <w:noProof/>
        </w:rPr>
        <w:t xml:space="preserve"> 319</w:t>
      </w:r>
      <w:r w:rsidRPr="006E12E2">
        <w:rPr>
          <w:b/>
          <w:noProof/>
        </w:rPr>
        <w:t>,</w:t>
      </w:r>
      <w:r w:rsidRPr="006E12E2">
        <w:rPr>
          <w:noProof/>
        </w:rPr>
        <w:t xml:space="preserve"> 525-32.</w:t>
      </w:r>
    </w:p>
    <w:p w14:paraId="3658B654" w14:textId="77777777" w:rsidR="006E12E2" w:rsidRPr="006E12E2" w:rsidRDefault="006E12E2" w:rsidP="006E12E2">
      <w:pPr>
        <w:pStyle w:val="EndNoteBibliography"/>
        <w:ind w:left="720" w:hanging="720"/>
        <w:rPr>
          <w:noProof/>
        </w:rPr>
      </w:pPr>
      <w:r w:rsidRPr="006E12E2">
        <w:rPr>
          <w:noProof/>
        </w:rPr>
        <w:t xml:space="preserve">WALSH, A. B. &amp; BAR-SAGI, D. 2001. Differential activation of the Rac pathway by Ha-Ras and K-Ras. </w:t>
      </w:r>
      <w:r w:rsidRPr="006E12E2">
        <w:rPr>
          <w:i/>
          <w:noProof/>
        </w:rPr>
        <w:t>J Biol Chem,</w:t>
      </w:r>
      <w:r w:rsidRPr="006E12E2">
        <w:rPr>
          <w:noProof/>
        </w:rPr>
        <w:t xml:space="preserve"> 276</w:t>
      </w:r>
      <w:r w:rsidRPr="006E12E2">
        <w:rPr>
          <w:b/>
          <w:noProof/>
        </w:rPr>
        <w:t>,</w:t>
      </w:r>
      <w:r w:rsidRPr="006E12E2">
        <w:rPr>
          <w:noProof/>
        </w:rPr>
        <w:t xml:space="preserve"> 15609-15.</w:t>
      </w:r>
    </w:p>
    <w:p w14:paraId="187C110A" w14:textId="77777777" w:rsidR="006E12E2" w:rsidRPr="006E12E2" w:rsidRDefault="006E12E2" w:rsidP="006E12E2">
      <w:pPr>
        <w:pStyle w:val="EndNoteBibliography"/>
        <w:ind w:left="720" w:hanging="720"/>
        <w:rPr>
          <w:noProof/>
        </w:rPr>
      </w:pPr>
      <w:r w:rsidRPr="006E12E2">
        <w:rPr>
          <w:noProof/>
        </w:rPr>
        <w:t xml:space="preserve">WANG, G. G., ALLIS, C. D. &amp; CHI, P. 2007. Chromatin remodeling and cancer, Part II: ATP-dependent chromatin remodeling. </w:t>
      </w:r>
      <w:r w:rsidRPr="006E12E2">
        <w:rPr>
          <w:i/>
          <w:noProof/>
        </w:rPr>
        <w:t>Trends Mol Med,</w:t>
      </w:r>
      <w:r w:rsidRPr="006E12E2">
        <w:rPr>
          <w:noProof/>
        </w:rPr>
        <w:t xml:space="preserve"> 13</w:t>
      </w:r>
      <w:r w:rsidRPr="006E12E2">
        <w:rPr>
          <w:b/>
          <w:noProof/>
        </w:rPr>
        <w:t>,</w:t>
      </w:r>
      <w:r w:rsidRPr="006E12E2">
        <w:rPr>
          <w:noProof/>
        </w:rPr>
        <w:t xml:space="preserve"> 373-80.</w:t>
      </w:r>
    </w:p>
    <w:p w14:paraId="0B772736" w14:textId="77777777" w:rsidR="006E12E2" w:rsidRPr="006E12E2" w:rsidRDefault="006E12E2" w:rsidP="006E12E2">
      <w:pPr>
        <w:pStyle w:val="EndNoteBibliography"/>
        <w:ind w:left="720" w:hanging="720"/>
        <w:rPr>
          <w:noProof/>
        </w:rPr>
      </w:pPr>
      <w:r w:rsidRPr="006E12E2">
        <w:rPr>
          <w:noProof/>
        </w:rPr>
        <w:t xml:space="preserve">WETERINGS, E. &amp; CHEN, D. J. 2008. The endless tale of non-homologous end-joining. </w:t>
      </w:r>
      <w:r w:rsidRPr="006E12E2">
        <w:rPr>
          <w:i/>
          <w:noProof/>
        </w:rPr>
        <w:t>Cell Res,</w:t>
      </w:r>
      <w:r w:rsidRPr="006E12E2">
        <w:rPr>
          <w:noProof/>
        </w:rPr>
        <w:t xml:space="preserve"> 18</w:t>
      </w:r>
      <w:r w:rsidRPr="006E12E2">
        <w:rPr>
          <w:b/>
          <w:noProof/>
        </w:rPr>
        <w:t>,</w:t>
      </w:r>
      <w:r w:rsidRPr="006E12E2">
        <w:rPr>
          <w:noProof/>
        </w:rPr>
        <w:t xml:space="preserve"> 114-24.</w:t>
      </w:r>
    </w:p>
    <w:p w14:paraId="27FE2A1D" w14:textId="77777777" w:rsidR="006E12E2" w:rsidRPr="006E12E2" w:rsidRDefault="006E12E2" w:rsidP="006E12E2">
      <w:pPr>
        <w:pStyle w:val="EndNoteBibliography"/>
        <w:ind w:left="720" w:hanging="720"/>
        <w:rPr>
          <w:noProof/>
        </w:rPr>
      </w:pPr>
      <w:r w:rsidRPr="006E12E2">
        <w:rPr>
          <w:noProof/>
        </w:rPr>
        <w:t xml:space="preserve">WILSON, M. D. &amp; COSTA, A. 2017. Cryo-electron microscopy of chromatin biology. </w:t>
      </w:r>
      <w:r w:rsidRPr="006E12E2">
        <w:rPr>
          <w:i/>
          <w:noProof/>
        </w:rPr>
        <w:t>Acta Crystallogr D Struct Biol,</w:t>
      </w:r>
      <w:r w:rsidRPr="006E12E2">
        <w:rPr>
          <w:noProof/>
        </w:rPr>
        <w:t xml:space="preserve"> 73</w:t>
      </w:r>
      <w:r w:rsidRPr="006E12E2">
        <w:rPr>
          <w:b/>
          <w:noProof/>
        </w:rPr>
        <w:t>,</w:t>
      </w:r>
      <w:r w:rsidRPr="006E12E2">
        <w:rPr>
          <w:noProof/>
        </w:rPr>
        <w:t xml:space="preserve"> 541-548.</w:t>
      </w:r>
    </w:p>
    <w:p w14:paraId="623FC41B" w14:textId="77777777" w:rsidR="006E12E2" w:rsidRPr="006E12E2" w:rsidRDefault="006E12E2" w:rsidP="006E12E2">
      <w:pPr>
        <w:pStyle w:val="EndNoteBibliography"/>
        <w:ind w:left="720" w:hanging="720"/>
        <w:rPr>
          <w:noProof/>
        </w:rPr>
      </w:pPr>
      <w:r w:rsidRPr="006E12E2">
        <w:rPr>
          <w:noProof/>
        </w:rPr>
        <w:t xml:space="preserve">WONG, M. M., COX, L. K. &amp; CHRIVIA, J. C. 2007. The chromatin remodeling protein, SRCAP, is critical for deposition of the histone variant H2A.Z at promoters. </w:t>
      </w:r>
      <w:r w:rsidRPr="006E12E2">
        <w:rPr>
          <w:i/>
          <w:noProof/>
        </w:rPr>
        <w:t>Journal of Biological Chemistry,</w:t>
      </w:r>
      <w:r w:rsidRPr="006E12E2">
        <w:rPr>
          <w:noProof/>
        </w:rPr>
        <w:t xml:space="preserve"> 282</w:t>
      </w:r>
      <w:r w:rsidRPr="006E12E2">
        <w:rPr>
          <w:b/>
          <w:noProof/>
        </w:rPr>
        <w:t>,</w:t>
      </w:r>
      <w:r w:rsidRPr="006E12E2">
        <w:rPr>
          <w:noProof/>
        </w:rPr>
        <w:t xml:space="preserve"> 26132-26139.</w:t>
      </w:r>
    </w:p>
    <w:p w14:paraId="6919A3CC" w14:textId="77777777" w:rsidR="006E12E2" w:rsidRPr="006E12E2" w:rsidRDefault="006E12E2" w:rsidP="006E12E2">
      <w:pPr>
        <w:pStyle w:val="EndNoteBibliography"/>
        <w:ind w:left="720" w:hanging="720"/>
        <w:rPr>
          <w:noProof/>
        </w:rPr>
      </w:pPr>
      <w:r w:rsidRPr="006E12E2">
        <w:rPr>
          <w:noProof/>
        </w:rPr>
        <w:t>WORKMAN, P., AL- LAZIKANI, B. &amp; AL-LAZIKANI, B. 2013. Drugging cancer genomes.</w:t>
      </w:r>
    </w:p>
    <w:p w14:paraId="7FBDA2FE" w14:textId="77777777" w:rsidR="006E12E2" w:rsidRPr="006E12E2" w:rsidRDefault="006E12E2" w:rsidP="006E12E2">
      <w:pPr>
        <w:pStyle w:val="EndNoteBibliography"/>
        <w:ind w:left="720" w:hanging="720"/>
        <w:rPr>
          <w:noProof/>
        </w:rPr>
      </w:pPr>
      <w:r w:rsidRPr="006E12E2">
        <w:rPr>
          <w:noProof/>
        </w:rPr>
        <w:t xml:space="preserve">WORLDHEALTHORGANISATION. 2015. </w:t>
      </w:r>
      <w:r w:rsidRPr="006E12E2">
        <w:rPr>
          <w:i/>
          <w:noProof/>
        </w:rPr>
        <w:t xml:space="preserve">Cancer, Fact sheet No.297 </w:t>
      </w:r>
      <w:r w:rsidRPr="006E12E2">
        <w:rPr>
          <w:noProof/>
        </w:rPr>
        <w:t>[Online]. Online: World Health Organisation.  [Accessed].</w:t>
      </w:r>
    </w:p>
    <w:p w14:paraId="25147357" w14:textId="77777777" w:rsidR="006E12E2" w:rsidRPr="006E12E2" w:rsidRDefault="006E12E2" w:rsidP="006E12E2">
      <w:pPr>
        <w:pStyle w:val="EndNoteBibliography"/>
        <w:ind w:left="720" w:hanging="720"/>
        <w:rPr>
          <w:noProof/>
        </w:rPr>
      </w:pPr>
      <w:r w:rsidRPr="006E12E2">
        <w:rPr>
          <w:noProof/>
        </w:rPr>
        <w:t xml:space="preserve">WORTHLEY, D. L. &amp; LEGGETT, B. A. 2010. Colorectal cancer: molecular features and clinical opportunities. </w:t>
      </w:r>
      <w:r w:rsidRPr="006E12E2">
        <w:rPr>
          <w:i/>
          <w:noProof/>
        </w:rPr>
        <w:t>The Clinical biochemist. Reviews / Australian Association of Clinical Biochemists,</w:t>
      </w:r>
      <w:r w:rsidRPr="006E12E2">
        <w:rPr>
          <w:noProof/>
        </w:rPr>
        <w:t xml:space="preserve"> 31</w:t>
      </w:r>
      <w:r w:rsidRPr="006E12E2">
        <w:rPr>
          <w:b/>
          <w:noProof/>
        </w:rPr>
        <w:t>,</w:t>
      </w:r>
      <w:r w:rsidRPr="006E12E2">
        <w:rPr>
          <w:noProof/>
        </w:rPr>
        <w:t xml:space="preserve"> 31.</w:t>
      </w:r>
    </w:p>
    <w:p w14:paraId="51B88369" w14:textId="77777777" w:rsidR="006E12E2" w:rsidRPr="006E12E2" w:rsidRDefault="006E12E2" w:rsidP="006E12E2">
      <w:pPr>
        <w:pStyle w:val="EndNoteBibliography"/>
        <w:ind w:left="720" w:hanging="720"/>
        <w:rPr>
          <w:noProof/>
        </w:rPr>
      </w:pPr>
      <w:r w:rsidRPr="006E12E2">
        <w:rPr>
          <w:noProof/>
        </w:rPr>
        <w:t xml:space="preserve">XIANG, B., SNOOK, A. E., MAGEE, M. S. &amp; WALDMAN, S. A. 2013. Colorectal cancer immunotherapy. </w:t>
      </w:r>
      <w:r w:rsidRPr="006E12E2">
        <w:rPr>
          <w:i/>
          <w:noProof/>
        </w:rPr>
        <w:t>Discov Med,</w:t>
      </w:r>
      <w:r w:rsidRPr="006E12E2">
        <w:rPr>
          <w:noProof/>
        </w:rPr>
        <w:t xml:space="preserve"> 15</w:t>
      </w:r>
      <w:r w:rsidRPr="006E12E2">
        <w:rPr>
          <w:b/>
          <w:noProof/>
        </w:rPr>
        <w:t>,</w:t>
      </w:r>
      <w:r w:rsidRPr="006E12E2">
        <w:rPr>
          <w:noProof/>
        </w:rPr>
        <w:t xml:space="preserve"> 301-8.</w:t>
      </w:r>
    </w:p>
    <w:p w14:paraId="79E672D8" w14:textId="77777777" w:rsidR="006E12E2" w:rsidRPr="006E12E2" w:rsidRDefault="006E12E2" w:rsidP="006E12E2">
      <w:pPr>
        <w:pStyle w:val="EndNoteBibliography"/>
        <w:ind w:left="720" w:hanging="720"/>
        <w:rPr>
          <w:noProof/>
        </w:rPr>
      </w:pPr>
      <w:r w:rsidRPr="006E12E2">
        <w:rPr>
          <w:noProof/>
        </w:rPr>
        <w:t xml:space="preserve">XU, Y., AYRAPETOV, M. K., XU, C., GURSOY-YUZUGULLU, O., HU, Y. &amp; PRICE, B. D. 2012. Histone H2A.Z controls a critical chromatin remodeling step required for DNA double-strand break repair. </w:t>
      </w:r>
      <w:r w:rsidRPr="006E12E2">
        <w:rPr>
          <w:i/>
          <w:noProof/>
        </w:rPr>
        <w:t>Mol Cell,</w:t>
      </w:r>
      <w:r w:rsidRPr="006E12E2">
        <w:rPr>
          <w:noProof/>
        </w:rPr>
        <w:t xml:space="preserve"> 48</w:t>
      </w:r>
      <w:r w:rsidRPr="006E12E2">
        <w:rPr>
          <w:b/>
          <w:noProof/>
        </w:rPr>
        <w:t>,</w:t>
      </w:r>
      <w:r w:rsidRPr="006E12E2">
        <w:rPr>
          <w:noProof/>
        </w:rPr>
        <w:t xml:space="preserve"> 723-33.</w:t>
      </w:r>
    </w:p>
    <w:p w14:paraId="1C53445F" w14:textId="77777777" w:rsidR="006E12E2" w:rsidRPr="006E12E2" w:rsidRDefault="006E12E2" w:rsidP="006E12E2">
      <w:pPr>
        <w:pStyle w:val="EndNoteBibliography"/>
        <w:ind w:left="720" w:hanging="720"/>
        <w:rPr>
          <w:noProof/>
        </w:rPr>
      </w:pPr>
      <w:r w:rsidRPr="006E12E2">
        <w:rPr>
          <w:noProof/>
        </w:rPr>
        <w:t xml:space="preserve">YAN, J., ROY, S., APOLLONI, A., LANE, A. &amp; HANCOCK, J. F. 1998. Ras isoforms vary in their ability to activate Raf-1 and phosphoinositide 3-kinase. </w:t>
      </w:r>
      <w:r w:rsidRPr="006E12E2">
        <w:rPr>
          <w:i/>
          <w:noProof/>
        </w:rPr>
        <w:t>J Biol Chem,</w:t>
      </w:r>
      <w:r w:rsidRPr="006E12E2">
        <w:rPr>
          <w:noProof/>
        </w:rPr>
        <w:t xml:space="preserve"> 273</w:t>
      </w:r>
      <w:r w:rsidRPr="006E12E2">
        <w:rPr>
          <w:b/>
          <w:noProof/>
        </w:rPr>
        <w:t>,</w:t>
      </w:r>
      <w:r w:rsidRPr="006E12E2">
        <w:rPr>
          <w:noProof/>
        </w:rPr>
        <w:t xml:space="preserve"> 24052-6.</w:t>
      </w:r>
    </w:p>
    <w:p w14:paraId="1E36BB84" w14:textId="77777777" w:rsidR="006E12E2" w:rsidRPr="006E12E2" w:rsidRDefault="006E12E2" w:rsidP="006E12E2">
      <w:pPr>
        <w:pStyle w:val="EndNoteBibliography"/>
        <w:ind w:left="720" w:hanging="720"/>
        <w:rPr>
          <w:noProof/>
        </w:rPr>
      </w:pPr>
      <w:r w:rsidRPr="006E12E2">
        <w:rPr>
          <w:noProof/>
        </w:rPr>
        <w:t xml:space="preserve">ZENONOS, K. &amp; KYPRIANOU, K. 2013. RAS signaling pathways, mutations and their role in colorectal cancer. </w:t>
      </w:r>
      <w:r w:rsidRPr="006E12E2">
        <w:rPr>
          <w:i/>
          <w:noProof/>
        </w:rPr>
        <w:t>World J Gastrointest Oncol,</w:t>
      </w:r>
      <w:r w:rsidRPr="006E12E2">
        <w:rPr>
          <w:noProof/>
        </w:rPr>
        <w:t xml:space="preserve"> 5</w:t>
      </w:r>
      <w:r w:rsidRPr="006E12E2">
        <w:rPr>
          <w:b/>
          <w:noProof/>
        </w:rPr>
        <w:t>,</w:t>
      </w:r>
      <w:r w:rsidRPr="006E12E2">
        <w:rPr>
          <w:noProof/>
        </w:rPr>
        <w:t xml:space="preserve"> 97-101.</w:t>
      </w:r>
    </w:p>
    <w:p w14:paraId="726C9F01" w14:textId="77777777" w:rsidR="006E12E2" w:rsidRPr="006E12E2" w:rsidRDefault="006E12E2" w:rsidP="006E12E2">
      <w:pPr>
        <w:pStyle w:val="EndNoteBibliography"/>
        <w:ind w:left="720" w:hanging="720"/>
        <w:rPr>
          <w:noProof/>
        </w:rPr>
      </w:pPr>
      <w:r w:rsidRPr="006E12E2">
        <w:rPr>
          <w:noProof/>
        </w:rPr>
        <w:t xml:space="preserve">ZHANG, L. &amp; SHAY, J. W. 2017. Multiple Roles of APC and its Therapeutic Implications in Colorectal Cancer. </w:t>
      </w:r>
      <w:r w:rsidRPr="006E12E2">
        <w:rPr>
          <w:i/>
          <w:noProof/>
        </w:rPr>
        <w:t>J Natl Cancer Inst,</w:t>
      </w:r>
      <w:r w:rsidRPr="006E12E2">
        <w:rPr>
          <w:noProof/>
        </w:rPr>
        <w:t xml:space="preserve"> 109.</w:t>
      </w:r>
    </w:p>
    <w:p w14:paraId="4C80A71D" w14:textId="77777777" w:rsidR="006E12E2" w:rsidRPr="006E12E2" w:rsidRDefault="006E12E2" w:rsidP="006E12E2">
      <w:pPr>
        <w:pStyle w:val="EndNoteBibliography"/>
        <w:ind w:left="720" w:hanging="720"/>
        <w:rPr>
          <w:noProof/>
        </w:rPr>
      </w:pPr>
      <w:r w:rsidRPr="006E12E2">
        <w:rPr>
          <w:noProof/>
        </w:rPr>
        <w:t xml:space="preserve">ZHANG, Y., YIN, C., ZHANG, T., LI, F., YANG, W., KAMINSKI, R., FAGAN, P. R., PUTATUNDA, R., YOUNG, W. B., KHALILI, K. &amp; HU, W. 2015. CRISPR/gRNA-directed synergistic activation mediator (SAM) induces specific, persistent and robust reactivation of the HIV-1 latent reservoirs. </w:t>
      </w:r>
      <w:r w:rsidRPr="006E12E2">
        <w:rPr>
          <w:i/>
          <w:noProof/>
        </w:rPr>
        <w:t>Sci Rep,</w:t>
      </w:r>
      <w:r w:rsidRPr="006E12E2">
        <w:rPr>
          <w:noProof/>
        </w:rPr>
        <w:t xml:space="preserve"> 5</w:t>
      </w:r>
      <w:r w:rsidRPr="006E12E2">
        <w:rPr>
          <w:b/>
          <w:noProof/>
        </w:rPr>
        <w:t>,</w:t>
      </w:r>
      <w:r w:rsidRPr="006E12E2">
        <w:rPr>
          <w:noProof/>
        </w:rPr>
        <w:t xml:space="preserve"> 16277.</w:t>
      </w:r>
    </w:p>
    <w:p w14:paraId="658BAD08" w14:textId="77777777" w:rsidR="006E12E2" w:rsidRPr="006E12E2" w:rsidRDefault="006E12E2" w:rsidP="006E12E2">
      <w:pPr>
        <w:pStyle w:val="EndNoteBibliography"/>
        <w:ind w:left="720" w:hanging="720"/>
        <w:rPr>
          <w:noProof/>
        </w:rPr>
      </w:pPr>
      <w:r w:rsidRPr="006E12E2">
        <w:rPr>
          <w:noProof/>
        </w:rPr>
        <w:t xml:space="preserve">ZHAO, Z., LI, J., YE, R., WU, X., GAO, L. &amp; NIU, B. 2017. A phase II clinical study of combining FOLFIRI and bevacizumab plus erlotinib in 2nd-line chemotherapy for patients with metastatic colorectal cancer. </w:t>
      </w:r>
      <w:r w:rsidRPr="006E12E2">
        <w:rPr>
          <w:i/>
          <w:noProof/>
        </w:rPr>
        <w:t>Medicine (Baltimore),</w:t>
      </w:r>
      <w:r w:rsidRPr="006E12E2">
        <w:rPr>
          <w:noProof/>
        </w:rPr>
        <w:t xml:space="preserve"> 96</w:t>
      </w:r>
      <w:r w:rsidRPr="006E12E2">
        <w:rPr>
          <w:b/>
          <w:noProof/>
        </w:rPr>
        <w:t>,</w:t>
      </w:r>
      <w:r w:rsidRPr="006E12E2">
        <w:rPr>
          <w:noProof/>
        </w:rPr>
        <w:t xml:space="preserve"> e7182.</w:t>
      </w:r>
    </w:p>
    <w:p w14:paraId="4CA58314" w14:textId="77777777" w:rsidR="006E12E2" w:rsidRPr="006E12E2" w:rsidRDefault="006E12E2" w:rsidP="006E12E2">
      <w:pPr>
        <w:pStyle w:val="EndNoteBibliography"/>
        <w:ind w:left="720" w:hanging="720"/>
        <w:rPr>
          <w:noProof/>
        </w:rPr>
      </w:pPr>
      <w:r w:rsidRPr="006E12E2">
        <w:rPr>
          <w:noProof/>
        </w:rPr>
        <w:t xml:space="preserve">ZUCCHI, I., MENTO, E., KUZNETSOV, V. A., SCOTTI, M., VALSECCHI, V., SIMIONATI, B., VICINANZA, E., VALLE, G., PILOTTI, S., REINBOLD, R., VEZZONI, P., ALBERTINI, A. &amp; DULBECCO, R. 2004. Gene expression profiles of epithelial cells microscopically isolated from a breast-invasive ductal carcinoma and a nodal metastasis. </w:t>
      </w:r>
      <w:r w:rsidRPr="006E12E2">
        <w:rPr>
          <w:i/>
          <w:noProof/>
        </w:rPr>
        <w:t>Proc Natl Acad Sci U S A,</w:t>
      </w:r>
      <w:r w:rsidRPr="006E12E2">
        <w:rPr>
          <w:noProof/>
        </w:rPr>
        <w:t xml:space="preserve"> 101</w:t>
      </w:r>
      <w:r w:rsidRPr="006E12E2">
        <w:rPr>
          <w:b/>
          <w:noProof/>
        </w:rPr>
        <w:t>,</w:t>
      </w:r>
      <w:r w:rsidRPr="006E12E2">
        <w:rPr>
          <w:noProof/>
        </w:rPr>
        <w:t xml:space="preserve"> 18147-52.</w:t>
      </w:r>
    </w:p>
    <w:p w14:paraId="3E00503F" w14:textId="2A9C6398" w:rsidR="007053FB" w:rsidRDefault="00ED4F76" w:rsidP="00ED4F76">
      <w:pPr>
        <w:spacing w:line="360" w:lineRule="auto"/>
        <w:jc w:val="both"/>
        <w:rPr>
          <w:rFonts w:asciiTheme="majorHAnsi" w:hAnsiTheme="majorHAnsi"/>
          <w:lang w:val="en-US"/>
        </w:rPr>
      </w:pPr>
      <w:r>
        <w:rPr>
          <w:rFonts w:asciiTheme="majorHAnsi" w:hAnsiTheme="majorHAnsi"/>
          <w:lang w:val="en-US"/>
        </w:rPr>
        <w:fldChar w:fldCharType="end"/>
      </w:r>
    </w:p>
    <w:p w14:paraId="2D135CD3" w14:textId="77777777" w:rsidR="007053FB" w:rsidRDefault="007053FB" w:rsidP="007053FB">
      <w:pPr>
        <w:spacing w:line="360" w:lineRule="auto"/>
        <w:jc w:val="both"/>
        <w:rPr>
          <w:rFonts w:asciiTheme="majorHAnsi" w:hAnsiTheme="majorHAnsi"/>
          <w:lang w:val="en-US"/>
        </w:rPr>
      </w:pPr>
    </w:p>
    <w:p w14:paraId="5ADCDF9F" w14:textId="77777777" w:rsidR="007053FB" w:rsidRDefault="007053FB" w:rsidP="007053FB">
      <w:pPr>
        <w:spacing w:line="360" w:lineRule="auto"/>
        <w:jc w:val="both"/>
        <w:rPr>
          <w:rFonts w:asciiTheme="majorHAnsi" w:hAnsiTheme="majorHAnsi"/>
          <w:lang w:val="en-US"/>
        </w:rPr>
      </w:pPr>
    </w:p>
    <w:p w14:paraId="667BAFD9" w14:textId="0DF789A0" w:rsidR="007053FB" w:rsidRDefault="007053FB" w:rsidP="007053FB">
      <w:pPr>
        <w:spacing w:line="360" w:lineRule="auto"/>
        <w:jc w:val="both"/>
        <w:rPr>
          <w:rFonts w:asciiTheme="majorHAnsi" w:hAnsiTheme="majorHAnsi"/>
          <w:lang w:val="en-US"/>
        </w:rPr>
      </w:pPr>
    </w:p>
    <w:p w14:paraId="321616E9" w14:textId="77777777" w:rsidR="007053FB" w:rsidRDefault="007053FB" w:rsidP="007053FB">
      <w:pPr>
        <w:spacing w:line="360" w:lineRule="auto"/>
        <w:jc w:val="both"/>
        <w:rPr>
          <w:rFonts w:asciiTheme="majorHAnsi" w:hAnsiTheme="majorHAnsi"/>
          <w:lang w:val="en-US"/>
        </w:rPr>
      </w:pPr>
    </w:p>
    <w:p w14:paraId="2F868C18" w14:textId="4F53A387" w:rsidR="00FE2A62" w:rsidRDefault="00FE2A62" w:rsidP="00FE2A62">
      <w:pPr>
        <w:spacing w:line="360" w:lineRule="auto"/>
        <w:jc w:val="both"/>
        <w:rPr>
          <w:rFonts w:asciiTheme="majorHAnsi" w:hAnsiTheme="majorHAnsi"/>
          <w:lang w:val="en-US"/>
        </w:rPr>
      </w:pPr>
    </w:p>
    <w:p w14:paraId="328D74BD" w14:textId="144169ED" w:rsidR="00C27EDE" w:rsidRPr="007C58EA" w:rsidRDefault="00C17740" w:rsidP="007C58EA">
      <w:pPr>
        <w:rPr>
          <w:rFonts w:asciiTheme="majorHAnsi" w:hAnsiTheme="majorHAnsi"/>
          <w:sz w:val="28"/>
          <w:u w:val="single"/>
        </w:rPr>
        <w:sectPr w:rsidR="00C27EDE" w:rsidRPr="007C58EA" w:rsidSect="006A36EF">
          <w:headerReference w:type="default" r:id="rId179"/>
          <w:pgSz w:w="11900" w:h="16840"/>
          <w:pgMar w:top="1440" w:right="1134" w:bottom="1440" w:left="2268" w:header="709" w:footer="709" w:gutter="0"/>
          <w:cols w:space="708"/>
          <w:docGrid w:linePitch="360"/>
        </w:sectPr>
      </w:pPr>
      <w:r>
        <w:rPr>
          <w:rFonts w:asciiTheme="majorHAnsi" w:hAnsiTheme="majorHAnsi"/>
          <w:sz w:val="28"/>
          <w:u w:val="single"/>
        </w:rPr>
        <w:br w:type="page"/>
      </w:r>
    </w:p>
    <w:p w14:paraId="672AE457" w14:textId="608887C1" w:rsidR="00C27EDE" w:rsidRPr="00C1483B" w:rsidRDefault="00C27EDE" w:rsidP="006A36EF">
      <w:pPr>
        <w:pStyle w:val="Title"/>
        <w:rPr>
          <w:color w:val="auto"/>
        </w:rPr>
      </w:pPr>
      <w:r w:rsidRPr="00C1483B">
        <w:rPr>
          <w:color w:val="auto"/>
        </w:rPr>
        <w:t>Appendix 1</w:t>
      </w:r>
    </w:p>
    <w:p w14:paraId="7386D50A" w14:textId="77777777" w:rsidR="00C27EDE" w:rsidRPr="00E66D1B" w:rsidRDefault="00C27EDE" w:rsidP="00C27EDE">
      <w:pPr>
        <w:rPr>
          <w:color w:val="FFFFFF" w:themeColor="background1"/>
          <w:sz w:val="28"/>
          <w:szCs w:val="28"/>
          <w:u w:val="single"/>
        </w:rPr>
      </w:pPr>
    </w:p>
    <w:tbl>
      <w:tblPr>
        <w:tblStyle w:val="LightList1"/>
        <w:tblW w:w="8506" w:type="dxa"/>
        <w:tblLayout w:type="fixed"/>
        <w:tblLook w:val="04A0" w:firstRow="1" w:lastRow="0" w:firstColumn="1" w:lastColumn="0" w:noHBand="0" w:noVBand="1"/>
      </w:tblPr>
      <w:tblGrid>
        <w:gridCol w:w="755"/>
        <w:gridCol w:w="471"/>
        <w:gridCol w:w="467"/>
        <w:gridCol w:w="471"/>
        <w:gridCol w:w="594"/>
        <w:gridCol w:w="1064"/>
        <w:gridCol w:w="605"/>
        <w:gridCol w:w="710"/>
        <w:gridCol w:w="709"/>
        <w:gridCol w:w="830"/>
        <w:gridCol w:w="830"/>
        <w:gridCol w:w="1000"/>
      </w:tblGrid>
      <w:tr w:rsidR="00C27EDE" w:rsidRPr="00E66D1B" w14:paraId="7FBDB4DD" w14:textId="77777777" w:rsidTr="00E66D1B">
        <w:trPr>
          <w:cnfStyle w:val="100000000000" w:firstRow="1" w:lastRow="0" w:firstColumn="0" w:lastColumn="0" w:oddVBand="0" w:evenVBand="0" w:oddHBand="0" w:evenHBand="0" w:firstRowFirstColumn="0" w:firstRowLastColumn="0" w:lastRowFirstColumn="0" w:lastRowLastColumn="0"/>
          <w:trHeight w:val="1057"/>
        </w:trPr>
        <w:tc>
          <w:tcPr>
            <w:cnfStyle w:val="001000000000" w:firstRow="0" w:lastRow="0" w:firstColumn="1" w:lastColumn="0" w:oddVBand="0" w:evenVBand="0" w:oddHBand="0" w:evenHBand="0" w:firstRowFirstColumn="0" w:firstRowLastColumn="0" w:lastRowFirstColumn="0" w:lastRowLastColumn="0"/>
            <w:tcW w:w="755" w:type="dxa"/>
            <w:textDirection w:val="tbRl"/>
          </w:tcPr>
          <w:p w14:paraId="16A7CF01" w14:textId="77777777" w:rsidR="00C27EDE" w:rsidRPr="00E66D1B" w:rsidRDefault="00C27EDE" w:rsidP="005A571B">
            <w:pPr>
              <w:ind w:left="113" w:right="113"/>
              <w:rPr>
                <w:rFonts w:ascii="Calibri" w:eastAsia="Times New Roman" w:hAnsi="Calibri" w:cs="Times New Roman"/>
                <w:b w:val="0"/>
                <w:bCs w:val="0"/>
                <w:color w:val="FFFFFF" w:themeColor="background1"/>
                <w:sz w:val="18"/>
                <w:szCs w:val="20"/>
              </w:rPr>
            </w:pPr>
            <w:r w:rsidRPr="00E66D1B">
              <w:rPr>
                <w:rFonts w:ascii="Calibri" w:eastAsia="Times New Roman" w:hAnsi="Calibri" w:cs="Times New Roman"/>
                <w:b w:val="0"/>
                <w:bCs w:val="0"/>
                <w:color w:val="FFFFFF" w:themeColor="background1"/>
                <w:sz w:val="18"/>
                <w:szCs w:val="20"/>
              </w:rPr>
              <w:t>Gene in wide peak</w:t>
            </w:r>
          </w:p>
        </w:tc>
        <w:tc>
          <w:tcPr>
            <w:tcW w:w="471" w:type="dxa"/>
            <w:textDirection w:val="tbRl"/>
            <w:hideMark/>
          </w:tcPr>
          <w:p w14:paraId="3EBD2245"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r w:rsidRPr="00E66D1B">
              <w:rPr>
                <w:rFonts w:ascii="Calibri" w:eastAsia="Times New Roman" w:hAnsi="Calibri" w:cs="Times New Roman"/>
                <w:b w:val="0"/>
                <w:bCs w:val="0"/>
                <w:color w:val="FFFFFF" w:themeColor="background1"/>
                <w:sz w:val="18"/>
                <w:szCs w:val="20"/>
              </w:rPr>
              <w:t>Type</w:t>
            </w:r>
          </w:p>
        </w:tc>
        <w:tc>
          <w:tcPr>
            <w:tcW w:w="467" w:type="dxa"/>
            <w:textDirection w:val="tbRl"/>
            <w:hideMark/>
          </w:tcPr>
          <w:p w14:paraId="78D880C9"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proofErr w:type="spellStart"/>
            <w:proofErr w:type="gramStart"/>
            <w:r w:rsidRPr="00E66D1B">
              <w:rPr>
                <w:rFonts w:ascii="Calibri" w:eastAsia="Times New Roman" w:hAnsi="Calibri" w:cs="Times New Roman"/>
                <w:b w:val="0"/>
                <w:bCs w:val="0"/>
                <w:color w:val="FFFFFF" w:themeColor="background1"/>
                <w:sz w:val="18"/>
                <w:szCs w:val="20"/>
              </w:rPr>
              <w:t>cytoband</w:t>
            </w:r>
            <w:proofErr w:type="spellEnd"/>
            <w:proofErr w:type="gramEnd"/>
          </w:p>
        </w:tc>
        <w:tc>
          <w:tcPr>
            <w:tcW w:w="471" w:type="dxa"/>
            <w:textDirection w:val="tbRl"/>
            <w:hideMark/>
          </w:tcPr>
          <w:p w14:paraId="24D1A96A"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proofErr w:type="gramStart"/>
            <w:r w:rsidRPr="00E66D1B">
              <w:rPr>
                <w:rFonts w:ascii="Calibri" w:eastAsia="Times New Roman" w:hAnsi="Calibri" w:cs="Times New Roman"/>
                <w:b w:val="0"/>
                <w:bCs w:val="0"/>
                <w:color w:val="FFFFFF" w:themeColor="background1"/>
                <w:sz w:val="18"/>
                <w:szCs w:val="20"/>
              </w:rPr>
              <w:t>q</w:t>
            </w:r>
            <w:proofErr w:type="gramEnd"/>
            <w:r w:rsidRPr="00E66D1B">
              <w:rPr>
                <w:rFonts w:ascii="Calibri" w:eastAsia="Times New Roman" w:hAnsi="Calibri" w:cs="Times New Roman"/>
                <w:b w:val="0"/>
                <w:bCs w:val="0"/>
                <w:color w:val="FFFFFF" w:themeColor="background1"/>
                <w:sz w:val="18"/>
                <w:szCs w:val="20"/>
              </w:rPr>
              <w:t>-value</w:t>
            </w:r>
          </w:p>
        </w:tc>
        <w:tc>
          <w:tcPr>
            <w:tcW w:w="594" w:type="dxa"/>
            <w:textDirection w:val="tbRl"/>
            <w:hideMark/>
          </w:tcPr>
          <w:p w14:paraId="1A5D0DDE"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proofErr w:type="gramStart"/>
            <w:r w:rsidRPr="00E66D1B">
              <w:rPr>
                <w:rFonts w:ascii="Calibri" w:eastAsia="Times New Roman" w:hAnsi="Calibri" w:cs="Times New Roman"/>
                <w:b w:val="0"/>
                <w:bCs w:val="0"/>
                <w:color w:val="FFFFFF" w:themeColor="background1"/>
                <w:sz w:val="18"/>
                <w:szCs w:val="20"/>
              </w:rPr>
              <w:t>residual</w:t>
            </w:r>
            <w:proofErr w:type="gramEnd"/>
            <w:r w:rsidRPr="00E66D1B">
              <w:rPr>
                <w:rFonts w:ascii="Calibri" w:eastAsia="Times New Roman" w:hAnsi="Calibri" w:cs="Times New Roman"/>
                <w:b w:val="0"/>
                <w:bCs w:val="0"/>
                <w:color w:val="FFFFFF" w:themeColor="background1"/>
                <w:sz w:val="18"/>
                <w:szCs w:val="20"/>
              </w:rPr>
              <w:t xml:space="preserve"> q-value</w:t>
            </w:r>
          </w:p>
        </w:tc>
        <w:tc>
          <w:tcPr>
            <w:tcW w:w="1064" w:type="dxa"/>
            <w:textDirection w:val="tbRl"/>
            <w:hideMark/>
          </w:tcPr>
          <w:p w14:paraId="7EE9C6A0"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proofErr w:type="gramStart"/>
            <w:r w:rsidRPr="00E66D1B">
              <w:rPr>
                <w:rFonts w:ascii="Calibri" w:eastAsia="Times New Roman" w:hAnsi="Calibri" w:cs="Times New Roman"/>
                <w:b w:val="0"/>
                <w:bCs w:val="0"/>
                <w:color w:val="FFFFFF" w:themeColor="background1"/>
                <w:sz w:val="18"/>
                <w:szCs w:val="20"/>
              </w:rPr>
              <w:t>wide</w:t>
            </w:r>
            <w:proofErr w:type="gramEnd"/>
            <w:r w:rsidRPr="00E66D1B">
              <w:rPr>
                <w:rFonts w:ascii="Calibri" w:eastAsia="Times New Roman" w:hAnsi="Calibri" w:cs="Times New Roman"/>
                <w:b w:val="0"/>
                <w:bCs w:val="0"/>
                <w:color w:val="FFFFFF" w:themeColor="background1"/>
                <w:sz w:val="18"/>
                <w:szCs w:val="20"/>
              </w:rPr>
              <w:t xml:space="preserve"> peak boundaries</w:t>
            </w:r>
          </w:p>
        </w:tc>
        <w:tc>
          <w:tcPr>
            <w:tcW w:w="605" w:type="dxa"/>
            <w:textDirection w:val="tbRl"/>
            <w:hideMark/>
          </w:tcPr>
          <w:p w14:paraId="6975E52E"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proofErr w:type="spellStart"/>
            <w:r w:rsidRPr="00E66D1B">
              <w:rPr>
                <w:rFonts w:ascii="Calibri" w:eastAsia="Times New Roman" w:hAnsi="Calibri" w:cs="Times New Roman"/>
                <w:b w:val="0"/>
                <w:bCs w:val="0"/>
                <w:color w:val="FFFFFF" w:themeColor="background1"/>
                <w:sz w:val="18"/>
                <w:szCs w:val="20"/>
              </w:rPr>
              <w:t>RefSeq</w:t>
            </w:r>
            <w:proofErr w:type="spellEnd"/>
            <w:r w:rsidRPr="00E66D1B">
              <w:rPr>
                <w:rFonts w:ascii="Calibri" w:eastAsia="Times New Roman" w:hAnsi="Calibri" w:cs="Times New Roman"/>
                <w:b w:val="0"/>
                <w:bCs w:val="0"/>
                <w:color w:val="FFFFFF" w:themeColor="background1"/>
                <w:sz w:val="18"/>
                <w:szCs w:val="20"/>
              </w:rPr>
              <w:t xml:space="preserve"> ID</w:t>
            </w:r>
          </w:p>
        </w:tc>
        <w:tc>
          <w:tcPr>
            <w:tcW w:w="710" w:type="dxa"/>
            <w:textDirection w:val="tbRl"/>
            <w:hideMark/>
          </w:tcPr>
          <w:p w14:paraId="6AE5F5B1"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proofErr w:type="gramStart"/>
            <w:r w:rsidRPr="00E66D1B">
              <w:rPr>
                <w:rFonts w:ascii="Calibri" w:eastAsia="Times New Roman" w:hAnsi="Calibri" w:cs="Times New Roman"/>
                <w:b w:val="0"/>
                <w:bCs w:val="0"/>
                <w:color w:val="FFFFFF" w:themeColor="background1"/>
                <w:sz w:val="18"/>
                <w:szCs w:val="20"/>
              </w:rPr>
              <w:t>siRNA</w:t>
            </w:r>
            <w:proofErr w:type="gramEnd"/>
            <w:r w:rsidRPr="00E66D1B">
              <w:rPr>
                <w:rFonts w:ascii="Calibri" w:eastAsia="Times New Roman" w:hAnsi="Calibri" w:cs="Times New Roman"/>
                <w:b w:val="0"/>
                <w:bCs w:val="0"/>
                <w:color w:val="FFFFFF" w:themeColor="background1"/>
                <w:sz w:val="18"/>
                <w:szCs w:val="20"/>
              </w:rPr>
              <w:t xml:space="preserve"> screen z-score</w:t>
            </w:r>
          </w:p>
        </w:tc>
        <w:tc>
          <w:tcPr>
            <w:tcW w:w="709" w:type="dxa"/>
            <w:textDirection w:val="tbRl"/>
            <w:hideMark/>
          </w:tcPr>
          <w:p w14:paraId="130F7B4B"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proofErr w:type="spellStart"/>
            <w:proofErr w:type="gramStart"/>
            <w:r w:rsidRPr="00E66D1B">
              <w:rPr>
                <w:rFonts w:ascii="Calibri" w:eastAsia="Times New Roman" w:hAnsi="Calibri" w:cs="Times New Roman"/>
                <w:b w:val="0"/>
                <w:bCs w:val="0"/>
                <w:color w:val="FFFFFF" w:themeColor="background1"/>
                <w:sz w:val="18"/>
                <w:szCs w:val="20"/>
              </w:rPr>
              <w:t>zscore</w:t>
            </w:r>
            <w:proofErr w:type="spellEnd"/>
            <w:proofErr w:type="gramEnd"/>
            <w:r w:rsidRPr="00E66D1B">
              <w:rPr>
                <w:rFonts w:ascii="Calibri" w:eastAsia="Times New Roman" w:hAnsi="Calibri" w:cs="Times New Roman"/>
                <w:b w:val="0"/>
                <w:bCs w:val="0"/>
                <w:color w:val="FFFFFF" w:themeColor="background1"/>
                <w:sz w:val="18"/>
                <w:szCs w:val="20"/>
              </w:rPr>
              <w:t xml:space="preserve"> p-value</w:t>
            </w:r>
          </w:p>
        </w:tc>
        <w:tc>
          <w:tcPr>
            <w:tcW w:w="830" w:type="dxa"/>
            <w:textDirection w:val="tbRl"/>
            <w:hideMark/>
          </w:tcPr>
          <w:p w14:paraId="53F9A69D"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r w:rsidRPr="00E66D1B">
              <w:rPr>
                <w:rFonts w:ascii="Calibri" w:eastAsia="Times New Roman" w:hAnsi="Calibri" w:cs="Times New Roman"/>
                <w:b w:val="0"/>
                <w:bCs w:val="0"/>
                <w:color w:val="FFFFFF" w:themeColor="background1"/>
                <w:sz w:val="18"/>
                <w:szCs w:val="20"/>
              </w:rPr>
              <w:t>Evidence for CNV in TCGA*</w:t>
            </w:r>
          </w:p>
        </w:tc>
        <w:tc>
          <w:tcPr>
            <w:tcW w:w="830" w:type="dxa"/>
            <w:textDirection w:val="tbRl"/>
            <w:hideMark/>
          </w:tcPr>
          <w:p w14:paraId="2B79C1FC"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r w:rsidRPr="00E66D1B">
              <w:rPr>
                <w:rFonts w:ascii="Calibri" w:eastAsia="Times New Roman" w:hAnsi="Calibri" w:cs="Times New Roman"/>
                <w:b w:val="0"/>
                <w:bCs w:val="0"/>
                <w:color w:val="FFFFFF" w:themeColor="background1"/>
                <w:sz w:val="18"/>
                <w:szCs w:val="20"/>
              </w:rPr>
              <w:t>TCGA correlated expression</w:t>
            </w:r>
          </w:p>
        </w:tc>
        <w:tc>
          <w:tcPr>
            <w:tcW w:w="1000" w:type="dxa"/>
            <w:textDirection w:val="tbRl"/>
            <w:hideMark/>
          </w:tcPr>
          <w:p w14:paraId="79139811" w14:textId="77777777" w:rsidR="00C27EDE" w:rsidRPr="00E66D1B" w:rsidRDefault="00C27EDE" w:rsidP="005A571B">
            <w:pPr>
              <w:ind w:left="113" w:right="113"/>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FFFFFF" w:themeColor="background1"/>
                <w:sz w:val="18"/>
                <w:szCs w:val="20"/>
              </w:rPr>
            </w:pPr>
            <w:r w:rsidRPr="00E66D1B">
              <w:rPr>
                <w:rFonts w:ascii="Calibri" w:eastAsia="Times New Roman" w:hAnsi="Calibri" w:cs="Times New Roman"/>
                <w:b w:val="0"/>
                <w:bCs w:val="0"/>
                <w:color w:val="FFFFFF" w:themeColor="background1"/>
                <w:sz w:val="18"/>
                <w:szCs w:val="20"/>
              </w:rPr>
              <w:t>Evidence of druggability**</w:t>
            </w:r>
          </w:p>
        </w:tc>
      </w:tr>
      <w:tr w:rsidR="00C27EDE" w:rsidRPr="00723D3B" w14:paraId="3DC827FC" w14:textId="77777777" w:rsidTr="00E66D1B">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755" w:type="dxa"/>
            <w:shd w:val="clear" w:color="auto" w:fill="D9D9D9" w:themeFill="background1" w:themeFillShade="D9"/>
            <w:textDirection w:val="tbRl"/>
          </w:tcPr>
          <w:p w14:paraId="2BD089AF" w14:textId="77777777" w:rsidR="00C27EDE" w:rsidRPr="007C07FA" w:rsidRDefault="00C27EDE" w:rsidP="005A571B">
            <w:pPr>
              <w:ind w:left="113" w:right="113"/>
              <w:rPr>
                <w:rFonts w:ascii="Calibri" w:eastAsia="Times New Roman" w:hAnsi="Calibri" w:cs="Times New Roman"/>
                <w:color w:val="000000"/>
                <w:szCs w:val="20"/>
              </w:rPr>
            </w:pPr>
            <w:r w:rsidRPr="007C07FA">
              <w:rPr>
                <w:rFonts w:ascii="Calibri" w:eastAsia="Times New Roman" w:hAnsi="Calibri" w:cs="Times New Roman"/>
                <w:b w:val="0"/>
                <w:color w:val="000000"/>
                <w:szCs w:val="20"/>
              </w:rPr>
              <w:t>SRCAP</w:t>
            </w:r>
          </w:p>
        </w:tc>
        <w:tc>
          <w:tcPr>
            <w:tcW w:w="471" w:type="dxa"/>
            <w:noWrap/>
            <w:textDirection w:val="tbRl"/>
            <w:hideMark/>
          </w:tcPr>
          <w:p w14:paraId="7A3EBABD"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AMPLIFICATION</w:t>
            </w:r>
          </w:p>
        </w:tc>
        <w:tc>
          <w:tcPr>
            <w:tcW w:w="467" w:type="dxa"/>
            <w:noWrap/>
            <w:textDirection w:val="tbRl"/>
            <w:hideMark/>
          </w:tcPr>
          <w:p w14:paraId="538EDF64"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16p11.2</w:t>
            </w:r>
          </w:p>
        </w:tc>
        <w:tc>
          <w:tcPr>
            <w:tcW w:w="471" w:type="dxa"/>
            <w:noWrap/>
            <w:textDirection w:val="tbRl"/>
            <w:hideMark/>
          </w:tcPr>
          <w:p w14:paraId="2B1CED8D"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1.97E-02</w:t>
            </w:r>
          </w:p>
        </w:tc>
        <w:tc>
          <w:tcPr>
            <w:tcW w:w="594" w:type="dxa"/>
            <w:noWrap/>
            <w:textDirection w:val="tbRl"/>
            <w:hideMark/>
          </w:tcPr>
          <w:p w14:paraId="0FD1F51F"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1.97E-02</w:t>
            </w:r>
          </w:p>
        </w:tc>
        <w:tc>
          <w:tcPr>
            <w:tcW w:w="1064" w:type="dxa"/>
            <w:noWrap/>
            <w:textDirection w:val="tbRl"/>
            <w:hideMark/>
          </w:tcPr>
          <w:p w14:paraId="04B550E6"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proofErr w:type="gramStart"/>
            <w:r w:rsidRPr="00723D3B">
              <w:rPr>
                <w:rFonts w:ascii="Calibri" w:eastAsia="Times New Roman" w:hAnsi="Calibri" w:cs="Times New Roman"/>
                <w:color w:val="000000"/>
                <w:sz w:val="18"/>
                <w:szCs w:val="20"/>
              </w:rPr>
              <w:t>chr16:30149029</w:t>
            </w:r>
            <w:proofErr w:type="gramEnd"/>
            <w:r w:rsidRPr="00723D3B">
              <w:rPr>
                <w:rFonts w:ascii="Calibri" w:eastAsia="Times New Roman" w:hAnsi="Calibri" w:cs="Times New Roman"/>
                <w:color w:val="000000"/>
                <w:sz w:val="18"/>
                <w:szCs w:val="20"/>
              </w:rPr>
              <w:t>-31559345</w:t>
            </w:r>
          </w:p>
        </w:tc>
        <w:tc>
          <w:tcPr>
            <w:tcW w:w="605" w:type="dxa"/>
            <w:noWrap/>
            <w:textDirection w:val="tbRl"/>
            <w:hideMark/>
          </w:tcPr>
          <w:p w14:paraId="3AED4898"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NM_006662</w:t>
            </w:r>
          </w:p>
        </w:tc>
        <w:tc>
          <w:tcPr>
            <w:tcW w:w="710" w:type="dxa"/>
            <w:noWrap/>
            <w:textDirection w:val="tbRl"/>
            <w:hideMark/>
          </w:tcPr>
          <w:p w14:paraId="3C06BC2C"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2.27</w:t>
            </w:r>
          </w:p>
        </w:tc>
        <w:tc>
          <w:tcPr>
            <w:tcW w:w="709" w:type="dxa"/>
            <w:noWrap/>
            <w:textDirection w:val="tbRl"/>
            <w:hideMark/>
          </w:tcPr>
          <w:p w14:paraId="696DAC5D"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1.35E-03</w:t>
            </w:r>
          </w:p>
        </w:tc>
        <w:tc>
          <w:tcPr>
            <w:tcW w:w="830" w:type="dxa"/>
            <w:noWrap/>
            <w:textDirection w:val="tbRl"/>
            <w:hideMark/>
          </w:tcPr>
          <w:p w14:paraId="2F7A5775"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c>
          <w:tcPr>
            <w:tcW w:w="830" w:type="dxa"/>
            <w:noWrap/>
            <w:textDirection w:val="tbRl"/>
            <w:hideMark/>
          </w:tcPr>
          <w:p w14:paraId="0379FE05"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c>
          <w:tcPr>
            <w:tcW w:w="1000" w:type="dxa"/>
            <w:noWrap/>
            <w:textDirection w:val="tbRl"/>
            <w:hideMark/>
          </w:tcPr>
          <w:p w14:paraId="7A12C979"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r>
      <w:tr w:rsidR="00C27EDE" w:rsidRPr="00723D3B" w14:paraId="213A8E23" w14:textId="77777777" w:rsidTr="00E66D1B">
        <w:trPr>
          <w:trHeight w:val="1470"/>
        </w:trPr>
        <w:tc>
          <w:tcPr>
            <w:cnfStyle w:val="001000000000" w:firstRow="0" w:lastRow="0" w:firstColumn="1" w:lastColumn="0" w:oddVBand="0" w:evenVBand="0" w:oddHBand="0" w:evenHBand="0" w:firstRowFirstColumn="0" w:firstRowLastColumn="0" w:lastRowFirstColumn="0" w:lastRowLastColumn="0"/>
            <w:tcW w:w="755" w:type="dxa"/>
            <w:shd w:val="clear" w:color="auto" w:fill="D9D9D9" w:themeFill="background1" w:themeFillShade="D9"/>
            <w:textDirection w:val="tbRl"/>
          </w:tcPr>
          <w:p w14:paraId="42B2C04B" w14:textId="77777777" w:rsidR="00C27EDE" w:rsidRPr="007C07FA" w:rsidRDefault="00C27EDE" w:rsidP="005A571B">
            <w:pPr>
              <w:ind w:left="113" w:right="113"/>
              <w:rPr>
                <w:rFonts w:ascii="Calibri" w:eastAsia="Times New Roman" w:hAnsi="Calibri" w:cs="Times New Roman"/>
                <w:color w:val="000000"/>
                <w:szCs w:val="20"/>
              </w:rPr>
            </w:pPr>
            <w:r w:rsidRPr="007C07FA">
              <w:rPr>
                <w:rFonts w:ascii="Calibri" w:eastAsia="Times New Roman" w:hAnsi="Calibri" w:cs="Times New Roman"/>
                <w:b w:val="0"/>
                <w:color w:val="000000"/>
                <w:szCs w:val="20"/>
              </w:rPr>
              <w:t>MCF2L</w:t>
            </w:r>
          </w:p>
        </w:tc>
        <w:tc>
          <w:tcPr>
            <w:tcW w:w="471" w:type="dxa"/>
            <w:noWrap/>
            <w:textDirection w:val="tbRl"/>
            <w:hideMark/>
          </w:tcPr>
          <w:p w14:paraId="5E87DD9A"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AMPLIFICATION</w:t>
            </w:r>
          </w:p>
        </w:tc>
        <w:tc>
          <w:tcPr>
            <w:tcW w:w="467" w:type="dxa"/>
            <w:noWrap/>
            <w:textDirection w:val="tbRl"/>
            <w:hideMark/>
          </w:tcPr>
          <w:p w14:paraId="1D4D4D6A"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13q34</w:t>
            </w:r>
          </w:p>
        </w:tc>
        <w:tc>
          <w:tcPr>
            <w:tcW w:w="471" w:type="dxa"/>
            <w:noWrap/>
            <w:textDirection w:val="tbRl"/>
            <w:hideMark/>
          </w:tcPr>
          <w:p w14:paraId="399FA7A3"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7.36E-02</w:t>
            </w:r>
          </w:p>
        </w:tc>
        <w:tc>
          <w:tcPr>
            <w:tcW w:w="594" w:type="dxa"/>
            <w:noWrap/>
            <w:textDirection w:val="tbRl"/>
            <w:hideMark/>
          </w:tcPr>
          <w:p w14:paraId="3CEEE0AC"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7.36E-02</w:t>
            </w:r>
          </w:p>
        </w:tc>
        <w:tc>
          <w:tcPr>
            <w:tcW w:w="1064" w:type="dxa"/>
            <w:noWrap/>
            <w:textDirection w:val="tbRl"/>
            <w:hideMark/>
          </w:tcPr>
          <w:p w14:paraId="332DF2C3"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proofErr w:type="gramStart"/>
            <w:r w:rsidRPr="00723D3B">
              <w:rPr>
                <w:rFonts w:ascii="Calibri" w:eastAsia="Times New Roman" w:hAnsi="Calibri" w:cs="Times New Roman"/>
                <w:color w:val="000000"/>
                <w:sz w:val="18"/>
                <w:szCs w:val="20"/>
              </w:rPr>
              <w:t>chr13:109868605</w:t>
            </w:r>
            <w:proofErr w:type="gramEnd"/>
            <w:r w:rsidRPr="00723D3B">
              <w:rPr>
                <w:rFonts w:ascii="Calibri" w:eastAsia="Times New Roman" w:hAnsi="Calibri" w:cs="Times New Roman"/>
                <w:color w:val="000000"/>
                <w:sz w:val="18"/>
                <w:szCs w:val="20"/>
              </w:rPr>
              <w:t>-115169878</w:t>
            </w:r>
          </w:p>
        </w:tc>
        <w:tc>
          <w:tcPr>
            <w:tcW w:w="605" w:type="dxa"/>
            <w:noWrap/>
            <w:textDirection w:val="tbRl"/>
            <w:hideMark/>
          </w:tcPr>
          <w:p w14:paraId="04C6F93C"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NM_024979</w:t>
            </w:r>
          </w:p>
        </w:tc>
        <w:tc>
          <w:tcPr>
            <w:tcW w:w="710" w:type="dxa"/>
            <w:noWrap/>
            <w:textDirection w:val="tbRl"/>
            <w:hideMark/>
          </w:tcPr>
          <w:p w14:paraId="605436D5"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2.60</w:t>
            </w:r>
          </w:p>
        </w:tc>
        <w:tc>
          <w:tcPr>
            <w:tcW w:w="709" w:type="dxa"/>
            <w:noWrap/>
            <w:textDirection w:val="tbRl"/>
            <w:hideMark/>
          </w:tcPr>
          <w:p w14:paraId="19C86086"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8.38E-04</w:t>
            </w:r>
          </w:p>
        </w:tc>
        <w:tc>
          <w:tcPr>
            <w:tcW w:w="830" w:type="dxa"/>
            <w:noWrap/>
            <w:textDirection w:val="tbRl"/>
            <w:hideMark/>
          </w:tcPr>
          <w:p w14:paraId="372BB1AC"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c>
          <w:tcPr>
            <w:tcW w:w="830" w:type="dxa"/>
            <w:noWrap/>
            <w:textDirection w:val="tbRl"/>
            <w:hideMark/>
          </w:tcPr>
          <w:p w14:paraId="224BE7C8"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c>
          <w:tcPr>
            <w:tcW w:w="1000" w:type="dxa"/>
            <w:noWrap/>
            <w:textDirection w:val="tbRl"/>
            <w:hideMark/>
          </w:tcPr>
          <w:p w14:paraId="5507A465"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r>
      <w:tr w:rsidR="00C27EDE" w:rsidRPr="00723D3B" w14:paraId="206510DE" w14:textId="77777777" w:rsidTr="00E66D1B">
        <w:trPr>
          <w:cnfStyle w:val="000000100000" w:firstRow="0" w:lastRow="0" w:firstColumn="0" w:lastColumn="0" w:oddVBand="0" w:evenVBand="0" w:oddHBand="1" w:evenHBand="0" w:firstRowFirstColumn="0" w:firstRowLastColumn="0" w:lastRowFirstColumn="0" w:lastRowLastColumn="0"/>
          <w:trHeight w:val="1445"/>
        </w:trPr>
        <w:tc>
          <w:tcPr>
            <w:cnfStyle w:val="001000000000" w:firstRow="0" w:lastRow="0" w:firstColumn="1" w:lastColumn="0" w:oddVBand="0" w:evenVBand="0" w:oddHBand="0" w:evenHBand="0" w:firstRowFirstColumn="0" w:firstRowLastColumn="0" w:lastRowFirstColumn="0" w:lastRowLastColumn="0"/>
            <w:tcW w:w="755" w:type="dxa"/>
            <w:shd w:val="clear" w:color="auto" w:fill="D9D9D9" w:themeFill="background1" w:themeFillShade="D9"/>
            <w:textDirection w:val="tbRl"/>
          </w:tcPr>
          <w:p w14:paraId="5E6B8737" w14:textId="77777777" w:rsidR="00C27EDE" w:rsidRPr="007C07FA" w:rsidRDefault="00C27EDE" w:rsidP="005A571B">
            <w:pPr>
              <w:ind w:left="113" w:right="113"/>
              <w:rPr>
                <w:rFonts w:ascii="Calibri" w:eastAsia="Times New Roman" w:hAnsi="Calibri" w:cs="Times New Roman"/>
                <w:color w:val="000000"/>
                <w:szCs w:val="20"/>
              </w:rPr>
            </w:pPr>
            <w:r w:rsidRPr="007C07FA">
              <w:rPr>
                <w:rFonts w:ascii="Calibri" w:eastAsia="Times New Roman" w:hAnsi="Calibri" w:cs="Times New Roman"/>
                <w:b w:val="0"/>
                <w:color w:val="000000"/>
                <w:szCs w:val="20"/>
              </w:rPr>
              <w:t>SRCRB4D</w:t>
            </w:r>
          </w:p>
        </w:tc>
        <w:tc>
          <w:tcPr>
            <w:tcW w:w="471" w:type="dxa"/>
            <w:noWrap/>
            <w:textDirection w:val="tbRl"/>
            <w:hideMark/>
          </w:tcPr>
          <w:p w14:paraId="5E2F3327"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AMPLIFICATION</w:t>
            </w:r>
          </w:p>
        </w:tc>
        <w:tc>
          <w:tcPr>
            <w:tcW w:w="467" w:type="dxa"/>
            <w:noWrap/>
            <w:textDirection w:val="tbRl"/>
            <w:hideMark/>
          </w:tcPr>
          <w:p w14:paraId="53CA47C4"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7q11.23</w:t>
            </w:r>
          </w:p>
        </w:tc>
        <w:tc>
          <w:tcPr>
            <w:tcW w:w="471" w:type="dxa"/>
            <w:noWrap/>
            <w:textDirection w:val="tbRl"/>
            <w:hideMark/>
          </w:tcPr>
          <w:p w14:paraId="123019ED"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1.30E-01</w:t>
            </w:r>
          </w:p>
        </w:tc>
        <w:tc>
          <w:tcPr>
            <w:tcW w:w="594" w:type="dxa"/>
            <w:noWrap/>
            <w:textDirection w:val="tbRl"/>
            <w:hideMark/>
          </w:tcPr>
          <w:p w14:paraId="5A5F45E7"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1.30E-01</w:t>
            </w:r>
          </w:p>
        </w:tc>
        <w:tc>
          <w:tcPr>
            <w:tcW w:w="1064" w:type="dxa"/>
            <w:noWrap/>
            <w:textDirection w:val="tbRl"/>
            <w:hideMark/>
          </w:tcPr>
          <w:p w14:paraId="1409A096"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proofErr w:type="gramStart"/>
            <w:r w:rsidRPr="00723D3B">
              <w:rPr>
                <w:rFonts w:ascii="Calibri" w:eastAsia="Times New Roman" w:hAnsi="Calibri" w:cs="Times New Roman"/>
                <w:color w:val="000000"/>
                <w:sz w:val="18"/>
                <w:szCs w:val="20"/>
              </w:rPr>
              <w:t>chr7:72175349</w:t>
            </w:r>
            <w:proofErr w:type="gramEnd"/>
            <w:r w:rsidRPr="00723D3B">
              <w:rPr>
                <w:rFonts w:ascii="Calibri" w:eastAsia="Times New Roman" w:hAnsi="Calibri" w:cs="Times New Roman"/>
                <w:color w:val="000000"/>
                <w:sz w:val="18"/>
                <w:szCs w:val="20"/>
              </w:rPr>
              <w:t>-76200185</w:t>
            </w:r>
          </w:p>
        </w:tc>
        <w:tc>
          <w:tcPr>
            <w:tcW w:w="605" w:type="dxa"/>
            <w:noWrap/>
            <w:textDirection w:val="tbRl"/>
            <w:hideMark/>
          </w:tcPr>
          <w:p w14:paraId="50626306"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NM_080744</w:t>
            </w:r>
          </w:p>
        </w:tc>
        <w:tc>
          <w:tcPr>
            <w:tcW w:w="710" w:type="dxa"/>
            <w:noWrap/>
            <w:textDirection w:val="tbRl"/>
            <w:hideMark/>
          </w:tcPr>
          <w:p w14:paraId="697DB06C"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2.34</w:t>
            </w:r>
          </w:p>
        </w:tc>
        <w:tc>
          <w:tcPr>
            <w:tcW w:w="709" w:type="dxa"/>
            <w:noWrap/>
            <w:textDirection w:val="tbRl"/>
            <w:hideMark/>
          </w:tcPr>
          <w:p w14:paraId="15E617DF"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5.75E-03</w:t>
            </w:r>
          </w:p>
        </w:tc>
        <w:tc>
          <w:tcPr>
            <w:tcW w:w="830" w:type="dxa"/>
            <w:noWrap/>
            <w:textDirection w:val="tbRl"/>
            <w:hideMark/>
          </w:tcPr>
          <w:p w14:paraId="372E8A6C"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c>
          <w:tcPr>
            <w:tcW w:w="830" w:type="dxa"/>
            <w:noWrap/>
            <w:textDirection w:val="tbRl"/>
            <w:hideMark/>
          </w:tcPr>
          <w:p w14:paraId="0F8124DC"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N</w:t>
            </w:r>
          </w:p>
        </w:tc>
        <w:tc>
          <w:tcPr>
            <w:tcW w:w="1000" w:type="dxa"/>
            <w:noWrap/>
            <w:textDirection w:val="tbRl"/>
            <w:hideMark/>
          </w:tcPr>
          <w:p w14:paraId="686FB44E"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r>
      <w:tr w:rsidR="00C27EDE" w:rsidRPr="00723D3B" w14:paraId="7B69101C" w14:textId="77777777" w:rsidTr="00E66D1B">
        <w:trPr>
          <w:trHeight w:val="1464"/>
        </w:trPr>
        <w:tc>
          <w:tcPr>
            <w:cnfStyle w:val="001000000000" w:firstRow="0" w:lastRow="0" w:firstColumn="1" w:lastColumn="0" w:oddVBand="0" w:evenVBand="0" w:oddHBand="0" w:evenHBand="0" w:firstRowFirstColumn="0" w:firstRowLastColumn="0" w:lastRowFirstColumn="0" w:lastRowLastColumn="0"/>
            <w:tcW w:w="755" w:type="dxa"/>
            <w:shd w:val="clear" w:color="auto" w:fill="D9D9D9" w:themeFill="background1" w:themeFillShade="D9"/>
            <w:textDirection w:val="tbRl"/>
          </w:tcPr>
          <w:p w14:paraId="6044EA24" w14:textId="77777777" w:rsidR="00C27EDE" w:rsidRPr="007C07FA" w:rsidRDefault="00C27EDE" w:rsidP="005A571B">
            <w:pPr>
              <w:ind w:left="113" w:right="113"/>
              <w:rPr>
                <w:rFonts w:ascii="Calibri" w:eastAsia="Times New Roman" w:hAnsi="Calibri" w:cs="Times New Roman"/>
                <w:color w:val="000000"/>
                <w:szCs w:val="20"/>
              </w:rPr>
            </w:pPr>
            <w:r w:rsidRPr="007C07FA">
              <w:rPr>
                <w:rFonts w:ascii="Calibri" w:eastAsia="Times New Roman" w:hAnsi="Calibri" w:cs="Times New Roman"/>
                <w:b w:val="0"/>
                <w:color w:val="000000"/>
                <w:szCs w:val="20"/>
              </w:rPr>
              <w:t>MTX1</w:t>
            </w:r>
          </w:p>
        </w:tc>
        <w:tc>
          <w:tcPr>
            <w:tcW w:w="471" w:type="dxa"/>
            <w:noWrap/>
            <w:textDirection w:val="tbRl"/>
            <w:hideMark/>
          </w:tcPr>
          <w:p w14:paraId="4ED74A95"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AMPLIFICATION</w:t>
            </w:r>
          </w:p>
        </w:tc>
        <w:tc>
          <w:tcPr>
            <w:tcW w:w="467" w:type="dxa"/>
            <w:noWrap/>
            <w:textDirection w:val="tbRl"/>
            <w:hideMark/>
          </w:tcPr>
          <w:p w14:paraId="3455185C"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1q21.3</w:t>
            </w:r>
          </w:p>
        </w:tc>
        <w:tc>
          <w:tcPr>
            <w:tcW w:w="471" w:type="dxa"/>
            <w:noWrap/>
            <w:textDirection w:val="tbRl"/>
            <w:hideMark/>
          </w:tcPr>
          <w:p w14:paraId="3F946048"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1.39E-01</w:t>
            </w:r>
          </w:p>
        </w:tc>
        <w:tc>
          <w:tcPr>
            <w:tcW w:w="594" w:type="dxa"/>
            <w:noWrap/>
            <w:textDirection w:val="tbRl"/>
            <w:hideMark/>
          </w:tcPr>
          <w:p w14:paraId="3A3E8259"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1.48E-01</w:t>
            </w:r>
          </w:p>
        </w:tc>
        <w:tc>
          <w:tcPr>
            <w:tcW w:w="1064" w:type="dxa"/>
            <w:noWrap/>
            <w:textDirection w:val="tbRl"/>
            <w:hideMark/>
          </w:tcPr>
          <w:p w14:paraId="0B1B6228"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proofErr w:type="gramStart"/>
            <w:r w:rsidRPr="00723D3B">
              <w:rPr>
                <w:rFonts w:ascii="Calibri" w:eastAsia="Times New Roman" w:hAnsi="Calibri" w:cs="Times New Roman"/>
                <w:color w:val="000000"/>
                <w:sz w:val="18"/>
                <w:szCs w:val="20"/>
              </w:rPr>
              <w:t>chr1:154874853</w:t>
            </w:r>
            <w:proofErr w:type="gramEnd"/>
            <w:r w:rsidRPr="00723D3B">
              <w:rPr>
                <w:rFonts w:ascii="Calibri" w:eastAsia="Times New Roman" w:hAnsi="Calibri" w:cs="Times New Roman"/>
                <w:color w:val="000000"/>
                <w:sz w:val="18"/>
                <w:szCs w:val="20"/>
              </w:rPr>
              <w:t>-155307237</w:t>
            </w:r>
          </w:p>
        </w:tc>
        <w:tc>
          <w:tcPr>
            <w:tcW w:w="605" w:type="dxa"/>
            <w:noWrap/>
            <w:textDirection w:val="tbRl"/>
            <w:hideMark/>
          </w:tcPr>
          <w:p w14:paraId="3491597F"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NM_002455/NM_198883</w:t>
            </w:r>
          </w:p>
        </w:tc>
        <w:tc>
          <w:tcPr>
            <w:tcW w:w="710" w:type="dxa"/>
            <w:noWrap/>
            <w:textDirection w:val="tbRl"/>
            <w:hideMark/>
          </w:tcPr>
          <w:p w14:paraId="4723231F"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2.12</w:t>
            </w:r>
          </w:p>
        </w:tc>
        <w:tc>
          <w:tcPr>
            <w:tcW w:w="709" w:type="dxa"/>
            <w:noWrap/>
            <w:textDirection w:val="tbRl"/>
            <w:hideMark/>
          </w:tcPr>
          <w:p w14:paraId="2A0728C4"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2.66E-03</w:t>
            </w:r>
          </w:p>
        </w:tc>
        <w:tc>
          <w:tcPr>
            <w:tcW w:w="830" w:type="dxa"/>
            <w:noWrap/>
            <w:textDirection w:val="tbRl"/>
            <w:hideMark/>
          </w:tcPr>
          <w:p w14:paraId="6FB3AC22"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c>
          <w:tcPr>
            <w:tcW w:w="830" w:type="dxa"/>
            <w:noWrap/>
            <w:textDirection w:val="tbRl"/>
            <w:hideMark/>
          </w:tcPr>
          <w:p w14:paraId="5ADF98C0"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N</w:t>
            </w:r>
          </w:p>
        </w:tc>
        <w:tc>
          <w:tcPr>
            <w:tcW w:w="1000" w:type="dxa"/>
            <w:noWrap/>
            <w:textDirection w:val="tbRl"/>
            <w:hideMark/>
          </w:tcPr>
          <w:p w14:paraId="4EF3D617" w14:textId="77777777" w:rsidR="00C27EDE" w:rsidRPr="00723D3B" w:rsidRDefault="00C27EDE" w:rsidP="005A571B">
            <w:pPr>
              <w:ind w:left="113" w:right="113"/>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r>
      <w:tr w:rsidR="00C27EDE" w:rsidRPr="00723D3B" w14:paraId="44FC7864" w14:textId="77777777" w:rsidTr="00E66D1B">
        <w:trPr>
          <w:cnfStyle w:val="000000100000" w:firstRow="0" w:lastRow="0" w:firstColumn="0" w:lastColumn="0" w:oddVBand="0" w:evenVBand="0" w:oddHBand="1" w:evenHBand="0" w:firstRowFirstColumn="0" w:firstRowLastColumn="0" w:lastRowFirstColumn="0" w:lastRowLastColumn="0"/>
          <w:trHeight w:val="1464"/>
        </w:trPr>
        <w:tc>
          <w:tcPr>
            <w:cnfStyle w:val="001000000000" w:firstRow="0" w:lastRow="0" w:firstColumn="1" w:lastColumn="0" w:oddVBand="0" w:evenVBand="0" w:oddHBand="0" w:evenHBand="0" w:firstRowFirstColumn="0" w:firstRowLastColumn="0" w:lastRowFirstColumn="0" w:lastRowLastColumn="0"/>
            <w:tcW w:w="755" w:type="dxa"/>
            <w:shd w:val="clear" w:color="auto" w:fill="D9D9D9" w:themeFill="background1" w:themeFillShade="D9"/>
            <w:textDirection w:val="tbRl"/>
          </w:tcPr>
          <w:p w14:paraId="089C079F" w14:textId="77777777" w:rsidR="00C27EDE" w:rsidRPr="007C07FA" w:rsidRDefault="00C27EDE" w:rsidP="005A571B">
            <w:pPr>
              <w:ind w:left="113" w:right="113"/>
              <w:rPr>
                <w:rFonts w:ascii="Calibri" w:eastAsia="Times New Roman" w:hAnsi="Calibri" w:cs="Times New Roman"/>
                <w:color w:val="000000"/>
                <w:szCs w:val="20"/>
              </w:rPr>
            </w:pPr>
            <w:r w:rsidRPr="007C07FA">
              <w:rPr>
                <w:rFonts w:ascii="Calibri" w:eastAsia="Times New Roman" w:hAnsi="Calibri" w:cs="Times New Roman"/>
                <w:b w:val="0"/>
                <w:color w:val="000000"/>
                <w:szCs w:val="20"/>
              </w:rPr>
              <w:t>APH1A</w:t>
            </w:r>
          </w:p>
        </w:tc>
        <w:tc>
          <w:tcPr>
            <w:tcW w:w="471" w:type="dxa"/>
            <w:noWrap/>
            <w:textDirection w:val="tbRl"/>
            <w:hideMark/>
          </w:tcPr>
          <w:p w14:paraId="64DD2591"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AMPLIFICATION</w:t>
            </w:r>
          </w:p>
        </w:tc>
        <w:tc>
          <w:tcPr>
            <w:tcW w:w="467" w:type="dxa"/>
            <w:noWrap/>
            <w:textDirection w:val="tbRl"/>
            <w:hideMark/>
          </w:tcPr>
          <w:p w14:paraId="12F71E78"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1q21.3</w:t>
            </w:r>
          </w:p>
        </w:tc>
        <w:tc>
          <w:tcPr>
            <w:tcW w:w="471" w:type="dxa"/>
            <w:noWrap/>
            <w:textDirection w:val="tbRl"/>
            <w:hideMark/>
          </w:tcPr>
          <w:p w14:paraId="2D589F90"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1.46E-01</w:t>
            </w:r>
          </w:p>
        </w:tc>
        <w:tc>
          <w:tcPr>
            <w:tcW w:w="594" w:type="dxa"/>
            <w:noWrap/>
            <w:textDirection w:val="tbRl"/>
            <w:hideMark/>
          </w:tcPr>
          <w:p w14:paraId="3BEE131B"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1.48E-01</w:t>
            </w:r>
          </w:p>
        </w:tc>
        <w:tc>
          <w:tcPr>
            <w:tcW w:w="1064" w:type="dxa"/>
            <w:noWrap/>
            <w:textDirection w:val="tbRl"/>
            <w:hideMark/>
          </w:tcPr>
          <w:p w14:paraId="375FCAB3"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proofErr w:type="gramStart"/>
            <w:r w:rsidRPr="00723D3B">
              <w:rPr>
                <w:rFonts w:ascii="Calibri" w:eastAsia="Times New Roman" w:hAnsi="Calibri" w:cs="Times New Roman"/>
                <w:color w:val="000000"/>
                <w:sz w:val="18"/>
                <w:szCs w:val="20"/>
              </w:rPr>
              <w:t>chr1:150125771</w:t>
            </w:r>
            <w:proofErr w:type="gramEnd"/>
            <w:r w:rsidRPr="00723D3B">
              <w:rPr>
                <w:rFonts w:ascii="Calibri" w:eastAsia="Times New Roman" w:hAnsi="Calibri" w:cs="Times New Roman"/>
                <w:color w:val="000000"/>
                <w:sz w:val="18"/>
                <w:szCs w:val="20"/>
              </w:rPr>
              <w:t>-152036219</w:t>
            </w:r>
          </w:p>
        </w:tc>
        <w:tc>
          <w:tcPr>
            <w:tcW w:w="605" w:type="dxa"/>
            <w:noWrap/>
            <w:textDirection w:val="tbRl"/>
            <w:hideMark/>
          </w:tcPr>
          <w:p w14:paraId="70F01156"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NM_016022/NM_001077628</w:t>
            </w:r>
          </w:p>
        </w:tc>
        <w:tc>
          <w:tcPr>
            <w:tcW w:w="710" w:type="dxa"/>
            <w:noWrap/>
            <w:textDirection w:val="tbRl"/>
            <w:hideMark/>
          </w:tcPr>
          <w:p w14:paraId="44D6080D"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2.47</w:t>
            </w:r>
          </w:p>
        </w:tc>
        <w:tc>
          <w:tcPr>
            <w:tcW w:w="709" w:type="dxa"/>
            <w:noWrap/>
            <w:textDirection w:val="tbRl"/>
            <w:hideMark/>
          </w:tcPr>
          <w:p w14:paraId="61FFC5A5"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2.41E-04</w:t>
            </w:r>
          </w:p>
        </w:tc>
        <w:tc>
          <w:tcPr>
            <w:tcW w:w="830" w:type="dxa"/>
            <w:noWrap/>
            <w:textDirection w:val="tbRl"/>
            <w:hideMark/>
          </w:tcPr>
          <w:p w14:paraId="2C4E2C80"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c>
          <w:tcPr>
            <w:tcW w:w="830" w:type="dxa"/>
            <w:noWrap/>
            <w:textDirection w:val="tbRl"/>
            <w:hideMark/>
          </w:tcPr>
          <w:p w14:paraId="4E0DF102"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N</w:t>
            </w:r>
          </w:p>
        </w:tc>
        <w:tc>
          <w:tcPr>
            <w:tcW w:w="1000" w:type="dxa"/>
            <w:noWrap/>
            <w:textDirection w:val="tbRl"/>
            <w:hideMark/>
          </w:tcPr>
          <w:p w14:paraId="07E3B0A6" w14:textId="77777777" w:rsidR="00C27EDE" w:rsidRPr="00723D3B" w:rsidRDefault="00C27EDE" w:rsidP="005A571B">
            <w:pPr>
              <w:ind w:left="113" w:right="113"/>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8"/>
                <w:szCs w:val="20"/>
              </w:rPr>
            </w:pPr>
            <w:r w:rsidRPr="00723D3B">
              <w:rPr>
                <w:rFonts w:ascii="Calibri" w:eastAsia="Times New Roman" w:hAnsi="Calibri" w:cs="Times New Roman"/>
                <w:color w:val="000000"/>
                <w:sz w:val="18"/>
                <w:szCs w:val="20"/>
              </w:rPr>
              <w:t>Y</w:t>
            </w:r>
          </w:p>
        </w:tc>
      </w:tr>
    </w:tbl>
    <w:p w14:paraId="24A374FD" w14:textId="77777777" w:rsidR="00C27EDE" w:rsidRDefault="00C27EDE" w:rsidP="00C27EDE">
      <w:pPr>
        <w:rPr>
          <w:sz w:val="28"/>
          <w:szCs w:val="28"/>
          <w:u w:val="single"/>
        </w:rPr>
      </w:pPr>
    </w:p>
    <w:p w14:paraId="2DCBCD87" w14:textId="77777777" w:rsidR="00C27EDE" w:rsidRDefault="00C27EDE" w:rsidP="00C27EDE">
      <w:pPr>
        <w:rPr>
          <w:sz w:val="28"/>
          <w:szCs w:val="28"/>
          <w:u w:val="single"/>
        </w:rPr>
      </w:pPr>
    </w:p>
    <w:tbl>
      <w:tblPr>
        <w:tblW w:w="6886" w:type="dxa"/>
        <w:tblInd w:w="93" w:type="dxa"/>
        <w:tblLook w:val="04A0" w:firstRow="1" w:lastRow="0" w:firstColumn="1" w:lastColumn="0" w:noHBand="0" w:noVBand="1"/>
      </w:tblPr>
      <w:tblGrid>
        <w:gridCol w:w="6220"/>
        <w:gridCol w:w="222"/>
        <w:gridCol w:w="222"/>
        <w:gridCol w:w="222"/>
      </w:tblGrid>
      <w:tr w:rsidR="00C27EDE" w:rsidRPr="00E76ABF" w14:paraId="39017CE4" w14:textId="77777777" w:rsidTr="005A571B">
        <w:trPr>
          <w:trHeight w:val="300"/>
        </w:trPr>
        <w:tc>
          <w:tcPr>
            <w:tcW w:w="6886" w:type="dxa"/>
            <w:gridSpan w:val="4"/>
            <w:shd w:val="clear" w:color="auto" w:fill="auto"/>
            <w:noWrap/>
            <w:vAlign w:val="bottom"/>
            <w:hideMark/>
          </w:tcPr>
          <w:p w14:paraId="7E986FAF" w14:textId="77777777" w:rsidR="00C27EDE" w:rsidRPr="00E76ABF" w:rsidRDefault="00C27EDE" w:rsidP="005A571B">
            <w:pPr>
              <w:rPr>
                <w:rFonts w:ascii="Calibri" w:eastAsia="Times New Roman" w:hAnsi="Calibri" w:cs="Times New Roman"/>
                <w:color w:val="000000"/>
              </w:rPr>
            </w:pPr>
            <w:r w:rsidRPr="00E76ABF">
              <w:rPr>
                <w:rFonts w:ascii="Calibri" w:eastAsia="Times New Roman" w:hAnsi="Calibri" w:cs="Times New Roman"/>
                <w:color w:val="000000"/>
              </w:rPr>
              <w:t>*At least 1 sample with amplification or homozygous deletion</w:t>
            </w:r>
          </w:p>
        </w:tc>
      </w:tr>
      <w:tr w:rsidR="00C27EDE" w:rsidRPr="00E76ABF" w14:paraId="0F60DC71" w14:textId="77777777" w:rsidTr="005A571B">
        <w:trPr>
          <w:trHeight w:val="300"/>
        </w:trPr>
        <w:tc>
          <w:tcPr>
            <w:tcW w:w="6220" w:type="dxa"/>
            <w:shd w:val="clear" w:color="000000" w:fill="FFFFFF"/>
            <w:noWrap/>
            <w:vAlign w:val="bottom"/>
            <w:hideMark/>
          </w:tcPr>
          <w:p w14:paraId="09211B76" w14:textId="77777777" w:rsidR="00C27EDE" w:rsidRPr="00E76ABF" w:rsidRDefault="00C27EDE" w:rsidP="005A571B">
            <w:pPr>
              <w:rPr>
                <w:rFonts w:ascii="Calibri" w:eastAsia="Times New Roman" w:hAnsi="Calibri" w:cs="Times New Roman"/>
                <w:color w:val="000000"/>
              </w:rPr>
            </w:pPr>
            <w:r w:rsidRPr="00E76ABF">
              <w:rPr>
                <w:rFonts w:ascii="Calibri" w:eastAsia="Times New Roman" w:hAnsi="Calibri" w:cs="Times New Roman"/>
                <w:color w:val="000000"/>
              </w:rPr>
              <w:t>** At least one piece of evidence suggesting druggability</w:t>
            </w:r>
          </w:p>
        </w:tc>
        <w:tc>
          <w:tcPr>
            <w:tcW w:w="222" w:type="dxa"/>
            <w:shd w:val="clear" w:color="auto" w:fill="auto"/>
            <w:noWrap/>
            <w:vAlign w:val="bottom"/>
            <w:hideMark/>
          </w:tcPr>
          <w:p w14:paraId="56272F2B" w14:textId="77777777" w:rsidR="00C27EDE" w:rsidRPr="00E76ABF" w:rsidRDefault="00C27EDE" w:rsidP="005A571B">
            <w:pPr>
              <w:rPr>
                <w:rFonts w:ascii="Calibri" w:eastAsia="Times New Roman" w:hAnsi="Calibri" w:cs="Times New Roman"/>
                <w:color w:val="000000"/>
              </w:rPr>
            </w:pPr>
          </w:p>
        </w:tc>
        <w:tc>
          <w:tcPr>
            <w:tcW w:w="222" w:type="dxa"/>
            <w:shd w:val="clear" w:color="auto" w:fill="auto"/>
            <w:noWrap/>
            <w:vAlign w:val="bottom"/>
            <w:hideMark/>
          </w:tcPr>
          <w:p w14:paraId="38497264" w14:textId="77777777" w:rsidR="00C27EDE" w:rsidRPr="00E76ABF" w:rsidRDefault="00C27EDE" w:rsidP="005A571B">
            <w:pPr>
              <w:rPr>
                <w:rFonts w:ascii="Calibri" w:eastAsia="Times New Roman" w:hAnsi="Calibri" w:cs="Times New Roman"/>
                <w:color w:val="000000"/>
              </w:rPr>
            </w:pPr>
          </w:p>
        </w:tc>
        <w:tc>
          <w:tcPr>
            <w:tcW w:w="222" w:type="dxa"/>
            <w:shd w:val="clear" w:color="auto" w:fill="auto"/>
            <w:noWrap/>
            <w:vAlign w:val="bottom"/>
            <w:hideMark/>
          </w:tcPr>
          <w:p w14:paraId="74B64423" w14:textId="77777777" w:rsidR="00C27EDE" w:rsidRPr="00E76ABF" w:rsidRDefault="00C27EDE" w:rsidP="005A571B">
            <w:pPr>
              <w:rPr>
                <w:rFonts w:ascii="Calibri" w:eastAsia="Times New Roman" w:hAnsi="Calibri" w:cs="Times New Roman"/>
                <w:color w:val="000000"/>
              </w:rPr>
            </w:pPr>
          </w:p>
        </w:tc>
      </w:tr>
    </w:tbl>
    <w:p w14:paraId="11F599EB" w14:textId="77777777" w:rsidR="00C27EDE" w:rsidRDefault="00C27EDE" w:rsidP="00C27EDE">
      <w:pPr>
        <w:rPr>
          <w:sz w:val="28"/>
          <w:szCs w:val="28"/>
          <w:u w:val="single"/>
        </w:rPr>
      </w:pPr>
      <w:r>
        <w:rPr>
          <w:noProof/>
          <w:lang w:val="en-US"/>
        </w:rPr>
        <mc:AlternateContent>
          <mc:Choice Requires="wps">
            <w:drawing>
              <wp:anchor distT="0" distB="0" distL="114300" distR="114300" simplePos="0" relativeHeight="252066816" behindDoc="0" locked="0" layoutInCell="1" allowOverlap="1" wp14:anchorId="78728DEB" wp14:editId="5DBB5AD8">
                <wp:simplePos x="0" y="0"/>
                <wp:positionH relativeFrom="column">
                  <wp:posOffset>0</wp:posOffset>
                </wp:positionH>
                <wp:positionV relativeFrom="paragraph">
                  <wp:posOffset>316865</wp:posOffset>
                </wp:positionV>
                <wp:extent cx="5257800" cy="1371600"/>
                <wp:effectExtent l="0" t="0" r="0" b="0"/>
                <wp:wrapSquare wrapText="bothSides"/>
                <wp:docPr id="300" name="Text Box 300"/>
                <wp:cNvGraphicFramePr/>
                <a:graphic xmlns:a="http://schemas.openxmlformats.org/drawingml/2006/main">
                  <a:graphicData uri="http://schemas.microsoft.com/office/word/2010/wordprocessingShape">
                    <wps:wsp>
                      <wps:cNvSpPr txBox="1"/>
                      <wps:spPr>
                        <a:xfrm>
                          <a:off x="0" y="0"/>
                          <a:ext cx="52578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C44F39" w14:textId="77777777" w:rsidR="00E82D3B" w:rsidRDefault="00E82D3B" w:rsidP="00C27EDE">
                            <w:pPr>
                              <w:jc w:val="both"/>
                              <w:rPr>
                                <w:b/>
                                <w:i/>
                                <w:sz w:val="22"/>
                              </w:rPr>
                            </w:pPr>
                            <w:proofErr w:type="gramStart"/>
                            <w:r w:rsidRPr="00604D81">
                              <w:rPr>
                                <w:b/>
                                <w:i/>
                                <w:sz w:val="22"/>
                              </w:rPr>
                              <w:t>A</w:t>
                            </w:r>
                            <w:r>
                              <w:rPr>
                                <w:b/>
                                <w:i/>
                                <w:sz w:val="22"/>
                              </w:rPr>
                              <w:t>ppendix Figure 1.</w:t>
                            </w:r>
                            <w:proofErr w:type="gramEnd"/>
                            <w:r>
                              <w:rPr>
                                <w:b/>
                                <w:i/>
                                <w:sz w:val="22"/>
                              </w:rPr>
                              <w:t xml:space="preserve"> </w:t>
                            </w:r>
                            <w:proofErr w:type="gramStart"/>
                            <w:r>
                              <w:rPr>
                                <w:b/>
                                <w:i/>
                                <w:sz w:val="22"/>
                              </w:rPr>
                              <w:t>Table of bioinformatics for the top 5 hits from the two preliminary screens.</w:t>
                            </w:r>
                            <w:proofErr w:type="gramEnd"/>
                          </w:p>
                          <w:p w14:paraId="4120325F" w14:textId="77777777" w:rsidR="00E82D3B" w:rsidRPr="00723D3B" w:rsidRDefault="00E82D3B" w:rsidP="00C27EDE">
                            <w:pPr>
                              <w:jc w:val="both"/>
                              <w:rPr>
                                <w:i/>
                                <w:sz w:val="22"/>
                              </w:rPr>
                            </w:pPr>
                            <w:r>
                              <w:rPr>
                                <w:i/>
                                <w:sz w:val="22"/>
                              </w:rPr>
                              <w:t>The top 5 genes that were identified as potential drivers of CRC from a patient tumour copy number variation screen and a cell line screen for genes associated with genomic instability when knocked down. These, plus bioinformatic data taken from online databases highlighted these genes as interesting for further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0" o:spid="_x0000_s1204" type="#_x0000_t202" style="position:absolute;margin-left:0;margin-top:24.95pt;width:414pt;height:108pt;z-index:25206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" filled="f" stroked="f">
                <v:textbox>
                  <w:txbxContent>
                    <w:p w14:paraId="77C44F39" w14:textId="77777777" w:rsidR="000A1E0D" w:rsidRDefault="000A1E0D" w:rsidP="00C27EDE">
                      <w:pPr>
                        <w:jc w:val="both"/>
                        <w:rPr>
                          <w:b/>
                          <w:i/>
                          <w:sz w:val="22"/>
                        </w:rPr>
                      </w:pPr>
                      <w:proofErr w:type="gramStart"/>
                      <w:r w:rsidRPr="00604D81">
                        <w:rPr>
                          <w:b/>
                          <w:i/>
                          <w:sz w:val="22"/>
                        </w:rPr>
                        <w:t>A</w:t>
                      </w:r>
                      <w:r>
                        <w:rPr>
                          <w:b/>
                          <w:i/>
                          <w:sz w:val="22"/>
                        </w:rPr>
                        <w:t>ppendix Figure 1.</w:t>
                      </w:r>
                      <w:proofErr w:type="gramEnd"/>
                      <w:r>
                        <w:rPr>
                          <w:b/>
                          <w:i/>
                          <w:sz w:val="22"/>
                        </w:rPr>
                        <w:t xml:space="preserve"> </w:t>
                      </w:r>
                      <w:proofErr w:type="gramStart"/>
                      <w:r>
                        <w:rPr>
                          <w:b/>
                          <w:i/>
                          <w:sz w:val="22"/>
                        </w:rPr>
                        <w:t>Table of bioinformatics for the top 5 hits from the two preliminary screens.</w:t>
                      </w:r>
                      <w:proofErr w:type="gramEnd"/>
                    </w:p>
                    <w:p w14:paraId="4120325F" w14:textId="77777777" w:rsidR="000A1E0D" w:rsidRPr="00723D3B" w:rsidRDefault="000A1E0D" w:rsidP="00C27EDE">
                      <w:pPr>
                        <w:jc w:val="both"/>
                        <w:rPr>
                          <w:i/>
                          <w:sz w:val="22"/>
                        </w:rPr>
                      </w:pPr>
                      <w:r>
                        <w:rPr>
                          <w:i/>
                          <w:sz w:val="22"/>
                        </w:rPr>
                        <w:t>The top 5 genes that were identified as potential drivers of CRC from a patient tumour copy number variation screen and a cell line screen for genes associated with genomic instability when knocked down. These, plus bioinformatic data taken from online databases highlighted these genes as interesting for further analysis.</w:t>
                      </w:r>
                    </w:p>
                  </w:txbxContent>
                </v:textbox>
                <w10:wrap type="square"/>
              </v:shape>
            </w:pict>
          </mc:Fallback>
        </mc:AlternateContent>
      </w:r>
      <w:r>
        <w:rPr>
          <w:sz w:val="28"/>
          <w:szCs w:val="28"/>
          <w:u w:val="single"/>
        </w:rPr>
        <w:br w:type="page"/>
      </w:r>
    </w:p>
    <w:p w14:paraId="161E8F0F" w14:textId="77777777" w:rsidR="00C27EDE" w:rsidRPr="006A36EF" w:rsidRDefault="00C27EDE" w:rsidP="006A36EF">
      <w:pPr>
        <w:pStyle w:val="Title"/>
        <w:rPr>
          <w:color w:val="auto"/>
        </w:rPr>
      </w:pPr>
      <w:r w:rsidRPr="006A36EF">
        <w:rPr>
          <w:color w:val="auto"/>
        </w:rPr>
        <w:t>Appendix 2</w:t>
      </w:r>
    </w:p>
    <w:p w14:paraId="2D62FF41" w14:textId="77777777" w:rsidR="00C27EDE" w:rsidRDefault="00C27EDE" w:rsidP="00C27EDE">
      <w:pPr>
        <w:spacing w:line="360" w:lineRule="auto"/>
        <w:ind w:left="-74"/>
        <w:jc w:val="both"/>
        <w:rPr>
          <w:rFonts w:asciiTheme="majorHAnsi" w:hAnsiTheme="majorHAnsi"/>
        </w:rPr>
      </w:pPr>
      <w:r>
        <w:rPr>
          <w:noProof/>
          <w:lang w:val="en-US"/>
        </w:rPr>
        <w:drawing>
          <wp:anchor distT="0" distB="0" distL="114300" distR="114300" simplePos="0" relativeHeight="252062720" behindDoc="0" locked="0" layoutInCell="1" allowOverlap="1" wp14:anchorId="7798EEA7" wp14:editId="410862DF">
            <wp:simplePos x="0" y="0"/>
            <wp:positionH relativeFrom="column">
              <wp:posOffset>-114300</wp:posOffset>
            </wp:positionH>
            <wp:positionV relativeFrom="paragraph">
              <wp:posOffset>125730</wp:posOffset>
            </wp:positionV>
            <wp:extent cx="4457700" cy="2171700"/>
            <wp:effectExtent l="0" t="0" r="12700" b="12700"/>
            <wp:wrapSquare wrapText="bothSides"/>
            <wp:docPr id="317" name="Chart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14:sizeRelH relativeFrom="page">
              <wp14:pctWidth>0</wp14:pctWidth>
            </wp14:sizeRelH>
            <wp14:sizeRelV relativeFrom="page">
              <wp14:pctHeight>0</wp14:pctHeight>
            </wp14:sizeRelV>
          </wp:anchor>
        </w:drawing>
      </w:r>
    </w:p>
    <w:p w14:paraId="49E71B0F" w14:textId="77777777" w:rsidR="00C27EDE" w:rsidRDefault="00C27EDE" w:rsidP="00C27EDE">
      <w:pPr>
        <w:spacing w:line="360" w:lineRule="auto"/>
        <w:ind w:left="-74"/>
        <w:jc w:val="both"/>
        <w:rPr>
          <w:rFonts w:asciiTheme="majorHAnsi" w:hAnsiTheme="majorHAnsi"/>
        </w:rPr>
      </w:pPr>
    </w:p>
    <w:p w14:paraId="4205DC00" w14:textId="77777777" w:rsidR="00C27EDE" w:rsidRPr="00197A5E" w:rsidRDefault="00C27EDE" w:rsidP="00C27EDE">
      <w:pPr>
        <w:spacing w:line="360" w:lineRule="auto"/>
        <w:ind w:left="-74"/>
        <w:jc w:val="both"/>
        <w:rPr>
          <w:rFonts w:asciiTheme="majorHAnsi" w:hAnsiTheme="majorHAnsi"/>
        </w:rPr>
      </w:pPr>
    </w:p>
    <w:p w14:paraId="75D5C5C3" w14:textId="77777777" w:rsidR="00C27EDE" w:rsidRDefault="00C27EDE" w:rsidP="00C27EDE">
      <w:pPr>
        <w:spacing w:line="360" w:lineRule="auto"/>
        <w:jc w:val="both"/>
        <w:rPr>
          <w:rFonts w:asciiTheme="majorHAnsi" w:hAnsiTheme="majorHAnsi"/>
        </w:rPr>
      </w:pPr>
    </w:p>
    <w:p w14:paraId="2510BAE9" w14:textId="77777777" w:rsidR="00C27EDE" w:rsidRDefault="00C27EDE" w:rsidP="00C27EDE">
      <w:pPr>
        <w:spacing w:line="360" w:lineRule="auto"/>
        <w:jc w:val="both"/>
        <w:rPr>
          <w:rFonts w:asciiTheme="majorHAnsi" w:hAnsiTheme="majorHAnsi"/>
        </w:rPr>
      </w:pPr>
    </w:p>
    <w:p w14:paraId="0DDF33DF" w14:textId="4D19F181" w:rsidR="00C27EDE" w:rsidRDefault="00C27EDE" w:rsidP="00C27EDE">
      <w:pPr>
        <w:rPr>
          <w:sz w:val="28"/>
          <w:u w:val="single"/>
        </w:rPr>
      </w:pPr>
      <w:r>
        <w:rPr>
          <w:noProof/>
          <w:lang w:val="en-US"/>
        </w:rPr>
        <w:drawing>
          <wp:anchor distT="0" distB="0" distL="114300" distR="114300" simplePos="0" relativeHeight="252061696" behindDoc="0" locked="0" layoutInCell="1" allowOverlap="1" wp14:anchorId="79C5D58E" wp14:editId="3A56ECD1">
            <wp:simplePos x="0" y="0"/>
            <wp:positionH relativeFrom="column">
              <wp:posOffset>-4470400</wp:posOffset>
            </wp:positionH>
            <wp:positionV relativeFrom="paragraph">
              <wp:posOffset>902335</wp:posOffset>
            </wp:positionV>
            <wp:extent cx="5016500" cy="2400300"/>
            <wp:effectExtent l="0" t="0" r="12700" b="12700"/>
            <wp:wrapSquare wrapText="bothSides"/>
            <wp:docPr id="318" name="Chart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2065792" behindDoc="0" locked="0" layoutInCell="1" allowOverlap="1" wp14:anchorId="24422DBF" wp14:editId="19E1CC75">
                <wp:simplePos x="0" y="0"/>
                <wp:positionH relativeFrom="column">
                  <wp:posOffset>203200</wp:posOffset>
                </wp:positionH>
                <wp:positionV relativeFrom="paragraph">
                  <wp:posOffset>5131435</wp:posOffset>
                </wp:positionV>
                <wp:extent cx="571500" cy="342900"/>
                <wp:effectExtent l="0" t="0" r="0" b="12700"/>
                <wp:wrapSquare wrapText="bothSides"/>
                <wp:docPr id="301" name="Text Box 301"/>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585A86" w14:textId="77777777" w:rsidR="00E82D3B" w:rsidRPr="00604D81" w:rsidRDefault="00E82D3B" w:rsidP="00C27EDE">
                            <w:pPr>
                              <w:rPr>
                                <w:b/>
                              </w:rPr>
                            </w:pPr>
                            <w:proofErr w:type="gramStart"/>
                            <w:r w:rsidRPr="00604D81">
                              <w:rPr>
                                <w:b/>
                              </w:rPr>
                              <w:t>n</w:t>
                            </w:r>
                            <w:proofErr w:type="gramEnd"/>
                            <w:r w:rsidRPr="00604D81">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1" o:spid="_x0000_s1205" type="#_x0000_t202" style="position:absolute;margin-left:16pt;margin-top:404.05pt;width:45pt;height:27pt;z-index:25206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hL59M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" filled="f" stroked="f">
                <v:textbox>
                  <w:txbxContent>
                    <w:p w14:paraId="2D585A86" w14:textId="77777777" w:rsidR="000A1E0D" w:rsidRPr="00604D81" w:rsidRDefault="000A1E0D" w:rsidP="00C27EDE">
                      <w:pPr>
                        <w:rPr>
                          <w:b/>
                        </w:rPr>
                      </w:pPr>
                      <w:proofErr w:type="gramStart"/>
                      <w:r w:rsidRPr="00604D81">
                        <w:rPr>
                          <w:b/>
                        </w:rPr>
                        <w:t>n</w:t>
                      </w:r>
                      <w:proofErr w:type="gramEnd"/>
                      <w:r w:rsidRPr="00604D81">
                        <w:rPr>
                          <w:b/>
                        </w:rPr>
                        <w:t>=1</w:t>
                      </w:r>
                    </w:p>
                  </w:txbxContent>
                </v:textbox>
                <w10:wrap type="square"/>
              </v:shape>
            </w:pict>
          </mc:Fallback>
        </mc:AlternateContent>
      </w:r>
      <w:r>
        <w:rPr>
          <w:noProof/>
          <w:lang w:val="en-US"/>
        </w:rPr>
        <mc:AlternateContent>
          <mc:Choice Requires="wps">
            <w:drawing>
              <wp:anchor distT="0" distB="0" distL="114300" distR="114300" simplePos="0" relativeHeight="252064768" behindDoc="0" locked="0" layoutInCell="1" allowOverlap="1" wp14:anchorId="066D76B4" wp14:editId="306F94D5">
                <wp:simplePos x="0" y="0"/>
                <wp:positionH relativeFrom="column">
                  <wp:posOffset>-4254500</wp:posOffset>
                </wp:positionH>
                <wp:positionV relativeFrom="paragraph">
                  <wp:posOffset>5702935</wp:posOffset>
                </wp:positionV>
                <wp:extent cx="5257800" cy="1371600"/>
                <wp:effectExtent l="0" t="0" r="0" b="0"/>
                <wp:wrapSquare wrapText="bothSides"/>
                <wp:docPr id="302" name="Text Box 302"/>
                <wp:cNvGraphicFramePr/>
                <a:graphic xmlns:a="http://schemas.openxmlformats.org/drawingml/2006/main">
                  <a:graphicData uri="http://schemas.microsoft.com/office/word/2010/wordprocessingShape">
                    <wps:wsp>
                      <wps:cNvSpPr txBox="1"/>
                      <wps:spPr>
                        <a:xfrm>
                          <a:off x="0" y="0"/>
                          <a:ext cx="52578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BA5A4C" w14:textId="77777777" w:rsidR="00E82D3B" w:rsidRDefault="00E82D3B" w:rsidP="00C27EDE">
                            <w:pPr>
                              <w:jc w:val="both"/>
                              <w:rPr>
                                <w:b/>
                                <w:i/>
                                <w:sz w:val="22"/>
                              </w:rPr>
                            </w:pPr>
                            <w:proofErr w:type="gramStart"/>
                            <w:r w:rsidRPr="00604D81">
                              <w:rPr>
                                <w:b/>
                                <w:i/>
                                <w:sz w:val="22"/>
                              </w:rPr>
                              <w:t>A</w:t>
                            </w:r>
                            <w:r>
                              <w:rPr>
                                <w:b/>
                                <w:i/>
                                <w:sz w:val="22"/>
                              </w:rPr>
                              <w:t>ppendix Figure 2.</w:t>
                            </w:r>
                            <w:proofErr w:type="gramEnd"/>
                            <w:r>
                              <w:rPr>
                                <w:b/>
                                <w:i/>
                                <w:sz w:val="22"/>
                              </w:rPr>
                              <w:t xml:space="preserve"> </w:t>
                            </w:r>
                            <w:proofErr w:type="gramStart"/>
                            <w:r w:rsidRPr="00604D81">
                              <w:rPr>
                                <w:b/>
                                <w:i/>
                                <w:sz w:val="22"/>
                              </w:rPr>
                              <w:t>Antibiotic concentration determination for CRISPR/Cas9 transfection</w:t>
                            </w:r>
                            <w:r>
                              <w:rPr>
                                <w:b/>
                                <w:i/>
                                <w:sz w:val="22"/>
                              </w:rPr>
                              <w:t>.</w:t>
                            </w:r>
                            <w:proofErr w:type="gramEnd"/>
                          </w:p>
                          <w:p w14:paraId="0C26F97E" w14:textId="77777777" w:rsidR="00E82D3B" w:rsidRPr="00604D81" w:rsidRDefault="00E82D3B" w:rsidP="00C27EDE">
                            <w:pPr>
                              <w:jc w:val="both"/>
                              <w:rPr>
                                <w:i/>
                                <w:sz w:val="22"/>
                              </w:rPr>
                            </w:pPr>
                            <w:r>
                              <w:rPr>
                                <w:i/>
                                <w:sz w:val="22"/>
                              </w:rPr>
                              <w:t>HCT116, Rpe, HEK293 and SW480 cells were seeded at 150,000 cells per well for 24hrs. Differing concentrations of Hygromycin, Blasticidin and Puromycin (as outlined on the graphs) were added for 72hrs and the wells trypsinised and a sample counted by eye using a haemocytometer with tryphan blue staining of viable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2" o:spid="_x0000_s1206" type="#_x0000_t202" style="position:absolute;margin-left:-334.95pt;margin-top:449.05pt;width:414pt;height:108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" filled="f" stroked="f">
                <v:textbox>
                  <w:txbxContent>
                    <w:p w14:paraId="54BA5A4C" w14:textId="77777777" w:rsidR="000A1E0D" w:rsidRDefault="000A1E0D" w:rsidP="00C27EDE">
                      <w:pPr>
                        <w:jc w:val="both"/>
                        <w:rPr>
                          <w:b/>
                          <w:i/>
                          <w:sz w:val="22"/>
                        </w:rPr>
                      </w:pPr>
                      <w:proofErr w:type="gramStart"/>
                      <w:r w:rsidRPr="00604D81">
                        <w:rPr>
                          <w:b/>
                          <w:i/>
                          <w:sz w:val="22"/>
                        </w:rPr>
                        <w:t>A</w:t>
                      </w:r>
                      <w:r>
                        <w:rPr>
                          <w:b/>
                          <w:i/>
                          <w:sz w:val="22"/>
                        </w:rPr>
                        <w:t>ppendix Figure 2.</w:t>
                      </w:r>
                      <w:proofErr w:type="gramEnd"/>
                      <w:r>
                        <w:rPr>
                          <w:b/>
                          <w:i/>
                          <w:sz w:val="22"/>
                        </w:rPr>
                        <w:t xml:space="preserve"> </w:t>
                      </w:r>
                      <w:proofErr w:type="gramStart"/>
                      <w:r w:rsidRPr="00604D81">
                        <w:rPr>
                          <w:b/>
                          <w:i/>
                          <w:sz w:val="22"/>
                        </w:rPr>
                        <w:t>Antibiotic concentration determination for CRISPR/Cas9 transfection</w:t>
                      </w:r>
                      <w:r>
                        <w:rPr>
                          <w:b/>
                          <w:i/>
                          <w:sz w:val="22"/>
                        </w:rPr>
                        <w:t>.</w:t>
                      </w:r>
                      <w:proofErr w:type="gramEnd"/>
                    </w:p>
                    <w:p w14:paraId="0C26F97E" w14:textId="77777777" w:rsidR="000A1E0D" w:rsidRPr="00604D81" w:rsidRDefault="000A1E0D" w:rsidP="00C27EDE">
                      <w:pPr>
                        <w:jc w:val="both"/>
                        <w:rPr>
                          <w:i/>
                          <w:sz w:val="22"/>
                        </w:rPr>
                      </w:pPr>
                      <w:r>
                        <w:rPr>
                          <w:i/>
                          <w:sz w:val="22"/>
                        </w:rPr>
                        <w:t>HCT116, Rpe, HEK293 and SW480 cells were seeded at 150,000 cells per well for 24hrs. Differing concentrations of Hygromycin, Blasticidin and Puromycin (as outlined on the graphs) were added for 72hrs and the wells trypsinised and a sample counted by eye using a haemocytometer with tryphan blue staining of viable cells.</w:t>
                      </w:r>
                    </w:p>
                  </w:txbxContent>
                </v:textbox>
                <w10:wrap type="square"/>
              </v:shape>
            </w:pict>
          </mc:Fallback>
        </mc:AlternateContent>
      </w:r>
      <w:r>
        <w:rPr>
          <w:noProof/>
          <w:lang w:val="en-US"/>
        </w:rPr>
        <w:drawing>
          <wp:anchor distT="0" distB="0" distL="114300" distR="114300" simplePos="0" relativeHeight="252063744" behindDoc="0" locked="0" layoutInCell="1" allowOverlap="1" wp14:anchorId="43AD871F" wp14:editId="73257EA2">
            <wp:simplePos x="0" y="0"/>
            <wp:positionH relativeFrom="column">
              <wp:posOffset>-4483100</wp:posOffset>
            </wp:positionH>
            <wp:positionV relativeFrom="paragraph">
              <wp:posOffset>3302635</wp:posOffset>
            </wp:positionV>
            <wp:extent cx="4330700" cy="2171700"/>
            <wp:effectExtent l="0" t="0" r="12700" b="12700"/>
            <wp:wrapSquare wrapText="bothSides"/>
            <wp:docPr id="319" name="Chart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14:sizeRelH relativeFrom="page">
              <wp14:pctWidth>0</wp14:pctWidth>
            </wp14:sizeRelH>
            <wp14:sizeRelV relativeFrom="page">
              <wp14:pctHeight>0</wp14:pctHeight>
            </wp14:sizeRelV>
          </wp:anchor>
        </w:drawing>
      </w:r>
      <w:r>
        <w:rPr>
          <w:rFonts w:asciiTheme="majorHAnsi" w:hAnsiTheme="majorHAnsi"/>
        </w:rPr>
        <w:br w:type="page"/>
      </w:r>
    </w:p>
    <w:p w14:paraId="46D5A078" w14:textId="7752B0D6" w:rsidR="00C27EDE" w:rsidRPr="006A36EF" w:rsidRDefault="006A36EF" w:rsidP="006A36EF">
      <w:pPr>
        <w:pStyle w:val="Title"/>
        <w:rPr>
          <w:color w:val="auto"/>
        </w:rPr>
      </w:pPr>
      <w:r w:rsidRPr="006A36EF">
        <w:rPr>
          <w:noProof/>
          <w:color w:val="auto"/>
          <w:lang w:val="en-US"/>
        </w:rPr>
        <w:drawing>
          <wp:anchor distT="0" distB="0" distL="114300" distR="114300" simplePos="0" relativeHeight="252060672" behindDoc="0" locked="0" layoutInCell="1" allowOverlap="1" wp14:anchorId="00780CE9" wp14:editId="3211660A">
            <wp:simplePos x="0" y="0"/>
            <wp:positionH relativeFrom="column">
              <wp:posOffset>-1570355</wp:posOffset>
            </wp:positionH>
            <wp:positionV relativeFrom="paragraph">
              <wp:posOffset>2141855</wp:posOffset>
            </wp:positionV>
            <wp:extent cx="8283575" cy="5371465"/>
            <wp:effectExtent l="8255" t="0" r="5080" b="5080"/>
            <wp:wrapSquare wrapText="bothSides"/>
            <wp:docPr id="320" name="Picture 320" descr="Macintosh HD:Users:ClairFellows:Desktop:Screen Shot 2017-11-21 at 14.5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ClairFellows:Desktop:Screen Shot 2017-11-21 at 14.53.59.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rot="16200000">
                      <a:off x="0" y="0"/>
                      <a:ext cx="8283575" cy="5371465"/>
                    </a:xfrm>
                    <a:prstGeom prst="rect">
                      <a:avLst/>
                    </a:prstGeom>
                    <a:noFill/>
                    <a:ln>
                      <a:noFill/>
                    </a:ln>
                  </pic:spPr>
                </pic:pic>
              </a:graphicData>
            </a:graphic>
            <wp14:sizeRelH relativeFrom="page">
              <wp14:pctWidth>0</wp14:pctWidth>
            </wp14:sizeRelH>
            <wp14:sizeRelV relativeFrom="page">
              <wp14:pctHeight>0</wp14:pctHeight>
            </wp14:sizeRelV>
          </wp:anchor>
        </w:drawing>
      </w:r>
      <w:r w:rsidR="00C27EDE" w:rsidRPr="006A36EF">
        <w:rPr>
          <w:color w:val="auto"/>
        </w:rPr>
        <w:t>Appendix 3</w:t>
      </w:r>
      <w:r w:rsidR="00C27EDE" w:rsidRPr="006A36EF">
        <w:rPr>
          <w:color w:val="auto"/>
        </w:rPr>
        <w:br w:type="page"/>
      </w:r>
    </w:p>
    <w:p w14:paraId="0C79E6C0" w14:textId="77777777" w:rsidR="00C27EDE" w:rsidRPr="006A36EF" w:rsidRDefault="00C27EDE" w:rsidP="006A36EF">
      <w:pPr>
        <w:pStyle w:val="Title"/>
        <w:rPr>
          <w:color w:val="auto"/>
        </w:rPr>
      </w:pPr>
      <w:r w:rsidRPr="006A36EF">
        <w:rPr>
          <w:color w:val="auto"/>
        </w:rPr>
        <w:t>Appendix 4</w:t>
      </w:r>
    </w:p>
    <w:p w14:paraId="3B960E58" w14:textId="09D0EEA6" w:rsidR="00C27EDE" w:rsidRDefault="00FA1353" w:rsidP="00C27EDE">
      <w:pPr>
        <w:rPr>
          <w:sz w:val="28"/>
          <w:u w:val="single"/>
        </w:rPr>
      </w:pPr>
      <w:r>
        <w:rPr>
          <w:noProof/>
          <w:sz w:val="28"/>
          <w:u w:val="single"/>
          <w:lang w:val="en-US"/>
        </w:rPr>
        <mc:AlternateContent>
          <mc:Choice Requires="wps">
            <w:drawing>
              <wp:anchor distT="0" distB="0" distL="114300" distR="114300" simplePos="0" relativeHeight="252045312" behindDoc="0" locked="0" layoutInCell="1" allowOverlap="1" wp14:anchorId="7CA22EF4" wp14:editId="14F0A8F8">
                <wp:simplePos x="0" y="0"/>
                <wp:positionH relativeFrom="column">
                  <wp:posOffset>-114300</wp:posOffset>
                </wp:positionH>
                <wp:positionV relativeFrom="paragraph">
                  <wp:posOffset>6886575</wp:posOffset>
                </wp:positionV>
                <wp:extent cx="5715000" cy="1257300"/>
                <wp:effectExtent l="0" t="0" r="0" b="12700"/>
                <wp:wrapSquare wrapText="bothSides"/>
                <wp:docPr id="303" name="Text Box 303"/>
                <wp:cNvGraphicFramePr/>
                <a:graphic xmlns:a="http://schemas.openxmlformats.org/drawingml/2006/main">
                  <a:graphicData uri="http://schemas.microsoft.com/office/word/2010/wordprocessingShape">
                    <wps:wsp>
                      <wps:cNvSpPr txBox="1"/>
                      <wps:spPr>
                        <a:xfrm>
                          <a:off x="0" y="0"/>
                          <a:ext cx="57150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D6E284" w14:textId="77777777" w:rsidR="00E82D3B" w:rsidRDefault="00E82D3B" w:rsidP="00C27EDE">
                            <w:pPr>
                              <w:jc w:val="both"/>
                              <w:rPr>
                                <w:b/>
                                <w:i/>
                                <w:sz w:val="22"/>
                              </w:rPr>
                            </w:pPr>
                            <w:proofErr w:type="gramStart"/>
                            <w:r w:rsidRPr="005624F7">
                              <w:rPr>
                                <w:b/>
                                <w:i/>
                                <w:sz w:val="22"/>
                              </w:rPr>
                              <w:t>A</w:t>
                            </w:r>
                            <w:r>
                              <w:rPr>
                                <w:b/>
                                <w:i/>
                                <w:sz w:val="22"/>
                              </w:rPr>
                              <w:t>ppendix Figure 4.</w:t>
                            </w:r>
                            <w:proofErr w:type="gramEnd"/>
                            <w:r>
                              <w:rPr>
                                <w:b/>
                                <w:i/>
                                <w:sz w:val="22"/>
                              </w:rPr>
                              <w:t xml:space="preserve"> Individual electropherogram traces for each of the MNase digested samples.</w:t>
                            </w:r>
                          </w:p>
                          <w:p w14:paraId="77BCBC04" w14:textId="77777777" w:rsidR="00E82D3B" w:rsidRDefault="00E82D3B" w:rsidP="00C27EDE">
                            <w:pPr>
                              <w:jc w:val="both"/>
                              <w:rPr>
                                <w:i/>
                                <w:sz w:val="22"/>
                              </w:rPr>
                            </w:pPr>
                            <w:r>
                              <w:rPr>
                                <w:i/>
                                <w:sz w:val="22"/>
                              </w:rPr>
                              <w:t xml:space="preserve">a.) The individual traces showing the five peaks from which the analysis come from in Figure 4.9 of each MNase digested sample. </w:t>
                            </w:r>
                          </w:p>
                          <w:p w14:paraId="1E85CC08" w14:textId="77777777" w:rsidR="00E82D3B" w:rsidRPr="005624F7" w:rsidRDefault="00E82D3B" w:rsidP="00C27EDE">
                            <w:pPr>
                              <w:jc w:val="both"/>
                              <w:rPr>
                                <w:i/>
                                <w:sz w:val="22"/>
                              </w:rPr>
                            </w:pPr>
                            <w:r>
                              <w:rPr>
                                <w:i/>
                                <w:sz w:val="22"/>
                              </w:rPr>
                              <w:t>b.) A representative trace of SW480 cells transfected with si6, showing the gating of individual peaks (1-5), these gates were kept the same between samples and repeats and the software calculated the amount of DNA in each peak as a percentage of the total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3" o:spid="_x0000_s1207" type="#_x0000_t202" style="position:absolute;margin-left:-8.95pt;margin-top:542.25pt;width:450pt;height:99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FiT9UCAAAc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" filled="f" stroked="f">
                <v:textbox>
                  <w:txbxContent>
                    <w:p w14:paraId="3DD6E284" w14:textId="77777777" w:rsidR="000A1E0D" w:rsidRDefault="000A1E0D" w:rsidP="00C27EDE">
                      <w:pPr>
                        <w:jc w:val="both"/>
                        <w:rPr>
                          <w:b/>
                          <w:i/>
                          <w:sz w:val="22"/>
                        </w:rPr>
                      </w:pPr>
                      <w:proofErr w:type="gramStart"/>
                      <w:r w:rsidRPr="005624F7">
                        <w:rPr>
                          <w:b/>
                          <w:i/>
                          <w:sz w:val="22"/>
                        </w:rPr>
                        <w:t>A</w:t>
                      </w:r>
                      <w:r>
                        <w:rPr>
                          <w:b/>
                          <w:i/>
                          <w:sz w:val="22"/>
                        </w:rPr>
                        <w:t>ppendix Figure 4.</w:t>
                      </w:r>
                      <w:proofErr w:type="gramEnd"/>
                      <w:r>
                        <w:rPr>
                          <w:b/>
                          <w:i/>
                          <w:sz w:val="22"/>
                        </w:rPr>
                        <w:t xml:space="preserve"> Individual electropherogram traces for each of the MNase digested samples.</w:t>
                      </w:r>
                    </w:p>
                    <w:p w14:paraId="77BCBC04" w14:textId="77777777" w:rsidR="000A1E0D" w:rsidRDefault="000A1E0D" w:rsidP="00C27EDE">
                      <w:pPr>
                        <w:jc w:val="both"/>
                        <w:rPr>
                          <w:i/>
                          <w:sz w:val="22"/>
                        </w:rPr>
                      </w:pPr>
                      <w:r>
                        <w:rPr>
                          <w:i/>
                          <w:sz w:val="22"/>
                        </w:rPr>
                        <w:t xml:space="preserve">a.) The individual traces showing the five peaks from which the analysis come from in Figure 4.9 of each MNase digested sample. </w:t>
                      </w:r>
                    </w:p>
                    <w:p w14:paraId="1E85CC08" w14:textId="77777777" w:rsidR="000A1E0D" w:rsidRPr="005624F7" w:rsidRDefault="000A1E0D" w:rsidP="00C27EDE">
                      <w:pPr>
                        <w:jc w:val="both"/>
                        <w:rPr>
                          <w:i/>
                          <w:sz w:val="22"/>
                        </w:rPr>
                      </w:pPr>
                      <w:r>
                        <w:rPr>
                          <w:i/>
                          <w:sz w:val="22"/>
                        </w:rPr>
                        <w:t>b.) A representative trace of SW480 cells transfected with si6, showing the gating of individual peaks (1-5), these gates were kept the same between samples and repeats and the software calculated the amount of DNA in each peak as a percentage of the total amount.</w:t>
                      </w:r>
                    </w:p>
                  </w:txbxContent>
                </v:textbox>
                <w10:wrap type="square"/>
              </v:shape>
            </w:pict>
          </mc:Fallback>
        </mc:AlternateContent>
      </w:r>
      <w:r>
        <w:rPr>
          <w:noProof/>
          <w:sz w:val="28"/>
          <w:u w:val="single"/>
          <w:lang w:val="en-US"/>
        </w:rPr>
        <mc:AlternateContent>
          <mc:Choice Requires="wps">
            <w:drawing>
              <wp:anchor distT="0" distB="0" distL="114300" distR="114300" simplePos="0" relativeHeight="252051456" behindDoc="0" locked="0" layoutInCell="1" allowOverlap="1" wp14:anchorId="2068E999" wp14:editId="2DE88DC0">
                <wp:simplePos x="0" y="0"/>
                <wp:positionH relativeFrom="column">
                  <wp:posOffset>228600</wp:posOffset>
                </wp:positionH>
                <wp:positionV relativeFrom="paragraph">
                  <wp:posOffset>5057775</wp:posOffset>
                </wp:positionV>
                <wp:extent cx="457200" cy="4572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BAA02D" w14:textId="77777777" w:rsidR="00E82D3B" w:rsidRPr="007F5B32" w:rsidRDefault="00E82D3B" w:rsidP="00C27EDE">
                            <w:pPr>
                              <w:rPr>
                                <w:b/>
                              </w:rPr>
                            </w:pPr>
                            <w:proofErr w:type="gramStart"/>
                            <w:r w:rsidRPr="007F5B32">
                              <w:rPr>
                                <w:b/>
                              </w:rPr>
                              <w:t>b</w:t>
                            </w:r>
                            <w:proofErr w:type="gramEnd"/>
                            <w:r w:rsidRPr="007F5B32">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208" type="#_x0000_t202" style="position:absolute;margin-left:18pt;margin-top:398.25pt;width:36pt;height:36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E4Oc0CAAAY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" filled="f" stroked="f">
                <v:textbox>
                  <w:txbxContent>
                    <w:p w14:paraId="25BAA02D" w14:textId="77777777" w:rsidR="000A1E0D" w:rsidRPr="007F5B32" w:rsidRDefault="000A1E0D" w:rsidP="00C27EDE">
                      <w:pPr>
                        <w:rPr>
                          <w:b/>
                        </w:rPr>
                      </w:pPr>
                      <w:proofErr w:type="gramStart"/>
                      <w:r w:rsidRPr="007F5B32">
                        <w:rPr>
                          <w:b/>
                        </w:rPr>
                        <w:t>b</w:t>
                      </w:r>
                      <w:proofErr w:type="gramEnd"/>
                      <w:r w:rsidRPr="007F5B32">
                        <w:rPr>
                          <w:b/>
                        </w:rPr>
                        <w:t>.)</w:t>
                      </w:r>
                    </w:p>
                  </w:txbxContent>
                </v:textbox>
                <w10:wrap type="square"/>
              </v:shape>
            </w:pict>
          </mc:Fallback>
        </mc:AlternateContent>
      </w:r>
      <w:r>
        <w:rPr>
          <w:noProof/>
          <w:sz w:val="28"/>
          <w:u w:val="single"/>
          <w:lang w:val="en-US"/>
        </w:rPr>
        <w:drawing>
          <wp:anchor distT="0" distB="0" distL="114300" distR="114300" simplePos="0" relativeHeight="252049408" behindDoc="0" locked="0" layoutInCell="1" allowOverlap="1" wp14:anchorId="1E7384CE" wp14:editId="6A0EB1A7">
            <wp:simplePos x="0" y="0"/>
            <wp:positionH relativeFrom="column">
              <wp:posOffset>800100</wp:posOffset>
            </wp:positionH>
            <wp:positionV relativeFrom="paragraph">
              <wp:posOffset>5172075</wp:posOffset>
            </wp:positionV>
            <wp:extent cx="4000500" cy="1706880"/>
            <wp:effectExtent l="0" t="0" r="12700" b="0"/>
            <wp:wrapSquare wrapText="bothSides"/>
            <wp:docPr id="321" name="Picture 321" descr="Macintosh HD:Users:ClairFellows:Desktop:sw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airFellows:Desktop:sw1 6.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00050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u w:val="single"/>
          <w:lang w:val="en-US"/>
        </w:rPr>
        <w:drawing>
          <wp:anchor distT="0" distB="0" distL="114300" distR="114300" simplePos="0" relativeHeight="252047360" behindDoc="0" locked="0" layoutInCell="1" allowOverlap="1" wp14:anchorId="0A2BBB4D" wp14:editId="7F9F9E23">
            <wp:simplePos x="0" y="0"/>
            <wp:positionH relativeFrom="column">
              <wp:posOffset>800100</wp:posOffset>
            </wp:positionH>
            <wp:positionV relativeFrom="paragraph">
              <wp:posOffset>2428875</wp:posOffset>
            </wp:positionV>
            <wp:extent cx="3886200" cy="2914650"/>
            <wp:effectExtent l="0" t="0" r="0" b="6350"/>
            <wp:wrapSquare wrapText="bothSides"/>
            <wp:docPr id="113" name="Picture 113" descr="Macintosh HD:Users:ClairFellows:Desktop:Screen Shot 2017-09-13 at 13.3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airFellows:Desktop:Screen Shot 2017-09-13 at 13.30.19.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u w:val="single"/>
          <w:lang w:val="en-US"/>
        </w:rPr>
        <w:drawing>
          <wp:anchor distT="0" distB="0" distL="114300" distR="114300" simplePos="0" relativeHeight="252052480" behindDoc="0" locked="0" layoutInCell="1" allowOverlap="1" wp14:anchorId="5406447A" wp14:editId="2F601ACB">
            <wp:simplePos x="0" y="0"/>
            <wp:positionH relativeFrom="column">
              <wp:posOffset>800100</wp:posOffset>
            </wp:positionH>
            <wp:positionV relativeFrom="paragraph">
              <wp:posOffset>20320</wp:posOffset>
            </wp:positionV>
            <wp:extent cx="3886200" cy="2660650"/>
            <wp:effectExtent l="0" t="0" r="0" b="6350"/>
            <wp:wrapSquare wrapText="bothSides"/>
            <wp:docPr id="322" name="Picture 322" descr="Macintosh HD:Users:ClairFellows:Desktop:Screen Shot 2017-09-13 at 12.3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lairFellows:Desktop:Screen Shot 2017-09-13 at 12.34.55.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86200" cy="266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27EDE">
        <w:rPr>
          <w:noProof/>
          <w:sz w:val="28"/>
          <w:u w:val="single"/>
          <w:lang w:val="en-US"/>
        </w:rPr>
        <mc:AlternateContent>
          <mc:Choice Requires="wps">
            <w:drawing>
              <wp:anchor distT="0" distB="0" distL="114300" distR="114300" simplePos="0" relativeHeight="252054528" behindDoc="0" locked="0" layoutInCell="1" allowOverlap="1" wp14:anchorId="401B76DA" wp14:editId="78AB729E">
                <wp:simplePos x="0" y="0"/>
                <wp:positionH relativeFrom="column">
                  <wp:posOffset>3200400</wp:posOffset>
                </wp:positionH>
                <wp:positionV relativeFrom="paragraph">
                  <wp:posOffset>5849620</wp:posOffset>
                </wp:positionV>
                <wp:extent cx="342900" cy="342900"/>
                <wp:effectExtent l="0" t="0" r="0" b="12700"/>
                <wp:wrapSquare wrapText="bothSides"/>
                <wp:docPr id="116" name="Text Box 116"/>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CC4F0A" w14:textId="77777777" w:rsidR="00E82D3B" w:rsidRDefault="00E82D3B" w:rsidP="00C27ED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6" o:spid="_x0000_s1209" type="#_x0000_t202" style="position:absolute;margin-left:252pt;margin-top:460.6pt;width:27pt;height:27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" filled="f" stroked="f">
                <v:textbox>
                  <w:txbxContent>
                    <w:p w14:paraId="75CC4F0A" w14:textId="77777777" w:rsidR="000A1E0D" w:rsidRDefault="000A1E0D" w:rsidP="00C27EDE">
                      <w:r>
                        <w:t>2</w:t>
                      </w:r>
                    </w:p>
                  </w:txbxContent>
                </v:textbox>
                <w10:wrap type="square"/>
              </v:shape>
            </w:pict>
          </mc:Fallback>
        </mc:AlternateContent>
      </w:r>
      <w:r w:rsidR="00C27EDE">
        <w:rPr>
          <w:noProof/>
          <w:sz w:val="28"/>
          <w:u w:val="single"/>
          <w:lang w:val="en-US"/>
        </w:rPr>
        <mc:AlternateContent>
          <mc:Choice Requires="wps">
            <w:drawing>
              <wp:anchor distT="0" distB="0" distL="114300" distR="114300" simplePos="0" relativeHeight="252055552" behindDoc="0" locked="0" layoutInCell="1" allowOverlap="1" wp14:anchorId="6459070A" wp14:editId="466FFD59">
                <wp:simplePos x="0" y="0"/>
                <wp:positionH relativeFrom="column">
                  <wp:posOffset>3429000</wp:posOffset>
                </wp:positionH>
                <wp:positionV relativeFrom="paragraph">
                  <wp:posOffset>5849620</wp:posOffset>
                </wp:positionV>
                <wp:extent cx="342900" cy="342900"/>
                <wp:effectExtent l="0" t="0" r="0" b="12700"/>
                <wp:wrapSquare wrapText="bothSides"/>
                <wp:docPr id="304" name="Text Box 304"/>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77FCEF" w14:textId="77777777" w:rsidR="00E82D3B" w:rsidRDefault="00E82D3B" w:rsidP="00C27EDE">
                            <w:r>
                              <w:t xml:space="preserv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4" o:spid="_x0000_s1210" type="#_x0000_t202" style="position:absolute;margin-left:270pt;margin-top:460.6pt;width:27pt;height:27pt;z-index:25205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swvbNACAAAa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" filled="f" stroked="f">
                <v:textbox>
                  <w:txbxContent>
                    <w:p w14:paraId="5C77FCEF" w14:textId="77777777" w:rsidR="000A1E0D" w:rsidRDefault="000A1E0D" w:rsidP="00C27EDE">
                      <w:r>
                        <w:t xml:space="preserve">  3</w:t>
                      </w:r>
                    </w:p>
                  </w:txbxContent>
                </v:textbox>
                <w10:wrap type="square"/>
              </v:shape>
            </w:pict>
          </mc:Fallback>
        </mc:AlternateContent>
      </w:r>
      <w:r w:rsidR="00C27EDE">
        <w:rPr>
          <w:noProof/>
          <w:sz w:val="28"/>
          <w:u w:val="single"/>
          <w:lang w:val="en-US"/>
        </w:rPr>
        <mc:AlternateContent>
          <mc:Choice Requires="wps">
            <w:drawing>
              <wp:anchor distT="0" distB="0" distL="114300" distR="114300" simplePos="0" relativeHeight="252056576" behindDoc="0" locked="0" layoutInCell="1" allowOverlap="1" wp14:anchorId="51571CB1" wp14:editId="15F49895">
                <wp:simplePos x="0" y="0"/>
                <wp:positionH relativeFrom="column">
                  <wp:posOffset>3657600</wp:posOffset>
                </wp:positionH>
                <wp:positionV relativeFrom="paragraph">
                  <wp:posOffset>5849620</wp:posOffset>
                </wp:positionV>
                <wp:extent cx="342900" cy="342900"/>
                <wp:effectExtent l="0" t="0" r="0" b="12700"/>
                <wp:wrapSquare wrapText="bothSides"/>
                <wp:docPr id="305" name="Text Box 305"/>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BAED9F" w14:textId="77777777" w:rsidR="00E82D3B" w:rsidRDefault="00E82D3B" w:rsidP="00C27EDE">
                            <w:r>
                              <w:t xml:space="preserv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5" o:spid="_x0000_s1211" type="#_x0000_t202" style="position:absolute;margin-left:4in;margin-top:460.6pt;width:27pt;height:27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QCTdACAAAa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" filled="f" stroked="f">
                <v:textbox>
                  <w:txbxContent>
                    <w:p w14:paraId="6ABAED9F" w14:textId="77777777" w:rsidR="000A1E0D" w:rsidRDefault="000A1E0D" w:rsidP="00C27EDE">
                      <w:r>
                        <w:t xml:space="preserve">  4</w:t>
                      </w:r>
                    </w:p>
                  </w:txbxContent>
                </v:textbox>
                <w10:wrap type="square"/>
              </v:shape>
            </w:pict>
          </mc:Fallback>
        </mc:AlternateContent>
      </w:r>
      <w:r w:rsidR="00C27EDE">
        <w:rPr>
          <w:noProof/>
          <w:sz w:val="28"/>
          <w:u w:val="single"/>
          <w:lang w:val="en-US"/>
        </w:rPr>
        <mc:AlternateContent>
          <mc:Choice Requires="wps">
            <w:drawing>
              <wp:anchor distT="0" distB="0" distL="114300" distR="114300" simplePos="0" relativeHeight="252057600" behindDoc="0" locked="0" layoutInCell="1" allowOverlap="1" wp14:anchorId="638E3D48" wp14:editId="62D1D2FD">
                <wp:simplePos x="0" y="0"/>
                <wp:positionH relativeFrom="column">
                  <wp:posOffset>4000500</wp:posOffset>
                </wp:positionH>
                <wp:positionV relativeFrom="paragraph">
                  <wp:posOffset>5849620</wp:posOffset>
                </wp:positionV>
                <wp:extent cx="342900" cy="342900"/>
                <wp:effectExtent l="0" t="0" r="0" b="12700"/>
                <wp:wrapSquare wrapText="bothSides"/>
                <wp:docPr id="306" name="Text Box 306"/>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038F86" w14:textId="77777777" w:rsidR="00E82D3B" w:rsidRDefault="00E82D3B" w:rsidP="00C27EDE">
                            <w:r>
                              <w:t xml:space="preserv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6" o:spid="_x0000_s1212" type="#_x0000_t202" style="position:absolute;margin-left:315pt;margin-top:460.6pt;width:27pt;height:27pt;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x0LtACAAAa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" filled="f" stroked="f">
                <v:textbox>
                  <w:txbxContent>
                    <w:p w14:paraId="0F038F86" w14:textId="77777777" w:rsidR="000A1E0D" w:rsidRDefault="000A1E0D" w:rsidP="00C27EDE">
                      <w:r>
                        <w:t xml:space="preserve"> 5</w:t>
                      </w:r>
                    </w:p>
                  </w:txbxContent>
                </v:textbox>
                <w10:wrap type="square"/>
              </v:shape>
            </w:pict>
          </mc:Fallback>
        </mc:AlternateContent>
      </w:r>
      <w:r w:rsidR="00C27EDE">
        <w:rPr>
          <w:noProof/>
          <w:sz w:val="28"/>
          <w:u w:val="single"/>
          <w:lang w:val="en-US"/>
        </w:rPr>
        <mc:AlternateContent>
          <mc:Choice Requires="wps">
            <w:drawing>
              <wp:anchor distT="0" distB="0" distL="114300" distR="114300" simplePos="0" relativeHeight="252053504" behindDoc="0" locked="0" layoutInCell="1" allowOverlap="1" wp14:anchorId="269819F7" wp14:editId="5D62AF36">
                <wp:simplePos x="0" y="0"/>
                <wp:positionH relativeFrom="column">
                  <wp:posOffset>2743200</wp:posOffset>
                </wp:positionH>
                <wp:positionV relativeFrom="paragraph">
                  <wp:posOffset>5849620</wp:posOffset>
                </wp:positionV>
                <wp:extent cx="342900" cy="342900"/>
                <wp:effectExtent l="0" t="0" r="0" b="12700"/>
                <wp:wrapSquare wrapText="bothSides"/>
                <wp:docPr id="87" name="Text Box 87"/>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1595B4" w14:textId="77777777" w:rsidR="00E82D3B" w:rsidRDefault="00E82D3B" w:rsidP="00C27ED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7" o:spid="_x0000_s1213" type="#_x0000_t202" style="position:absolute;margin-left:3in;margin-top:460.6pt;width:27pt;height:27pt;z-index:25205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Pc7s4CAAAY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" filled="f" stroked="f">
                <v:textbox>
                  <w:txbxContent>
                    <w:p w14:paraId="6D1595B4" w14:textId="77777777" w:rsidR="000A1E0D" w:rsidRDefault="000A1E0D" w:rsidP="00C27EDE">
                      <w:r>
                        <w:t>1</w:t>
                      </w:r>
                    </w:p>
                  </w:txbxContent>
                </v:textbox>
                <w10:wrap type="square"/>
              </v:shape>
            </w:pict>
          </mc:Fallback>
        </mc:AlternateContent>
      </w:r>
      <w:r w:rsidR="00C27EDE">
        <w:rPr>
          <w:noProof/>
          <w:sz w:val="28"/>
          <w:u w:val="single"/>
          <w:lang w:val="en-US"/>
        </w:rPr>
        <mc:AlternateContent>
          <mc:Choice Requires="wps">
            <w:drawing>
              <wp:anchor distT="0" distB="0" distL="114300" distR="114300" simplePos="0" relativeHeight="252050432" behindDoc="0" locked="0" layoutInCell="1" allowOverlap="1" wp14:anchorId="7ECEB92B" wp14:editId="63A568B3">
                <wp:simplePos x="0" y="0"/>
                <wp:positionH relativeFrom="column">
                  <wp:posOffset>228600</wp:posOffset>
                </wp:positionH>
                <wp:positionV relativeFrom="paragraph">
                  <wp:posOffset>134620</wp:posOffset>
                </wp:positionV>
                <wp:extent cx="457200" cy="457200"/>
                <wp:effectExtent l="0" t="0" r="0" b="0"/>
                <wp:wrapSquare wrapText="bothSides"/>
                <wp:docPr id="307" name="Text Box 307"/>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336914" w14:textId="77777777" w:rsidR="00E82D3B" w:rsidRPr="007F5B32" w:rsidRDefault="00E82D3B" w:rsidP="00C27EDE">
                            <w:pPr>
                              <w:rPr>
                                <w:b/>
                              </w:rPr>
                            </w:pPr>
                            <w:proofErr w:type="gramStart"/>
                            <w:r w:rsidRPr="007F5B32">
                              <w:rPr>
                                <w:b/>
                              </w:rPr>
                              <w:t>a</w:t>
                            </w:r>
                            <w:proofErr w:type="gramEnd"/>
                            <w:r w:rsidRPr="007F5B32">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7" o:spid="_x0000_s1214" type="#_x0000_t202" style="position:absolute;margin-left:18pt;margin-top:10.6pt;width:36pt;height:36pt;z-index:25205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" filled="f" stroked="f">
                <v:textbox>
                  <w:txbxContent>
                    <w:p w14:paraId="20336914" w14:textId="77777777" w:rsidR="000A1E0D" w:rsidRPr="007F5B32" w:rsidRDefault="000A1E0D" w:rsidP="00C27EDE">
                      <w:pPr>
                        <w:rPr>
                          <w:b/>
                        </w:rPr>
                      </w:pPr>
                      <w:proofErr w:type="gramStart"/>
                      <w:r w:rsidRPr="007F5B32">
                        <w:rPr>
                          <w:b/>
                        </w:rPr>
                        <w:t>a</w:t>
                      </w:r>
                      <w:proofErr w:type="gramEnd"/>
                      <w:r w:rsidRPr="007F5B32">
                        <w:rPr>
                          <w:b/>
                        </w:rPr>
                        <w:t>.)</w:t>
                      </w:r>
                    </w:p>
                  </w:txbxContent>
                </v:textbox>
                <w10:wrap type="square"/>
              </v:shape>
            </w:pict>
          </mc:Fallback>
        </mc:AlternateContent>
      </w:r>
      <w:r w:rsidR="00C27EDE">
        <w:rPr>
          <w:sz w:val="28"/>
          <w:u w:val="single"/>
        </w:rPr>
        <w:br w:type="page"/>
      </w:r>
    </w:p>
    <w:p w14:paraId="06B12176" w14:textId="77777777" w:rsidR="00C27EDE" w:rsidRPr="006A36EF" w:rsidRDefault="00C27EDE" w:rsidP="006A36EF">
      <w:pPr>
        <w:pStyle w:val="Title"/>
        <w:rPr>
          <w:color w:val="auto"/>
        </w:rPr>
      </w:pPr>
      <w:r w:rsidRPr="006A36EF">
        <w:rPr>
          <w:color w:val="auto"/>
        </w:rPr>
        <w:t>Appendix 5</w:t>
      </w:r>
    </w:p>
    <w:p w14:paraId="545D5706" w14:textId="77777777" w:rsidR="00C27EDE" w:rsidRDefault="00C27EDE" w:rsidP="00C27EDE">
      <w:pPr>
        <w:jc w:val="both"/>
        <w:rPr>
          <w:sz w:val="28"/>
          <w:u w:val="single"/>
        </w:rPr>
      </w:pPr>
    </w:p>
    <w:p w14:paraId="1BE07300" w14:textId="77777777" w:rsidR="00C27EDE" w:rsidRDefault="00C27EDE" w:rsidP="00C27EDE">
      <w:pPr>
        <w:jc w:val="both"/>
        <w:rPr>
          <w:sz w:val="28"/>
        </w:rPr>
      </w:pPr>
      <w:r w:rsidRPr="005624F7">
        <w:rPr>
          <w:noProof/>
          <w:sz w:val="28"/>
          <w:lang w:val="en-US"/>
        </w:rPr>
        <w:drawing>
          <wp:anchor distT="0" distB="0" distL="114300" distR="114300" simplePos="0" relativeHeight="252058624" behindDoc="0" locked="0" layoutInCell="1" allowOverlap="1" wp14:anchorId="6C147777" wp14:editId="68380976">
            <wp:simplePos x="0" y="0"/>
            <wp:positionH relativeFrom="column">
              <wp:posOffset>0</wp:posOffset>
            </wp:positionH>
            <wp:positionV relativeFrom="paragraph">
              <wp:posOffset>0</wp:posOffset>
            </wp:positionV>
            <wp:extent cx="3777615" cy="2324100"/>
            <wp:effectExtent l="0" t="0" r="0" b="0"/>
            <wp:wrapSquare wrapText="bothSides"/>
            <wp:docPr id="323" name="Picture 3" descr="1 - Layout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1 - Layout 1.pdf"/>
                    <pic:cNvPicPr>
                      <a:picLocks noChangeAspect="1"/>
                    </pic:cNvPicPr>
                  </pic:nvPicPr>
                  <pic:blipFill rotWithShape="1">
                    <a:blip r:embed="rId187">
                      <a:extLst>
                        <a:ext uri="{28A0092B-C50C-407E-A947-70E740481C1C}">
                          <a14:useLocalDpi xmlns:a14="http://schemas.microsoft.com/office/drawing/2010/main" val="0"/>
                        </a:ext>
                      </a:extLst>
                    </a:blip>
                    <a:srcRect r="67145"/>
                    <a:stretch/>
                  </pic:blipFill>
                  <pic:spPr>
                    <a:xfrm>
                      <a:off x="0" y="0"/>
                      <a:ext cx="3777615" cy="2324100"/>
                    </a:xfrm>
                    <a:prstGeom prst="rect">
                      <a:avLst/>
                    </a:prstGeom>
                  </pic:spPr>
                </pic:pic>
              </a:graphicData>
            </a:graphic>
            <wp14:sizeRelH relativeFrom="page">
              <wp14:pctWidth>0</wp14:pctWidth>
            </wp14:sizeRelH>
            <wp14:sizeRelV relativeFrom="page">
              <wp14:pctHeight>0</wp14:pctHeight>
            </wp14:sizeRelV>
          </wp:anchor>
        </w:drawing>
      </w:r>
    </w:p>
    <w:p w14:paraId="0CA8771C" w14:textId="77777777" w:rsidR="00C27EDE" w:rsidRDefault="00C27EDE" w:rsidP="00C27EDE">
      <w:pPr>
        <w:jc w:val="both"/>
        <w:rPr>
          <w:rFonts w:hAnsi="Cambria"/>
          <w:sz w:val="22"/>
          <w:szCs w:val="22"/>
          <w:lang w:val="en-US"/>
        </w:rPr>
      </w:pPr>
    </w:p>
    <w:p w14:paraId="35EE11D0" w14:textId="77777777" w:rsidR="00C27EDE" w:rsidRDefault="00C27EDE" w:rsidP="00C27EDE">
      <w:pPr>
        <w:rPr>
          <w:rFonts w:hAnsi="Cambria"/>
          <w:sz w:val="22"/>
          <w:szCs w:val="22"/>
          <w:lang w:val="en-US"/>
        </w:rPr>
      </w:pPr>
      <w:r>
        <w:rPr>
          <w:noProof/>
          <w:sz w:val="28"/>
          <w:lang w:val="en-US"/>
        </w:rPr>
        <mc:AlternateContent>
          <mc:Choice Requires="wps">
            <w:drawing>
              <wp:anchor distT="0" distB="0" distL="114300" distR="114300" simplePos="0" relativeHeight="252046336" behindDoc="0" locked="0" layoutInCell="1" allowOverlap="1" wp14:anchorId="48CFF02C" wp14:editId="6C3DAEEF">
                <wp:simplePos x="0" y="0"/>
                <wp:positionH relativeFrom="column">
                  <wp:posOffset>-3891915</wp:posOffset>
                </wp:positionH>
                <wp:positionV relativeFrom="paragraph">
                  <wp:posOffset>4225290</wp:posOffset>
                </wp:positionV>
                <wp:extent cx="5486400" cy="1614805"/>
                <wp:effectExtent l="0" t="0" r="0" b="10795"/>
                <wp:wrapSquare wrapText="bothSides"/>
                <wp:docPr id="308" name="Text Box 308"/>
                <wp:cNvGraphicFramePr/>
                <a:graphic xmlns:a="http://schemas.openxmlformats.org/drawingml/2006/main">
                  <a:graphicData uri="http://schemas.microsoft.com/office/word/2010/wordprocessingShape">
                    <wps:wsp>
                      <wps:cNvSpPr txBox="1"/>
                      <wps:spPr>
                        <a:xfrm>
                          <a:off x="0" y="0"/>
                          <a:ext cx="5486400" cy="16148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8F7EA3" w14:textId="77777777" w:rsidR="00E82D3B" w:rsidRDefault="00E82D3B" w:rsidP="00C27EDE">
                            <w:pPr>
                              <w:jc w:val="both"/>
                              <w:rPr>
                                <w:b/>
                                <w:i/>
                                <w:sz w:val="22"/>
                              </w:rPr>
                            </w:pPr>
                            <w:proofErr w:type="gramStart"/>
                            <w:r w:rsidRPr="005624F7">
                              <w:rPr>
                                <w:b/>
                                <w:i/>
                                <w:sz w:val="22"/>
                              </w:rPr>
                              <w:t>A</w:t>
                            </w:r>
                            <w:r>
                              <w:rPr>
                                <w:b/>
                                <w:i/>
                                <w:sz w:val="22"/>
                              </w:rPr>
                              <w:t>ppendix Figure 5.</w:t>
                            </w:r>
                            <w:proofErr w:type="gramEnd"/>
                            <w:r w:rsidRPr="005624F7">
                              <w:rPr>
                                <w:b/>
                                <w:i/>
                                <w:sz w:val="22"/>
                              </w:rPr>
                              <w:t xml:space="preserve"> 24hrs after transfection with SRCAP siRNA there was no difference in cell cycle profiles.</w:t>
                            </w:r>
                          </w:p>
                          <w:p w14:paraId="2AFA2209" w14:textId="72ECF909" w:rsidR="00E82D3B" w:rsidRPr="005624F7" w:rsidRDefault="00E82D3B" w:rsidP="00C27EDE">
                            <w:pPr>
                              <w:jc w:val="both"/>
                              <w:rPr>
                                <w:i/>
                                <w:sz w:val="22"/>
                              </w:rPr>
                            </w:pPr>
                            <w:r w:rsidRPr="005624F7">
                              <w:rPr>
                                <w:i/>
                                <w:sz w:val="22"/>
                              </w:rPr>
                              <w:t>SW480 or HCT116 cells were transfected for 24hrs with SRCAP or contr</w:t>
                            </w:r>
                            <w:r>
                              <w:rPr>
                                <w:i/>
                                <w:sz w:val="22"/>
                              </w:rPr>
                              <w:t>ol siRNA, then fixed and stained with PI. The samples were run on a FACS Calibur machine, doublet cells gated out and histograms made of number of events vs. DNA content (PI). The above graphs show median and range of three repeats and after a Kruskal-Wallis test there was no significant difference between any of the cell cycle phases for either cell line (SW480- SubG1-p=0.2964, G1-p=0.7214, S-p=0.5107, G2-M-p=0.5429, HCT116- SubG1-p=0.3393, G1-p=0.8286, S-p=0.1321, G2-M-p=0.9286).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8" o:spid="_x0000_s1215" type="#_x0000_t202" style="position:absolute;margin-left:-306.4pt;margin-top:332.7pt;width:6in;height:127.1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AdztUCAAAc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" filled="f" stroked="f">
                <v:textbox>
                  <w:txbxContent>
                    <w:p w14:paraId="5B8F7EA3" w14:textId="77777777" w:rsidR="000A1E0D" w:rsidRDefault="000A1E0D" w:rsidP="00C27EDE">
                      <w:pPr>
                        <w:jc w:val="both"/>
                        <w:rPr>
                          <w:b/>
                          <w:i/>
                          <w:sz w:val="22"/>
                        </w:rPr>
                      </w:pPr>
                      <w:proofErr w:type="gramStart"/>
                      <w:r w:rsidRPr="005624F7">
                        <w:rPr>
                          <w:b/>
                          <w:i/>
                          <w:sz w:val="22"/>
                        </w:rPr>
                        <w:t>A</w:t>
                      </w:r>
                      <w:r>
                        <w:rPr>
                          <w:b/>
                          <w:i/>
                          <w:sz w:val="22"/>
                        </w:rPr>
                        <w:t>ppendix Figure 5.</w:t>
                      </w:r>
                      <w:proofErr w:type="gramEnd"/>
                      <w:r w:rsidRPr="005624F7">
                        <w:rPr>
                          <w:b/>
                          <w:i/>
                          <w:sz w:val="22"/>
                        </w:rPr>
                        <w:t xml:space="preserve"> 24hrs after transfection with SRCAP siRNA there was no difference in cell cycle profiles.</w:t>
                      </w:r>
                    </w:p>
                    <w:p w14:paraId="2AFA2209" w14:textId="72ECF909" w:rsidR="000A1E0D" w:rsidRPr="005624F7" w:rsidRDefault="000A1E0D" w:rsidP="00C27EDE">
                      <w:pPr>
                        <w:jc w:val="both"/>
                        <w:rPr>
                          <w:i/>
                          <w:sz w:val="22"/>
                        </w:rPr>
                      </w:pPr>
                      <w:r w:rsidRPr="005624F7">
                        <w:rPr>
                          <w:i/>
                          <w:sz w:val="22"/>
                        </w:rPr>
                        <w:t>SW480 or HCT116 cells were transfected for 24hrs with SRCAP or contr</w:t>
                      </w:r>
                      <w:r>
                        <w:rPr>
                          <w:i/>
                          <w:sz w:val="22"/>
                        </w:rPr>
                        <w:t>ol siRNA, then fixed and stained with PI. The samples were run on a FACS Calibur machine, doublet cells gated out and histograms made of number of events vs. DNA content (PI). The above graphs show median and range of three repeats and after a Kruskal-Wallis test there was no significant difference between any of the cell cycle phases for either cell line (SW480- SubG1-p=0.2964, G1-p=0.7214, S-p=0.5107, G2-M-p=0.5429, HCT116- SubG1-p=0.3393, G1-p=0.8286, S-p=0.1321, G2-M-p=0.9286).</w:t>
                      </w:r>
                    </w:p>
                  </w:txbxContent>
                </v:textbox>
                <w10:wrap type="square"/>
              </v:shape>
            </w:pict>
          </mc:Fallback>
        </mc:AlternateContent>
      </w:r>
      <w:r>
        <w:rPr>
          <w:noProof/>
          <w:sz w:val="28"/>
          <w:lang w:val="en-US"/>
        </w:rPr>
        <mc:AlternateContent>
          <mc:Choice Requires="wps">
            <w:drawing>
              <wp:anchor distT="0" distB="0" distL="114300" distR="114300" simplePos="0" relativeHeight="252048384" behindDoc="0" locked="0" layoutInCell="1" allowOverlap="1" wp14:anchorId="156CF6B2" wp14:editId="1040C57C">
                <wp:simplePos x="0" y="0"/>
                <wp:positionH relativeFrom="column">
                  <wp:posOffset>-1263015</wp:posOffset>
                </wp:positionH>
                <wp:positionV relativeFrom="paragraph">
                  <wp:posOffset>3768090</wp:posOffset>
                </wp:positionV>
                <wp:extent cx="800100" cy="342900"/>
                <wp:effectExtent l="0" t="0" r="0" b="12700"/>
                <wp:wrapSquare wrapText="bothSides"/>
                <wp:docPr id="114" name="Text Box 114"/>
                <wp:cNvGraphicFramePr/>
                <a:graphic xmlns:a="http://schemas.openxmlformats.org/drawingml/2006/main">
                  <a:graphicData uri="http://schemas.microsoft.com/office/word/2010/wordprocessingShape">
                    <wps:wsp>
                      <wps:cNvSpPr txBox="1"/>
                      <wps:spPr>
                        <a:xfrm>
                          <a:off x="0" y="0"/>
                          <a:ext cx="800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41F440" w14:textId="77777777" w:rsidR="00E82D3B" w:rsidRPr="005624F7" w:rsidRDefault="00E82D3B" w:rsidP="00C27EDE">
                            <w:pPr>
                              <w:rPr>
                                <w:b/>
                              </w:rPr>
                            </w:pPr>
                            <w:proofErr w:type="gramStart"/>
                            <w:r w:rsidRPr="005624F7">
                              <w:rPr>
                                <w:b/>
                              </w:rPr>
                              <w:t>n</w:t>
                            </w:r>
                            <w:proofErr w:type="gramEnd"/>
                            <w:r w:rsidRPr="005624F7">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4" o:spid="_x0000_s1216" type="#_x0000_t202" style="position:absolute;margin-left:-99.4pt;margin-top:296.7pt;width:63pt;height:27pt;z-index:25204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" filled="f" stroked="f">
                <v:textbox>
                  <w:txbxContent>
                    <w:p w14:paraId="5041F440" w14:textId="77777777" w:rsidR="000A1E0D" w:rsidRPr="005624F7" w:rsidRDefault="000A1E0D" w:rsidP="00C27EDE">
                      <w:pPr>
                        <w:rPr>
                          <w:b/>
                        </w:rPr>
                      </w:pPr>
                      <w:proofErr w:type="gramStart"/>
                      <w:r w:rsidRPr="005624F7">
                        <w:rPr>
                          <w:b/>
                        </w:rPr>
                        <w:t>n</w:t>
                      </w:r>
                      <w:proofErr w:type="gramEnd"/>
                      <w:r w:rsidRPr="005624F7">
                        <w:rPr>
                          <w:b/>
                        </w:rPr>
                        <w:t>=3</w:t>
                      </w:r>
                    </w:p>
                  </w:txbxContent>
                </v:textbox>
                <w10:wrap type="square"/>
              </v:shape>
            </w:pict>
          </mc:Fallback>
        </mc:AlternateContent>
      </w:r>
      <w:r w:rsidRPr="005624F7">
        <w:rPr>
          <w:noProof/>
          <w:sz w:val="28"/>
          <w:lang w:val="en-US"/>
        </w:rPr>
        <w:drawing>
          <wp:anchor distT="0" distB="0" distL="114300" distR="114300" simplePos="0" relativeHeight="252059648" behindDoc="0" locked="0" layoutInCell="1" allowOverlap="1" wp14:anchorId="1FE4F014" wp14:editId="2CDAF46D">
            <wp:simplePos x="0" y="0"/>
            <wp:positionH relativeFrom="column">
              <wp:posOffset>-3891915</wp:posOffset>
            </wp:positionH>
            <wp:positionV relativeFrom="paragraph">
              <wp:posOffset>1710690</wp:posOffset>
            </wp:positionV>
            <wp:extent cx="3891280" cy="2310130"/>
            <wp:effectExtent l="0" t="0" r="0" b="0"/>
            <wp:wrapSquare wrapText="bothSides"/>
            <wp:docPr id="110" name="Picture 4" descr="1 - Layout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1 - Layout 2.pdf"/>
                    <pic:cNvPicPr>
                      <a:picLocks noChangeAspect="1"/>
                    </pic:cNvPicPr>
                  </pic:nvPicPr>
                  <pic:blipFill rotWithShape="1">
                    <a:blip r:embed="rId188">
                      <a:extLst>
                        <a:ext uri="{28A0092B-C50C-407E-A947-70E740481C1C}">
                          <a14:useLocalDpi xmlns:a14="http://schemas.microsoft.com/office/drawing/2010/main" val="0"/>
                        </a:ext>
                      </a:extLst>
                    </a:blip>
                    <a:srcRect r="65815"/>
                    <a:stretch/>
                  </pic:blipFill>
                  <pic:spPr>
                    <a:xfrm>
                      <a:off x="0" y="0"/>
                      <a:ext cx="3891280" cy="2310130"/>
                    </a:xfrm>
                    <a:prstGeom prst="rect">
                      <a:avLst/>
                    </a:prstGeom>
                  </pic:spPr>
                </pic:pic>
              </a:graphicData>
            </a:graphic>
            <wp14:sizeRelH relativeFrom="page">
              <wp14:pctWidth>0</wp14:pctWidth>
            </wp14:sizeRelH>
            <wp14:sizeRelV relativeFrom="page">
              <wp14:pctHeight>0</wp14:pctHeight>
            </wp14:sizeRelV>
          </wp:anchor>
        </w:drawing>
      </w:r>
      <w:r>
        <w:rPr>
          <w:rFonts w:hAnsi="Cambria"/>
          <w:sz w:val="22"/>
          <w:szCs w:val="22"/>
          <w:lang w:val="en-US"/>
        </w:rPr>
        <w:br w:type="page"/>
      </w:r>
    </w:p>
    <w:p w14:paraId="092E2B96" w14:textId="77777777" w:rsidR="00C27EDE" w:rsidRPr="006A36EF" w:rsidRDefault="00C27EDE" w:rsidP="006A36EF">
      <w:pPr>
        <w:pStyle w:val="Title"/>
        <w:rPr>
          <w:color w:val="auto"/>
          <w:lang w:val="en-US"/>
        </w:rPr>
      </w:pPr>
      <w:r w:rsidRPr="006A36EF">
        <w:rPr>
          <w:noProof/>
          <w:color w:val="auto"/>
          <w:lang w:val="en-US"/>
        </w:rPr>
        <mc:AlternateContent>
          <mc:Choice Requires="wps">
            <w:drawing>
              <wp:anchor distT="0" distB="0" distL="114300" distR="114300" simplePos="0" relativeHeight="252068864" behindDoc="0" locked="0" layoutInCell="1" allowOverlap="1" wp14:anchorId="66DFC62C" wp14:editId="31C27840">
                <wp:simplePos x="0" y="0"/>
                <wp:positionH relativeFrom="column">
                  <wp:posOffset>-228600</wp:posOffset>
                </wp:positionH>
                <wp:positionV relativeFrom="paragraph">
                  <wp:posOffset>4914900</wp:posOffset>
                </wp:positionV>
                <wp:extent cx="5715000" cy="1028700"/>
                <wp:effectExtent l="0" t="0" r="0" b="12700"/>
                <wp:wrapSquare wrapText="bothSides"/>
                <wp:docPr id="309" name="Text Box 309"/>
                <wp:cNvGraphicFramePr/>
                <a:graphic xmlns:a="http://schemas.openxmlformats.org/drawingml/2006/main">
                  <a:graphicData uri="http://schemas.microsoft.com/office/word/2010/wordprocessingShape">
                    <wps:wsp>
                      <wps:cNvSpPr txBox="1"/>
                      <wps:spPr>
                        <a:xfrm>
                          <a:off x="0" y="0"/>
                          <a:ext cx="57150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652873" w14:textId="77777777" w:rsidR="00E82D3B" w:rsidRPr="00C2068E" w:rsidRDefault="00E82D3B" w:rsidP="00C27EDE">
                            <w:pPr>
                              <w:jc w:val="both"/>
                              <w:rPr>
                                <w:b/>
                                <w:i/>
                                <w:sz w:val="22"/>
                              </w:rPr>
                            </w:pPr>
                            <w:proofErr w:type="gramStart"/>
                            <w:r w:rsidRPr="00C2068E">
                              <w:rPr>
                                <w:b/>
                                <w:i/>
                                <w:sz w:val="22"/>
                              </w:rPr>
                              <w:t>A</w:t>
                            </w:r>
                            <w:r>
                              <w:rPr>
                                <w:b/>
                                <w:i/>
                                <w:sz w:val="22"/>
                              </w:rPr>
                              <w:t>ppendix Figure 6.</w:t>
                            </w:r>
                            <w:proofErr w:type="gramEnd"/>
                            <w:r>
                              <w:rPr>
                                <w:b/>
                                <w:i/>
                                <w:sz w:val="22"/>
                              </w:rPr>
                              <w:t xml:space="preserve"> </w:t>
                            </w:r>
                            <w:r w:rsidRPr="00C2068E">
                              <w:rPr>
                                <w:b/>
                                <w:i/>
                                <w:sz w:val="22"/>
                              </w:rPr>
                              <w:t xml:space="preserve">The CAG construct </w:t>
                            </w:r>
                          </w:p>
                          <w:p w14:paraId="65CD80C4" w14:textId="0B17002A" w:rsidR="00E82D3B" w:rsidRPr="00C2068E" w:rsidRDefault="00E82D3B" w:rsidP="00C27EDE">
                            <w:pPr>
                              <w:jc w:val="both"/>
                              <w:rPr>
                                <w:i/>
                                <w:sz w:val="22"/>
                              </w:rPr>
                            </w:pPr>
                            <w:r>
                              <w:rPr>
                                <w:i/>
                                <w:sz w:val="22"/>
                              </w:rPr>
                              <w:t xml:space="preserve">The RAS over-expression system was created using the above CAG expression vector, which is driven by a CAG promoter. It is used for long term, high levels of gene expression and consists of a CMV enhancer element, a chicken beta-actin promoter, 5’UTR and an intron with the 3’ end of the intron substituted with a rabbit beta-globin splice acceptor </w:t>
                            </w:r>
                            <w:r>
                              <w:rPr>
                                <w:i/>
                                <w:sz w:val="22"/>
                              </w:rPr>
                              <w:fldChar w:fldCharType="begin"/>
                            </w:r>
                            <w:r>
                              <w:rPr>
                                <w:i/>
                                <w:sz w:val="22"/>
                              </w:rPr>
                              <w:instrText xml:space="preserve"> ADDIN EN.CITE &lt;EndNote&gt;&lt;Cite&gt;&lt;Author&gt;Miyazaki&lt;/Author&gt;&lt;Year&gt;1989&lt;/Year&gt;&lt;IDText&gt;Expression vector system based on the chicken beta-actin promoter directs efficient production of interleukin-5&lt;/IDText&gt;&lt;DisplayText&gt;(Miyazaki et al., 1989)&lt;/DisplayText&gt;&lt;record&gt;&lt;dates&gt;&lt;pub-dates&gt;&lt;date&gt;Jul&lt;/date&gt;&lt;/pub-dates&gt;&lt;year&gt;1989&lt;/year&gt;&lt;/dates&gt;&lt;keywords&gt;&lt;keyword&gt;Actins&lt;/keyword&gt;&lt;keyword&gt;Animals&lt;/keyword&gt;&lt;keyword&gt;Cells, Cultured&lt;/keyword&gt;&lt;keyword&gt;Chickens&lt;/keyword&gt;&lt;keyword&gt;Chromatography, Affinity&lt;/keyword&gt;&lt;keyword&gt;Cloning, Molecular&lt;/keyword&gt;&lt;keyword&gt;Electrophoresis, Polyacrylamide Gel&lt;/keyword&gt;&lt;keyword&gt;Escherichia coli&lt;/keyword&gt;&lt;keyword&gt;Genetic Vectors&lt;/keyword&gt;&lt;keyword&gt;Interleukin-5&lt;/keyword&gt;&lt;keyword&gt;Lac Operon&lt;/keyword&gt;&lt;keyword&gt;Nucleotide Mapping&lt;/keyword&gt;&lt;keyword&gt;Plasmids&lt;/keyword&gt;&lt;keyword&gt;Promoter Regions, Genetic&lt;/keyword&gt;&lt;keyword&gt;Simian virus 40&lt;/keyword&gt;&lt;keyword&gt;Transfection&lt;/keyword&gt;&lt;keyword&gt;beta-Galactosidase&lt;/keyword&gt;&lt;/keywords&gt;&lt;urls&gt;&lt;related-urls&gt;&lt;url&gt;https://www.ncbi.nlm.nih.gov/pubmed/2551778&lt;/url&gt;&lt;/related-urls&gt;&lt;/urls&gt;&lt;isbn&gt;0378-1119&lt;/isbn&gt;&lt;titles&gt;&lt;title&gt;Expression vector system based on the chicken beta-actin promoter directs efficient production of interleukin-5&lt;/title&gt;&lt;secondary-title&gt;Gene&lt;/secondary-title&gt;&lt;/titles&gt;&lt;pages&gt;269-77&lt;/pages&gt;&lt;number&gt;2&lt;/number&gt;&lt;contributors&gt;&lt;authors&gt;&lt;author&gt;Miyazaki, J.&lt;/author&gt;&lt;author&gt;Takaki, S.&lt;/author&gt;&lt;author&gt;Araki, K.&lt;/author&gt;&lt;author&gt;Tashiro, F.&lt;/author&gt;&lt;author&gt;Tominaga, A.&lt;/author&gt;&lt;author&gt;Takatsu, K.&lt;/author&gt;&lt;author&gt;Yamamura, K.&lt;/author&gt;&lt;/authors&gt;&lt;/contributors&gt;&lt;language&gt;eng&lt;/language&gt;&lt;added-date format="utc"&gt;1510310670&lt;/added-date&gt;&lt;ref-type name="Journal Article"&gt;17&lt;/ref-type&gt;&lt;rec-number&gt;366&lt;/rec-number&gt;&lt;last-updated-date format="utc"&gt;1510310670&lt;/last-updated-date&gt;&lt;accession-num&gt;2551778&lt;/accession-num&gt;&lt;volume&gt;79&lt;/volume&gt;&lt;/record&gt;&lt;/Cite&gt;&lt;/EndNote&gt;</w:instrText>
                            </w:r>
                            <w:r>
                              <w:rPr>
                                <w:i/>
                                <w:sz w:val="22"/>
                              </w:rPr>
                              <w:fldChar w:fldCharType="separate"/>
                            </w:r>
                            <w:r>
                              <w:rPr>
                                <w:i/>
                                <w:noProof/>
                                <w:sz w:val="22"/>
                              </w:rPr>
                              <w:t>(Miyazaki et al., 1989)</w:t>
                            </w:r>
                            <w:r>
                              <w:rPr>
                                <w:i/>
                                <w:sz w:val="22"/>
                              </w:rPr>
                              <w:fldChar w:fldCharType="end"/>
                            </w:r>
                            <w:r>
                              <w:rPr>
                                <w:i/>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9" o:spid="_x0000_s1217" type="#_x0000_t202" style="position:absolute;margin-left:-17.95pt;margin-top:387pt;width:450pt;height:81pt;z-index:25206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" filled="f" stroked="f">
                <v:textbox>
                  <w:txbxContent>
                    <w:p w14:paraId="0A652873" w14:textId="77777777" w:rsidR="000A1E0D" w:rsidRPr="00C2068E" w:rsidRDefault="000A1E0D" w:rsidP="00C27EDE">
                      <w:pPr>
                        <w:jc w:val="both"/>
                        <w:rPr>
                          <w:b/>
                          <w:i/>
                          <w:sz w:val="22"/>
                        </w:rPr>
                      </w:pPr>
                      <w:proofErr w:type="gramStart"/>
                      <w:r w:rsidRPr="00C2068E">
                        <w:rPr>
                          <w:b/>
                          <w:i/>
                          <w:sz w:val="22"/>
                        </w:rPr>
                        <w:t>A</w:t>
                      </w:r>
                      <w:r>
                        <w:rPr>
                          <w:b/>
                          <w:i/>
                          <w:sz w:val="22"/>
                        </w:rPr>
                        <w:t>ppendix Figure 6.</w:t>
                      </w:r>
                      <w:proofErr w:type="gramEnd"/>
                      <w:r>
                        <w:rPr>
                          <w:b/>
                          <w:i/>
                          <w:sz w:val="22"/>
                        </w:rPr>
                        <w:t xml:space="preserve"> </w:t>
                      </w:r>
                      <w:r w:rsidRPr="00C2068E">
                        <w:rPr>
                          <w:b/>
                          <w:i/>
                          <w:sz w:val="22"/>
                        </w:rPr>
                        <w:t xml:space="preserve">The CAG construct </w:t>
                      </w:r>
                    </w:p>
                    <w:p w14:paraId="65CD80C4" w14:textId="0B17002A" w:rsidR="000A1E0D" w:rsidRPr="00C2068E" w:rsidRDefault="000A1E0D" w:rsidP="00C27EDE">
                      <w:pPr>
                        <w:jc w:val="both"/>
                        <w:rPr>
                          <w:i/>
                          <w:sz w:val="22"/>
                        </w:rPr>
                      </w:pPr>
                      <w:r>
                        <w:rPr>
                          <w:i/>
                          <w:sz w:val="22"/>
                        </w:rPr>
                        <w:t xml:space="preserve">The RAS over-expression system was created using the above CAG expression vector, which is driven by a CAG promoter. It is used for long term, high levels of gene expression and consists of a CMV enhancer element, a chicken beta-actin promoter, 5’UTR and an intron with the 3’ end of the intron substituted with a rabbit beta-globin splice acceptor </w:t>
                      </w:r>
                      <w:r>
                        <w:rPr>
                          <w:i/>
                          <w:sz w:val="22"/>
                        </w:rPr>
                        <w:fldChar w:fldCharType="begin"/>
                      </w:r>
                      <w:r>
                        <w:rPr>
                          <w:i/>
                          <w:sz w:val="22"/>
                        </w:rPr>
                        <w:instrText xml:space="preserve"> ADDIN EN.CITE &lt;EndNote&gt;&lt;Cite&gt;&lt;Author&gt;Miyazaki&lt;/Author&gt;&lt;Year&gt;1989&lt;/Year&gt;&lt;IDText&gt;Expression vector system based on the chicken beta-actin promoter directs efficient production of interleukin-5&lt;/IDText&gt;&lt;DisplayText&gt;(Miyazaki et al., 1989)&lt;/DisplayText&gt;&lt;record&gt;&lt;dates&gt;&lt;pub-dates&gt;&lt;date&gt;Jul&lt;/date&gt;&lt;/pub-dates&gt;&lt;year&gt;1989&lt;/year&gt;&lt;/dates&gt;&lt;keywords&gt;&lt;keyword&gt;Actins&lt;/keyword&gt;&lt;keyword&gt;Animals&lt;/keyword&gt;&lt;keyword&gt;Cells, Cultured&lt;/keyword&gt;&lt;keyword&gt;Chickens&lt;/keyword&gt;&lt;keyword&gt;Chromatography, Affinity&lt;/keyword&gt;&lt;keyword&gt;Cloning, Molecular&lt;/keyword&gt;&lt;keyword&gt;Electrophoresis, Polyacrylamide Gel&lt;/keyword&gt;&lt;keyword&gt;Escherichia coli&lt;/keyword&gt;&lt;keyword&gt;Genetic Vectors&lt;/keyword&gt;&lt;keyword&gt;Interleukin-5&lt;/keyword&gt;&lt;keyword&gt;Lac Operon&lt;/keyword&gt;&lt;keyword&gt;Nucleotide Mapping&lt;/keyword&gt;&lt;keyword&gt;Plasmids&lt;/keyword&gt;&lt;keyword&gt;Promoter Regions, Genetic&lt;/keyword&gt;&lt;keyword&gt;Simian virus 40&lt;/keyword&gt;&lt;keyword&gt;Transfection&lt;/keyword&gt;&lt;keyword&gt;beta-Galactosidase&lt;/keyword&gt;&lt;/keywords&gt;&lt;urls&gt;&lt;related-urls&gt;&lt;url&gt;https://www.ncbi.nlm.nih.gov/pubmed/2551778&lt;/url&gt;&lt;/related-urls&gt;&lt;/urls&gt;&lt;isbn&gt;0378-1119&lt;/isbn&gt;&lt;titles&gt;&lt;title&gt;Expression vector system based on the chicken beta-actin promoter directs efficient production of interleukin-5&lt;/title&gt;&lt;secondary-title&gt;Gene&lt;/secondary-title&gt;&lt;/titles&gt;&lt;pages&gt;269-77&lt;/pages&gt;&lt;number&gt;2&lt;/number&gt;&lt;contributors&gt;&lt;authors&gt;&lt;author&gt;Miyazaki, J.&lt;/author&gt;&lt;author&gt;Takaki, S.&lt;/author&gt;&lt;author&gt;Araki, K.&lt;/author&gt;&lt;author&gt;Tashiro, F.&lt;/author&gt;&lt;author&gt;Tominaga, A.&lt;/author&gt;&lt;author&gt;Takatsu, K.&lt;/author&gt;&lt;author&gt;Yamamura, K.&lt;/author&gt;&lt;/authors&gt;&lt;/contributors&gt;&lt;language&gt;eng&lt;/language&gt;&lt;added-date format="utc"&gt;1510310670&lt;/added-date&gt;&lt;ref-type name="Journal Article"&gt;17&lt;/ref-type&gt;&lt;rec-number&gt;366&lt;/rec-number&gt;&lt;last-updated-date format="utc"&gt;1510310670&lt;/last-updated-date&gt;&lt;accession-num&gt;2551778&lt;/accession-num&gt;&lt;volume&gt;79&lt;/volume&gt;&lt;/record&gt;&lt;/Cite&gt;&lt;/EndNote&gt;</w:instrText>
                      </w:r>
                      <w:r>
                        <w:rPr>
                          <w:i/>
                          <w:sz w:val="22"/>
                        </w:rPr>
                        <w:fldChar w:fldCharType="separate"/>
                      </w:r>
                      <w:r>
                        <w:rPr>
                          <w:i/>
                          <w:noProof/>
                          <w:sz w:val="22"/>
                        </w:rPr>
                        <w:t>(Miyazaki et al., 1989)</w:t>
                      </w:r>
                      <w:r>
                        <w:rPr>
                          <w:i/>
                          <w:sz w:val="22"/>
                        </w:rPr>
                        <w:fldChar w:fldCharType="end"/>
                      </w:r>
                      <w:r>
                        <w:rPr>
                          <w:i/>
                          <w:sz w:val="22"/>
                        </w:rPr>
                        <w:t xml:space="preserve">. </w:t>
                      </w:r>
                    </w:p>
                  </w:txbxContent>
                </v:textbox>
                <w10:wrap type="square"/>
              </v:shape>
            </w:pict>
          </mc:Fallback>
        </mc:AlternateContent>
      </w:r>
      <w:r w:rsidRPr="006A36EF">
        <w:rPr>
          <w:noProof/>
          <w:color w:val="auto"/>
          <w:lang w:val="en-US"/>
        </w:rPr>
        <w:drawing>
          <wp:anchor distT="0" distB="0" distL="114300" distR="114300" simplePos="0" relativeHeight="252067840" behindDoc="0" locked="0" layoutInCell="1" allowOverlap="1" wp14:anchorId="0C8C092B" wp14:editId="734868E5">
            <wp:simplePos x="0" y="0"/>
            <wp:positionH relativeFrom="column">
              <wp:posOffset>-228600</wp:posOffset>
            </wp:positionH>
            <wp:positionV relativeFrom="paragraph">
              <wp:posOffset>1028700</wp:posOffset>
            </wp:positionV>
            <wp:extent cx="5715000" cy="3487420"/>
            <wp:effectExtent l="0" t="0" r="0" b="0"/>
            <wp:wrapSquare wrapText="bothSides"/>
            <wp:docPr id="324" name="Picture 324" descr="Macintosh HD:Users:ClairFellows:Desktop:Screen Shot 2017-11-10 at 10.3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airFellows:Desktop:Screen Shot 2017-11-10 at 10.30.50.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3487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36EF">
        <w:rPr>
          <w:color w:val="auto"/>
        </w:rPr>
        <w:t>Appendix 6</w:t>
      </w:r>
      <w:r w:rsidRPr="006A36EF">
        <w:rPr>
          <w:color w:val="auto"/>
        </w:rPr>
        <w:br w:type="page"/>
      </w:r>
    </w:p>
    <w:p w14:paraId="4B4AD6DC" w14:textId="77777777" w:rsidR="00C27EDE" w:rsidRPr="006A36EF" w:rsidRDefault="00C27EDE" w:rsidP="006A36EF">
      <w:pPr>
        <w:pStyle w:val="Title"/>
        <w:rPr>
          <w:color w:val="auto"/>
        </w:rPr>
      </w:pPr>
      <w:r w:rsidRPr="006A36EF">
        <w:rPr>
          <w:color w:val="auto"/>
        </w:rPr>
        <w:t>Appendix 7</w:t>
      </w:r>
    </w:p>
    <w:p w14:paraId="112186B3" w14:textId="77777777" w:rsidR="00C27EDE" w:rsidRDefault="00C27EDE" w:rsidP="00C27EDE">
      <w:pPr>
        <w:rPr>
          <w:sz w:val="28"/>
          <w:szCs w:val="28"/>
          <w:u w:val="single"/>
        </w:rPr>
      </w:pPr>
      <w:r>
        <w:rPr>
          <w:rFonts w:asciiTheme="majorHAnsi" w:hAnsiTheme="majorHAnsi"/>
          <w:noProof/>
          <w:sz w:val="28"/>
          <w:szCs w:val="28"/>
          <w:u w:val="single"/>
          <w:lang w:val="en-US"/>
        </w:rPr>
        <mc:AlternateContent>
          <mc:Choice Requires="wps">
            <w:drawing>
              <wp:anchor distT="0" distB="0" distL="114300" distR="114300" simplePos="0" relativeHeight="252079104" behindDoc="0" locked="0" layoutInCell="1" allowOverlap="1" wp14:anchorId="3BED14D3" wp14:editId="1144B168">
                <wp:simplePos x="0" y="0"/>
                <wp:positionH relativeFrom="column">
                  <wp:posOffset>4572000</wp:posOffset>
                </wp:positionH>
                <wp:positionV relativeFrom="paragraph">
                  <wp:posOffset>354330</wp:posOffset>
                </wp:positionV>
                <wp:extent cx="1371600" cy="8001000"/>
                <wp:effectExtent l="0" t="0" r="0" b="0"/>
                <wp:wrapSquare wrapText="bothSides"/>
                <wp:docPr id="310" name="Text Box 310"/>
                <wp:cNvGraphicFramePr/>
                <a:graphic xmlns:a="http://schemas.openxmlformats.org/drawingml/2006/main">
                  <a:graphicData uri="http://schemas.microsoft.com/office/word/2010/wordprocessingShape">
                    <wps:wsp>
                      <wps:cNvSpPr txBox="1"/>
                      <wps:spPr>
                        <a:xfrm rot="10800000">
                          <a:off x="0" y="0"/>
                          <a:ext cx="1371600" cy="800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9FB405" w14:textId="77777777" w:rsidR="00E82D3B" w:rsidRDefault="00E82D3B" w:rsidP="00C27EDE">
                            <w:pPr>
                              <w:jc w:val="both"/>
                            </w:pPr>
                            <w:proofErr w:type="gramStart"/>
                            <w:r w:rsidRPr="008C18DD">
                              <w:rPr>
                                <w:b/>
                                <w:i/>
                                <w:sz w:val="22"/>
                              </w:rPr>
                              <w:t>Appendix Figure 7.</w:t>
                            </w:r>
                            <w:proofErr w:type="gramEnd"/>
                            <w:r w:rsidRPr="008C18DD">
                              <w:rPr>
                                <w:b/>
                                <w:i/>
                                <w:sz w:val="22"/>
                              </w:rPr>
                              <w:t xml:space="preserve"> FACS sorts for RNA over expression samples</w:t>
                            </w:r>
                            <w:r>
                              <w:t>.</w:t>
                            </w:r>
                          </w:p>
                          <w:p w14:paraId="51CA219F" w14:textId="77777777" w:rsidR="00E82D3B" w:rsidRPr="00E835C9" w:rsidRDefault="00E82D3B" w:rsidP="00C27EDE">
                            <w:pPr>
                              <w:jc w:val="both"/>
                              <w:rPr>
                                <w:i/>
                                <w:sz w:val="22"/>
                              </w:rPr>
                            </w:pPr>
                            <w:r w:rsidRPr="008C18DD">
                              <w:rPr>
                                <w:i/>
                                <w:sz w:val="22"/>
                              </w:rPr>
                              <w:t xml:space="preserve">Diagrams showing how untransfected HCT116 cells were used to gate the single cell population and then to gate a negative YFP </w:t>
                            </w:r>
                            <w:r>
                              <w:rPr>
                                <w:i/>
                                <w:sz w:val="22"/>
                              </w:rPr>
                              <w:t>population. These same gates were then utilised for sorting the YFP SRCAP transfected cells into cells expressing YFP and those that did not.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218" type="#_x0000_t202" style="position:absolute;margin-left:5in;margin-top:27.9pt;width:108pt;height:630pt;rotation:180;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" filled="f" stroked="f">
                <v:textbox style="layout-flow:vertical-ideographic">
                  <w:txbxContent>
                    <w:p w14:paraId="689FB405" w14:textId="77777777" w:rsidR="000A1E0D" w:rsidRDefault="000A1E0D" w:rsidP="00C27EDE">
                      <w:pPr>
                        <w:jc w:val="both"/>
                      </w:pPr>
                      <w:proofErr w:type="gramStart"/>
                      <w:r w:rsidRPr="008C18DD">
                        <w:rPr>
                          <w:b/>
                          <w:i/>
                          <w:sz w:val="22"/>
                        </w:rPr>
                        <w:t>Appendix Figure 7.</w:t>
                      </w:r>
                      <w:proofErr w:type="gramEnd"/>
                      <w:r w:rsidRPr="008C18DD">
                        <w:rPr>
                          <w:b/>
                          <w:i/>
                          <w:sz w:val="22"/>
                        </w:rPr>
                        <w:t xml:space="preserve"> FACS sorts for RNA over expression samples</w:t>
                      </w:r>
                      <w:r>
                        <w:t>.</w:t>
                      </w:r>
                    </w:p>
                    <w:p w14:paraId="51CA219F" w14:textId="77777777" w:rsidR="000A1E0D" w:rsidRPr="00E835C9" w:rsidRDefault="000A1E0D" w:rsidP="00C27EDE">
                      <w:pPr>
                        <w:jc w:val="both"/>
                        <w:rPr>
                          <w:i/>
                          <w:sz w:val="22"/>
                        </w:rPr>
                      </w:pPr>
                      <w:r w:rsidRPr="008C18DD">
                        <w:rPr>
                          <w:i/>
                          <w:sz w:val="22"/>
                        </w:rPr>
                        <w:t xml:space="preserve">Diagrams showing how untransfected HCT116 cells were used to gate the single cell population and then to gate a negative YFP </w:t>
                      </w:r>
                      <w:r>
                        <w:rPr>
                          <w:i/>
                          <w:sz w:val="22"/>
                        </w:rPr>
                        <w:t>population. These same gates were then utilised for sorting the YFP SRCAP transfected cells into cells expressing YFP and those that did not.</w:t>
                      </w:r>
                    </w:p>
                  </w:txbxContent>
                </v:textbox>
                <w10:wrap type="square"/>
              </v:shape>
            </w:pict>
          </mc:Fallback>
        </mc:AlternateContent>
      </w:r>
      <w:r>
        <w:rPr>
          <w:noProof/>
          <w:sz w:val="28"/>
          <w:szCs w:val="28"/>
          <w:u w:val="single"/>
          <w:lang w:val="en-US"/>
        </w:rPr>
        <w:drawing>
          <wp:anchor distT="0" distB="0" distL="114300" distR="114300" simplePos="0" relativeHeight="252078080" behindDoc="0" locked="0" layoutInCell="1" allowOverlap="1" wp14:anchorId="13569297" wp14:editId="7B4259FB">
            <wp:simplePos x="0" y="0"/>
            <wp:positionH relativeFrom="column">
              <wp:posOffset>-1986280</wp:posOffset>
            </wp:positionH>
            <wp:positionV relativeFrom="paragraph">
              <wp:posOffset>1997710</wp:posOffset>
            </wp:positionV>
            <wp:extent cx="8343900" cy="4598670"/>
            <wp:effectExtent l="0" t="6985" r="5715" b="5715"/>
            <wp:wrapSquare wrapText="bothSides"/>
            <wp:docPr id="325" name="Picture 325" descr="Macintosh HD:Users:ClairFellows:Desktop:Screen Shot 2017-11-22 at 14.4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ClairFellows:Desktop:Screen Shot 2017-11-22 at 14.48.46.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rot="16200000">
                      <a:off x="0" y="0"/>
                      <a:ext cx="8343900" cy="459867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u w:val="single"/>
        </w:rPr>
        <w:br w:type="page"/>
      </w:r>
    </w:p>
    <w:p w14:paraId="332BAA22" w14:textId="4AD451DB" w:rsidR="002D175E" w:rsidRPr="002D175E" w:rsidRDefault="00C27EDE" w:rsidP="006A36EF">
      <w:pPr>
        <w:pStyle w:val="Title"/>
        <w:rPr>
          <w:color w:val="auto"/>
        </w:rPr>
      </w:pPr>
      <w:r w:rsidRPr="006A36EF">
        <w:rPr>
          <w:color w:val="auto"/>
        </w:rPr>
        <w:t>Appendix 8</w:t>
      </w:r>
    </w:p>
    <w:p w14:paraId="59C2B3CF" w14:textId="66CC3E89" w:rsidR="002D175E" w:rsidRDefault="00EE4C29">
      <w:pPr>
        <w:rPr>
          <w:rFonts w:asciiTheme="majorHAnsi" w:eastAsiaTheme="majorEastAsia" w:hAnsiTheme="majorHAnsi" w:cstheme="majorBidi"/>
          <w:noProof/>
          <w:color w:val="17365D" w:themeColor="text2" w:themeShade="BF"/>
          <w:spacing w:val="5"/>
          <w:kern w:val="28"/>
          <w:sz w:val="52"/>
          <w:szCs w:val="52"/>
          <w:lang w:val="en-US"/>
        </w:rPr>
      </w:pPr>
      <w:r>
        <w:rPr>
          <w:noProof/>
          <w:lang w:val="en-US"/>
        </w:rPr>
        <mc:AlternateContent>
          <mc:Choice Requires="wps">
            <w:drawing>
              <wp:anchor distT="0" distB="0" distL="114300" distR="114300" simplePos="0" relativeHeight="252176384" behindDoc="0" locked="0" layoutInCell="1" allowOverlap="1" wp14:anchorId="4487EF40" wp14:editId="6FA11B7D">
                <wp:simplePos x="0" y="0"/>
                <wp:positionH relativeFrom="column">
                  <wp:posOffset>4343400</wp:posOffset>
                </wp:positionH>
                <wp:positionV relativeFrom="paragraph">
                  <wp:posOffset>828675</wp:posOffset>
                </wp:positionV>
                <wp:extent cx="1257300" cy="6629400"/>
                <wp:effectExtent l="0" t="0" r="0" b="0"/>
                <wp:wrapSquare wrapText="bothSides"/>
                <wp:docPr id="155" name="Text Box 155"/>
                <wp:cNvGraphicFramePr/>
                <a:graphic xmlns:a="http://schemas.openxmlformats.org/drawingml/2006/main">
                  <a:graphicData uri="http://schemas.microsoft.com/office/word/2010/wordprocessingShape">
                    <wps:wsp>
                      <wps:cNvSpPr txBox="1"/>
                      <wps:spPr>
                        <a:xfrm rot="10800000">
                          <a:off x="0" y="0"/>
                          <a:ext cx="1257300" cy="6629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832EE8" w14:textId="77777777" w:rsidR="00E82D3B" w:rsidRPr="00EE4C29" w:rsidRDefault="00E82D3B" w:rsidP="00EE4C29">
                            <w:pPr>
                              <w:jc w:val="both"/>
                              <w:rPr>
                                <w:sz w:val="22"/>
                              </w:rPr>
                            </w:pPr>
                            <w:proofErr w:type="gramStart"/>
                            <w:r w:rsidRPr="00EE4C29">
                              <w:rPr>
                                <w:b/>
                                <w:bCs/>
                                <w:i/>
                                <w:iCs/>
                                <w:sz w:val="22"/>
                              </w:rPr>
                              <w:t>Appendix Figure 8.</w:t>
                            </w:r>
                            <w:proofErr w:type="gramEnd"/>
                            <w:r w:rsidRPr="00EE4C29">
                              <w:rPr>
                                <w:b/>
                                <w:bCs/>
                                <w:i/>
                                <w:iCs/>
                                <w:sz w:val="22"/>
                              </w:rPr>
                              <w:t xml:space="preserve"> Fold changes can be mapped to areas of the chromosomes.</w:t>
                            </w:r>
                          </w:p>
                          <w:p w14:paraId="32AB4DE7" w14:textId="77777777" w:rsidR="00E82D3B" w:rsidRPr="00EE4C29" w:rsidRDefault="00E82D3B" w:rsidP="00EE4C29">
                            <w:pPr>
                              <w:jc w:val="both"/>
                              <w:rPr>
                                <w:sz w:val="22"/>
                              </w:rPr>
                            </w:pPr>
                            <w:r w:rsidRPr="00EE4C29">
                              <w:rPr>
                                <w:i/>
                                <w:iCs/>
                                <w:sz w:val="22"/>
                              </w:rPr>
                              <w:t>The fold changes shown in the dot plots of Figure 6.4a and Figure 6.7a are also mapped to where they correlate to on the chromosomes, with the red indicating positive fold changes and green indicating negative fold changes. Again it is clear to see that the control vs YFP SRCAP data has less fold changes than the control vs. si6 data, with the changes well spread out over the chromosomes.</w:t>
                            </w:r>
                          </w:p>
                          <w:p w14:paraId="70D865AA" w14:textId="77777777" w:rsidR="00E82D3B" w:rsidRPr="00EE4C29" w:rsidRDefault="00E82D3B" w:rsidP="00EE4C29">
                            <w:r w:rsidRPr="00EE4C29">
                              <w:t> </w:t>
                            </w:r>
                          </w:p>
                          <w:p w14:paraId="43F9C335" w14:textId="77777777" w:rsidR="00E82D3B" w:rsidRDefault="00E82D3B"/>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219" type="#_x0000_t202" style="position:absolute;margin-left:342pt;margin-top:65.25pt;width:99pt;height:522pt;rotation:180;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" filled="f" stroked="f">
                <v:textbox style="layout-flow:vertical-ideographic">
                  <w:txbxContent>
                    <w:p w14:paraId="3B832EE8" w14:textId="77777777" w:rsidR="000A1E0D" w:rsidRPr="00EE4C29" w:rsidRDefault="000A1E0D" w:rsidP="00EE4C29">
                      <w:pPr>
                        <w:jc w:val="both"/>
                        <w:rPr>
                          <w:sz w:val="22"/>
                        </w:rPr>
                      </w:pPr>
                      <w:proofErr w:type="gramStart"/>
                      <w:r w:rsidRPr="00EE4C29">
                        <w:rPr>
                          <w:b/>
                          <w:bCs/>
                          <w:i/>
                          <w:iCs/>
                          <w:sz w:val="22"/>
                        </w:rPr>
                        <w:t>Appendix Figure 8.</w:t>
                      </w:r>
                      <w:proofErr w:type="gramEnd"/>
                      <w:r w:rsidRPr="00EE4C29">
                        <w:rPr>
                          <w:b/>
                          <w:bCs/>
                          <w:i/>
                          <w:iCs/>
                          <w:sz w:val="22"/>
                        </w:rPr>
                        <w:t xml:space="preserve"> Fold changes can be mapped to areas of the chromosomes.</w:t>
                      </w:r>
                    </w:p>
                    <w:p w14:paraId="32AB4DE7" w14:textId="77777777" w:rsidR="000A1E0D" w:rsidRPr="00EE4C29" w:rsidRDefault="000A1E0D" w:rsidP="00EE4C29">
                      <w:pPr>
                        <w:jc w:val="both"/>
                        <w:rPr>
                          <w:sz w:val="22"/>
                        </w:rPr>
                      </w:pPr>
                      <w:r w:rsidRPr="00EE4C29">
                        <w:rPr>
                          <w:i/>
                          <w:iCs/>
                          <w:sz w:val="22"/>
                        </w:rPr>
                        <w:t>The fold changes shown in the dot plots of Figure 6.4a and Figure 6.7a are also mapped to where they correlate to on the chromosomes, with the red indicating positive fold changes and green indicating negative fold changes. Again it is clear to see that the control vs YFP SRCAP data has less fold changes than the control vs. si6 data, with the changes well spread out over the chromosomes.</w:t>
                      </w:r>
                    </w:p>
                    <w:p w14:paraId="70D865AA" w14:textId="77777777" w:rsidR="000A1E0D" w:rsidRPr="00EE4C29" w:rsidRDefault="000A1E0D" w:rsidP="00EE4C29">
                      <w:r w:rsidRPr="00EE4C29">
                        <w:t> </w:t>
                      </w:r>
                    </w:p>
                    <w:p w14:paraId="43F9C335" w14:textId="77777777" w:rsidR="000A1E0D" w:rsidRDefault="000A1E0D"/>
                  </w:txbxContent>
                </v:textbox>
                <w10:wrap type="square"/>
              </v:shape>
            </w:pict>
          </mc:Fallback>
        </mc:AlternateContent>
      </w:r>
      <w:r>
        <w:rPr>
          <w:noProof/>
          <w:lang w:val="en-US"/>
        </w:rPr>
        <mc:AlternateContent>
          <mc:Choice Requires="wps">
            <w:drawing>
              <wp:anchor distT="0" distB="0" distL="114300" distR="114300" simplePos="0" relativeHeight="252175360" behindDoc="0" locked="0" layoutInCell="1" allowOverlap="1" wp14:anchorId="180F95E3" wp14:editId="42F5C894">
                <wp:simplePos x="0" y="0"/>
                <wp:positionH relativeFrom="column">
                  <wp:posOffset>-514350</wp:posOffset>
                </wp:positionH>
                <wp:positionV relativeFrom="paragraph">
                  <wp:posOffset>2085975</wp:posOffset>
                </wp:positionV>
                <wp:extent cx="2171700" cy="685800"/>
                <wp:effectExtent l="6350" t="0" r="0" b="0"/>
                <wp:wrapSquare wrapText="bothSides"/>
                <wp:docPr id="153" name="Text Box 153"/>
                <wp:cNvGraphicFramePr/>
                <a:graphic xmlns:a="http://schemas.openxmlformats.org/drawingml/2006/main">
                  <a:graphicData uri="http://schemas.microsoft.com/office/word/2010/wordprocessingShape">
                    <wps:wsp>
                      <wps:cNvSpPr txBox="1"/>
                      <wps:spPr>
                        <a:xfrm rot="16200000">
                          <a:off x="0" y="0"/>
                          <a:ext cx="21717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A0C371" w14:textId="292BA49D" w:rsidR="00E82D3B" w:rsidRPr="002D175E" w:rsidRDefault="00E82D3B" w:rsidP="00EE4C29">
                            <w:pPr>
                              <w:rPr>
                                <w:rFonts w:asciiTheme="majorHAnsi" w:hAnsiTheme="majorHAnsi"/>
                                <w:b/>
                                <w:sz w:val="28"/>
                              </w:rPr>
                            </w:pPr>
                            <w:r w:rsidRPr="002D175E">
                              <w:rPr>
                                <w:rFonts w:asciiTheme="majorHAnsi" w:hAnsiTheme="majorHAnsi"/>
                                <w:b/>
                                <w:sz w:val="28"/>
                              </w:rPr>
                              <w:t>C</w:t>
                            </w:r>
                            <w:r>
                              <w:rPr>
                                <w:rFonts w:asciiTheme="majorHAnsi" w:hAnsiTheme="majorHAnsi"/>
                                <w:b/>
                                <w:sz w:val="28"/>
                              </w:rPr>
                              <w:t>ontrol vs YFP SRCAP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3" o:spid="_x0000_s1220" type="#_x0000_t202" style="position:absolute;margin-left:-40.45pt;margin-top:164.25pt;width:171pt;height:54pt;rotation:-90;z-index:25217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" filled="f" stroked="f">
                <v:textbox>
                  <w:txbxContent>
                    <w:p w14:paraId="62A0C371" w14:textId="292BA49D" w:rsidR="000A1E0D" w:rsidRPr="002D175E" w:rsidRDefault="000A1E0D" w:rsidP="00EE4C29">
                      <w:pPr>
                        <w:rPr>
                          <w:rFonts w:asciiTheme="majorHAnsi" w:hAnsiTheme="majorHAnsi"/>
                          <w:b/>
                          <w:sz w:val="28"/>
                        </w:rPr>
                      </w:pPr>
                      <w:r w:rsidRPr="002D175E">
                        <w:rPr>
                          <w:rFonts w:asciiTheme="majorHAnsi" w:hAnsiTheme="majorHAnsi"/>
                          <w:b/>
                          <w:sz w:val="28"/>
                        </w:rPr>
                        <w:t>C</w:t>
                      </w:r>
                      <w:r>
                        <w:rPr>
                          <w:rFonts w:asciiTheme="majorHAnsi" w:hAnsiTheme="majorHAnsi"/>
                          <w:b/>
                          <w:sz w:val="28"/>
                        </w:rPr>
                        <w:t>ontrol vs YFP SRCAP</w:t>
                      </w:r>
                    </w:p>
                  </w:txbxContent>
                </v:textbox>
                <w10:wrap type="square"/>
              </v:shape>
            </w:pict>
          </mc:Fallback>
        </mc:AlternateContent>
      </w:r>
      <w:r>
        <w:rPr>
          <w:noProof/>
          <w:lang w:val="en-US"/>
        </w:rPr>
        <mc:AlternateContent>
          <mc:Choice Requires="wps">
            <w:drawing>
              <wp:anchor distT="0" distB="0" distL="114300" distR="114300" simplePos="0" relativeHeight="252172288" behindDoc="0" locked="0" layoutInCell="1" allowOverlap="1" wp14:anchorId="0FFDAF5E" wp14:editId="3C264A62">
                <wp:simplePos x="0" y="0"/>
                <wp:positionH relativeFrom="column">
                  <wp:posOffset>-228600</wp:posOffset>
                </wp:positionH>
                <wp:positionV relativeFrom="paragraph">
                  <wp:posOffset>6086475</wp:posOffset>
                </wp:positionV>
                <wp:extent cx="1600200" cy="685800"/>
                <wp:effectExtent l="0" t="0" r="0" b="0"/>
                <wp:wrapSquare wrapText="bothSides"/>
                <wp:docPr id="149" name="Text Box 149"/>
                <wp:cNvGraphicFramePr/>
                <a:graphic xmlns:a="http://schemas.openxmlformats.org/drawingml/2006/main">
                  <a:graphicData uri="http://schemas.microsoft.com/office/word/2010/wordprocessingShape">
                    <wps:wsp>
                      <wps:cNvSpPr txBox="1"/>
                      <wps:spPr>
                        <a:xfrm rot="16200000">
                          <a:off x="0" y="0"/>
                          <a:ext cx="16002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03B7F8" w14:textId="40F723CF" w:rsidR="00E82D3B" w:rsidRPr="002D175E" w:rsidRDefault="00E82D3B">
                            <w:pPr>
                              <w:rPr>
                                <w:rFonts w:asciiTheme="majorHAnsi" w:hAnsiTheme="majorHAnsi"/>
                                <w:b/>
                                <w:sz w:val="28"/>
                              </w:rPr>
                            </w:pPr>
                            <w:r w:rsidRPr="002D175E">
                              <w:rPr>
                                <w:rFonts w:asciiTheme="majorHAnsi" w:hAnsiTheme="majorHAnsi"/>
                                <w:b/>
                                <w:sz w:val="28"/>
                              </w:rPr>
                              <w:t>Control vs si6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9" o:spid="_x0000_s1221" type="#_x0000_t202" style="position:absolute;margin-left:-17.95pt;margin-top:479.25pt;width:126pt;height:54pt;rotation:-90;z-index:25217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" filled="f" stroked="f">
                <v:textbox>
                  <w:txbxContent>
                    <w:p w14:paraId="2703B7F8" w14:textId="40F723CF" w:rsidR="000A1E0D" w:rsidRPr="002D175E" w:rsidRDefault="000A1E0D">
                      <w:pPr>
                        <w:rPr>
                          <w:rFonts w:asciiTheme="majorHAnsi" w:hAnsiTheme="majorHAnsi"/>
                          <w:b/>
                          <w:sz w:val="28"/>
                        </w:rPr>
                      </w:pPr>
                      <w:r w:rsidRPr="002D175E">
                        <w:rPr>
                          <w:rFonts w:asciiTheme="majorHAnsi" w:hAnsiTheme="majorHAnsi"/>
                          <w:b/>
                          <w:sz w:val="28"/>
                        </w:rPr>
                        <w:t>Control vs si6</w:t>
                      </w:r>
                    </w:p>
                  </w:txbxContent>
                </v:textbox>
                <w10:wrap type="square"/>
              </v:shape>
            </w:pict>
          </mc:Fallback>
        </mc:AlternateContent>
      </w:r>
      <w:r w:rsidRPr="002D175E">
        <w:rPr>
          <w:noProof/>
          <w:lang w:val="en-US"/>
        </w:rPr>
        <w:drawing>
          <wp:anchor distT="0" distB="0" distL="114300" distR="114300" simplePos="0" relativeHeight="252171264" behindDoc="0" locked="0" layoutInCell="1" allowOverlap="1" wp14:anchorId="6C67B9F0" wp14:editId="175F845B">
            <wp:simplePos x="0" y="0"/>
            <wp:positionH relativeFrom="column">
              <wp:posOffset>556895</wp:posOffset>
            </wp:positionH>
            <wp:positionV relativeFrom="paragraph">
              <wp:posOffset>3584575</wp:posOffset>
            </wp:positionV>
            <wp:extent cx="3658235" cy="3859530"/>
            <wp:effectExtent l="953" t="0" r="317" b="318"/>
            <wp:wrapSquare wrapText="bothSides"/>
            <wp:docPr id="278" name="Picture 3" descr="control vs si6 chromosome sum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ontrol vs si6 chromosome summary.png"/>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rot="16200000">
                      <a:off x="0" y="0"/>
                      <a:ext cx="3658235" cy="3859530"/>
                    </a:xfrm>
                    <a:prstGeom prst="rect">
                      <a:avLst/>
                    </a:prstGeom>
                  </pic:spPr>
                </pic:pic>
              </a:graphicData>
            </a:graphic>
            <wp14:sizeRelH relativeFrom="page">
              <wp14:pctWidth>0</wp14:pctWidth>
            </wp14:sizeRelH>
            <wp14:sizeRelV relativeFrom="page">
              <wp14:pctHeight>0</wp14:pctHeight>
            </wp14:sizeRelV>
          </wp:anchor>
        </w:drawing>
      </w:r>
      <w:r w:rsidRPr="00EE4C29">
        <w:rPr>
          <w:noProof/>
          <w:lang w:val="en-US"/>
        </w:rPr>
        <w:drawing>
          <wp:anchor distT="0" distB="0" distL="114300" distR="114300" simplePos="0" relativeHeight="252173312" behindDoc="0" locked="0" layoutInCell="1" allowOverlap="1" wp14:anchorId="255FA681" wp14:editId="5C802C09">
            <wp:simplePos x="0" y="0"/>
            <wp:positionH relativeFrom="column">
              <wp:posOffset>552450</wp:posOffset>
            </wp:positionH>
            <wp:positionV relativeFrom="paragraph">
              <wp:posOffset>47625</wp:posOffset>
            </wp:positionV>
            <wp:extent cx="3467100" cy="3657600"/>
            <wp:effectExtent l="6350" t="0" r="0" b="0"/>
            <wp:wrapSquare wrapText="bothSides"/>
            <wp:docPr id="152" name="Picture 3" descr="control vs YFP SRCAP chromos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ontrol vs YFP SRCAP chromosome.png"/>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rot="16200000">
                      <a:off x="0" y="0"/>
                      <a:ext cx="3467100" cy="3657600"/>
                    </a:xfrm>
                    <a:prstGeom prst="rect">
                      <a:avLst/>
                    </a:prstGeom>
                  </pic:spPr>
                </pic:pic>
              </a:graphicData>
            </a:graphic>
            <wp14:sizeRelH relativeFrom="page">
              <wp14:pctWidth>0</wp14:pctWidth>
            </wp14:sizeRelH>
            <wp14:sizeRelV relativeFrom="page">
              <wp14:pctHeight>0</wp14:pctHeight>
            </wp14:sizeRelV>
          </wp:anchor>
        </w:drawing>
      </w:r>
      <w:r w:rsidR="002D175E">
        <w:rPr>
          <w:noProof/>
          <w:lang w:val="en-US"/>
        </w:rPr>
        <w:br w:type="page"/>
      </w:r>
    </w:p>
    <w:p w14:paraId="6035B7EE" w14:textId="2D2AB085" w:rsidR="00C27EDE" w:rsidRPr="006A36EF" w:rsidRDefault="00C27EDE" w:rsidP="006A36EF">
      <w:pPr>
        <w:pStyle w:val="Title"/>
        <w:rPr>
          <w:noProof/>
          <w:color w:val="auto"/>
          <w:lang w:val="en-US"/>
        </w:rPr>
      </w:pPr>
      <w:r w:rsidRPr="006A36EF">
        <w:rPr>
          <w:color w:val="auto"/>
        </w:rPr>
        <w:t>Appendix 9</w:t>
      </w:r>
    </w:p>
    <w:p w14:paraId="07DE07C5" w14:textId="29FF6361" w:rsidR="00C27EDE" w:rsidRDefault="00C27EDE" w:rsidP="00C27EDE">
      <w:pPr>
        <w:spacing w:line="360" w:lineRule="auto"/>
        <w:jc w:val="both"/>
        <w:rPr>
          <w:rFonts w:asciiTheme="majorHAnsi" w:hAnsiTheme="majorHAnsi"/>
          <w:sz w:val="28"/>
          <w:u w:val="single"/>
        </w:rPr>
      </w:pPr>
    </w:p>
    <w:tbl>
      <w:tblPr>
        <w:tblW w:w="3276" w:type="dxa"/>
        <w:tblInd w:w="93" w:type="dxa"/>
        <w:tblLayout w:type="fixed"/>
        <w:tblLook w:val="04A0" w:firstRow="1" w:lastRow="0" w:firstColumn="1" w:lastColumn="0" w:noHBand="0" w:noVBand="1"/>
      </w:tblPr>
      <w:tblGrid>
        <w:gridCol w:w="1149"/>
        <w:gridCol w:w="476"/>
        <w:gridCol w:w="375"/>
        <w:gridCol w:w="306"/>
        <w:gridCol w:w="261"/>
        <w:gridCol w:w="239"/>
        <w:gridCol w:w="470"/>
      </w:tblGrid>
      <w:tr w:rsidR="00C27EDE" w:rsidRPr="00AE1EAB" w14:paraId="12643781" w14:textId="77777777" w:rsidTr="00A17F81">
        <w:trPr>
          <w:trHeight w:val="191"/>
        </w:trPr>
        <w:tc>
          <w:tcPr>
            <w:tcW w:w="1149"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6BDCD007" w14:textId="77777777" w:rsidR="00C27EDE" w:rsidRPr="00AE1EAB" w:rsidRDefault="00C27EDE" w:rsidP="005A571B">
            <w:pPr>
              <w:rPr>
                <w:rFonts w:ascii="Calibri" w:eastAsia="Times New Roman" w:hAnsi="Calibri" w:cs="Times New Roman"/>
                <w:color w:val="FFFFFF"/>
                <w:sz w:val="16"/>
              </w:rPr>
            </w:pPr>
            <w:r w:rsidRPr="00AE1EAB">
              <w:rPr>
                <w:rFonts w:ascii="Calibri" w:eastAsia="Times New Roman" w:hAnsi="Calibri" w:cs="Times New Roman"/>
                <w:color w:val="FFFFFF"/>
                <w:sz w:val="16"/>
              </w:rPr>
              <w:t>Gene</w:t>
            </w:r>
          </w:p>
        </w:tc>
        <w:tc>
          <w:tcPr>
            <w:tcW w:w="851" w:type="dxa"/>
            <w:gridSpan w:val="2"/>
            <w:tcBorders>
              <w:top w:val="single" w:sz="4" w:space="0" w:color="auto"/>
              <w:left w:val="nil"/>
              <w:bottom w:val="single" w:sz="4" w:space="0" w:color="auto"/>
              <w:right w:val="single" w:sz="4" w:space="0" w:color="auto"/>
            </w:tcBorders>
            <w:shd w:val="clear" w:color="000000" w:fill="000000"/>
            <w:noWrap/>
            <w:vAlign w:val="bottom"/>
            <w:hideMark/>
          </w:tcPr>
          <w:p w14:paraId="112596FB" w14:textId="77777777" w:rsidR="00C27EDE" w:rsidRPr="00AE1EAB" w:rsidRDefault="00C27EDE" w:rsidP="005A571B">
            <w:pPr>
              <w:jc w:val="right"/>
              <w:rPr>
                <w:rFonts w:ascii="Calibri" w:eastAsia="Times New Roman" w:hAnsi="Calibri" w:cs="Times New Roman"/>
                <w:color w:val="FFFFFF"/>
                <w:sz w:val="16"/>
              </w:rPr>
            </w:pPr>
            <w:r w:rsidRPr="00AE1EAB">
              <w:rPr>
                <w:rFonts w:ascii="Calibri" w:eastAsia="Times New Roman" w:hAnsi="Calibri" w:cs="Times New Roman"/>
                <w:color w:val="FFFFFF"/>
                <w:sz w:val="16"/>
              </w:rPr>
              <w:t>1</w:t>
            </w:r>
          </w:p>
        </w:tc>
        <w:tc>
          <w:tcPr>
            <w:tcW w:w="567" w:type="dxa"/>
            <w:gridSpan w:val="2"/>
            <w:tcBorders>
              <w:top w:val="single" w:sz="4" w:space="0" w:color="auto"/>
              <w:left w:val="nil"/>
              <w:bottom w:val="single" w:sz="4" w:space="0" w:color="auto"/>
              <w:right w:val="single" w:sz="4" w:space="0" w:color="auto"/>
            </w:tcBorders>
            <w:shd w:val="clear" w:color="000000" w:fill="000000"/>
            <w:noWrap/>
            <w:vAlign w:val="bottom"/>
            <w:hideMark/>
          </w:tcPr>
          <w:p w14:paraId="6A1DC72A" w14:textId="77777777" w:rsidR="00C27EDE" w:rsidRPr="00AE1EAB" w:rsidRDefault="00C27EDE" w:rsidP="005A571B">
            <w:pPr>
              <w:jc w:val="right"/>
              <w:rPr>
                <w:rFonts w:ascii="Calibri" w:eastAsia="Times New Roman" w:hAnsi="Calibri" w:cs="Times New Roman"/>
                <w:color w:val="FFFFFF"/>
                <w:sz w:val="16"/>
              </w:rPr>
            </w:pPr>
            <w:r w:rsidRPr="00AE1EAB">
              <w:rPr>
                <w:rFonts w:ascii="Calibri" w:eastAsia="Times New Roman" w:hAnsi="Calibri" w:cs="Times New Roman"/>
                <w:color w:val="FFFFFF"/>
                <w:sz w:val="16"/>
              </w:rPr>
              <w:t>2</w:t>
            </w:r>
          </w:p>
        </w:tc>
        <w:tc>
          <w:tcPr>
            <w:tcW w:w="709" w:type="dxa"/>
            <w:gridSpan w:val="2"/>
            <w:tcBorders>
              <w:top w:val="single" w:sz="4" w:space="0" w:color="auto"/>
              <w:left w:val="nil"/>
              <w:bottom w:val="single" w:sz="4" w:space="0" w:color="auto"/>
              <w:right w:val="single" w:sz="4" w:space="0" w:color="auto"/>
            </w:tcBorders>
            <w:shd w:val="clear" w:color="000000" w:fill="000000"/>
            <w:noWrap/>
            <w:vAlign w:val="bottom"/>
            <w:hideMark/>
          </w:tcPr>
          <w:p w14:paraId="136E8801" w14:textId="77777777" w:rsidR="00C27EDE" w:rsidRPr="00AE1EAB" w:rsidRDefault="00C27EDE" w:rsidP="005A571B">
            <w:pPr>
              <w:jc w:val="right"/>
              <w:rPr>
                <w:rFonts w:ascii="Calibri" w:eastAsia="Times New Roman" w:hAnsi="Calibri" w:cs="Times New Roman"/>
                <w:color w:val="FFFFFF"/>
                <w:sz w:val="16"/>
              </w:rPr>
            </w:pPr>
            <w:r w:rsidRPr="00AE1EAB">
              <w:rPr>
                <w:rFonts w:ascii="Calibri" w:eastAsia="Times New Roman" w:hAnsi="Calibri" w:cs="Times New Roman"/>
                <w:color w:val="FFFFFF"/>
                <w:sz w:val="16"/>
              </w:rPr>
              <w:t>3</w:t>
            </w:r>
          </w:p>
        </w:tc>
      </w:tr>
      <w:tr w:rsidR="00C27EDE" w:rsidRPr="00AE1EAB" w14:paraId="5488BBF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9B1F8A0"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ACLY</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B9BE4C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6A440D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657774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2.62</w:t>
            </w:r>
          </w:p>
        </w:tc>
      </w:tr>
      <w:tr w:rsidR="00C27EDE" w:rsidRPr="00AE1EAB" w14:paraId="393B662C"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C9F90E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AHCYL1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087B5A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150B48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02AE90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2.44</w:t>
            </w:r>
          </w:p>
        </w:tc>
      </w:tr>
      <w:tr w:rsidR="00C27EDE" w:rsidRPr="00AE1EAB" w14:paraId="4A92F4E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6CB86B8"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ANAPC13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8FC076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3.71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7B5BE7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4.15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259656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3.93</w:t>
            </w:r>
          </w:p>
        </w:tc>
      </w:tr>
      <w:tr w:rsidR="00C27EDE" w:rsidRPr="00AE1EAB" w14:paraId="0121FAB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2CA4AB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ARHGEF2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5A2021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335EBA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69DDC8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2.22</w:t>
            </w:r>
          </w:p>
        </w:tc>
      </w:tr>
      <w:tr w:rsidR="00C27EDE" w:rsidRPr="00AE1EAB" w14:paraId="4C8FCE1F"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F9CFA62"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ARNTL2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43E2D4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05C2AE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AE6351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2.64</w:t>
            </w:r>
          </w:p>
        </w:tc>
      </w:tr>
      <w:tr w:rsidR="00C27EDE" w:rsidRPr="00AE1EAB" w14:paraId="5EBF7A81"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3E348BD"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ASNS</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16A4D7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3.32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62A505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05883A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3.75</w:t>
            </w:r>
          </w:p>
        </w:tc>
      </w:tr>
      <w:tr w:rsidR="00C27EDE" w:rsidRPr="00AE1EAB" w14:paraId="243A157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2CB82B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BIN1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462F5F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382907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2EE1F7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2.17</w:t>
            </w:r>
          </w:p>
        </w:tc>
      </w:tr>
      <w:tr w:rsidR="00C27EDE" w:rsidRPr="00AE1EAB" w14:paraId="0B8DA383"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355312B"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BIRC2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64C236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1F6E5A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7D5438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2.29</w:t>
            </w:r>
          </w:p>
        </w:tc>
      </w:tr>
      <w:tr w:rsidR="00C27EDE" w:rsidRPr="00AE1EAB" w14:paraId="188AC51F"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3C694E8"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BLOC1S5</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44B6A9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C44E25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4.08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9AB37D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2.16</w:t>
            </w:r>
          </w:p>
        </w:tc>
      </w:tr>
      <w:tr w:rsidR="00C27EDE" w:rsidRPr="00AE1EAB" w14:paraId="5B061113"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EB8F3B5"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BRCA1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86A182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92C9EB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3.89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FD21F4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2.72</w:t>
            </w:r>
          </w:p>
        </w:tc>
      </w:tr>
      <w:tr w:rsidR="00C27EDE" w:rsidRPr="00AE1EAB" w14:paraId="0840E932"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2C9E78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BRCC3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6C4403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4.75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1E183B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3859F6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4.74</w:t>
            </w:r>
          </w:p>
        </w:tc>
      </w:tr>
      <w:tr w:rsidR="00C27EDE" w:rsidRPr="00AE1EAB" w14:paraId="027E75F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D3ECE2C"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CALR</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D7851D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2.89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BE969F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49425E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2.34</w:t>
            </w:r>
          </w:p>
        </w:tc>
      </w:tr>
      <w:tr w:rsidR="00C27EDE" w:rsidRPr="00AE1EAB" w14:paraId="501C976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8807247"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CCDC34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2ACD6B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BB577C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8.35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BC0021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13.89</w:t>
            </w:r>
          </w:p>
        </w:tc>
      </w:tr>
      <w:tr w:rsidR="00C27EDE" w:rsidRPr="00AE1EAB" w14:paraId="5683B29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3E81D1B"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CCDC59</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AB18FD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8E80ED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98DF88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3.05</w:t>
            </w:r>
          </w:p>
        </w:tc>
      </w:tr>
      <w:tr w:rsidR="00C27EDE" w:rsidRPr="00AE1EAB" w14:paraId="6501CA4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5677EE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CDT1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E7C76A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7DFCAF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F7B373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2.98</w:t>
            </w:r>
          </w:p>
        </w:tc>
      </w:tr>
      <w:tr w:rsidR="00C27EDE" w:rsidRPr="00AE1EAB" w14:paraId="46C9735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0BA513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CENPM</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6CAD77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EB8CF5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2F61D2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2.99</w:t>
            </w:r>
          </w:p>
        </w:tc>
      </w:tr>
      <w:tr w:rsidR="00C27EDE" w:rsidRPr="00AE1EAB" w14:paraId="76BD977F"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95B2C25"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CEP135</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9B9693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9068B1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B13EED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2.17</w:t>
            </w:r>
          </w:p>
        </w:tc>
      </w:tr>
      <w:tr w:rsidR="00C27EDE" w:rsidRPr="00AE1EAB" w14:paraId="16C2D84B"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269DFB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CEP290</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2B9589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B874C4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087047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2.27</w:t>
            </w:r>
          </w:p>
        </w:tc>
      </w:tr>
      <w:tr w:rsidR="00C27EDE" w:rsidRPr="00AE1EAB" w14:paraId="6757D00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BF07C47"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CHM</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3DC911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FB8509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CF8942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2.71</w:t>
            </w:r>
          </w:p>
        </w:tc>
      </w:tr>
      <w:tr w:rsidR="00C27EDE" w:rsidRPr="00AE1EAB" w14:paraId="4B79C717"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ED4FADB"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CHTF8</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BA87AA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975288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EA0020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2.34</w:t>
            </w:r>
          </w:p>
        </w:tc>
      </w:tr>
      <w:tr w:rsidR="00C27EDE" w:rsidRPr="00AE1EAB" w14:paraId="09D87B0F"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9D79852"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CHUK</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EFB48E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928617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D30F29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4.36</w:t>
            </w:r>
          </w:p>
        </w:tc>
      </w:tr>
      <w:tr w:rsidR="00C27EDE" w:rsidRPr="00AE1EAB" w14:paraId="7BF461D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0F5920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CLU</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7F06E2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DBFF82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89F225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2.06</w:t>
            </w:r>
          </w:p>
        </w:tc>
      </w:tr>
      <w:tr w:rsidR="00C27EDE" w:rsidRPr="00AE1EAB" w14:paraId="067DD8F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959EB23"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CRTAP</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99E97E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4371C6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148F22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w:t>
            </w:r>
          </w:p>
        </w:tc>
      </w:tr>
      <w:tr w:rsidR="00C27EDE" w:rsidRPr="00AE1EAB" w14:paraId="3EB58D6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4F97B0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DBNL</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1F1D30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2.87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53A57D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A489CD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2.74</w:t>
            </w:r>
          </w:p>
        </w:tc>
      </w:tr>
      <w:tr w:rsidR="00C27EDE" w:rsidRPr="00AE1EAB" w14:paraId="2CBD2AAC"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5FE1263"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DCLRE1A</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F1450B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969FDF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23F982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2.92</w:t>
            </w:r>
          </w:p>
        </w:tc>
      </w:tr>
      <w:tr w:rsidR="00C27EDE" w:rsidRPr="00AE1EAB" w14:paraId="24319D1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01AD0C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DHFR</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FC8BA1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297BCA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22C2FC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2.37</w:t>
            </w:r>
          </w:p>
        </w:tc>
      </w:tr>
      <w:tr w:rsidR="00C27EDE" w:rsidRPr="00AE1EAB" w14:paraId="14290F5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E6547D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DLG1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E80CE1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E6EB51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826662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2.46</w:t>
            </w:r>
          </w:p>
        </w:tc>
      </w:tr>
      <w:tr w:rsidR="00C27EDE" w:rsidRPr="00AE1EAB" w14:paraId="5673E97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63DCF5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DNAJA3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C486E4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3.93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1BACD8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3.61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66B1E3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4.81</w:t>
            </w:r>
          </w:p>
        </w:tc>
      </w:tr>
      <w:tr w:rsidR="00C27EDE" w:rsidRPr="00AE1EAB" w14:paraId="1F3F1D2D"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7D07C3B"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E2F2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43AC2E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3.38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D538E6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98ADCA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2.76</w:t>
            </w:r>
          </w:p>
        </w:tc>
      </w:tr>
      <w:tr w:rsidR="00C27EDE" w:rsidRPr="00AE1EAB" w14:paraId="613C304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34F1785"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EFCAB14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C4630C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4.23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BCAAFA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9C1F76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3.27</w:t>
            </w:r>
          </w:p>
        </w:tc>
      </w:tr>
      <w:tr w:rsidR="00C27EDE" w:rsidRPr="00AE1EAB" w14:paraId="46C3FFC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D153783"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ELK3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1FF720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4.27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FC5934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5.77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9AF57B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5.83</w:t>
            </w:r>
          </w:p>
        </w:tc>
      </w:tr>
      <w:tr w:rsidR="00C27EDE" w:rsidRPr="00AE1EAB" w14:paraId="2C76198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8389DBB"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ESAM</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F07F55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3.56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F5CAFE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1D3FBF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2.04</w:t>
            </w:r>
          </w:p>
        </w:tc>
      </w:tr>
      <w:tr w:rsidR="00C27EDE" w:rsidRPr="00AE1EAB" w14:paraId="423806FC"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9BE5856"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ESYT1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64FC49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3.98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D35BD8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1B4DAB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3.36</w:t>
            </w:r>
          </w:p>
        </w:tc>
      </w:tr>
      <w:tr w:rsidR="00C27EDE" w:rsidRPr="00AE1EAB" w14:paraId="5C8DDA1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A70BD4C"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FAM111B</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21AFEF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0B3914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3DA662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3.28</w:t>
            </w:r>
          </w:p>
        </w:tc>
      </w:tr>
      <w:tr w:rsidR="00C27EDE" w:rsidRPr="00AE1EAB" w14:paraId="13F7224D"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8F43165"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FAM129A</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B17BA6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3.67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856923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C33A2B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5.47</w:t>
            </w:r>
          </w:p>
        </w:tc>
      </w:tr>
      <w:tr w:rsidR="00C27EDE" w:rsidRPr="00AE1EAB" w14:paraId="26479E8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AEB9E58"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FAM96A</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C265C8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6B96B1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24EDB8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3.43</w:t>
            </w:r>
          </w:p>
        </w:tc>
      </w:tr>
      <w:tr w:rsidR="00C27EDE" w:rsidRPr="00AE1EAB" w14:paraId="6FC639D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499A9D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GATAD2A</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61667B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5.55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494B41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7CC9D9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3.26</w:t>
            </w:r>
          </w:p>
        </w:tc>
      </w:tr>
      <w:tr w:rsidR="00C27EDE" w:rsidRPr="00AE1EAB" w14:paraId="7BF8E70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2A4D4D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GPAM</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886857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BB9F62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824EF3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2.23</w:t>
            </w:r>
          </w:p>
        </w:tc>
      </w:tr>
      <w:tr w:rsidR="00C27EDE" w:rsidRPr="00AE1EAB" w14:paraId="1B48C4F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6C46C56"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GPATCH11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87CE2E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A19929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2192FB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w:t>
            </w:r>
          </w:p>
        </w:tc>
      </w:tr>
      <w:tr w:rsidR="00C27EDE" w:rsidRPr="00AE1EAB" w14:paraId="23349CB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1BA169F"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GRB10</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B02B42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1C5B5D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4.01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8DF225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3.76</w:t>
            </w:r>
          </w:p>
        </w:tc>
      </w:tr>
      <w:tr w:rsidR="00C27EDE" w:rsidRPr="00AE1EAB" w14:paraId="30ACA3F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46D45A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HADH</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F1575A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54F4FA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EB068A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2.59</w:t>
            </w:r>
          </w:p>
        </w:tc>
      </w:tr>
      <w:tr w:rsidR="00C27EDE" w:rsidRPr="00AE1EAB" w14:paraId="22F7876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A1B22E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HCFC1R1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E15FE0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4.78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CBE7EA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30C892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7.22</w:t>
            </w:r>
          </w:p>
        </w:tc>
      </w:tr>
      <w:tr w:rsidR="00C27EDE" w:rsidRPr="00AE1EAB" w14:paraId="24519EC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D11234D"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HIPK1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584080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533EFB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47F57A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2.11</w:t>
            </w:r>
          </w:p>
        </w:tc>
      </w:tr>
      <w:tr w:rsidR="00C27EDE" w:rsidRPr="00AE1EAB" w14:paraId="5BF9D20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A44B8E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HIST1H4A</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975EE0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C3A3FC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1AE04C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6.86</w:t>
            </w:r>
          </w:p>
        </w:tc>
      </w:tr>
      <w:tr w:rsidR="00C27EDE" w:rsidRPr="00AE1EAB" w14:paraId="7C6A17B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9FC50C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HIST2H3A</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FB3DF7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291F8F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5099A1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w:t>
            </w:r>
          </w:p>
        </w:tc>
      </w:tr>
      <w:tr w:rsidR="00C27EDE" w:rsidRPr="00AE1EAB" w14:paraId="4F6046F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D1C7E68"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HIST3H2BB</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92A14C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6.91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E6CDF1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4.85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1B6DD9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7.03</w:t>
            </w:r>
          </w:p>
        </w:tc>
      </w:tr>
      <w:tr w:rsidR="00C27EDE" w:rsidRPr="00AE1EAB" w14:paraId="5D90BCE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B8F72C2"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ICMT</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9324E1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9EA015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4.39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1419F7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3.04</w:t>
            </w:r>
          </w:p>
        </w:tc>
      </w:tr>
      <w:tr w:rsidR="00C27EDE" w:rsidRPr="00AE1EAB" w14:paraId="08C8878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4AAD33D"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ITPR3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8769A4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909B52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477F39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3.38</w:t>
            </w:r>
          </w:p>
        </w:tc>
      </w:tr>
      <w:tr w:rsidR="00C27EDE" w:rsidRPr="00AE1EAB" w14:paraId="50772F6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004FFB2"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JDP2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AD2107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7CEF6B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9DC38A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5.32</w:t>
            </w:r>
          </w:p>
        </w:tc>
      </w:tr>
      <w:tr w:rsidR="00C27EDE" w:rsidRPr="00AE1EAB" w14:paraId="72E0E613"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7621AC6"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JUND</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9A9D2A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6.99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304324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308C7A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2.39</w:t>
            </w:r>
          </w:p>
        </w:tc>
      </w:tr>
      <w:tr w:rsidR="00C27EDE" w:rsidRPr="00AE1EAB" w14:paraId="1DDA796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8E769E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KDELC2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0D5A3B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EF5BE0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487EEA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3.48</w:t>
            </w:r>
          </w:p>
        </w:tc>
      </w:tr>
      <w:tr w:rsidR="00C27EDE" w:rsidRPr="00AE1EAB" w14:paraId="50814273"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16FE88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KIF14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D38CF9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780F5C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9619AE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4.09</w:t>
            </w:r>
          </w:p>
        </w:tc>
      </w:tr>
      <w:tr w:rsidR="00C27EDE" w:rsidRPr="00AE1EAB" w14:paraId="39002B0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9DF132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KIFC1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DEE0BF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4.13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04EE6C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DF8B33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2.24</w:t>
            </w:r>
          </w:p>
        </w:tc>
      </w:tr>
      <w:tr w:rsidR="00C27EDE" w:rsidRPr="00AE1EAB" w14:paraId="16F62F0B"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67FBAE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KLF2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D3135E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3EEF6C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2.85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17D175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2.99</w:t>
            </w:r>
          </w:p>
        </w:tc>
      </w:tr>
      <w:tr w:rsidR="00C27EDE" w:rsidRPr="00AE1EAB" w14:paraId="3667B12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D776DD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LAMTOR2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9BCED4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3.32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FE87EE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559859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3.22</w:t>
            </w:r>
          </w:p>
        </w:tc>
      </w:tr>
      <w:tr w:rsidR="00C27EDE" w:rsidRPr="00AE1EAB" w14:paraId="543D845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302F157"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LIMS1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2F172D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3.85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3CF92F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D453CE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w:t>
            </w:r>
          </w:p>
        </w:tc>
      </w:tr>
      <w:tr w:rsidR="00C27EDE" w:rsidRPr="00AE1EAB" w14:paraId="500165A6"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709E593"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LRRCC1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1B9238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3.84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695A85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667324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6.95</w:t>
            </w:r>
          </w:p>
        </w:tc>
      </w:tr>
      <w:tr w:rsidR="00C27EDE" w:rsidRPr="00AE1EAB" w14:paraId="3034E8B7"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0A57B8D"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LYN</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781BFC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7A793F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2E4D7B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3.41</w:t>
            </w:r>
          </w:p>
        </w:tc>
      </w:tr>
      <w:tr w:rsidR="00C27EDE" w:rsidRPr="00AE1EAB" w14:paraId="76E369B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8D08EC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LYPLA1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401F0A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97B509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ACFF47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2.17</w:t>
            </w:r>
          </w:p>
        </w:tc>
      </w:tr>
      <w:tr w:rsidR="00C27EDE" w:rsidRPr="00AE1EAB" w14:paraId="73025DEC"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D5BEA40"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LYRM2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A365F7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2F8ECE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2A5859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2.34</w:t>
            </w:r>
          </w:p>
        </w:tc>
      </w:tr>
      <w:tr w:rsidR="00C27EDE" w:rsidRPr="00AE1EAB" w14:paraId="3B9CAF1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CDA1ACC"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MCM10</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642EBE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0602CE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4A7275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3.79</w:t>
            </w:r>
          </w:p>
        </w:tc>
      </w:tr>
      <w:tr w:rsidR="00C27EDE" w:rsidRPr="00AE1EAB" w14:paraId="235758A6"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4F4C1B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MDM4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CB87F9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3.53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D02C1B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DCE030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w:t>
            </w:r>
          </w:p>
        </w:tc>
      </w:tr>
      <w:tr w:rsidR="00C27EDE" w:rsidRPr="00AE1EAB" w14:paraId="0824948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8F08CC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MYB</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F54A7A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5.24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DB0557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4.66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0CC494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5.16</w:t>
            </w:r>
          </w:p>
        </w:tc>
      </w:tr>
      <w:tr w:rsidR="00C27EDE" w:rsidRPr="00AE1EAB" w14:paraId="667C37F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E6276B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NAA15</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271913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9DBD38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14F9E6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2.07</w:t>
            </w:r>
          </w:p>
        </w:tc>
      </w:tr>
      <w:tr w:rsidR="00C27EDE" w:rsidRPr="00AE1EAB" w14:paraId="6D068913"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67C168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NCAPH</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1796B3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A13414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FBCE76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2.26</w:t>
            </w:r>
          </w:p>
        </w:tc>
      </w:tr>
      <w:tr w:rsidR="00C27EDE" w:rsidRPr="00AE1EAB" w14:paraId="4C25085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EC5874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NCBP2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AE28B1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FFE362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670B03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2.05</w:t>
            </w:r>
          </w:p>
        </w:tc>
      </w:tr>
      <w:tr w:rsidR="00C27EDE" w:rsidRPr="00AE1EAB" w14:paraId="2AEA3EC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3BDF40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NEDD4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9489FF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3.63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22EA42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25B12B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3.76</w:t>
            </w:r>
          </w:p>
        </w:tc>
      </w:tr>
      <w:tr w:rsidR="00C27EDE" w:rsidRPr="00AE1EAB" w14:paraId="19F81C62"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776ACE8"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NEMP1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ED439F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3.54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EC091F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4.24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CACBDB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2.92</w:t>
            </w:r>
          </w:p>
        </w:tc>
      </w:tr>
      <w:tr w:rsidR="00C27EDE" w:rsidRPr="00AE1EAB" w14:paraId="0F7F99B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E65A6D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NUBPL</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CBDFAF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F50C6E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8EBF76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2.52</w:t>
            </w:r>
          </w:p>
        </w:tc>
      </w:tr>
      <w:tr w:rsidR="00C27EDE" w:rsidRPr="00AE1EAB" w14:paraId="661C7331"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D39C7CB"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NXT2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CB2925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9A3B93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904542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4.07</w:t>
            </w:r>
          </w:p>
        </w:tc>
      </w:tr>
      <w:tr w:rsidR="00C27EDE" w:rsidRPr="00AE1EAB" w14:paraId="311E31DF"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C7C0CA5"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PANX1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DFDFAB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3884A8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4.29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E9FBCE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2.47</w:t>
            </w:r>
          </w:p>
        </w:tc>
      </w:tr>
      <w:tr w:rsidR="00C27EDE" w:rsidRPr="00AE1EAB" w14:paraId="7943A08B"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E6C16F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PCK2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3B9211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036A3C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B34F26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2.61</w:t>
            </w:r>
          </w:p>
        </w:tc>
      </w:tr>
      <w:tr w:rsidR="00C27EDE" w:rsidRPr="00AE1EAB" w14:paraId="11E1E60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272F9DF"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PEX12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FE89FC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A465EE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8B2793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2.12</w:t>
            </w:r>
          </w:p>
        </w:tc>
      </w:tr>
      <w:tr w:rsidR="00C27EDE" w:rsidRPr="00AE1EAB" w14:paraId="16E5951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242CF0C"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PHLDA2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80DC8C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6.25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3DCC78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5.16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7DF26F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5.09</w:t>
            </w:r>
          </w:p>
        </w:tc>
      </w:tr>
      <w:tr w:rsidR="00C27EDE" w:rsidRPr="00AE1EAB" w14:paraId="73125C2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094526B"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PLA2G12A</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52A90E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D0623C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3.29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F971BC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4.02</w:t>
            </w:r>
          </w:p>
        </w:tc>
      </w:tr>
      <w:tr w:rsidR="00C27EDE" w:rsidRPr="00AE1EAB" w14:paraId="58F313B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265B4A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POMGNT1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2D07A4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2F0E40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2.23</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E694E7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2.01</w:t>
            </w:r>
          </w:p>
        </w:tc>
      </w:tr>
      <w:tr w:rsidR="00C27EDE" w:rsidRPr="00AE1EAB" w14:paraId="7C3FF1B6"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048ACD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PRIMPOL</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F1BD85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A47AE2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AF175C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w:t>
            </w:r>
          </w:p>
        </w:tc>
      </w:tr>
      <w:tr w:rsidR="00C27EDE" w:rsidRPr="00AE1EAB" w14:paraId="138DC4F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C28C99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PSMA1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3CA135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A551C5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E2D1BB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2.04</w:t>
            </w:r>
          </w:p>
        </w:tc>
      </w:tr>
      <w:tr w:rsidR="00C27EDE" w:rsidRPr="00AE1EAB" w14:paraId="4AB1869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0C98D52"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RAB11FIP2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F3F63F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DEB117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E0AAD9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3.07</w:t>
            </w:r>
          </w:p>
        </w:tc>
      </w:tr>
      <w:tr w:rsidR="00C27EDE" w:rsidRPr="00AE1EAB" w14:paraId="0194D5DF"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786274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RAB26</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09E8EE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DDC731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D38A81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2.24</w:t>
            </w:r>
          </w:p>
        </w:tc>
      </w:tr>
      <w:tr w:rsidR="00C27EDE" w:rsidRPr="00AE1EAB" w14:paraId="07A51BC1"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5DD6DF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RBBP9</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AD00E5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AC3301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D17DDC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w:t>
            </w:r>
          </w:p>
        </w:tc>
      </w:tr>
      <w:tr w:rsidR="00C27EDE" w:rsidRPr="00AE1EAB" w14:paraId="19F2819C"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4266E83"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RDX</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16A88A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F09728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87C0C5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2.56</w:t>
            </w:r>
          </w:p>
        </w:tc>
      </w:tr>
      <w:tr w:rsidR="00C27EDE" w:rsidRPr="00AE1EAB" w14:paraId="13700FC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762F7E5"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RFWD3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ACCC4D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CA82BD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AA7D3A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2.02</w:t>
            </w:r>
          </w:p>
        </w:tc>
      </w:tr>
      <w:tr w:rsidR="00C27EDE" w:rsidRPr="00AE1EAB" w14:paraId="5B5AF5E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D1B0CC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RFXAP</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1C712C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D2925C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4.61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E9A2A7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2.27</w:t>
            </w:r>
          </w:p>
        </w:tc>
      </w:tr>
      <w:tr w:rsidR="00C27EDE" w:rsidRPr="00AE1EAB" w14:paraId="67C34C47"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B98C2B6"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RHOBTB3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E729C8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DEAD94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59E5F8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2.72</w:t>
            </w:r>
          </w:p>
        </w:tc>
      </w:tr>
      <w:tr w:rsidR="00C27EDE" w:rsidRPr="00AE1EAB" w14:paraId="5387D4C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A522D43"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RNF138</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D9F4BA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325A66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2.77</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66E60E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w:t>
            </w:r>
          </w:p>
        </w:tc>
      </w:tr>
      <w:tr w:rsidR="00C27EDE" w:rsidRPr="00AE1EAB" w14:paraId="60A2D32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CFAE136"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SF3B2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F9EA55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438DFF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4F4711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w:t>
            </w:r>
          </w:p>
        </w:tc>
      </w:tr>
      <w:tr w:rsidR="00C27EDE" w:rsidRPr="00AE1EAB" w14:paraId="36B25F6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18B2C5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SGK3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331407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0383629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26ACFC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2.08</w:t>
            </w:r>
          </w:p>
        </w:tc>
      </w:tr>
      <w:tr w:rsidR="00C27EDE" w:rsidRPr="00AE1EAB" w14:paraId="0526593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4030F9D"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SH3BP4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47AFD6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5.28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D57827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1354F0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5.81</w:t>
            </w:r>
          </w:p>
        </w:tc>
      </w:tr>
      <w:tr w:rsidR="00C27EDE" w:rsidRPr="00AE1EAB" w14:paraId="5F07FD3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B38CB33"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SLC35B4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CD83CE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EA5D19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A66A65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2.63</w:t>
            </w:r>
          </w:p>
        </w:tc>
      </w:tr>
      <w:tr w:rsidR="00C27EDE" w:rsidRPr="00AE1EAB" w14:paraId="4B5149C1"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08A2E3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SNX4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01C3B9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626E58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3.41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D3F2A9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w:t>
            </w:r>
          </w:p>
        </w:tc>
      </w:tr>
      <w:tr w:rsidR="00C27EDE" w:rsidRPr="00AE1EAB" w14:paraId="3CD17350"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88750B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SRPR</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A309A5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3.62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59E640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87071F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2.06</w:t>
            </w:r>
          </w:p>
        </w:tc>
      </w:tr>
      <w:tr w:rsidR="00C27EDE" w:rsidRPr="00AE1EAB" w14:paraId="39474E6C"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A41A8B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SSH1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3F165F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EE1A27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3.54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123E64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3.02</w:t>
            </w:r>
          </w:p>
        </w:tc>
      </w:tr>
      <w:tr w:rsidR="00C27EDE" w:rsidRPr="00AE1EAB" w14:paraId="250004D2"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F986A62"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STAMBP</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5363A0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C5DAF5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11D1D7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2.05</w:t>
            </w:r>
          </w:p>
        </w:tc>
      </w:tr>
      <w:tr w:rsidR="00C27EDE" w:rsidRPr="00AE1EAB" w14:paraId="04BE51B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CC5B4AC"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SUPT16H</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7B0EFC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9EC194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2.99</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191E2F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2.54</w:t>
            </w:r>
          </w:p>
        </w:tc>
      </w:tr>
      <w:tr w:rsidR="00C27EDE" w:rsidRPr="00AE1EAB" w14:paraId="7978AA4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452984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SYNRG</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FA9973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81BF41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3.36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37137D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2.58</w:t>
            </w:r>
          </w:p>
        </w:tc>
      </w:tr>
      <w:tr w:rsidR="00C27EDE" w:rsidRPr="00AE1EAB" w14:paraId="26F320F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529E201"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TCEA1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2D0036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12035E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BBFC4F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3.56</w:t>
            </w:r>
          </w:p>
        </w:tc>
      </w:tr>
      <w:tr w:rsidR="00C27EDE" w:rsidRPr="00AE1EAB" w14:paraId="12CA3C97"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844DEF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TEF</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52AF39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BCFA85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287B070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2.82</w:t>
            </w:r>
          </w:p>
        </w:tc>
      </w:tr>
      <w:tr w:rsidR="00C27EDE" w:rsidRPr="00AE1EAB" w14:paraId="0D5518E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3832F8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TINF2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AC3B44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0E8A87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894BE4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2.59</w:t>
            </w:r>
          </w:p>
        </w:tc>
      </w:tr>
      <w:tr w:rsidR="00C27EDE" w:rsidRPr="00AE1EAB" w14:paraId="3B19679D"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4A8ADE9"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TLR6</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624774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00071A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C15CB0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w:t>
            </w:r>
          </w:p>
        </w:tc>
      </w:tr>
      <w:tr w:rsidR="00C27EDE" w:rsidRPr="00AE1EAB" w14:paraId="0AFCA285"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8A8B6B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TMED8</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B77868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3.64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3705A9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4.21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84FDDC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w:t>
            </w:r>
          </w:p>
        </w:tc>
      </w:tr>
      <w:tr w:rsidR="00C27EDE" w:rsidRPr="00AE1EAB" w14:paraId="3C17A2FC"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8F37FC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TMEM265</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079459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76E8A7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2.98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6C2D95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4.09</w:t>
            </w:r>
          </w:p>
        </w:tc>
      </w:tr>
      <w:tr w:rsidR="00C27EDE" w:rsidRPr="00AE1EAB" w14:paraId="148C57B9"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1D47DF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TRAK2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FF1D74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5.32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BDBC72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3.71</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9733A32"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2.69</w:t>
            </w:r>
          </w:p>
        </w:tc>
      </w:tr>
      <w:tr w:rsidR="00C27EDE" w:rsidRPr="00AE1EAB" w14:paraId="4D690EC2"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70E1997"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TRMT10A</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2F8975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4.13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35D2A42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6CEFFA7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3.79</w:t>
            </w:r>
          </w:p>
        </w:tc>
      </w:tr>
      <w:tr w:rsidR="00C27EDE" w:rsidRPr="00AE1EAB" w14:paraId="6AC5716E"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2680CC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TRUB1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CC01CF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2.82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125142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2.26</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6836BA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2.04</w:t>
            </w:r>
          </w:p>
        </w:tc>
      </w:tr>
      <w:tr w:rsidR="00C27EDE" w:rsidRPr="00AE1EAB" w14:paraId="6B3163EB"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39D76A8"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TSPAN31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3ADDE1E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6D2F15D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2665756"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2.72</w:t>
            </w:r>
          </w:p>
        </w:tc>
      </w:tr>
      <w:tr w:rsidR="00C27EDE" w:rsidRPr="00AE1EAB" w14:paraId="391D37AA"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0D31AD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UMAD1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DBA9117"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3.69</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95CDC0D"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2.5</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1A72972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2.49</w:t>
            </w:r>
          </w:p>
        </w:tc>
      </w:tr>
      <w:tr w:rsidR="00C27EDE" w:rsidRPr="00AE1EAB" w14:paraId="2BA5496C"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0ED4AB4"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USP46</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A579BF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2E07B5B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2.88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8D2020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2.23</w:t>
            </w:r>
          </w:p>
        </w:tc>
      </w:tr>
      <w:tr w:rsidR="00C27EDE" w:rsidRPr="00AE1EAB" w14:paraId="7783AFCF"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EFE7D96"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UXS1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424DD0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3.17</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540210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583EAD1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3.61</w:t>
            </w:r>
          </w:p>
        </w:tc>
      </w:tr>
      <w:tr w:rsidR="00C27EDE" w:rsidRPr="00AE1EAB" w14:paraId="7E119D4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1FC9196"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VEPH1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169E4D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2.32</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67D9CB1"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BF12B29"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2.17</w:t>
            </w:r>
          </w:p>
        </w:tc>
      </w:tr>
      <w:tr w:rsidR="00C27EDE" w:rsidRPr="00AE1EAB" w14:paraId="42E37A9D"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4CBC7C0"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VEZT</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8BAB62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3.56</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4DEA4F0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30E7ACF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2.31</w:t>
            </w:r>
          </w:p>
        </w:tc>
      </w:tr>
      <w:tr w:rsidR="00C27EDE" w:rsidRPr="00AE1EAB" w14:paraId="6B025AE8"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BE3AEA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WDR76</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58B1144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3.05</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C6434E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2.68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4B4D2E9F"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3.02</w:t>
            </w:r>
          </w:p>
        </w:tc>
      </w:tr>
      <w:tr w:rsidR="00C27EDE" w:rsidRPr="00AE1EAB" w14:paraId="34AB5193"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4666B9E"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XPNPEP1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83B779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4.58</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1C68E5D5"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2.82</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F45D28C"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4.38</w:t>
            </w:r>
          </w:p>
        </w:tc>
      </w:tr>
      <w:tr w:rsidR="00C27EDE" w:rsidRPr="00AE1EAB" w14:paraId="2F79F8EF"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B65530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ZBTB12</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692F69E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2.04</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5AFF3A8E"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2.44</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0C763FC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2.23</w:t>
            </w:r>
          </w:p>
        </w:tc>
      </w:tr>
      <w:tr w:rsidR="00C27EDE" w:rsidRPr="00AE1EAB" w14:paraId="436DE144" w14:textId="77777777" w:rsidTr="00A17F81">
        <w:trPr>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54FA66A"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ZCRB1</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BB01630"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2.83</w:t>
            </w:r>
          </w:p>
        </w:tc>
        <w:tc>
          <w:tcPr>
            <w:tcW w:w="567" w:type="dxa"/>
            <w:gridSpan w:val="2"/>
            <w:tcBorders>
              <w:top w:val="nil"/>
              <w:left w:val="nil"/>
              <w:bottom w:val="single" w:sz="4" w:space="0" w:color="auto"/>
              <w:right w:val="single" w:sz="4" w:space="0" w:color="auto"/>
            </w:tcBorders>
            <w:shd w:val="clear" w:color="auto" w:fill="auto"/>
            <w:noWrap/>
            <w:vAlign w:val="bottom"/>
            <w:hideMark/>
          </w:tcPr>
          <w:p w14:paraId="7D4FF5A4"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2.18</w:t>
            </w:r>
          </w:p>
        </w:tc>
        <w:tc>
          <w:tcPr>
            <w:tcW w:w="709" w:type="dxa"/>
            <w:gridSpan w:val="2"/>
            <w:tcBorders>
              <w:top w:val="nil"/>
              <w:left w:val="nil"/>
              <w:bottom w:val="single" w:sz="4" w:space="0" w:color="auto"/>
              <w:right w:val="single" w:sz="4" w:space="0" w:color="auto"/>
            </w:tcBorders>
            <w:shd w:val="clear" w:color="auto" w:fill="auto"/>
            <w:noWrap/>
            <w:vAlign w:val="bottom"/>
            <w:hideMark/>
          </w:tcPr>
          <w:p w14:paraId="7F8F9C58"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4.15</w:t>
            </w:r>
          </w:p>
        </w:tc>
      </w:tr>
      <w:tr w:rsidR="00C27EDE" w:rsidRPr="00AE1EAB" w14:paraId="0B73B6C0" w14:textId="77777777" w:rsidTr="00A17F81">
        <w:trPr>
          <w:gridAfter w:val="1"/>
          <w:wAfter w:w="470" w:type="dxa"/>
          <w:trHeight w:val="191"/>
        </w:trPr>
        <w:tc>
          <w:tcPr>
            <w:tcW w:w="1149"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967CCEF" w14:textId="77777777" w:rsidR="00C27EDE" w:rsidRPr="00AE1EAB" w:rsidRDefault="00C27EDE" w:rsidP="005A571B">
            <w:pPr>
              <w:rPr>
                <w:rFonts w:ascii="Calibri" w:eastAsia="Times New Roman" w:hAnsi="Calibri" w:cs="Times New Roman"/>
                <w:color w:val="000000"/>
                <w:sz w:val="16"/>
              </w:rPr>
            </w:pPr>
            <w:r w:rsidRPr="00AE1EAB">
              <w:rPr>
                <w:rFonts w:ascii="Calibri" w:eastAsia="Times New Roman" w:hAnsi="Calibri" w:cs="Times New Roman"/>
                <w:color w:val="000000"/>
                <w:sz w:val="16"/>
              </w:rPr>
              <w:t>ZHX1</w:t>
            </w:r>
          </w:p>
        </w:tc>
        <w:tc>
          <w:tcPr>
            <w:tcW w:w="476" w:type="dxa"/>
            <w:tcBorders>
              <w:top w:val="nil"/>
              <w:left w:val="nil"/>
              <w:bottom w:val="single" w:sz="4" w:space="0" w:color="auto"/>
              <w:right w:val="single" w:sz="4" w:space="0" w:color="auto"/>
            </w:tcBorders>
            <w:shd w:val="clear" w:color="auto" w:fill="auto"/>
            <w:noWrap/>
            <w:vAlign w:val="bottom"/>
            <w:hideMark/>
          </w:tcPr>
          <w:p w14:paraId="4E2DE7DB"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3.59</w:t>
            </w:r>
          </w:p>
        </w:tc>
        <w:tc>
          <w:tcPr>
            <w:tcW w:w="681" w:type="dxa"/>
            <w:gridSpan w:val="2"/>
            <w:tcBorders>
              <w:top w:val="nil"/>
              <w:left w:val="nil"/>
              <w:bottom w:val="single" w:sz="4" w:space="0" w:color="auto"/>
              <w:right w:val="single" w:sz="4" w:space="0" w:color="auto"/>
            </w:tcBorders>
            <w:shd w:val="clear" w:color="auto" w:fill="auto"/>
            <w:noWrap/>
            <w:vAlign w:val="bottom"/>
            <w:hideMark/>
          </w:tcPr>
          <w:p w14:paraId="5224A023"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4.04</w:t>
            </w:r>
          </w:p>
        </w:tc>
        <w:tc>
          <w:tcPr>
            <w:tcW w:w="500" w:type="dxa"/>
            <w:gridSpan w:val="2"/>
            <w:tcBorders>
              <w:top w:val="nil"/>
              <w:left w:val="nil"/>
              <w:bottom w:val="single" w:sz="4" w:space="0" w:color="auto"/>
              <w:right w:val="single" w:sz="4" w:space="0" w:color="auto"/>
            </w:tcBorders>
            <w:shd w:val="clear" w:color="auto" w:fill="auto"/>
            <w:noWrap/>
            <w:vAlign w:val="bottom"/>
            <w:hideMark/>
          </w:tcPr>
          <w:p w14:paraId="622047EA" w14:textId="77777777" w:rsidR="00C27EDE" w:rsidRPr="00AE1EAB" w:rsidRDefault="00C27EDE" w:rsidP="005A571B">
            <w:pPr>
              <w:jc w:val="right"/>
              <w:rPr>
                <w:rFonts w:ascii="Calibri" w:eastAsia="Times New Roman" w:hAnsi="Calibri" w:cs="Times New Roman"/>
                <w:color w:val="000000"/>
                <w:sz w:val="16"/>
              </w:rPr>
            </w:pPr>
            <w:r w:rsidRPr="00AE1EAB">
              <w:rPr>
                <w:rFonts w:ascii="Calibri" w:eastAsia="Times New Roman" w:hAnsi="Calibri" w:cs="Times New Roman"/>
                <w:color w:val="000000"/>
                <w:sz w:val="16"/>
              </w:rPr>
              <w:t>5.18</w:t>
            </w:r>
          </w:p>
        </w:tc>
      </w:tr>
    </w:tbl>
    <w:p w14:paraId="56237FF1" w14:textId="77777777" w:rsidR="00C27EDE" w:rsidRDefault="00C27EDE" w:rsidP="00C27EDE">
      <w:pPr>
        <w:spacing w:line="360" w:lineRule="auto"/>
        <w:jc w:val="both"/>
      </w:pPr>
    </w:p>
    <w:p w14:paraId="7335A9FD" w14:textId="66B1426F" w:rsidR="006A36EF" w:rsidRDefault="006A36EF" w:rsidP="00C27EDE">
      <w:pPr>
        <w:spacing w:line="360" w:lineRule="auto"/>
        <w:jc w:val="both"/>
      </w:pPr>
      <w:r>
        <w:rPr>
          <w:rFonts w:asciiTheme="majorHAnsi" w:hAnsiTheme="majorHAnsi"/>
          <w:noProof/>
          <w:sz w:val="22"/>
          <w:u w:val="single"/>
          <w:lang w:val="en-US"/>
        </w:rPr>
        <mc:AlternateContent>
          <mc:Choice Requires="wps">
            <w:drawing>
              <wp:anchor distT="0" distB="0" distL="114300" distR="114300" simplePos="0" relativeHeight="252120064" behindDoc="0" locked="0" layoutInCell="1" allowOverlap="1" wp14:anchorId="47264430" wp14:editId="394E945C">
                <wp:simplePos x="0" y="0"/>
                <wp:positionH relativeFrom="column">
                  <wp:posOffset>-114300</wp:posOffset>
                </wp:positionH>
                <wp:positionV relativeFrom="paragraph">
                  <wp:posOffset>187325</wp:posOffset>
                </wp:positionV>
                <wp:extent cx="5143500" cy="914400"/>
                <wp:effectExtent l="0" t="0" r="0" b="0"/>
                <wp:wrapSquare wrapText="bothSides"/>
                <wp:docPr id="366" name="Text Box 366"/>
                <wp:cNvGraphicFramePr/>
                <a:graphic xmlns:a="http://schemas.openxmlformats.org/drawingml/2006/main">
                  <a:graphicData uri="http://schemas.microsoft.com/office/word/2010/wordprocessingShape">
                    <wps:wsp>
                      <wps:cNvSpPr txBox="1"/>
                      <wps:spPr>
                        <a:xfrm>
                          <a:off x="0" y="0"/>
                          <a:ext cx="5143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58BE22" w14:textId="77777777" w:rsidR="00E82D3B" w:rsidRPr="00842290" w:rsidRDefault="00E82D3B" w:rsidP="006A36EF">
                            <w:pPr>
                              <w:jc w:val="both"/>
                              <w:rPr>
                                <w:b/>
                                <w:i/>
                                <w:sz w:val="22"/>
                              </w:rPr>
                            </w:pPr>
                            <w:proofErr w:type="gramStart"/>
                            <w:r>
                              <w:rPr>
                                <w:b/>
                                <w:i/>
                                <w:sz w:val="22"/>
                              </w:rPr>
                              <w:t>Appendix Figure 9.</w:t>
                            </w:r>
                            <w:proofErr w:type="gramEnd"/>
                            <w:r w:rsidRPr="00842290">
                              <w:rPr>
                                <w:b/>
                                <w:i/>
                                <w:sz w:val="22"/>
                              </w:rPr>
                              <w:t xml:space="preserve"> Control vs si6 genes that have a 2 or more fold change across all three repeats. </w:t>
                            </w:r>
                          </w:p>
                          <w:p w14:paraId="1182E35D" w14:textId="77777777" w:rsidR="00E82D3B" w:rsidRPr="00842290" w:rsidRDefault="00E82D3B" w:rsidP="006A36EF">
                            <w:pPr>
                              <w:jc w:val="both"/>
                              <w:rPr>
                                <w:i/>
                                <w:sz w:val="22"/>
                              </w:rPr>
                            </w:pPr>
                            <w:r w:rsidRPr="00842290">
                              <w:rPr>
                                <w:i/>
                                <w:sz w:val="22"/>
                              </w:rPr>
                              <w:t xml:space="preserve">These genes represent all the genes that are decreased in expression by a 2 or more fold change when SRCAP is knocked down. </w:t>
                            </w:r>
                          </w:p>
                          <w:p w14:paraId="6559256C" w14:textId="77777777" w:rsidR="00E82D3B" w:rsidRDefault="00E82D3B" w:rsidP="006A36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66" o:spid="_x0000_s1222" type="#_x0000_t202" style="position:absolute;left:0;text-align:left;margin-left:-8.95pt;margin-top:14.75pt;width:405pt;height:1in;z-index:25212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" filled="f" stroked="f">
                <v:textbox>
                  <w:txbxContent>
                    <w:p w14:paraId="3258BE22" w14:textId="77777777" w:rsidR="000A1E0D" w:rsidRPr="00842290" w:rsidRDefault="000A1E0D" w:rsidP="006A36EF">
                      <w:pPr>
                        <w:jc w:val="both"/>
                        <w:rPr>
                          <w:b/>
                          <w:i/>
                          <w:sz w:val="22"/>
                        </w:rPr>
                      </w:pPr>
                      <w:proofErr w:type="gramStart"/>
                      <w:r>
                        <w:rPr>
                          <w:b/>
                          <w:i/>
                          <w:sz w:val="22"/>
                        </w:rPr>
                        <w:t>Appendix Figure 9.</w:t>
                      </w:r>
                      <w:proofErr w:type="gramEnd"/>
                      <w:r w:rsidRPr="00842290">
                        <w:rPr>
                          <w:b/>
                          <w:i/>
                          <w:sz w:val="22"/>
                        </w:rPr>
                        <w:t xml:space="preserve"> Control vs si6 genes that have a 2 or more fold change across all three repeats. </w:t>
                      </w:r>
                    </w:p>
                    <w:p w14:paraId="1182E35D" w14:textId="77777777" w:rsidR="000A1E0D" w:rsidRPr="00842290" w:rsidRDefault="000A1E0D" w:rsidP="006A36EF">
                      <w:pPr>
                        <w:jc w:val="both"/>
                        <w:rPr>
                          <w:i/>
                          <w:sz w:val="22"/>
                        </w:rPr>
                      </w:pPr>
                      <w:r w:rsidRPr="00842290">
                        <w:rPr>
                          <w:i/>
                          <w:sz w:val="22"/>
                        </w:rPr>
                        <w:t xml:space="preserve">These genes represent all the genes that are decreased in expression by a 2 or more fold change when SRCAP is knocked down. </w:t>
                      </w:r>
                    </w:p>
                    <w:p w14:paraId="6559256C" w14:textId="77777777" w:rsidR="000A1E0D" w:rsidRDefault="000A1E0D" w:rsidP="006A36EF"/>
                  </w:txbxContent>
                </v:textbox>
                <w10:wrap type="square"/>
              </v:shape>
            </w:pict>
          </mc:Fallback>
        </mc:AlternateContent>
      </w:r>
    </w:p>
    <w:p w14:paraId="6CC73C14" w14:textId="5C1D2F6D" w:rsidR="006A36EF" w:rsidRPr="00AE1EAB" w:rsidRDefault="006A36EF" w:rsidP="00C27EDE">
      <w:pPr>
        <w:spacing w:line="360" w:lineRule="auto"/>
        <w:jc w:val="both"/>
        <w:rPr>
          <w:rFonts w:asciiTheme="majorHAnsi" w:hAnsiTheme="majorHAnsi"/>
          <w:sz w:val="22"/>
          <w:u w:val="single"/>
        </w:rPr>
      </w:pPr>
    </w:p>
    <w:p w14:paraId="57230C28" w14:textId="73D4356E" w:rsidR="00C27EDE" w:rsidRPr="0085411C" w:rsidRDefault="006A36EF" w:rsidP="0085411C">
      <w:pPr>
        <w:pStyle w:val="Title"/>
        <w:rPr>
          <w:color w:val="auto"/>
        </w:rPr>
      </w:pPr>
      <w:r>
        <w:rPr>
          <w:noProof/>
          <w:sz w:val="22"/>
          <w:u w:val="single"/>
          <w:lang w:val="en-US"/>
        </w:rPr>
        <mc:AlternateContent>
          <mc:Choice Requires="wps">
            <w:drawing>
              <wp:anchor distT="0" distB="0" distL="114300" distR="114300" simplePos="0" relativeHeight="252069888" behindDoc="0" locked="0" layoutInCell="1" allowOverlap="1" wp14:anchorId="14F04F81" wp14:editId="5EE0DEE7">
                <wp:simplePos x="0" y="0"/>
                <wp:positionH relativeFrom="column">
                  <wp:posOffset>228600</wp:posOffset>
                </wp:positionH>
                <wp:positionV relativeFrom="paragraph">
                  <wp:posOffset>4686300</wp:posOffset>
                </wp:positionV>
                <wp:extent cx="5143500" cy="914400"/>
                <wp:effectExtent l="0" t="0" r="0" b="0"/>
                <wp:wrapSquare wrapText="bothSides"/>
                <wp:docPr id="311" name="Text Box 311"/>
                <wp:cNvGraphicFramePr/>
                <a:graphic xmlns:a="http://schemas.openxmlformats.org/drawingml/2006/main">
                  <a:graphicData uri="http://schemas.microsoft.com/office/word/2010/wordprocessingShape">
                    <wps:wsp>
                      <wps:cNvSpPr txBox="1"/>
                      <wps:spPr>
                        <a:xfrm>
                          <a:off x="0" y="0"/>
                          <a:ext cx="5143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10494C" w14:textId="77777777" w:rsidR="00E82D3B" w:rsidRPr="00842290" w:rsidRDefault="00E82D3B" w:rsidP="00C27EDE">
                            <w:pPr>
                              <w:jc w:val="both"/>
                              <w:rPr>
                                <w:b/>
                                <w:i/>
                                <w:sz w:val="22"/>
                              </w:rPr>
                            </w:pPr>
                            <w:proofErr w:type="gramStart"/>
                            <w:r>
                              <w:rPr>
                                <w:b/>
                                <w:i/>
                                <w:sz w:val="22"/>
                              </w:rPr>
                              <w:t>Appendix Figure 9.</w:t>
                            </w:r>
                            <w:proofErr w:type="gramEnd"/>
                            <w:r w:rsidRPr="00842290">
                              <w:rPr>
                                <w:b/>
                                <w:i/>
                                <w:sz w:val="22"/>
                              </w:rPr>
                              <w:t xml:space="preserve"> Control vs si6 genes that have a 2 or more fold change across all three repeats. </w:t>
                            </w:r>
                          </w:p>
                          <w:p w14:paraId="5DD8D135" w14:textId="77777777" w:rsidR="00E82D3B" w:rsidRPr="00842290" w:rsidRDefault="00E82D3B" w:rsidP="00C27EDE">
                            <w:pPr>
                              <w:jc w:val="both"/>
                              <w:rPr>
                                <w:i/>
                                <w:sz w:val="22"/>
                              </w:rPr>
                            </w:pPr>
                            <w:r w:rsidRPr="00842290">
                              <w:rPr>
                                <w:i/>
                                <w:sz w:val="22"/>
                              </w:rPr>
                              <w:t xml:space="preserve">These genes represent all the genes that are decreased in expression by a 2 or more fold change when SRCAP is knocked down. </w:t>
                            </w:r>
                          </w:p>
                          <w:p w14:paraId="61DECDF8" w14:textId="77777777" w:rsidR="00E82D3B" w:rsidRDefault="00E82D3B" w:rsidP="00C27E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1" o:spid="_x0000_s1223" type="#_x0000_t202" style="position:absolute;margin-left:18pt;margin-top:369pt;width:405pt;height:1in;z-index:25206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" filled="f" stroked="f">
                <v:textbox>
                  <w:txbxContent>
                    <w:p w14:paraId="7A10494C" w14:textId="77777777" w:rsidR="000A1E0D" w:rsidRPr="00842290" w:rsidRDefault="000A1E0D" w:rsidP="00C27EDE">
                      <w:pPr>
                        <w:jc w:val="both"/>
                        <w:rPr>
                          <w:b/>
                          <w:i/>
                          <w:sz w:val="22"/>
                        </w:rPr>
                      </w:pPr>
                      <w:proofErr w:type="gramStart"/>
                      <w:r>
                        <w:rPr>
                          <w:b/>
                          <w:i/>
                          <w:sz w:val="22"/>
                        </w:rPr>
                        <w:t>Appendix Figure 9.</w:t>
                      </w:r>
                      <w:proofErr w:type="gramEnd"/>
                      <w:r w:rsidRPr="00842290">
                        <w:rPr>
                          <w:b/>
                          <w:i/>
                          <w:sz w:val="22"/>
                        </w:rPr>
                        <w:t xml:space="preserve"> Control vs si6 genes that have a 2 or more fold change across all three repeats. </w:t>
                      </w:r>
                    </w:p>
                    <w:p w14:paraId="5DD8D135" w14:textId="77777777" w:rsidR="000A1E0D" w:rsidRPr="00842290" w:rsidRDefault="000A1E0D" w:rsidP="00C27EDE">
                      <w:pPr>
                        <w:jc w:val="both"/>
                        <w:rPr>
                          <w:i/>
                          <w:sz w:val="22"/>
                        </w:rPr>
                      </w:pPr>
                      <w:r w:rsidRPr="00842290">
                        <w:rPr>
                          <w:i/>
                          <w:sz w:val="22"/>
                        </w:rPr>
                        <w:t xml:space="preserve">These genes represent all the genes that are decreased in expression by a 2 or more fold change when SRCAP is knocked down. </w:t>
                      </w:r>
                    </w:p>
                    <w:p w14:paraId="61DECDF8" w14:textId="77777777" w:rsidR="000A1E0D" w:rsidRDefault="000A1E0D" w:rsidP="00C27EDE"/>
                  </w:txbxContent>
                </v:textbox>
                <w10:wrap type="square"/>
              </v:shape>
            </w:pict>
          </mc:Fallback>
        </mc:AlternateContent>
      </w:r>
      <w:r w:rsidR="0085411C" w:rsidRPr="0085411C">
        <w:rPr>
          <w:noProof/>
          <w:color w:val="auto"/>
          <w:lang w:val="en-US"/>
        </w:rPr>
        <w:drawing>
          <wp:anchor distT="0" distB="0" distL="114300" distR="114300" simplePos="0" relativeHeight="252071936" behindDoc="0" locked="0" layoutInCell="1" allowOverlap="1" wp14:anchorId="3770F7D7" wp14:editId="33FD62CC">
            <wp:simplePos x="0" y="0"/>
            <wp:positionH relativeFrom="column">
              <wp:posOffset>-114300</wp:posOffset>
            </wp:positionH>
            <wp:positionV relativeFrom="paragraph">
              <wp:posOffset>914400</wp:posOffset>
            </wp:positionV>
            <wp:extent cx="5697855" cy="5372100"/>
            <wp:effectExtent l="0" t="0" r="0" b="12700"/>
            <wp:wrapSquare wrapText="bothSides"/>
            <wp:docPr id="327" name="Picture 327" descr="Macintosh HD:Users:ClairFellows:Desktop:Screen Shot 2017-10-12 at 11.1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lairFellows:Desktop:Screen Shot 2017-10-12 at 11.12.49.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97855" cy="537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7EDE" w:rsidRPr="0085411C">
        <w:rPr>
          <w:noProof/>
          <w:color w:val="auto"/>
          <w:lang w:val="en-US"/>
        </w:rPr>
        <mc:AlternateContent>
          <mc:Choice Requires="wps">
            <w:drawing>
              <wp:anchor distT="0" distB="0" distL="114300" distR="114300" simplePos="0" relativeHeight="252072960" behindDoc="0" locked="0" layoutInCell="1" allowOverlap="1" wp14:anchorId="02AE8D20" wp14:editId="1C1385B6">
                <wp:simplePos x="0" y="0"/>
                <wp:positionH relativeFrom="column">
                  <wp:posOffset>0</wp:posOffset>
                </wp:positionH>
                <wp:positionV relativeFrom="paragraph">
                  <wp:posOffset>6400800</wp:posOffset>
                </wp:positionV>
                <wp:extent cx="5372100" cy="914400"/>
                <wp:effectExtent l="0" t="0" r="0" b="0"/>
                <wp:wrapSquare wrapText="bothSides"/>
                <wp:docPr id="312" name="Text Box 312"/>
                <wp:cNvGraphicFramePr/>
                <a:graphic xmlns:a="http://schemas.openxmlformats.org/drawingml/2006/main">
                  <a:graphicData uri="http://schemas.microsoft.com/office/word/2010/wordprocessingShape">
                    <wps:wsp>
                      <wps:cNvSpPr txBox="1"/>
                      <wps:spPr>
                        <a:xfrm>
                          <a:off x="0" y="0"/>
                          <a:ext cx="5372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D597CB" w14:textId="77777777" w:rsidR="00E82D3B" w:rsidRPr="00842290" w:rsidRDefault="00E82D3B" w:rsidP="00C27EDE">
                            <w:pPr>
                              <w:jc w:val="both"/>
                              <w:rPr>
                                <w:b/>
                                <w:i/>
                                <w:sz w:val="22"/>
                              </w:rPr>
                            </w:pPr>
                            <w:proofErr w:type="gramStart"/>
                            <w:r>
                              <w:rPr>
                                <w:b/>
                                <w:i/>
                                <w:sz w:val="22"/>
                              </w:rPr>
                              <w:t>Appendix Figure 10.</w:t>
                            </w:r>
                            <w:proofErr w:type="gramEnd"/>
                            <w:r w:rsidRPr="00842290">
                              <w:rPr>
                                <w:b/>
                                <w:i/>
                                <w:sz w:val="22"/>
                              </w:rPr>
                              <w:t xml:space="preserve"> STRING network analysis on the 115 genes that had a 2 or more positive fold change across all </w:t>
                            </w:r>
                            <w:proofErr w:type="gramStart"/>
                            <w:r w:rsidRPr="00842290">
                              <w:rPr>
                                <w:b/>
                                <w:i/>
                                <w:sz w:val="22"/>
                              </w:rPr>
                              <w:t>three control</w:t>
                            </w:r>
                            <w:proofErr w:type="gramEnd"/>
                            <w:r w:rsidRPr="00842290">
                              <w:rPr>
                                <w:b/>
                                <w:i/>
                                <w:sz w:val="22"/>
                              </w:rPr>
                              <w:t xml:space="preserve"> vs si6 repeats.</w:t>
                            </w:r>
                          </w:p>
                          <w:p w14:paraId="5E2D0F46" w14:textId="77777777" w:rsidR="00E82D3B" w:rsidRPr="00842290" w:rsidRDefault="00E82D3B" w:rsidP="00C27EDE">
                            <w:pPr>
                              <w:jc w:val="both"/>
                              <w:rPr>
                                <w:i/>
                                <w:sz w:val="22"/>
                              </w:rPr>
                            </w:pPr>
                            <w:r w:rsidRPr="00842290">
                              <w:rPr>
                                <w:i/>
                                <w:sz w:val="22"/>
                              </w:rPr>
                              <w:t>The red dots correspond to gene</w:t>
                            </w:r>
                            <w:r>
                              <w:rPr>
                                <w:i/>
                                <w:sz w:val="22"/>
                              </w:rPr>
                              <w:t>s</w:t>
                            </w:r>
                            <w:r w:rsidRPr="00842290">
                              <w:rPr>
                                <w:i/>
                                <w:sz w:val="22"/>
                              </w:rPr>
                              <w:t xml:space="preserve"> involved in the cell cycle, the blue dots correspond to genes involved in protein localisation and the green dots correspond to genes involved in the positive regulation of cellular processes.</w:t>
                            </w:r>
                          </w:p>
                          <w:p w14:paraId="01AFEA0B" w14:textId="77777777" w:rsidR="00E82D3B" w:rsidRDefault="00E82D3B" w:rsidP="00C27E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2" o:spid="_x0000_s1224" type="#_x0000_t202" style="position:absolute;margin-left:0;margin-top:7in;width:423pt;height:1in;z-index:25207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" filled="f" stroked="f">
                <v:textbox>
                  <w:txbxContent>
                    <w:p w14:paraId="35D597CB" w14:textId="77777777" w:rsidR="000A1E0D" w:rsidRPr="00842290" w:rsidRDefault="000A1E0D" w:rsidP="00C27EDE">
                      <w:pPr>
                        <w:jc w:val="both"/>
                        <w:rPr>
                          <w:b/>
                          <w:i/>
                          <w:sz w:val="22"/>
                        </w:rPr>
                      </w:pPr>
                      <w:proofErr w:type="gramStart"/>
                      <w:r>
                        <w:rPr>
                          <w:b/>
                          <w:i/>
                          <w:sz w:val="22"/>
                        </w:rPr>
                        <w:t>Appendix Figure 10.</w:t>
                      </w:r>
                      <w:proofErr w:type="gramEnd"/>
                      <w:r w:rsidRPr="00842290">
                        <w:rPr>
                          <w:b/>
                          <w:i/>
                          <w:sz w:val="22"/>
                        </w:rPr>
                        <w:t xml:space="preserve"> STRING network analysis on the 115 genes that had a 2 or more positive fold change across all </w:t>
                      </w:r>
                      <w:proofErr w:type="gramStart"/>
                      <w:r w:rsidRPr="00842290">
                        <w:rPr>
                          <w:b/>
                          <w:i/>
                          <w:sz w:val="22"/>
                        </w:rPr>
                        <w:t>three control</w:t>
                      </w:r>
                      <w:proofErr w:type="gramEnd"/>
                      <w:r w:rsidRPr="00842290">
                        <w:rPr>
                          <w:b/>
                          <w:i/>
                          <w:sz w:val="22"/>
                        </w:rPr>
                        <w:t xml:space="preserve"> vs si6 repeats.</w:t>
                      </w:r>
                    </w:p>
                    <w:p w14:paraId="5E2D0F46" w14:textId="77777777" w:rsidR="000A1E0D" w:rsidRPr="00842290" w:rsidRDefault="000A1E0D" w:rsidP="00C27EDE">
                      <w:pPr>
                        <w:jc w:val="both"/>
                        <w:rPr>
                          <w:i/>
                          <w:sz w:val="22"/>
                        </w:rPr>
                      </w:pPr>
                      <w:r w:rsidRPr="00842290">
                        <w:rPr>
                          <w:i/>
                          <w:sz w:val="22"/>
                        </w:rPr>
                        <w:t>The red dots correspond to gene</w:t>
                      </w:r>
                      <w:r>
                        <w:rPr>
                          <w:i/>
                          <w:sz w:val="22"/>
                        </w:rPr>
                        <w:t>s</w:t>
                      </w:r>
                      <w:r w:rsidRPr="00842290">
                        <w:rPr>
                          <w:i/>
                          <w:sz w:val="22"/>
                        </w:rPr>
                        <w:t xml:space="preserve"> involved in the cell cycle, the blue dots correspond to genes involved in protein localisation and the green dots correspond to genes involved in the positive regulation of cellular processes.</w:t>
                      </w:r>
                    </w:p>
                    <w:p w14:paraId="01AFEA0B" w14:textId="77777777" w:rsidR="000A1E0D" w:rsidRDefault="000A1E0D" w:rsidP="00C27EDE"/>
                  </w:txbxContent>
                </v:textbox>
                <w10:wrap type="square"/>
              </v:shape>
            </w:pict>
          </mc:Fallback>
        </mc:AlternateContent>
      </w:r>
      <w:r>
        <w:rPr>
          <w:color w:val="auto"/>
        </w:rPr>
        <w:t>Appendix 10</w:t>
      </w:r>
      <w:r w:rsidR="00C27EDE" w:rsidRPr="0085411C">
        <w:rPr>
          <w:color w:val="auto"/>
        </w:rPr>
        <w:br w:type="page"/>
      </w:r>
    </w:p>
    <w:p w14:paraId="769637AA" w14:textId="77777777" w:rsidR="00C27EDE" w:rsidRPr="0085411C" w:rsidRDefault="00C27EDE" w:rsidP="0085411C">
      <w:pPr>
        <w:pStyle w:val="Title"/>
        <w:rPr>
          <w:color w:val="auto"/>
        </w:rPr>
      </w:pPr>
      <w:r w:rsidRPr="0085411C">
        <w:rPr>
          <w:color w:val="auto"/>
        </w:rPr>
        <w:t>Appendix 11</w:t>
      </w:r>
    </w:p>
    <w:p w14:paraId="7BE26C7D" w14:textId="77777777" w:rsidR="00C27EDE" w:rsidRDefault="00C27EDE" w:rsidP="00C27EDE">
      <w:pPr>
        <w:rPr>
          <w:rFonts w:asciiTheme="majorHAnsi" w:hAnsiTheme="majorHAnsi"/>
          <w:sz w:val="28"/>
          <w:u w:val="single"/>
        </w:rPr>
      </w:pPr>
    </w:p>
    <w:tbl>
      <w:tblPr>
        <w:tblW w:w="3155" w:type="dxa"/>
        <w:tblInd w:w="93" w:type="dxa"/>
        <w:tblLook w:val="04A0" w:firstRow="1" w:lastRow="0" w:firstColumn="1" w:lastColumn="0" w:noHBand="0" w:noVBand="1"/>
      </w:tblPr>
      <w:tblGrid>
        <w:gridCol w:w="1150"/>
        <w:gridCol w:w="603"/>
        <w:gridCol w:w="701"/>
        <w:gridCol w:w="701"/>
      </w:tblGrid>
      <w:tr w:rsidR="00C27EDE" w:rsidRPr="00A574D1" w14:paraId="6C855B42" w14:textId="77777777" w:rsidTr="005A571B">
        <w:trPr>
          <w:trHeight w:val="230"/>
        </w:trPr>
        <w:tc>
          <w:tcPr>
            <w:tcW w:w="1150"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386901CE" w14:textId="77777777" w:rsidR="00C27EDE" w:rsidRPr="00A574D1" w:rsidRDefault="00C27EDE" w:rsidP="005A571B">
            <w:pPr>
              <w:rPr>
                <w:rFonts w:ascii="Calibri" w:eastAsia="Times New Roman" w:hAnsi="Calibri" w:cs="Times New Roman"/>
                <w:color w:val="FFFFFF"/>
                <w:sz w:val="16"/>
                <w:szCs w:val="16"/>
              </w:rPr>
            </w:pPr>
            <w:r w:rsidRPr="00A574D1">
              <w:rPr>
                <w:rFonts w:ascii="Calibri" w:eastAsia="Times New Roman" w:hAnsi="Calibri" w:cs="Times New Roman"/>
                <w:color w:val="FFFFFF"/>
                <w:sz w:val="16"/>
                <w:szCs w:val="16"/>
              </w:rPr>
              <w:t>Gene</w:t>
            </w:r>
          </w:p>
        </w:tc>
        <w:tc>
          <w:tcPr>
            <w:tcW w:w="603" w:type="dxa"/>
            <w:tcBorders>
              <w:top w:val="single" w:sz="4" w:space="0" w:color="auto"/>
              <w:left w:val="nil"/>
              <w:bottom w:val="single" w:sz="4" w:space="0" w:color="auto"/>
              <w:right w:val="single" w:sz="4" w:space="0" w:color="auto"/>
            </w:tcBorders>
            <w:shd w:val="clear" w:color="000000" w:fill="000000"/>
            <w:noWrap/>
            <w:vAlign w:val="bottom"/>
            <w:hideMark/>
          </w:tcPr>
          <w:p w14:paraId="2F770232" w14:textId="77777777" w:rsidR="00C27EDE" w:rsidRPr="00A574D1" w:rsidRDefault="00C27EDE" w:rsidP="005A571B">
            <w:pPr>
              <w:jc w:val="right"/>
              <w:rPr>
                <w:rFonts w:ascii="Calibri" w:eastAsia="Times New Roman" w:hAnsi="Calibri" w:cs="Times New Roman"/>
                <w:color w:val="FFFFFF"/>
                <w:sz w:val="16"/>
                <w:szCs w:val="16"/>
              </w:rPr>
            </w:pPr>
            <w:r w:rsidRPr="00A574D1">
              <w:rPr>
                <w:rFonts w:ascii="Calibri" w:eastAsia="Times New Roman" w:hAnsi="Calibri" w:cs="Times New Roman"/>
                <w:color w:val="FFFFFF"/>
                <w:sz w:val="16"/>
                <w:szCs w:val="16"/>
              </w:rPr>
              <w:t>1</w:t>
            </w:r>
          </w:p>
        </w:tc>
        <w:tc>
          <w:tcPr>
            <w:tcW w:w="701" w:type="dxa"/>
            <w:tcBorders>
              <w:top w:val="single" w:sz="4" w:space="0" w:color="auto"/>
              <w:left w:val="nil"/>
              <w:bottom w:val="single" w:sz="4" w:space="0" w:color="auto"/>
              <w:right w:val="single" w:sz="4" w:space="0" w:color="auto"/>
            </w:tcBorders>
            <w:shd w:val="clear" w:color="000000" w:fill="000000"/>
            <w:noWrap/>
            <w:vAlign w:val="bottom"/>
            <w:hideMark/>
          </w:tcPr>
          <w:p w14:paraId="039C0126" w14:textId="77777777" w:rsidR="00C27EDE" w:rsidRPr="00A574D1" w:rsidRDefault="00C27EDE" w:rsidP="005A571B">
            <w:pPr>
              <w:jc w:val="right"/>
              <w:rPr>
                <w:rFonts w:ascii="Calibri" w:eastAsia="Times New Roman" w:hAnsi="Calibri" w:cs="Times New Roman"/>
                <w:color w:val="FFFFFF"/>
                <w:sz w:val="16"/>
                <w:szCs w:val="16"/>
              </w:rPr>
            </w:pPr>
            <w:r w:rsidRPr="00A574D1">
              <w:rPr>
                <w:rFonts w:ascii="Calibri" w:eastAsia="Times New Roman" w:hAnsi="Calibri" w:cs="Times New Roman"/>
                <w:color w:val="FFFFFF"/>
                <w:sz w:val="16"/>
                <w:szCs w:val="16"/>
              </w:rPr>
              <w:t>2</w:t>
            </w:r>
          </w:p>
        </w:tc>
        <w:tc>
          <w:tcPr>
            <w:tcW w:w="701" w:type="dxa"/>
            <w:tcBorders>
              <w:top w:val="single" w:sz="4" w:space="0" w:color="auto"/>
              <w:left w:val="nil"/>
              <w:bottom w:val="single" w:sz="4" w:space="0" w:color="auto"/>
              <w:right w:val="single" w:sz="4" w:space="0" w:color="auto"/>
            </w:tcBorders>
            <w:shd w:val="clear" w:color="000000" w:fill="000000"/>
            <w:noWrap/>
            <w:vAlign w:val="bottom"/>
            <w:hideMark/>
          </w:tcPr>
          <w:p w14:paraId="12E4BF23" w14:textId="77777777" w:rsidR="00C27EDE" w:rsidRPr="00A574D1" w:rsidRDefault="00C27EDE" w:rsidP="005A571B">
            <w:pPr>
              <w:jc w:val="right"/>
              <w:rPr>
                <w:rFonts w:ascii="Calibri" w:eastAsia="Times New Roman" w:hAnsi="Calibri" w:cs="Times New Roman"/>
                <w:color w:val="FFFFFF"/>
                <w:sz w:val="16"/>
                <w:szCs w:val="16"/>
              </w:rPr>
            </w:pPr>
            <w:r w:rsidRPr="00A574D1">
              <w:rPr>
                <w:rFonts w:ascii="Calibri" w:eastAsia="Times New Roman" w:hAnsi="Calibri" w:cs="Times New Roman"/>
                <w:color w:val="FFFFFF"/>
                <w:sz w:val="16"/>
                <w:szCs w:val="16"/>
              </w:rPr>
              <w:t>3</w:t>
            </w:r>
          </w:p>
        </w:tc>
      </w:tr>
      <w:tr w:rsidR="00C27EDE" w:rsidRPr="00A574D1" w14:paraId="03514AFF"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30ADFFF"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ABCA12</w:t>
            </w:r>
          </w:p>
        </w:tc>
        <w:tc>
          <w:tcPr>
            <w:tcW w:w="603" w:type="dxa"/>
            <w:tcBorders>
              <w:top w:val="nil"/>
              <w:left w:val="nil"/>
              <w:bottom w:val="single" w:sz="4" w:space="0" w:color="auto"/>
              <w:right w:val="single" w:sz="4" w:space="0" w:color="auto"/>
            </w:tcBorders>
            <w:shd w:val="clear" w:color="auto" w:fill="auto"/>
            <w:noWrap/>
            <w:vAlign w:val="bottom"/>
            <w:hideMark/>
          </w:tcPr>
          <w:p w14:paraId="63401E9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-3.22</w:t>
            </w:r>
          </w:p>
        </w:tc>
        <w:tc>
          <w:tcPr>
            <w:tcW w:w="701" w:type="dxa"/>
            <w:tcBorders>
              <w:top w:val="nil"/>
              <w:left w:val="nil"/>
              <w:bottom w:val="single" w:sz="4" w:space="0" w:color="auto"/>
              <w:right w:val="single" w:sz="4" w:space="0" w:color="auto"/>
            </w:tcBorders>
            <w:shd w:val="clear" w:color="auto" w:fill="auto"/>
            <w:noWrap/>
            <w:vAlign w:val="bottom"/>
            <w:hideMark/>
          </w:tcPr>
          <w:p w14:paraId="2DE16DD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-2.15</w:t>
            </w:r>
          </w:p>
        </w:tc>
        <w:tc>
          <w:tcPr>
            <w:tcW w:w="701" w:type="dxa"/>
            <w:tcBorders>
              <w:top w:val="nil"/>
              <w:left w:val="nil"/>
              <w:bottom w:val="single" w:sz="4" w:space="0" w:color="auto"/>
              <w:right w:val="single" w:sz="4" w:space="0" w:color="auto"/>
            </w:tcBorders>
            <w:shd w:val="clear" w:color="auto" w:fill="auto"/>
            <w:noWrap/>
            <w:vAlign w:val="bottom"/>
            <w:hideMark/>
          </w:tcPr>
          <w:p w14:paraId="3C40217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-3.98</w:t>
            </w:r>
          </w:p>
        </w:tc>
      </w:tr>
      <w:tr w:rsidR="00C27EDE" w:rsidRPr="00A574D1" w14:paraId="4955CABD"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0B6CDE9"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ACTA2</w:t>
            </w:r>
          </w:p>
        </w:tc>
        <w:tc>
          <w:tcPr>
            <w:tcW w:w="603" w:type="dxa"/>
            <w:tcBorders>
              <w:top w:val="nil"/>
              <w:left w:val="nil"/>
              <w:bottom w:val="single" w:sz="4" w:space="0" w:color="auto"/>
              <w:right w:val="single" w:sz="4" w:space="0" w:color="auto"/>
            </w:tcBorders>
            <w:shd w:val="clear" w:color="auto" w:fill="auto"/>
            <w:noWrap/>
            <w:vAlign w:val="bottom"/>
            <w:hideMark/>
          </w:tcPr>
          <w:p w14:paraId="6006431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-3.49</w:t>
            </w:r>
          </w:p>
        </w:tc>
        <w:tc>
          <w:tcPr>
            <w:tcW w:w="701" w:type="dxa"/>
            <w:tcBorders>
              <w:top w:val="nil"/>
              <w:left w:val="nil"/>
              <w:bottom w:val="single" w:sz="4" w:space="0" w:color="auto"/>
              <w:right w:val="single" w:sz="4" w:space="0" w:color="auto"/>
            </w:tcBorders>
            <w:shd w:val="clear" w:color="auto" w:fill="auto"/>
            <w:noWrap/>
            <w:vAlign w:val="bottom"/>
            <w:hideMark/>
          </w:tcPr>
          <w:p w14:paraId="6B493D05"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-2.87</w:t>
            </w:r>
          </w:p>
        </w:tc>
        <w:tc>
          <w:tcPr>
            <w:tcW w:w="701" w:type="dxa"/>
            <w:tcBorders>
              <w:top w:val="nil"/>
              <w:left w:val="nil"/>
              <w:bottom w:val="single" w:sz="4" w:space="0" w:color="auto"/>
              <w:right w:val="single" w:sz="4" w:space="0" w:color="auto"/>
            </w:tcBorders>
            <w:shd w:val="clear" w:color="auto" w:fill="auto"/>
            <w:noWrap/>
            <w:vAlign w:val="bottom"/>
            <w:hideMark/>
          </w:tcPr>
          <w:p w14:paraId="73B6DD5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-2.59</w:t>
            </w:r>
          </w:p>
        </w:tc>
      </w:tr>
      <w:tr w:rsidR="00C27EDE" w:rsidRPr="00A574D1" w14:paraId="4C8BAFB2"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B4F8BCC"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ATXN7L3B</w:t>
            </w:r>
          </w:p>
        </w:tc>
        <w:tc>
          <w:tcPr>
            <w:tcW w:w="603" w:type="dxa"/>
            <w:tcBorders>
              <w:top w:val="nil"/>
              <w:left w:val="nil"/>
              <w:bottom w:val="single" w:sz="4" w:space="0" w:color="auto"/>
              <w:right w:val="single" w:sz="4" w:space="0" w:color="auto"/>
            </w:tcBorders>
            <w:shd w:val="clear" w:color="auto" w:fill="auto"/>
            <w:noWrap/>
            <w:vAlign w:val="bottom"/>
            <w:hideMark/>
          </w:tcPr>
          <w:p w14:paraId="35B31AD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-2.57</w:t>
            </w:r>
          </w:p>
        </w:tc>
        <w:tc>
          <w:tcPr>
            <w:tcW w:w="701" w:type="dxa"/>
            <w:tcBorders>
              <w:top w:val="nil"/>
              <w:left w:val="nil"/>
              <w:bottom w:val="single" w:sz="4" w:space="0" w:color="auto"/>
              <w:right w:val="single" w:sz="4" w:space="0" w:color="auto"/>
            </w:tcBorders>
            <w:shd w:val="clear" w:color="auto" w:fill="auto"/>
            <w:noWrap/>
            <w:vAlign w:val="bottom"/>
            <w:hideMark/>
          </w:tcPr>
          <w:p w14:paraId="33190B7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-2.04</w:t>
            </w:r>
          </w:p>
        </w:tc>
        <w:tc>
          <w:tcPr>
            <w:tcW w:w="701" w:type="dxa"/>
            <w:tcBorders>
              <w:top w:val="nil"/>
              <w:left w:val="nil"/>
              <w:bottom w:val="single" w:sz="4" w:space="0" w:color="auto"/>
              <w:right w:val="single" w:sz="4" w:space="0" w:color="auto"/>
            </w:tcBorders>
            <w:shd w:val="clear" w:color="auto" w:fill="auto"/>
            <w:noWrap/>
            <w:vAlign w:val="bottom"/>
            <w:hideMark/>
          </w:tcPr>
          <w:p w14:paraId="62D97C8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-2.43</w:t>
            </w:r>
          </w:p>
        </w:tc>
      </w:tr>
      <w:tr w:rsidR="00C27EDE" w:rsidRPr="00A574D1" w14:paraId="2B4981E9"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5E01948"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BAMBI</w:t>
            </w:r>
          </w:p>
        </w:tc>
        <w:tc>
          <w:tcPr>
            <w:tcW w:w="603" w:type="dxa"/>
            <w:tcBorders>
              <w:top w:val="nil"/>
              <w:left w:val="nil"/>
              <w:bottom w:val="single" w:sz="4" w:space="0" w:color="auto"/>
              <w:right w:val="single" w:sz="4" w:space="0" w:color="auto"/>
            </w:tcBorders>
            <w:shd w:val="clear" w:color="auto" w:fill="auto"/>
            <w:noWrap/>
            <w:vAlign w:val="bottom"/>
            <w:hideMark/>
          </w:tcPr>
          <w:p w14:paraId="21369BE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-3.52</w:t>
            </w:r>
          </w:p>
        </w:tc>
        <w:tc>
          <w:tcPr>
            <w:tcW w:w="701" w:type="dxa"/>
            <w:tcBorders>
              <w:top w:val="nil"/>
              <w:left w:val="nil"/>
              <w:bottom w:val="single" w:sz="4" w:space="0" w:color="auto"/>
              <w:right w:val="single" w:sz="4" w:space="0" w:color="auto"/>
            </w:tcBorders>
            <w:shd w:val="clear" w:color="auto" w:fill="auto"/>
            <w:noWrap/>
            <w:vAlign w:val="bottom"/>
            <w:hideMark/>
          </w:tcPr>
          <w:p w14:paraId="4708927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-3.35</w:t>
            </w:r>
          </w:p>
        </w:tc>
        <w:tc>
          <w:tcPr>
            <w:tcW w:w="701" w:type="dxa"/>
            <w:tcBorders>
              <w:top w:val="nil"/>
              <w:left w:val="nil"/>
              <w:bottom w:val="single" w:sz="4" w:space="0" w:color="auto"/>
              <w:right w:val="single" w:sz="4" w:space="0" w:color="auto"/>
            </w:tcBorders>
            <w:shd w:val="clear" w:color="auto" w:fill="auto"/>
            <w:noWrap/>
            <w:vAlign w:val="bottom"/>
            <w:hideMark/>
          </w:tcPr>
          <w:p w14:paraId="2EE89283"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-2.86</w:t>
            </w:r>
          </w:p>
        </w:tc>
      </w:tr>
      <w:tr w:rsidR="00C27EDE" w:rsidRPr="00A574D1" w14:paraId="4266FB3D"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E0984B6"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C12orf76</w:t>
            </w:r>
          </w:p>
        </w:tc>
        <w:tc>
          <w:tcPr>
            <w:tcW w:w="603" w:type="dxa"/>
            <w:tcBorders>
              <w:top w:val="nil"/>
              <w:left w:val="nil"/>
              <w:bottom w:val="single" w:sz="4" w:space="0" w:color="auto"/>
              <w:right w:val="single" w:sz="4" w:space="0" w:color="auto"/>
            </w:tcBorders>
            <w:shd w:val="clear" w:color="auto" w:fill="auto"/>
            <w:noWrap/>
            <w:vAlign w:val="bottom"/>
            <w:hideMark/>
          </w:tcPr>
          <w:p w14:paraId="0E35156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-2.99</w:t>
            </w:r>
          </w:p>
        </w:tc>
        <w:tc>
          <w:tcPr>
            <w:tcW w:w="701" w:type="dxa"/>
            <w:tcBorders>
              <w:top w:val="nil"/>
              <w:left w:val="nil"/>
              <w:bottom w:val="single" w:sz="4" w:space="0" w:color="auto"/>
              <w:right w:val="single" w:sz="4" w:space="0" w:color="auto"/>
            </w:tcBorders>
            <w:shd w:val="clear" w:color="auto" w:fill="auto"/>
            <w:noWrap/>
            <w:vAlign w:val="bottom"/>
            <w:hideMark/>
          </w:tcPr>
          <w:p w14:paraId="25820D38"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-3.82</w:t>
            </w:r>
          </w:p>
        </w:tc>
        <w:tc>
          <w:tcPr>
            <w:tcW w:w="701" w:type="dxa"/>
            <w:tcBorders>
              <w:top w:val="nil"/>
              <w:left w:val="nil"/>
              <w:bottom w:val="single" w:sz="4" w:space="0" w:color="auto"/>
              <w:right w:val="single" w:sz="4" w:space="0" w:color="auto"/>
            </w:tcBorders>
            <w:shd w:val="clear" w:color="auto" w:fill="auto"/>
            <w:noWrap/>
            <w:vAlign w:val="bottom"/>
            <w:hideMark/>
          </w:tcPr>
          <w:p w14:paraId="0941F52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-2.15</w:t>
            </w:r>
          </w:p>
        </w:tc>
      </w:tr>
      <w:tr w:rsidR="00C27EDE" w:rsidRPr="00A574D1" w14:paraId="105517BE"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3C128BB"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CDKN1A</w:t>
            </w:r>
          </w:p>
        </w:tc>
        <w:tc>
          <w:tcPr>
            <w:tcW w:w="603" w:type="dxa"/>
            <w:tcBorders>
              <w:top w:val="nil"/>
              <w:left w:val="nil"/>
              <w:bottom w:val="single" w:sz="4" w:space="0" w:color="auto"/>
              <w:right w:val="single" w:sz="4" w:space="0" w:color="auto"/>
            </w:tcBorders>
            <w:shd w:val="clear" w:color="auto" w:fill="auto"/>
            <w:noWrap/>
            <w:vAlign w:val="bottom"/>
            <w:hideMark/>
          </w:tcPr>
          <w:p w14:paraId="2444520C"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-2.67</w:t>
            </w:r>
          </w:p>
        </w:tc>
        <w:tc>
          <w:tcPr>
            <w:tcW w:w="701" w:type="dxa"/>
            <w:tcBorders>
              <w:top w:val="nil"/>
              <w:left w:val="nil"/>
              <w:bottom w:val="single" w:sz="4" w:space="0" w:color="auto"/>
              <w:right w:val="single" w:sz="4" w:space="0" w:color="auto"/>
            </w:tcBorders>
            <w:shd w:val="clear" w:color="auto" w:fill="auto"/>
            <w:noWrap/>
            <w:vAlign w:val="bottom"/>
            <w:hideMark/>
          </w:tcPr>
          <w:p w14:paraId="6C0C4E1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-4.44</w:t>
            </w:r>
          </w:p>
        </w:tc>
        <w:tc>
          <w:tcPr>
            <w:tcW w:w="701" w:type="dxa"/>
            <w:tcBorders>
              <w:top w:val="nil"/>
              <w:left w:val="nil"/>
              <w:bottom w:val="single" w:sz="4" w:space="0" w:color="auto"/>
              <w:right w:val="single" w:sz="4" w:space="0" w:color="auto"/>
            </w:tcBorders>
            <w:shd w:val="clear" w:color="auto" w:fill="auto"/>
            <w:noWrap/>
            <w:vAlign w:val="bottom"/>
            <w:hideMark/>
          </w:tcPr>
          <w:p w14:paraId="2F1D410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-4.57</w:t>
            </w:r>
          </w:p>
        </w:tc>
      </w:tr>
      <w:tr w:rsidR="00C27EDE" w:rsidRPr="00A574D1" w14:paraId="319F097C"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B7C9836"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CEACAM1</w:t>
            </w:r>
          </w:p>
        </w:tc>
        <w:tc>
          <w:tcPr>
            <w:tcW w:w="603" w:type="dxa"/>
            <w:tcBorders>
              <w:top w:val="nil"/>
              <w:left w:val="nil"/>
              <w:bottom w:val="single" w:sz="4" w:space="0" w:color="auto"/>
              <w:right w:val="single" w:sz="4" w:space="0" w:color="auto"/>
            </w:tcBorders>
            <w:shd w:val="clear" w:color="auto" w:fill="auto"/>
            <w:noWrap/>
            <w:vAlign w:val="bottom"/>
            <w:hideMark/>
          </w:tcPr>
          <w:p w14:paraId="65E80E55"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-3.14</w:t>
            </w:r>
          </w:p>
        </w:tc>
        <w:tc>
          <w:tcPr>
            <w:tcW w:w="701" w:type="dxa"/>
            <w:tcBorders>
              <w:top w:val="nil"/>
              <w:left w:val="nil"/>
              <w:bottom w:val="single" w:sz="4" w:space="0" w:color="auto"/>
              <w:right w:val="single" w:sz="4" w:space="0" w:color="auto"/>
            </w:tcBorders>
            <w:shd w:val="clear" w:color="auto" w:fill="auto"/>
            <w:noWrap/>
            <w:vAlign w:val="bottom"/>
            <w:hideMark/>
          </w:tcPr>
          <w:p w14:paraId="127AADF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-4.44</w:t>
            </w:r>
          </w:p>
        </w:tc>
        <w:tc>
          <w:tcPr>
            <w:tcW w:w="701" w:type="dxa"/>
            <w:tcBorders>
              <w:top w:val="nil"/>
              <w:left w:val="nil"/>
              <w:bottom w:val="single" w:sz="4" w:space="0" w:color="auto"/>
              <w:right w:val="single" w:sz="4" w:space="0" w:color="auto"/>
            </w:tcBorders>
            <w:shd w:val="clear" w:color="auto" w:fill="auto"/>
            <w:noWrap/>
            <w:vAlign w:val="bottom"/>
            <w:hideMark/>
          </w:tcPr>
          <w:p w14:paraId="0771BE5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-3.57</w:t>
            </w:r>
          </w:p>
        </w:tc>
      </w:tr>
      <w:tr w:rsidR="00C27EDE" w:rsidRPr="00A574D1" w14:paraId="09579C59"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D3BAEA4"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COL17A1</w:t>
            </w:r>
          </w:p>
        </w:tc>
        <w:tc>
          <w:tcPr>
            <w:tcW w:w="603" w:type="dxa"/>
            <w:tcBorders>
              <w:top w:val="nil"/>
              <w:left w:val="nil"/>
              <w:bottom w:val="single" w:sz="4" w:space="0" w:color="auto"/>
              <w:right w:val="single" w:sz="4" w:space="0" w:color="auto"/>
            </w:tcBorders>
            <w:shd w:val="clear" w:color="auto" w:fill="auto"/>
            <w:noWrap/>
            <w:vAlign w:val="bottom"/>
            <w:hideMark/>
          </w:tcPr>
          <w:p w14:paraId="35A7A63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-2.36</w:t>
            </w:r>
          </w:p>
        </w:tc>
        <w:tc>
          <w:tcPr>
            <w:tcW w:w="701" w:type="dxa"/>
            <w:tcBorders>
              <w:top w:val="nil"/>
              <w:left w:val="nil"/>
              <w:bottom w:val="single" w:sz="4" w:space="0" w:color="auto"/>
              <w:right w:val="single" w:sz="4" w:space="0" w:color="auto"/>
            </w:tcBorders>
            <w:shd w:val="clear" w:color="auto" w:fill="auto"/>
            <w:noWrap/>
            <w:vAlign w:val="bottom"/>
            <w:hideMark/>
          </w:tcPr>
          <w:p w14:paraId="7B9F6CC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-2.35</w:t>
            </w:r>
          </w:p>
        </w:tc>
        <w:tc>
          <w:tcPr>
            <w:tcW w:w="701" w:type="dxa"/>
            <w:tcBorders>
              <w:top w:val="nil"/>
              <w:left w:val="nil"/>
              <w:bottom w:val="single" w:sz="4" w:space="0" w:color="auto"/>
              <w:right w:val="single" w:sz="4" w:space="0" w:color="auto"/>
            </w:tcBorders>
            <w:shd w:val="clear" w:color="auto" w:fill="auto"/>
            <w:noWrap/>
            <w:vAlign w:val="bottom"/>
            <w:hideMark/>
          </w:tcPr>
          <w:p w14:paraId="2E1C28D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-3.78</w:t>
            </w:r>
          </w:p>
        </w:tc>
      </w:tr>
      <w:tr w:rsidR="00C27EDE" w:rsidRPr="00A574D1" w14:paraId="7B7F5B42"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115A674"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COL6A1</w:t>
            </w:r>
          </w:p>
        </w:tc>
        <w:tc>
          <w:tcPr>
            <w:tcW w:w="603" w:type="dxa"/>
            <w:tcBorders>
              <w:top w:val="nil"/>
              <w:left w:val="nil"/>
              <w:bottom w:val="single" w:sz="4" w:space="0" w:color="auto"/>
              <w:right w:val="single" w:sz="4" w:space="0" w:color="auto"/>
            </w:tcBorders>
            <w:shd w:val="clear" w:color="auto" w:fill="auto"/>
            <w:noWrap/>
            <w:vAlign w:val="bottom"/>
            <w:hideMark/>
          </w:tcPr>
          <w:p w14:paraId="369F526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-2.36</w:t>
            </w:r>
          </w:p>
        </w:tc>
        <w:tc>
          <w:tcPr>
            <w:tcW w:w="701" w:type="dxa"/>
            <w:tcBorders>
              <w:top w:val="nil"/>
              <w:left w:val="nil"/>
              <w:bottom w:val="single" w:sz="4" w:space="0" w:color="auto"/>
              <w:right w:val="single" w:sz="4" w:space="0" w:color="auto"/>
            </w:tcBorders>
            <w:shd w:val="clear" w:color="auto" w:fill="auto"/>
            <w:noWrap/>
            <w:vAlign w:val="bottom"/>
            <w:hideMark/>
          </w:tcPr>
          <w:p w14:paraId="192853D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-3.12</w:t>
            </w:r>
          </w:p>
        </w:tc>
        <w:tc>
          <w:tcPr>
            <w:tcW w:w="701" w:type="dxa"/>
            <w:tcBorders>
              <w:top w:val="nil"/>
              <w:left w:val="nil"/>
              <w:bottom w:val="single" w:sz="4" w:space="0" w:color="auto"/>
              <w:right w:val="single" w:sz="4" w:space="0" w:color="auto"/>
            </w:tcBorders>
            <w:shd w:val="clear" w:color="auto" w:fill="auto"/>
            <w:noWrap/>
            <w:vAlign w:val="bottom"/>
            <w:hideMark/>
          </w:tcPr>
          <w:p w14:paraId="3B24528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-2.86</w:t>
            </w:r>
          </w:p>
        </w:tc>
      </w:tr>
      <w:tr w:rsidR="00C27EDE" w:rsidRPr="00A574D1" w14:paraId="3ACCBD54"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FDCFF17"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CPA4</w:t>
            </w:r>
          </w:p>
        </w:tc>
        <w:tc>
          <w:tcPr>
            <w:tcW w:w="603" w:type="dxa"/>
            <w:tcBorders>
              <w:top w:val="nil"/>
              <w:left w:val="nil"/>
              <w:bottom w:val="single" w:sz="4" w:space="0" w:color="auto"/>
              <w:right w:val="single" w:sz="4" w:space="0" w:color="auto"/>
            </w:tcBorders>
            <w:shd w:val="clear" w:color="auto" w:fill="auto"/>
            <w:noWrap/>
            <w:vAlign w:val="bottom"/>
            <w:hideMark/>
          </w:tcPr>
          <w:p w14:paraId="3C3308F8"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-2.81</w:t>
            </w:r>
          </w:p>
        </w:tc>
        <w:tc>
          <w:tcPr>
            <w:tcW w:w="701" w:type="dxa"/>
            <w:tcBorders>
              <w:top w:val="nil"/>
              <w:left w:val="nil"/>
              <w:bottom w:val="single" w:sz="4" w:space="0" w:color="auto"/>
              <w:right w:val="single" w:sz="4" w:space="0" w:color="auto"/>
            </w:tcBorders>
            <w:shd w:val="clear" w:color="auto" w:fill="auto"/>
            <w:noWrap/>
            <w:vAlign w:val="bottom"/>
            <w:hideMark/>
          </w:tcPr>
          <w:p w14:paraId="0CEBF65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-2.41</w:t>
            </w:r>
          </w:p>
        </w:tc>
        <w:tc>
          <w:tcPr>
            <w:tcW w:w="701" w:type="dxa"/>
            <w:tcBorders>
              <w:top w:val="nil"/>
              <w:left w:val="nil"/>
              <w:bottom w:val="single" w:sz="4" w:space="0" w:color="auto"/>
              <w:right w:val="single" w:sz="4" w:space="0" w:color="auto"/>
            </w:tcBorders>
            <w:shd w:val="clear" w:color="auto" w:fill="auto"/>
            <w:noWrap/>
            <w:vAlign w:val="bottom"/>
            <w:hideMark/>
          </w:tcPr>
          <w:p w14:paraId="53568F85"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-2.31</w:t>
            </w:r>
          </w:p>
        </w:tc>
      </w:tr>
      <w:tr w:rsidR="00C27EDE" w:rsidRPr="00A574D1" w14:paraId="371C2D53"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B881B74"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DKK1</w:t>
            </w:r>
          </w:p>
        </w:tc>
        <w:tc>
          <w:tcPr>
            <w:tcW w:w="603" w:type="dxa"/>
            <w:tcBorders>
              <w:top w:val="nil"/>
              <w:left w:val="nil"/>
              <w:bottom w:val="single" w:sz="4" w:space="0" w:color="auto"/>
              <w:right w:val="single" w:sz="4" w:space="0" w:color="auto"/>
            </w:tcBorders>
            <w:shd w:val="clear" w:color="auto" w:fill="auto"/>
            <w:noWrap/>
            <w:vAlign w:val="bottom"/>
            <w:hideMark/>
          </w:tcPr>
          <w:p w14:paraId="0F92061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-2.35</w:t>
            </w:r>
          </w:p>
        </w:tc>
        <w:tc>
          <w:tcPr>
            <w:tcW w:w="701" w:type="dxa"/>
            <w:tcBorders>
              <w:top w:val="nil"/>
              <w:left w:val="nil"/>
              <w:bottom w:val="single" w:sz="4" w:space="0" w:color="auto"/>
              <w:right w:val="single" w:sz="4" w:space="0" w:color="auto"/>
            </w:tcBorders>
            <w:shd w:val="clear" w:color="auto" w:fill="auto"/>
            <w:noWrap/>
            <w:vAlign w:val="bottom"/>
            <w:hideMark/>
          </w:tcPr>
          <w:p w14:paraId="7001394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-2.07</w:t>
            </w:r>
          </w:p>
        </w:tc>
        <w:tc>
          <w:tcPr>
            <w:tcW w:w="701" w:type="dxa"/>
            <w:tcBorders>
              <w:top w:val="nil"/>
              <w:left w:val="nil"/>
              <w:bottom w:val="single" w:sz="4" w:space="0" w:color="auto"/>
              <w:right w:val="single" w:sz="4" w:space="0" w:color="auto"/>
            </w:tcBorders>
            <w:shd w:val="clear" w:color="auto" w:fill="auto"/>
            <w:noWrap/>
            <w:vAlign w:val="bottom"/>
            <w:hideMark/>
          </w:tcPr>
          <w:p w14:paraId="79FE980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-2.22</w:t>
            </w:r>
          </w:p>
        </w:tc>
      </w:tr>
      <w:tr w:rsidR="00C27EDE" w:rsidRPr="00A574D1" w14:paraId="7F74F2C9"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F0393B5"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DOCK4</w:t>
            </w:r>
          </w:p>
        </w:tc>
        <w:tc>
          <w:tcPr>
            <w:tcW w:w="603" w:type="dxa"/>
            <w:tcBorders>
              <w:top w:val="nil"/>
              <w:left w:val="nil"/>
              <w:bottom w:val="single" w:sz="4" w:space="0" w:color="auto"/>
              <w:right w:val="single" w:sz="4" w:space="0" w:color="auto"/>
            </w:tcBorders>
            <w:shd w:val="clear" w:color="auto" w:fill="auto"/>
            <w:noWrap/>
            <w:vAlign w:val="bottom"/>
            <w:hideMark/>
          </w:tcPr>
          <w:p w14:paraId="5746565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-3.15</w:t>
            </w:r>
          </w:p>
        </w:tc>
        <w:tc>
          <w:tcPr>
            <w:tcW w:w="701" w:type="dxa"/>
            <w:tcBorders>
              <w:top w:val="nil"/>
              <w:left w:val="nil"/>
              <w:bottom w:val="single" w:sz="4" w:space="0" w:color="auto"/>
              <w:right w:val="single" w:sz="4" w:space="0" w:color="auto"/>
            </w:tcBorders>
            <w:shd w:val="clear" w:color="auto" w:fill="auto"/>
            <w:noWrap/>
            <w:vAlign w:val="bottom"/>
            <w:hideMark/>
          </w:tcPr>
          <w:p w14:paraId="406AAA9C"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-2.59</w:t>
            </w:r>
          </w:p>
        </w:tc>
        <w:tc>
          <w:tcPr>
            <w:tcW w:w="701" w:type="dxa"/>
            <w:tcBorders>
              <w:top w:val="nil"/>
              <w:left w:val="nil"/>
              <w:bottom w:val="single" w:sz="4" w:space="0" w:color="auto"/>
              <w:right w:val="single" w:sz="4" w:space="0" w:color="auto"/>
            </w:tcBorders>
            <w:shd w:val="clear" w:color="auto" w:fill="auto"/>
            <w:noWrap/>
            <w:vAlign w:val="bottom"/>
            <w:hideMark/>
          </w:tcPr>
          <w:p w14:paraId="571FF13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-2.34</w:t>
            </w:r>
          </w:p>
        </w:tc>
      </w:tr>
      <w:tr w:rsidR="00C27EDE" w:rsidRPr="00A574D1" w14:paraId="2C876A1F"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493113D"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FDXR</w:t>
            </w:r>
          </w:p>
        </w:tc>
        <w:tc>
          <w:tcPr>
            <w:tcW w:w="603" w:type="dxa"/>
            <w:tcBorders>
              <w:top w:val="nil"/>
              <w:left w:val="nil"/>
              <w:bottom w:val="single" w:sz="4" w:space="0" w:color="auto"/>
              <w:right w:val="single" w:sz="4" w:space="0" w:color="auto"/>
            </w:tcBorders>
            <w:shd w:val="clear" w:color="auto" w:fill="auto"/>
            <w:noWrap/>
            <w:vAlign w:val="bottom"/>
            <w:hideMark/>
          </w:tcPr>
          <w:p w14:paraId="590933B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-2.17</w:t>
            </w:r>
          </w:p>
        </w:tc>
        <w:tc>
          <w:tcPr>
            <w:tcW w:w="701" w:type="dxa"/>
            <w:tcBorders>
              <w:top w:val="nil"/>
              <w:left w:val="nil"/>
              <w:bottom w:val="single" w:sz="4" w:space="0" w:color="auto"/>
              <w:right w:val="single" w:sz="4" w:space="0" w:color="auto"/>
            </w:tcBorders>
            <w:shd w:val="clear" w:color="auto" w:fill="auto"/>
            <w:noWrap/>
            <w:vAlign w:val="bottom"/>
            <w:hideMark/>
          </w:tcPr>
          <w:p w14:paraId="5110E1A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-2.08</w:t>
            </w:r>
          </w:p>
        </w:tc>
        <w:tc>
          <w:tcPr>
            <w:tcW w:w="701" w:type="dxa"/>
            <w:tcBorders>
              <w:top w:val="nil"/>
              <w:left w:val="nil"/>
              <w:bottom w:val="single" w:sz="4" w:space="0" w:color="auto"/>
              <w:right w:val="single" w:sz="4" w:space="0" w:color="auto"/>
            </w:tcBorders>
            <w:shd w:val="clear" w:color="auto" w:fill="auto"/>
            <w:noWrap/>
            <w:vAlign w:val="bottom"/>
            <w:hideMark/>
          </w:tcPr>
          <w:p w14:paraId="0FAE4B3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-2.22</w:t>
            </w:r>
          </w:p>
        </w:tc>
      </w:tr>
      <w:tr w:rsidR="00C27EDE" w:rsidRPr="00A574D1" w14:paraId="262EEFF9"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1FF0080"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FDXR</w:t>
            </w:r>
          </w:p>
        </w:tc>
        <w:tc>
          <w:tcPr>
            <w:tcW w:w="603" w:type="dxa"/>
            <w:tcBorders>
              <w:top w:val="nil"/>
              <w:left w:val="nil"/>
              <w:bottom w:val="single" w:sz="4" w:space="0" w:color="auto"/>
              <w:right w:val="single" w:sz="4" w:space="0" w:color="auto"/>
            </w:tcBorders>
            <w:shd w:val="clear" w:color="auto" w:fill="auto"/>
            <w:noWrap/>
            <w:vAlign w:val="bottom"/>
            <w:hideMark/>
          </w:tcPr>
          <w:p w14:paraId="0EC31528"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-2.03</w:t>
            </w:r>
          </w:p>
        </w:tc>
        <w:tc>
          <w:tcPr>
            <w:tcW w:w="701" w:type="dxa"/>
            <w:tcBorders>
              <w:top w:val="nil"/>
              <w:left w:val="nil"/>
              <w:bottom w:val="single" w:sz="4" w:space="0" w:color="auto"/>
              <w:right w:val="single" w:sz="4" w:space="0" w:color="auto"/>
            </w:tcBorders>
            <w:shd w:val="clear" w:color="auto" w:fill="auto"/>
            <w:noWrap/>
            <w:vAlign w:val="bottom"/>
            <w:hideMark/>
          </w:tcPr>
          <w:p w14:paraId="6D0F4D2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-2.72</w:t>
            </w:r>
          </w:p>
        </w:tc>
        <w:tc>
          <w:tcPr>
            <w:tcW w:w="701" w:type="dxa"/>
            <w:tcBorders>
              <w:top w:val="nil"/>
              <w:left w:val="nil"/>
              <w:bottom w:val="single" w:sz="4" w:space="0" w:color="auto"/>
              <w:right w:val="single" w:sz="4" w:space="0" w:color="auto"/>
            </w:tcBorders>
            <w:shd w:val="clear" w:color="auto" w:fill="auto"/>
            <w:noWrap/>
            <w:vAlign w:val="bottom"/>
            <w:hideMark/>
          </w:tcPr>
          <w:p w14:paraId="7F100F7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-3.6</w:t>
            </w:r>
          </w:p>
        </w:tc>
      </w:tr>
      <w:tr w:rsidR="00C27EDE" w:rsidRPr="00A574D1" w14:paraId="5E3695B7"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1B8FAE5"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FGFBP1</w:t>
            </w:r>
          </w:p>
        </w:tc>
        <w:tc>
          <w:tcPr>
            <w:tcW w:w="603" w:type="dxa"/>
            <w:tcBorders>
              <w:top w:val="nil"/>
              <w:left w:val="nil"/>
              <w:bottom w:val="single" w:sz="4" w:space="0" w:color="auto"/>
              <w:right w:val="single" w:sz="4" w:space="0" w:color="auto"/>
            </w:tcBorders>
            <w:shd w:val="clear" w:color="auto" w:fill="auto"/>
            <w:noWrap/>
            <w:vAlign w:val="bottom"/>
            <w:hideMark/>
          </w:tcPr>
          <w:p w14:paraId="607E226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-4.77</w:t>
            </w:r>
          </w:p>
        </w:tc>
        <w:tc>
          <w:tcPr>
            <w:tcW w:w="701" w:type="dxa"/>
            <w:tcBorders>
              <w:top w:val="nil"/>
              <w:left w:val="nil"/>
              <w:bottom w:val="single" w:sz="4" w:space="0" w:color="auto"/>
              <w:right w:val="single" w:sz="4" w:space="0" w:color="auto"/>
            </w:tcBorders>
            <w:shd w:val="clear" w:color="auto" w:fill="auto"/>
            <w:noWrap/>
            <w:vAlign w:val="bottom"/>
            <w:hideMark/>
          </w:tcPr>
          <w:p w14:paraId="61FB4D3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-5.76</w:t>
            </w:r>
          </w:p>
        </w:tc>
        <w:tc>
          <w:tcPr>
            <w:tcW w:w="701" w:type="dxa"/>
            <w:tcBorders>
              <w:top w:val="nil"/>
              <w:left w:val="nil"/>
              <w:bottom w:val="single" w:sz="4" w:space="0" w:color="auto"/>
              <w:right w:val="single" w:sz="4" w:space="0" w:color="auto"/>
            </w:tcBorders>
            <w:shd w:val="clear" w:color="auto" w:fill="auto"/>
            <w:noWrap/>
            <w:vAlign w:val="bottom"/>
            <w:hideMark/>
          </w:tcPr>
          <w:p w14:paraId="00CD475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-5.06</w:t>
            </w:r>
          </w:p>
        </w:tc>
      </w:tr>
      <w:tr w:rsidR="00C27EDE" w:rsidRPr="00A574D1" w14:paraId="665CDC71"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F1A87C3"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GPR137B</w:t>
            </w:r>
          </w:p>
        </w:tc>
        <w:tc>
          <w:tcPr>
            <w:tcW w:w="603" w:type="dxa"/>
            <w:tcBorders>
              <w:top w:val="nil"/>
              <w:left w:val="nil"/>
              <w:bottom w:val="single" w:sz="4" w:space="0" w:color="auto"/>
              <w:right w:val="single" w:sz="4" w:space="0" w:color="auto"/>
            </w:tcBorders>
            <w:shd w:val="clear" w:color="auto" w:fill="auto"/>
            <w:noWrap/>
            <w:vAlign w:val="bottom"/>
            <w:hideMark/>
          </w:tcPr>
          <w:p w14:paraId="67D739E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-2.01</w:t>
            </w:r>
          </w:p>
        </w:tc>
        <w:tc>
          <w:tcPr>
            <w:tcW w:w="701" w:type="dxa"/>
            <w:tcBorders>
              <w:top w:val="nil"/>
              <w:left w:val="nil"/>
              <w:bottom w:val="single" w:sz="4" w:space="0" w:color="auto"/>
              <w:right w:val="single" w:sz="4" w:space="0" w:color="auto"/>
            </w:tcBorders>
            <w:shd w:val="clear" w:color="auto" w:fill="auto"/>
            <w:noWrap/>
            <w:vAlign w:val="bottom"/>
            <w:hideMark/>
          </w:tcPr>
          <w:p w14:paraId="46D61D2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-2.04</w:t>
            </w:r>
          </w:p>
        </w:tc>
        <w:tc>
          <w:tcPr>
            <w:tcW w:w="701" w:type="dxa"/>
            <w:tcBorders>
              <w:top w:val="nil"/>
              <w:left w:val="nil"/>
              <w:bottom w:val="single" w:sz="4" w:space="0" w:color="auto"/>
              <w:right w:val="single" w:sz="4" w:space="0" w:color="auto"/>
            </w:tcBorders>
            <w:shd w:val="clear" w:color="auto" w:fill="auto"/>
            <w:noWrap/>
            <w:vAlign w:val="bottom"/>
            <w:hideMark/>
          </w:tcPr>
          <w:p w14:paraId="1F28414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-2.26</w:t>
            </w:r>
          </w:p>
        </w:tc>
      </w:tr>
      <w:tr w:rsidR="00C27EDE" w:rsidRPr="00A574D1" w14:paraId="01B16875"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381B5DE"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GPR3</w:t>
            </w:r>
          </w:p>
        </w:tc>
        <w:tc>
          <w:tcPr>
            <w:tcW w:w="603" w:type="dxa"/>
            <w:tcBorders>
              <w:top w:val="nil"/>
              <w:left w:val="nil"/>
              <w:bottom w:val="single" w:sz="4" w:space="0" w:color="auto"/>
              <w:right w:val="single" w:sz="4" w:space="0" w:color="auto"/>
            </w:tcBorders>
            <w:shd w:val="clear" w:color="auto" w:fill="auto"/>
            <w:noWrap/>
            <w:vAlign w:val="bottom"/>
            <w:hideMark/>
          </w:tcPr>
          <w:p w14:paraId="722ABED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-3.64</w:t>
            </w:r>
          </w:p>
        </w:tc>
        <w:tc>
          <w:tcPr>
            <w:tcW w:w="701" w:type="dxa"/>
            <w:tcBorders>
              <w:top w:val="nil"/>
              <w:left w:val="nil"/>
              <w:bottom w:val="single" w:sz="4" w:space="0" w:color="auto"/>
              <w:right w:val="single" w:sz="4" w:space="0" w:color="auto"/>
            </w:tcBorders>
            <w:shd w:val="clear" w:color="auto" w:fill="auto"/>
            <w:noWrap/>
            <w:vAlign w:val="bottom"/>
            <w:hideMark/>
          </w:tcPr>
          <w:p w14:paraId="6CE7487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-4.58</w:t>
            </w:r>
          </w:p>
        </w:tc>
        <w:tc>
          <w:tcPr>
            <w:tcW w:w="701" w:type="dxa"/>
            <w:tcBorders>
              <w:top w:val="nil"/>
              <w:left w:val="nil"/>
              <w:bottom w:val="single" w:sz="4" w:space="0" w:color="auto"/>
              <w:right w:val="single" w:sz="4" w:space="0" w:color="auto"/>
            </w:tcBorders>
            <w:shd w:val="clear" w:color="auto" w:fill="auto"/>
            <w:noWrap/>
            <w:vAlign w:val="bottom"/>
            <w:hideMark/>
          </w:tcPr>
          <w:p w14:paraId="7FD3F6D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-4.72</w:t>
            </w:r>
          </w:p>
        </w:tc>
      </w:tr>
      <w:tr w:rsidR="00C27EDE" w:rsidRPr="00A574D1" w14:paraId="42720134"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E00F599"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HEXIM1</w:t>
            </w:r>
          </w:p>
        </w:tc>
        <w:tc>
          <w:tcPr>
            <w:tcW w:w="603" w:type="dxa"/>
            <w:tcBorders>
              <w:top w:val="nil"/>
              <w:left w:val="nil"/>
              <w:bottom w:val="single" w:sz="4" w:space="0" w:color="auto"/>
              <w:right w:val="single" w:sz="4" w:space="0" w:color="auto"/>
            </w:tcBorders>
            <w:shd w:val="clear" w:color="auto" w:fill="auto"/>
            <w:noWrap/>
            <w:vAlign w:val="bottom"/>
            <w:hideMark/>
          </w:tcPr>
          <w:p w14:paraId="55DA9EB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-2.74</w:t>
            </w:r>
          </w:p>
        </w:tc>
        <w:tc>
          <w:tcPr>
            <w:tcW w:w="701" w:type="dxa"/>
            <w:tcBorders>
              <w:top w:val="nil"/>
              <w:left w:val="nil"/>
              <w:bottom w:val="single" w:sz="4" w:space="0" w:color="auto"/>
              <w:right w:val="single" w:sz="4" w:space="0" w:color="auto"/>
            </w:tcBorders>
            <w:shd w:val="clear" w:color="auto" w:fill="auto"/>
            <w:noWrap/>
            <w:vAlign w:val="bottom"/>
            <w:hideMark/>
          </w:tcPr>
          <w:p w14:paraId="3F06A7F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w:t>
            </w:r>
          </w:p>
        </w:tc>
        <w:tc>
          <w:tcPr>
            <w:tcW w:w="701" w:type="dxa"/>
            <w:tcBorders>
              <w:top w:val="nil"/>
              <w:left w:val="nil"/>
              <w:bottom w:val="single" w:sz="4" w:space="0" w:color="auto"/>
              <w:right w:val="single" w:sz="4" w:space="0" w:color="auto"/>
            </w:tcBorders>
            <w:shd w:val="clear" w:color="auto" w:fill="auto"/>
            <w:noWrap/>
            <w:vAlign w:val="bottom"/>
            <w:hideMark/>
          </w:tcPr>
          <w:p w14:paraId="7D65B8D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-2.64</w:t>
            </w:r>
          </w:p>
        </w:tc>
      </w:tr>
      <w:tr w:rsidR="00C27EDE" w:rsidRPr="00A574D1" w14:paraId="56380116"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AA4F8BD"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HIPK3</w:t>
            </w:r>
          </w:p>
        </w:tc>
        <w:tc>
          <w:tcPr>
            <w:tcW w:w="603" w:type="dxa"/>
            <w:tcBorders>
              <w:top w:val="nil"/>
              <w:left w:val="nil"/>
              <w:bottom w:val="single" w:sz="4" w:space="0" w:color="auto"/>
              <w:right w:val="single" w:sz="4" w:space="0" w:color="auto"/>
            </w:tcBorders>
            <w:shd w:val="clear" w:color="auto" w:fill="auto"/>
            <w:noWrap/>
            <w:vAlign w:val="bottom"/>
            <w:hideMark/>
          </w:tcPr>
          <w:p w14:paraId="15E7442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-2.39</w:t>
            </w:r>
          </w:p>
        </w:tc>
        <w:tc>
          <w:tcPr>
            <w:tcW w:w="701" w:type="dxa"/>
            <w:tcBorders>
              <w:top w:val="nil"/>
              <w:left w:val="nil"/>
              <w:bottom w:val="single" w:sz="4" w:space="0" w:color="auto"/>
              <w:right w:val="single" w:sz="4" w:space="0" w:color="auto"/>
            </w:tcBorders>
            <w:shd w:val="clear" w:color="auto" w:fill="auto"/>
            <w:noWrap/>
            <w:vAlign w:val="bottom"/>
            <w:hideMark/>
          </w:tcPr>
          <w:p w14:paraId="642D54D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-2.29</w:t>
            </w:r>
          </w:p>
        </w:tc>
        <w:tc>
          <w:tcPr>
            <w:tcW w:w="701" w:type="dxa"/>
            <w:tcBorders>
              <w:top w:val="nil"/>
              <w:left w:val="nil"/>
              <w:bottom w:val="single" w:sz="4" w:space="0" w:color="auto"/>
              <w:right w:val="single" w:sz="4" w:space="0" w:color="auto"/>
            </w:tcBorders>
            <w:shd w:val="clear" w:color="auto" w:fill="auto"/>
            <w:noWrap/>
            <w:vAlign w:val="bottom"/>
            <w:hideMark/>
          </w:tcPr>
          <w:p w14:paraId="3A1BC3EC"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-2.55</w:t>
            </w:r>
          </w:p>
        </w:tc>
      </w:tr>
      <w:tr w:rsidR="00C27EDE" w:rsidRPr="00A574D1" w14:paraId="2CF85BF0"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D8E865A"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IFNE</w:t>
            </w:r>
          </w:p>
        </w:tc>
        <w:tc>
          <w:tcPr>
            <w:tcW w:w="603" w:type="dxa"/>
            <w:tcBorders>
              <w:top w:val="nil"/>
              <w:left w:val="nil"/>
              <w:bottom w:val="single" w:sz="4" w:space="0" w:color="auto"/>
              <w:right w:val="single" w:sz="4" w:space="0" w:color="auto"/>
            </w:tcBorders>
            <w:shd w:val="clear" w:color="auto" w:fill="auto"/>
            <w:noWrap/>
            <w:vAlign w:val="bottom"/>
            <w:hideMark/>
          </w:tcPr>
          <w:p w14:paraId="1FC510F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-2.03</w:t>
            </w:r>
          </w:p>
        </w:tc>
        <w:tc>
          <w:tcPr>
            <w:tcW w:w="701" w:type="dxa"/>
            <w:tcBorders>
              <w:top w:val="nil"/>
              <w:left w:val="nil"/>
              <w:bottom w:val="single" w:sz="4" w:space="0" w:color="auto"/>
              <w:right w:val="single" w:sz="4" w:space="0" w:color="auto"/>
            </w:tcBorders>
            <w:shd w:val="clear" w:color="auto" w:fill="auto"/>
            <w:noWrap/>
            <w:vAlign w:val="bottom"/>
            <w:hideMark/>
          </w:tcPr>
          <w:p w14:paraId="6628F7F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-2.82</w:t>
            </w:r>
          </w:p>
        </w:tc>
        <w:tc>
          <w:tcPr>
            <w:tcW w:w="701" w:type="dxa"/>
            <w:tcBorders>
              <w:top w:val="nil"/>
              <w:left w:val="nil"/>
              <w:bottom w:val="single" w:sz="4" w:space="0" w:color="auto"/>
              <w:right w:val="single" w:sz="4" w:space="0" w:color="auto"/>
            </w:tcBorders>
            <w:shd w:val="clear" w:color="auto" w:fill="auto"/>
            <w:noWrap/>
            <w:vAlign w:val="bottom"/>
            <w:hideMark/>
          </w:tcPr>
          <w:p w14:paraId="4CBDEB4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-3.11</w:t>
            </w:r>
          </w:p>
        </w:tc>
      </w:tr>
      <w:tr w:rsidR="00C27EDE" w:rsidRPr="00A574D1" w14:paraId="1BA43907"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EEBC8CC"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INPP5D</w:t>
            </w:r>
          </w:p>
        </w:tc>
        <w:tc>
          <w:tcPr>
            <w:tcW w:w="603" w:type="dxa"/>
            <w:tcBorders>
              <w:top w:val="nil"/>
              <w:left w:val="nil"/>
              <w:bottom w:val="single" w:sz="4" w:space="0" w:color="auto"/>
              <w:right w:val="single" w:sz="4" w:space="0" w:color="auto"/>
            </w:tcBorders>
            <w:shd w:val="clear" w:color="auto" w:fill="auto"/>
            <w:noWrap/>
            <w:vAlign w:val="bottom"/>
            <w:hideMark/>
          </w:tcPr>
          <w:p w14:paraId="4683264E"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-3.04</w:t>
            </w:r>
          </w:p>
        </w:tc>
        <w:tc>
          <w:tcPr>
            <w:tcW w:w="701" w:type="dxa"/>
            <w:tcBorders>
              <w:top w:val="nil"/>
              <w:left w:val="nil"/>
              <w:bottom w:val="single" w:sz="4" w:space="0" w:color="auto"/>
              <w:right w:val="single" w:sz="4" w:space="0" w:color="auto"/>
            </w:tcBorders>
            <w:shd w:val="clear" w:color="auto" w:fill="auto"/>
            <w:noWrap/>
            <w:vAlign w:val="bottom"/>
            <w:hideMark/>
          </w:tcPr>
          <w:p w14:paraId="3061634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-2.29</w:t>
            </w:r>
          </w:p>
        </w:tc>
        <w:tc>
          <w:tcPr>
            <w:tcW w:w="701" w:type="dxa"/>
            <w:tcBorders>
              <w:top w:val="nil"/>
              <w:left w:val="nil"/>
              <w:bottom w:val="single" w:sz="4" w:space="0" w:color="auto"/>
              <w:right w:val="single" w:sz="4" w:space="0" w:color="auto"/>
            </w:tcBorders>
            <w:shd w:val="clear" w:color="auto" w:fill="auto"/>
            <w:noWrap/>
            <w:vAlign w:val="bottom"/>
            <w:hideMark/>
          </w:tcPr>
          <w:p w14:paraId="2329F4E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-3.46</w:t>
            </w:r>
          </w:p>
        </w:tc>
      </w:tr>
      <w:tr w:rsidR="00C27EDE" w:rsidRPr="00A574D1" w14:paraId="0CB80476"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62C7A7E"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ITGB8</w:t>
            </w:r>
          </w:p>
        </w:tc>
        <w:tc>
          <w:tcPr>
            <w:tcW w:w="603" w:type="dxa"/>
            <w:tcBorders>
              <w:top w:val="nil"/>
              <w:left w:val="nil"/>
              <w:bottom w:val="single" w:sz="4" w:space="0" w:color="auto"/>
              <w:right w:val="single" w:sz="4" w:space="0" w:color="auto"/>
            </w:tcBorders>
            <w:shd w:val="clear" w:color="auto" w:fill="auto"/>
            <w:noWrap/>
            <w:vAlign w:val="bottom"/>
            <w:hideMark/>
          </w:tcPr>
          <w:p w14:paraId="7363E90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-4.34</w:t>
            </w:r>
          </w:p>
        </w:tc>
        <w:tc>
          <w:tcPr>
            <w:tcW w:w="701" w:type="dxa"/>
            <w:tcBorders>
              <w:top w:val="nil"/>
              <w:left w:val="nil"/>
              <w:bottom w:val="single" w:sz="4" w:space="0" w:color="auto"/>
              <w:right w:val="single" w:sz="4" w:space="0" w:color="auto"/>
            </w:tcBorders>
            <w:shd w:val="clear" w:color="auto" w:fill="auto"/>
            <w:noWrap/>
            <w:vAlign w:val="bottom"/>
            <w:hideMark/>
          </w:tcPr>
          <w:p w14:paraId="5AF050D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-3.06</w:t>
            </w:r>
          </w:p>
        </w:tc>
        <w:tc>
          <w:tcPr>
            <w:tcW w:w="701" w:type="dxa"/>
            <w:tcBorders>
              <w:top w:val="nil"/>
              <w:left w:val="nil"/>
              <w:bottom w:val="single" w:sz="4" w:space="0" w:color="auto"/>
              <w:right w:val="single" w:sz="4" w:space="0" w:color="auto"/>
            </w:tcBorders>
            <w:shd w:val="clear" w:color="auto" w:fill="auto"/>
            <w:noWrap/>
            <w:vAlign w:val="bottom"/>
            <w:hideMark/>
          </w:tcPr>
          <w:p w14:paraId="50594BA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-5.8</w:t>
            </w:r>
          </w:p>
        </w:tc>
      </w:tr>
      <w:tr w:rsidR="00C27EDE" w:rsidRPr="00A574D1" w14:paraId="2F1C3F22"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A8FDE97"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KRT23</w:t>
            </w:r>
          </w:p>
        </w:tc>
        <w:tc>
          <w:tcPr>
            <w:tcW w:w="603" w:type="dxa"/>
            <w:tcBorders>
              <w:top w:val="nil"/>
              <w:left w:val="nil"/>
              <w:bottom w:val="single" w:sz="4" w:space="0" w:color="auto"/>
              <w:right w:val="single" w:sz="4" w:space="0" w:color="auto"/>
            </w:tcBorders>
            <w:shd w:val="clear" w:color="auto" w:fill="auto"/>
            <w:noWrap/>
            <w:vAlign w:val="bottom"/>
            <w:hideMark/>
          </w:tcPr>
          <w:p w14:paraId="4C5AF16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-3.39</w:t>
            </w:r>
          </w:p>
        </w:tc>
        <w:tc>
          <w:tcPr>
            <w:tcW w:w="701" w:type="dxa"/>
            <w:tcBorders>
              <w:top w:val="nil"/>
              <w:left w:val="nil"/>
              <w:bottom w:val="single" w:sz="4" w:space="0" w:color="auto"/>
              <w:right w:val="single" w:sz="4" w:space="0" w:color="auto"/>
            </w:tcBorders>
            <w:shd w:val="clear" w:color="auto" w:fill="auto"/>
            <w:noWrap/>
            <w:vAlign w:val="bottom"/>
            <w:hideMark/>
          </w:tcPr>
          <w:p w14:paraId="57EC4FF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-2.13</w:t>
            </w:r>
          </w:p>
        </w:tc>
        <w:tc>
          <w:tcPr>
            <w:tcW w:w="701" w:type="dxa"/>
            <w:tcBorders>
              <w:top w:val="nil"/>
              <w:left w:val="nil"/>
              <w:bottom w:val="single" w:sz="4" w:space="0" w:color="auto"/>
              <w:right w:val="single" w:sz="4" w:space="0" w:color="auto"/>
            </w:tcBorders>
            <w:shd w:val="clear" w:color="auto" w:fill="auto"/>
            <w:noWrap/>
            <w:vAlign w:val="bottom"/>
            <w:hideMark/>
          </w:tcPr>
          <w:p w14:paraId="1FC3A1A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-2.66</w:t>
            </w:r>
          </w:p>
        </w:tc>
      </w:tr>
      <w:tr w:rsidR="00C27EDE" w:rsidRPr="00A574D1" w14:paraId="35DDD9AF"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9AEC42E"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KRTAP2-1</w:t>
            </w:r>
          </w:p>
        </w:tc>
        <w:tc>
          <w:tcPr>
            <w:tcW w:w="603" w:type="dxa"/>
            <w:tcBorders>
              <w:top w:val="nil"/>
              <w:left w:val="nil"/>
              <w:bottom w:val="single" w:sz="4" w:space="0" w:color="auto"/>
              <w:right w:val="single" w:sz="4" w:space="0" w:color="auto"/>
            </w:tcBorders>
            <w:shd w:val="clear" w:color="auto" w:fill="auto"/>
            <w:noWrap/>
            <w:vAlign w:val="bottom"/>
            <w:hideMark/>
          </w:tcPr>
          <w:p w14:paraId="70A907D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-6.73</w:t>
            </w:r>
          </w:p>
        </w:tc>
        <w:tc>
          <w:tcPr>
            <w:tcW w:w="701" w:type="dxa"/>
            <w:tcBorders>
              <w:top w:val="nil"/>
              <w:left w:val="nil"/>
              <w:bottom w:val="single" w:sz="4" w:space="0" w:color="auto"/>
              <w:right w:val="single" w:sz="4" w:space="0" w:color="auto"/>
            </w:tcBorders>
            <w:shd w:val="clear" w:color="auto" w:fill="auto"/>
            <w:noWrap/>
            <w:vAlign w:val="bottom"/>
            <w:hideMark/>
          </w:tcPr>
          <w:p w14:paraId="1F9E382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-11.59</w:t>
            </w:r>
          </w:p>
        </w:tc>
        <w:tc>
          <w:tcPr>
            <w:tcW w:w="701" w:type="dxa"/>
            <w:tcBorders>
              <w:top w:val="nil"/>
              <w:left w:val="nil"/>
              <w:bottom w:val="single" w:sz="4" w:space="0" w:color="auto"/>
              <w:right w:val="single" w:sz="4" w:space="0" w:color="auto"/>
            </w:tcBorders>
            <w:shd w:val="clear" w:color="auto" w:fill="auto"/>
            <w:noWrap/>
            <w:vAlign w:val="bottom"/>
            <w:hideMark/>
          </w:tcPr>
          <w:p w14:paraId="13DD8FA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-4.61</w:t>
            </w:r>
          </w:p>
        </w:tc>
      </w:tr>
      <w:tr w:rsidR="00C27EDE" w:rsidRPr="00A574D1" w14:paraId="382FB5FE"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AF4CF64"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KRTAP2-2</w:t>
            </w:r>
          </w:p>
        </w:tc>
        <w:tc>
          <w:tcPr>
            <w:tcW w:w="603" w:type="dxa"/>
            <w:tcBorders>
              <w:top w:val="nil"/>
              <w:left w:val="nil"/>
              <w:bottom w:val="single" w:sz="4" w:space="0" w:color="auto"/>
              <w:right w:val="single" w:sz="4" w:space="0" w:color="auto"/>
            </w:tcBorders>
            <w:shd w:val="clear" w:color="auto" w:fill="auto"/>
            <w:noWrap/>
            <w:vAlign w:val="bottom"/>
            <w:hideMark/>
          </w:tcPr>
          <w:p w14:paraId="3CC4E76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-5.16</w:t>
            </w:r>
          </w:p>
        </w:tc>
        <w:tc>
          <w:tcPr>
            <w:tcW w:w="701" w:type="dxa"/>
            <w:tcBorders>
              <w:top w:val="nil"/>
              <w:left w:val="nil"/>
              <w:bottom w:val="single" w:sz="4" w:space="0" w:color="auto"/>
              <w:right w:val="single" w:sz="4" w:space="0" w:color="auto"/>
            </w:tcBorders>
            <w:shd w:val="clear" w:color="auto" w:fill="auto"/>
            <w:noWrap/>
            <w:vAlign w:val="bottom"/>
            <w:hideMark/>
          </w:tcPr>
          <w:p w14:paraId="68ED229E"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-10.21</w:t>
            </w:r>
          </w:p>
        </w:tc>
        <w:tc>
          <w:tcPr>
            <w:tcW w:w="701" w:type="dxa"/>
            <w:tcBorders>
              <w:top w:val="nil"/>
              <w:left w:val="nil"/>
              <w:bottom w:val="single" w:sz="4" w:space="0" w:color="auto"/>
              <w:right w:val="single" w:sz="4" w:space="0" w:color="auto"/>
            </w:tcBorders>
            <w:shd w:val="clear" w:color="auto" w:fill="auto"/>
            <w:noWrap/>
            <w:vAlign w:val="bottom"/>
            <w:hideMark/>
          </w:tcPr>
          <w:p w14:paraId="6C55F1F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-4.25</w:t>
            </w:r>
          </w:p>
        </w:tc>
      </w:tr>
      <w:tr w:rsidR="00C27EDE" w:rsidRPr="00A574D1" w14:paraId="659FB0E2"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965AC77"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KRTAP2-3</w:t>
            </w:r>
          </w:p>
        </w:tc>
        <w:tc>
          <w:tcPr>
            <w:tcW w:w="603" w:type="dxa"/>
            <w:tcBorders>
              <w:top w:val="nil"/>
              <w:left w:val="nil"/>
              <w:bottom w:val="single" w:sz="4" w:space="0" w:color="auto"/>
              <w:right w:val="single" w:sz="4" w:space="0" w:color="auto"/>
            </w:tcBorders>
            <w:shd w:val="clear" w:color="auto" w:fill="auto"/>
            <w:noWrap/>
            <w:vAlign w:val="bottom"/>
            <w:hideMark/>
          </w:tcPr>
          <w:p w14:paraId="6C9606E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-5.27</w:t>
            </w:r>
          </w:p>
        </w:tc>
        <w:tc>
          <w:tcPr>
            <w:tcW w:w="701" w:type="dxa"/>
            <w:tcBorders>
              <w:top w:val="nil"/>
              <w:left w:val="nil"/>
              <w:bottom w:val="single" w:sz="4" w:space="0" w:color="auto"/>
              <w:right w:val="single" w:sz="4" w:space="0" w:color="auto"/>
            </w:tcBorders>
            <w:shd w:val="clear" w:color="auto" w:fill="auto"/>
            <w:noWrap/>
            <w:vAlign w:val="bottom"/>
            <w:hideMark/>
          </w:tcPr>
          <w:p w14:paraId="5292C1A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-9.36</w:t>
            </w:r>
          </w:p>
        </w:tc>
        <w:tc>
          <w:tcPr>
            <w:tcW w:w="701" w:type="dxa"/>
            <w:tcBorders>
              <w:top w:val="nil"/>
              <w:left w:val="nil"/>
              <w:bottom w:val="single" w:sz="4" w:space="0" w:color="auto"/>
              <w:right w:val="single" w:sz="4" w:space="0" w:color="auto"/>
            </w:tcBorders>
            <w:shd w:val="clear" w:color="auto" w:fill="auto"/>
            <w:noWrap/>
            <w:vAlign w:val="bottom"/>
            <w:hideMark/>
          </w:tcPr>
          <w:p w14:paraId="631CDEE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-7.69</w:t>
            </w:r>
          </w:p>
        </w:tc>
      </w:tr>
      <w:tr w:rsidR="00C27EDE" w:rsidRPr="00A574D1" w14:paraId="17E71A6C"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A51C90F"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KRTAP2-4</w:t>
            </w:r>
          </w:p>
        </w:tc>
        <w:tc>
          <w:tcPr>
            <w:tcW w:w="603" w:type="dxa"/>
            <w:tcBorders>
              <w:top w:val="nil"/>
              <w:left w:val="nil"/>
              <w:bottom w:val="single" w:sz="4" w:space="0" w:color="auto"/>
              <w:right w:val="single" w:sz="4" w:space="0" w:color="auto"/>
            </w:tcBorders>
            <w:shd w:val="clear" w:color="auto" w:fill="auto"/>
            <w:noWrap/>
            <w:vAlign w:val="bottom"/>
            <w:hideMark/>
          </w:tcPr>
          <w:p w14:paraId="6E9B210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-3.28</w:t>
            </w:r>
          </w:p>
        </w:tc>
        <w:tc>
          <w:tcPr>
            <w:tcW w:w="701" w:type="dxa"/>
            <w:tcBorders>
              <w:top w:val="nil"/>
              <w:left w:val="nil"/>
              <w:bottom w:val="single" w:sz="4" w:space="0" w:color="auto"/>
              <w:right w:val="single" w:sz="4" w:space="0" w:color="auto"/>
            </w:tcBorders>
            <w:shd w:val="clear" w:color="auto" w:fill="auto"/>
            <w:noWrap/>
            <w:vAlign w:val="bottom"/>
            <w:hideMark/>
          </w:tcPr>
          <w:p w14:paraId="505029C5"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-3.8</w:t>
            </w:r>
          </w:p>
        </w:tc>
        <w:tc>
          <w:tcPr>
            <w:tcW w:w="701" w:type="dxa"/>
            <w:tcBorders>
              <w:top w:val="nil"/>
              <w:left w:val="nil"/>
              <w:bottom w:val="single" w:sz="4" w:space="0" w:color="auto"/>
              <w:right w:val="single" w:sz="4" w:space="0" w:color="auto"/>
            </w:tcBorders>
            <w:shd w:val="clear" w:color="auto" w:fill="auto"/>
            <w:noWrap/>
            <w:vAlign w:val="bottom"/>
            <w:hideMark/>
          </w:tcPr>
          <w:p w14:paraId="2E5F450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-3.96</w:t>
            </w:r>
          </w:p>
        </w:tc>
      </w:tr>
      <w:tr w:rsidR="00C27EDE" w:rsidRPr="00A574D1" w14:paraId="5D6337A3"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7ED59A8"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KRTAP3-1</w:t>
            </w:r>
          </w:p>
        </w:tc>
        <w:tc>
          <w:tcPr>
            <w:tcW w:w="603" w:type="dxa"/>
            <w:tcBorders>
              <w:top w:val="nil"/>
              <w:left w:val="nil"/>
              <w:bottom w:val="single" w:sz="4" w:space="0" w:color="auto"/>
              <w:right w:val="single" w:sz="4" w:space="0" w:color="auto"/>
            </w:tcBorders>
            <w:shd w:val="clear" w:color="auto" w:fill="auto"/>
            <w:noWrap/>
            <w:vAlign w:val="bottom"/>
            <w:hideMark/>
          </w:tcPr>
          <w:p w14:paraId="0795534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-5.16</w:t>
            </w:r>
          </w:p>
        </w:tc>
        <w:tc>
          <w:tcPr>
            <w:tcW w:w="701" w:type="dxa"/>
            <w:tcBorders>
              <w:top w:val="nil"/>
              <w:left w:val="nil"/>
              <w:bottom w:val="single" w:sz="4" w:space="0" w:color="auto"/>
              <w:right w:val="single" w:sz="4" w:space="0" w:color="auto"/>
            </w:tcBorders>
            <w:shd w:val="clear" w:color="auto" w:fill="auto"/>
            <w:noWrap/>
            <w:vAlign w:val="bottom"/>
            <w:hideMark/>
          </w:tcPr>
          <w:p w14:paraId="06A7BA8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-5.15</w:t>
            </w:r>
          </w:p>
        </w:tc>
        <w:tc>
          <w:tcPr>
            <w:tcW w:w="701" w:type="dxa"/>
            <w:tcBorders>
              <w:top w:val="nil"/>
              <w:left w:val="nil"/>
              <w:bottom w:val="single" w:sz="4" w:space="0" w:color="auto"/>
              <w:right w:val="single" w:sz="4" w:space="0" w:color="auto"/>
            </w:tcBorders>
            <w:shd w:val="clear" w:color="auto" w:fill="auto"/>
            <w:noWrap/>
            <w:vAlign w:val="bottom"/>
            <w:hideMark/>
          </w:tcPr>
          <w:p w14:paraId="6BACC08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-6.25</w:t>
            </w:r>
          </w:p>
        </w:tc>
      </w:tr>
      <w:tr w:rsidR="00C27EDE" w:rsidRPr="00A574D1" w14:paraId="3EEA504A"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25A4966"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MAP3K1</w:t>
            </w:r>
          </w:p>
        </w:tc>
        <w:tc>
          <w:tcPr>
            <w:tcW w:w="603" w:type="dxa"/>
            <w:tcBorders>
              <w:top w:val="nil"/>
              <w:left w:val="nil"/>
              <w:bottom w:val="single" w:sz="4" w:space="0" w:color="auto"/>
              <w:right w:val="single" w:sz="4" w:space="0" w:color="auto"/>
            </w:tcBorders>
            <w:shd w:val="clear" w:color="auto" w:fill="auto"/>
            <w:noWrap/>
            <w:vAlign w:val="bottom"/>
            <w:hideMark/>
          </w:tcPr>
          <w:p w14:paraId="1CBE981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-2.46</w:t>
            </w:r>
          </w:p>
        </w:tc>
        <w:tc>
          <w:tcPr>
            <w:tcW w:w="701" w:type="dxa"/>
            <w:tcBorders>
              <w:top w:val="nil"/>
              <w:left w:val="nil"/>
              <w:bottom w:val="single" w:sz="4" w:space="0" w:color="auto"/>
              <w:right w:val="single" w:sz="4" w:space="0" w:color="auto"/>
            </w:tcBorders>
            <w:shd w:val="clear" w:color="auto" w:fill="auto"/>
            <w:noWrap/>
            <w:vAlign w:val="bottom"/>
            <w:hideMark/>
          </w:tcPr>
          <w:p w14:paraId="56DD492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-2.39</w:t>
            </w:r>
          </w:p>
        </w:tc>
        <w:tc>
          <w:tcPr>
            <w:tcW w:w="701" w:type="dxa"/>
            <w:tcBorders>
              <w:top w:val="nil"/>
              <w:left w:val="nil"/>
              <w:bottom w:val="single" w:sz="4" w:space="0" w:color="auto"/>
              <w:right w:val="single" w:sz="4" w:space="0" w:color="auto"/>
            </w:tcBorders>
            <w:shd w:val="clear" w:color="auto" w:fill="auto"/>
            <w:noWrap/>
            <w:vAlign w:val="bottom"/>
            <w:hideMark/>
          </w:tcPr>
          <w:p w14:paraId="024C29C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-2.83</w:t>
            </w:r>
          </w:p>
        </w:tc>
      </w:tr>
      <w:tr w:rsidR="00C27EDE" w:rsidRPr="00A574D1" w14:paraId="592B5A5A"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E1700CD"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MSX1</w:t>
            </w:r>
          </w:p>
        </w:tc>
        <w:tc>
          <w:tcPr>
            <w:tcW w:w="603" w:type="dxa"/>
            <w:tcBorders>
              <w:top w:val="nil"/>
              <w:left w:val="nil"/>
              <w:bottom w:val="single" w:sz="4" w:space="0" w:color="auto"/>
              <w:right w:val="single" w:sz="4" w:space="0" w:color="auto"/>
            </w:tcBorders>
            <w:shd w:val="clear" w:color="auto" w:fill="auto"/>
            <w:noWrap/>
            <w:vAlign w:val="bottom"/>
            <w:hideMark/>
          </w:tcPr>
          <w:p w14:paraId="138681C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-4.56</w:t>
            </w:r>
          </w:p>
        </w:tc>
        <w:tc>
          <w:tcPr>
            <w:tcW w:w="701" w:type="dxa"/>
            <w:tcBorders>
              <w:top w:val="nil"/>
              <w:left w:val="nil"/>
              <w:bottom w:val="single" w:sz="4" w:space="0" w:color="auto"/>
              <w:right w:val="single" w:sz="4" w:space="0" w:color="auto"/>
            </w:tcBorders>
            <w:shd w:val="clear" w:color="auto" w:fill="auto"/>
            <w:noWrap/>
            <w:vAlign w:val="bottom"/>
            <w:hideMark/>
          </w:tcPr>
          <w:p w14:paraId="2A2C955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-5.98</w:t>
            </w:r>
          </w:p>
        </w:tc>
        <w:tc>
          <w:tcPr>
            <w:tcW w:w="701" w:type="dxa"/>
            <w:tcBorders>
              <w:top w:val="nil"/>
              <w:left w:val="nil"/>
              <w:bottom w:val="single" w:sz="4" w:space="0" w:color="auto"/>
              <w:right w:val="single" w:sz="4" w:space="0" w:color="auto"/>
            </w:tcBorders>
            <w:shd w:val="clear" w:color="auto" w:fill="auto"/>
            <w:noWrap/>
            <w:vAlign w:val="bottom"/>
            <w:hideMark/>
          </w:tcPr>
          <w:p w14:paraId="0B6913D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-6.32</w:t>
            </w:r>
          </w:p>
        </w:tc>
      </w:tr>
      <w:tr w:rsidR="00C27EDE" w:rsidRPr="00A574D1" w14:paraId="3504514F"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F360576"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OLFM2</w:t>
            </w:r>
          </w:p>
        </w:tc>
        <w:tc>
          <w:tcPr>
            <w:tcW w:w="603" w:type="dxa"/>
            <w:tcBorders>
              <w:top w:val="nil"/>
              <w:left w:val="nil"/>
              <w:bottom w:val="single" w:sz="4" w:space="0" w:color="auto"/>
              <w:right w:val="single" w:sz="4" w:space="0" w:color="auto"/>
            </w:tcBorders>
            <w:shd w:val="clear" w:color="auto" w:fill="auto"/>
            <w:noWrap/>
            <w:vAlign w:val="bottom"/>
            <w:hideMark/>
          </w:tcPr>
          <w:p w14:paraId="067C66B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-2.42</w:t>
            </w:r>
          </w:p>
        </w:tc>
        <w:tc>
          <w:tcPr>
            <w:tcW w:w="701" w:type="dxa"/>
            <w:tcBorders>
              <w:top w:val="nil"/>
              <w:left w:val="nil"/>
              <w:bottom w:val="single" w:sz="4" w:space="0" w:color="auto"/>
              <w:right w:val="single" w:sz="4" w:space="0" w:color="auto"/>
            </w:tcBorders>
            <w:shd w:val="clear" w:color="auto" w:fill="auto"/>
            <w:noWrap/>
            <w:vAlign w:val="bottom"/>
            <w:hideMark/>
          </w:tcPr>
          <w:p w14:paraId="6D7E6FF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-2.09</w:t>
            </w:r>
          </w:p>
        </w:tc>
        <w:tc>
          <w:tcPr>
            <w:tcW w:w="701" w:type="dxa"/>
            <w:tcBorders>
              <w:top w:val="nil"/>
              <w:left w:val="nil"/>
              <w:bottom w:val="single" w:sz="4" w:space="0" w:color="auto"/>
              <w:right w:val="single" w:sz="4" w:space="0" w:color="auto"/>
            </w:tcBorders>
            <w:shd w:val="clear" w:color="auto" w:fill="auto"/>
            <w:noWrap/>
            <w:vAlign w:val="bottom"/>
            <w:hideMark/>
          </w:tcPr>
          <w:p w14:paraId="269B75D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-2.26</w:t>
            </w:r>
          </w:p>
        </w:tc>
      </w:tr>
      <w:tr w:rsidR="00C27EDE" w:rsidRPr="00A574D1" w14:paraId="66833D4C"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1B010E1"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PGF</w:t>
            </w:r>
          </w:p>
        </w:tc>
        <w:tc>
          <w:tcPr>
            <w:tcW w:w="603" w:type="dxa"/>
            <w:tcBorders>
              <w:top w:val="nil"/>
              <w:left w:val="nil"/>
              <w:bottom w:val="single" w:sz="4" w:space="0" w:color="auto"/>
              <w:right w:val="single" w:sz="4" w:space="0" w:color="auto"/>
            </w:tcBorders>
            <w:shd w:val="clear" w:color="auto" w:fill="auto"/>
            <w:noWrap/>
            <w:vAlign w:val="bottom"/>
            <w:hideMark/>
          </w:tcPr>
          <w:p w14:paraId="5A843EA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-2.07</w:t>
            </w:r>
          </w:p>
        </w:tc>
        <w:tc>
          <w:tcPr>
            <w:tcW w:w="701" w:type="dxa"/>
            <w:tcBorders>
              <w:top w:val="nil"/>
              <w:left w:val="nil"/>
              <w:bottom w:val="single" w:sz="4" w:space="0" w:color="auto"/>
              <w:right w:val="single" w:sz="4" w:space="0" w:color="auto"/>
            </w:tcBorders>
            <w:shd w:val="clear" w:color="auto" w:fill="auto"/>
            <w:noWrap/>
            <w:vAlign w:val="bottom"/>
            <w:hideMark/>
          </w:tcPr>
          <w:p w14:paraId="1E64B8B5"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-2.25</w:t>
            </w:r>
          </w:p>
        </w:tc>
        <w:tc>
          <w:tcPr>
            <w:tcW w:w="701" w:type="dxa"/>
            <w:tcBorders>
              <w:top w:val="nil"/>
              <w:left w:val="nil"/>
              <w:bottom w:val="single" w:sz="4" w:space="0" w:color="auto"/>
              <w:right w:val="single" w:sz="4" w:space="0" w:color="auto"/>
            </w:tcBorders>
            <w:shd w:val="clear" w:color="auto" w:fill="auto"/>
            <w:noWrap/>
            <w:vAlign w:val="bottom"/>
            <w:hideMark/>
          </w:tcPr>
          <w:p w14:paraId="190EC40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-2.57</w:t>
            </w:r>
          </w:p>
        </w:tc>
      </w:tr>
      <w:tr w:rsidR="00C27EDE" w:rsidRPr="00A574D1" w14:paraId="26E2E3E0"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3D37702"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PLK2</w:t>
            </w:r>
          </w:p>
        </w:tc>
        <w:tc>
          <w:tcPr>
            <w:tcW w:w="603" w:type="dxa"/>
            <w:tcBorders>
              <w:top w:val="nil"/>
              <w:left w:val="nil"/>
              <w:bottom w:val="single" w:sz="4" w:space="0" w:color="auto"/>
              <w:right w:val="single" w:sz="4" w:space="0" w:color="auto"/>
            </w:tcBorders>
            <w:shd w:val="clear" w:color="auto" w:fill="auto"/>
            <w:noWrap/>
            <w:vAlign w:val="bottom"/>
            <w:hideMark/>
          </w:tcPr>
          <w:p w14:paraId="72895EDE"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-3.95</w:t>
            </w:r>
          </w:p>
        </w:tc>
        <w:tc>
          <w:tcPr>
            <w:tcW w:w="701" w:type="dxa"/>
            <w:tcBorders>
              <w:top w:val="nil"/>
              <w:left w:val="nil"/>
              <w:bottom w:val="single" w:sz="4" w:space="0" w:color="auto"/>
              <w:right w:val="single" w:sz="4" w:space="0" w:color="auto"/>
            </w:tcBorders>
            <w:shd w:val="clear" w:color="auto" w:fill="auto"/>
            <w:noWrap/>
            <w:vAlign w:val="bottom"/>
            <w:hideMark/>
          </w:tcPr>
          <w:p w14:paraId="1B094E0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-4.12</w:t>
            </w:r>
          </w:p>
        </w:tc>
        <w:tc>
          <w:tcPr>
            <w:tcW w:w="701" w:type="dxa"/>
            <w:tcBorders>
              <w:top w:val="nil"/>
              <w:left w:val="nil"/>
              <w:bottom w:val="single" w:sz="4" w:space="0" w:color="auto"/>
              <w:right w:val="single" w:sz="4" w:space="0" w:color="auto"/>
            </w:tcBorders>
            <w:shd w:val="clear" w:color="auto" w:fill="auto"/>
            <w:noWrap/>
            <w:vAlign w:val="bottom"/>
            <w:hideMark/>
          </w:tcPr>
          <w:p w14:paraId="4F0250C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-3.79</w:t>
            </w:r>
          </w:p>
        </w:tc>
      </w:tr>
      <w:tr w:rsidR="00C27EDE" w:rsidRPr="00A574D1" w14:paraId="6445A85A"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94CD792"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PTAFR</w:t>
            </w:r>
          </w:p>
        </w:tc>
        <w:tc>
          <w:tcPr>
            <w:tcW w:w="603" w:type="dxa"/>
            <w:tcBorders>
              <w:top w:val="nil"/>
              <w:left w:val="nil"/>
              <w:bottom w:val="single" w:sz="4" w:space="0" w:color="auto"/>
              <w:right w:val="single" w:sz="4" w:space="0" w:color="auto"/>
            </w:tcBorders>
            <w:shd w:val="clear" w:color="auto" w:fill="auto"/>
            <w:noWrap/>
            <w:vAlign w:val="bottom"/>
            <w:hideMark/>
          </w:tcPr>
          <w:p w14:paraId="43F6FC0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-2.9</w:t>
            </w:r>
          </w:p>
        </w:tc>
        <w:tc>
          <w:tcPr>
            <w:tcW w:w="701" w:type="dxa"/>
            <w:tcBorders>
              <w:top w:val="nil"/>
              <w:left w:val="nil"/>
              <w:bottom w:val="single" w:sz="4" w:space="0" w:color="auto"/>
              <w:right w:val="single" w:sz="4" w:space="0" w:color="auto"/>
            </w:tcBorders>
            <w:shd w:val="clear" w:color="auto" w:fill="auto"/>
            <w:noWrap/>
            <w:vAlign w:val="bottom"/>
            <w:hideMark/>
          </w:tcPr>
          <w:p w14:paraId="752F0895"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-4.76</w:t>
            </w:r>
          </w:p>
        </w:tc>
        <w:tc>
          <w:tcPr>
            <w:tcW w:w="701" w:type="dxa"/>
            <w:tcBorders>
              <w:top w:val="nil"/>
              <w:left w:val="nil"/>
              <w:bottom w:val="single" w:sz="4" w:space="0" w:color="auto"/>
              <w:right w:val="single" w:sz="4" w:space="0" w:color="auto"/>
            </w:tcBorders>
            <w:shd w:val="clear" w:color="auto" w:fill="auto"/>
            <w:noWrap/>
            <w:vAlign w:val="bottom"/>
            <w:hideMark/>
          </w:tcPr>
          <w:p w14:paraId="286921E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-2.7</w:t>
            </w:r>
          </w:p>
        </w:tc>
      </w:tr>
      <w:tr w:rsidR="00C27EDE" w:rsidRPr="00A574D1" w14:paraId="0C778BD7"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F5868F3"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RP11-380G5.2</w:t>
            </w:r>
          </w:p>
        </w:tc>
        <w:tc>
          <w:tcPr>
            <w:tcW w:w="603" w:type="dxa"/>
            <w:tcBorders>
              <w:top w:val="nil"/>
              <w:left w:val="nil"/>
              <w:bottom w:val="single" w:sz="4" w:space="0" w:color="auto"/>
              <w:right w:val="single" w:sz="4" w:space="0" w:color="auto"/>
            </w:tcBorders>
            <w:shd w:val="clear" w:color="auto" w:fill="auto"/>
            <w:noWrap/>
            <w:vAlign w:val="bottom"/>
            <w:hideMark/>
          </w:tcPr>
          <w:p w14:paraId="5DBF0D7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-2.86</w:t>
            </w:r>
          </w:p>
        </w:tc>
        <w:tc>
          <w:tcPr>
            <w:tcW w:w="701" w:type="dxa"/>
            <w:tcBorders>
              <w:top w:val="nil"/>
              <w:left w:val="nil"/>
              <w:bottom w:val="single" w:sz="4" w:space="0" w:color="auto"/>
              <w:right w:val="single" w:sz="4" w:space="0" w:color="auto"/>
            </w:tcBorders>
            <w:shd w:val="clear" w:color="auto" w:fill="auto"/>
            <w:noWrap/>
            <w:vAlign w:val="bottom"/>
            <w:hideMark/>
          </w:tcPr>
          <w:p w14:paraId="05746A3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-2.08</w:t>
            </w:r>
          </w:p>
        </w:tc>
        <w:tc>
          <w:tcPr>
            <w:tcW w:w="701" w:type="dxa"/>
            <w:tcBorders>
              <w:top w:val="nil"/>
              <w:left w:val="nil"/>
              <w:bottom w:val="single" w:sz="4" w:space="0" w:color="auto"/>
              <w:right w:val="single" w:sz="4" w:space="0" w:color="auto"/>
            </w:tcBorders>
            <w:shd w:val="clear" w:color="auto" w:fill="auto"/>
            <w:noWrap/>
            <w:vAlign w:val="bottom"/>
            <w:hideMark/>
          </w:tcPr>
          <w:p w14:paraId="5E1CA875"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-2.28</w:t>
            </w:r>
          </w:p>
        </w:tc>
      </w:tr>
      <w:tr w:rsidR="00C27EDE" w:rsidRPr="00A574D1" w14:paraId="2460DBA8"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13C69D5"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RPS27L</w:t>
            </w:r>
          </w:p>
        </w:tc>
        <w:tc>
          <w:tcPr>
            <w:tcW w:w="603" w:type="dxa"/>
            <w:tcBorders>
              <w:top w:val="nil"/>
              <w:left w:val="nil"/>
              <w:bottom w:val="single" w:sz="4" w:space="0" w:color="auto"/>
              <w:right w:val="single" w:sz="4" w:space="0" w:color="auto"/>
            </w:tcBorders>
            <w:shd w:val="clear" w:color="auto" w:fill="auto"/>
            <w:noWrap/>
            <w:vAlign w:val="bottom"/>
            <w:hideMark/>
          </w:tcPr>
          <w:p w14:paraId="65B4E918"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-2.79</w:t>
            </w:r>
          </w:p>
        </w:tc>
        <w:tc>
          <w:tcPr>
            <w:tcW w:w="701" w:type="dxa"/>
            <w:tcBorders>
              <w:top w:val="nil"/>
              <w:left w:val="nil"/>
              <w:bottom w:val="single" w:sz="4" w:space="0" w:color="auto"/>
              <w:right w:val="single" w:sz="4" w:space="0" w:color="auto"/>
            </w:tcBorders>
            <w:shd w:val="clear" w:color="auto" w:fill="auto"/>
            <w:noWrap/>
            <w:vAlign w:val="bottom"/>
            <w:hideMark/>
          </w:tcPr>
          <w:p w14:paraId="685F19F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-2.66</w:t>
            </w:r>
          </w:p>
        </w:tc>
        <w:tc>
          <w:tcPr>
            <w:tcW w:w="701" w:type="dxa"/>
            <w:tcBorders>
              <w:top w:val="nil"/>
              <w:left w:val="nil"/>
              <w:bottom w:val="single" w:sz="4" w:space="0" w:color="auto"/>
              <w:right w:val="single" w:sz="4" w:space="0" w:color="auto"/>
            </w:tcBorders>
            <w:shd w:val="clear" w:color="auto" w:fill="auto"/>
            <w:noWrap/>
            <w:vAlign w:val="bottom"/>
            <w:hideMark/>
          </w:tcPr>
          <w:p w14:paraId="2373967C"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-3.14</w:t>
            </w:r>
          </w:p>
        </w:tc>
      </w:tr>
      <w:tr w:rsidR="00C27EDE" w:rsidRPr="00A574D1" w14:paraId="5277DAAD"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2D76FE2"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RRM2B</w:t>
            </w:r>
          </w:p>
        </w:tc>
        <w:tc>
          <w:tcPr>
            <w:tcW w:w="603" w:type="dxa"/>
            <w:tcBorders>
              <w:top w:val="nil"/>
              <w:left w:val="nil"/>
              <w:bottom w:val="single" w:sz="4" w:space="0" w:color="auto"/>
              <w:right w:val="single" w:sz="4" w:space="0" w:color="auto"/>
            </w:tcBorders>
            <w:shd w:val="clear" w:color="auto" w:fill="auto"/>
            <w:noWrap/>
            <w:vAlign w:val="bottom"/>
            <w:hideMark/>
          </w:tcPr>
          <w:p w14:paraId="0DEBFF4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-2.4</w:t>
            </w:r>
          </w:p>
        </w:tc>
        <w:tc>
          <w:tcPr>
            <w:tcW w:w="701" w:type="dxa"/>
            <w:tcBorders>
              <w:top w:val="nil"/>
              <w:left w:val="nil"/>
              <w:bottom w:val="single" w:sz="4" w:space="0" w:color="auto"/>
              <w:right w:val="single" w:sz="4" w:space="0" w:color="auto"/>
            </w:tcBorders>
            <w:shd w:val="clear" w:color="auto" w:fill="auto"/>
            <w:noWrap/>
            <w:vAlign w:val="bottom"/>
            <w:hideMark/>
          </w:tcPr>
          <w:p w14:paraId="31AC256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-2.05</w:t>
            </w:r>
          </w:p>
        </w:tc>
        <w:tc>
          <w:tcPr>
            <w:tcW w:w="701" w:type="dxa"/>
            <w:tcBorders>
              <w:top w:val="nil"/>
              <w:left w:val="nil"/>
              <w:bottom w:val="single" w:sz="4" w:space="0" w:color="auto"/>
              <w:right w:val="single" w:sz="4" w:space="0" w:color="auto"/>
            </w:tcBorders>
            <w:shd w:val="clear" w:color="auto" w:fill="auto"/>
            <w:noWrap/>
            <w:vAlign w:val="bottom"/>
            <w:hideMark/>
          </w:tcPr>
          <w:p w14:paraId="34238A2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-2.31</w:t>
            </w:r>
          </w:p>
        </w:tc>
      </w:tr>
      <w:tr w:rsidR="00C27EDE" w:rsidRPr="00A574D1" w14:paraId="7CE5F587"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B0CF6E3"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SCG2</w:t>
            </w:r>
          </w:p>
        </w:tc>
        <w:tc>
          <w:tcPr>
            <w:tcW w:w="603" w:type="dxa"/>
            <w:tcBorders>
              <w:top w:val="nil"/>
              <w:left w:val="nil"/>
              <w:bottom w:val="single" w:sz="4" w:space="0" w:color="auto"/>
              <w:right w:val="single" w:sz="4" w:space="0" w:color="auto"/>
            </w:tcBorders>
            <w:shd w:val="clear" w:color="auto" w:fill="auto"/>
            <w:noWrap/>
            <w:vAlign w:val="bottom"/>
            <w:hideMark/>
          </w:tcPr>
          <w:p w14:paraId="1B684CB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-3.18</w:t>
            </w:r>
          </w:p>
        </w:tc>
        <w:tc>
          <w:tcPr>
            <w:tcW w:w="701" w:type="dxa"/>
            <w:tcBorders>
              <w:top w:val="nil"/>
              <w:left w:val="nil"/>
              <w:bottom w:val="single" w:sz="4" w:space="0" w:color="auto"/>
              <w:right w:val="single" w:sz="4" w:space="0" w:color="auto"/>
            </w:tcBorders>
            <w:shd w:val="clear" w:color="auto" w:fill="auto"/>
            <w:noWrap/>
            <w:vAlign w:val="bottom"/>
            <w:hideMark/>
          </w:tcPr>
          <w:p w14:paraId="0B53D1B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-3.55</w:t>
            </w:r>
          </w:p>
        </w:tc>
        <w:tc>
          <w:tcPr>
            <w:tcW w:w="701" w:type="dxa"/>
            <w:tcBorders>
              <w:top w:val="nil"/>
              <w:left w:val="nil"/>
              <w:bottom w:val="single" w:sz="4" w:space="0" w:color="auto"/>
              <w:right w:val="single" w:sz="4" w:space="0" w:color="auto"/>
            </w:tcBorders>
            <w:shd w:val="clear" w:color="auto" w:fill="auto"/>
            <w:noWrap/>
            <w:vAlign w:val="bottom"/>
            <w:hideMark/>
          </w:tcPr>
          <w:p w14:paraId="29A0122C"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-3.8</w:t>
            </w:r>
          </w:p>
        </w:tc>
      </w:tr>
      <w:tr w:rsidR="00C27EDE" w:rsidRPr="00A574D1" w14:paraId="64A9B79B"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D092A31"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SCML2</w:t>
            </w:r>
          </w:p>
        </w:tc>
        <w:tc>
          <w:tcPr>
            <w:tcW w:w="603" w:type="dxa"/>
            <w:tcBorders>
              <w:top w:val="nil"/>
              <w:left w:val="nil"/>
              <w:bottom w:val="single" w:sz="4" w:space="0" w:color="auto"/>
              <w:right w:val="single" w:sz="4" w:space="0" w:color="auto"/>
            </w:tcBorders>
            <w:shd w:val="clear" w:color="auto" w:fill="auto"/>
            <w:noWrap/>
            <w:vAlign w:val="bottom"/>
            <w:hideMark/>
          </w:tcPr>
          <w:p w14:paraId="03A44DE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-2.14</w:t>
            </w:r>
          </w:p>
        </w:tc>
        <w:tc>
          <w:tcPr>
            <w:tcW w:w="701" w:type="dxa"/>
            <w:tcBorders>
              <w:top w:val="nil"/>
              <w:left w:val="nil"/>
              <w:bottom w:val="single" w:sz="4" w:space="0" w:color="auto"/>
              <w:right w:val="single" w:sz="4" w:space="0" w:color="auto"/>
            </w:tcBorders>
            <w:shd w:val="clear" w:color="auto" w:fill="auto"/>
            <w:noWrap/>
            <w:vAlign w:val="bottom"/>
            <w:hideMark/>
          </w:tcPr>
          <w:p w14:paraId="514C6D6E"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-2.06</w:t>
            </w:r>
          </w:p>
        </w:tc>
        <w:tc>
          <w:tcPr>
            <w:tcW w:w="701" w:type="dxa"/>
            <w:tcBorders>
              <w:top w:val="nil"/>
              <w:left w:val="nil"/>
              <w:bottom w:val="single" w:sz="4" w:space="0" w:color="auto"/>
              <w:right w:val="single" w:sz="4" w:space="0" w:color="auto"/>
            </w:tcBorders>
            <w:shd w:val="clear" w:color="auto" w:fill="auto"/>
            <w:noWrap/>
            <w:vAlign w:val="bottom"/>
            <w:hideMark/>
          </w:tcPr>
          <w:p w14:paraId="7C0EF3BE"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-3.1</w:t>
            </w:r>
          </w:p>
        </w:tc>
      </w:tr>
      <w:tr w:rsidR="00C27EDE" w:rsidRPr="00A574D1" w14:paraId="13297476"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DF5B19D"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SEMA6A</w:t>
            </w:r>
          </w:p>
        </w:tc>
        <w:tc>
          <w:tcPr>
            <w:tcW w:w="603" w:type="dxa"/>
            <w:tcBorders>
              <w:top w:val="nil"/>
              <w:left w:val="nil"/>
              <w:bottom w:val="single" w:sz="4" w:space="0" w:color="auto"/>
              <w:right w:val="single" w:sz="4" w:space="0" w:color="auto"/>
            </w:tcBorders>
            <w:shd w:val="clear" w:color="auto" w:fill="auto"/>
            <w:noWrap/>
            <w:vAlign w:val="bottom"/>
            <w:hideMark/>
          </w:tcPr>
          <w:p w14:paraId="35ABBAF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-3.57</w:t>
            </w:r>
          </w:p>
        </w:tc>
        <w:tc>
          <w:tcPr>
            <w:tcW w:w="701" w:type="dxa"/>
            <w:tcBorders>
              <w:top w:val="nil"/>
              <w:left w:val="nil"/>
              <w:bottom w:val="single" w:sz="4" w:space="0" w:color="auto"/>
              <w:right w:val="single" w:sz="4" w:space="0" w:color="auto"/>
            </w:tcBorders>
            <w:shd w:val="clear" w:color="auto" w:fill="auto"/>
            <w:noWrap/>
            <w:vAlign w:val="bottom"/>
            <w:hideMark/>
          </w:tcPr>
          <w:p w14:paraId="1831456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-3.43</w:t>
            </w:r>
          </w:p>
        </w:tc>
        <w:tc>
          <w:tcPr>
            <w:tcW w:w="701" w:type="dxa"/>
            <w:tcBorders>
              <w:top w:val="nil"/>
              <w:left w:val="nil"/>
              <w:bottom w:val="single" w:sz="4" w:space="0" w:color="auto"/>
              <w:right w:val="single" w:sz="4" w:space="0" w:color="auto"/>
            </w:tcBorders>
            <w:shd w:val="clear" w:color="auto" w:fill="auto"/>
            <w:noWrap/>
            <w:vAlign w:val="bottom"/>
            <w:hideMark/>
          </w:tcPr>
          <w:p w14:paraId="3540D49E"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-3.75</w:t>
            </w:r>
          </w:p>
        </w:tc>
      </w:tr>
      <w:tr w:rsidR="00C27EDE" w:rsidRPr="00A574D1" w14:paraId="441934EB"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8659C26"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SERPINB5</w:t>
            </w:r>
          </w:p>
        </w:tc>
        <w:tc>
          <w:tcPr>
            <w:tcW w:w="603" w:type="dxa"/>
            <w:tcBorders>
              <w:top w:val="nil"/>
              <w:left w:val="nil"/>
              <w:bottom w:val="single" w:sz="4" w:space="0" w:color="auto"/>
              <w:right w:val="single" w:sz="4" w:space="0" w:color="auto"/>
            </w:tcBorders>
            <w:shd w:val="clear" w:color="auto" w:fill="auto"/>
            <w:noWrap/>
            <w:vAlign w:val="bottom"/>
            <w:hideMark/>
          </w:tcPr>
          <w:p w14:paraId="2D242A0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-3.39</w:t>
            </w:r>
          </w:p>
        </w:tc>
        <w:tc>
          <w:tcPr>
            <w:tcW w:w="701" w:type="dxa"/>
            <w:tcBorders>
              <w:top w:val="nil"/>
              <w:left w:val="nil"/>
              <w:bottom w:val="single" w:sz="4" w:space="0" w:color="auto"/>
              <w:right w:val="single" w:sz="4" w:space="0" w:color="auto"/>
            </w:tcBorders>
            <w:shd w:val="clear" w:color="auto" w:fill="auto"/>
            <w:noWrap/>
            <w:vAlign w:val="bottom"/>
            <w:hideMark/>
          </w:tcPr>
          <w:p w14:paraId="5F6C5E2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-2.67</w:t>
            </w:r>
          </w:p>
        </w:tc>
        <w:tc>
          <w:tcPr>
            <w:tcW w:w="701" w:type="dxa"/>
            <w:tcBorders>
              <w:top w:val="nil"/>
              <w:left w:val="nil"/>
              <w:bottom w:val="single" w:sz="4" w:space="0" w:color="auto"/>
              <w:right w:val="single" w:sz="4" w:space="0" w:color="auto"/>
            </w:tcBorders>
            <w:shd w:val="clear" w:color="auto" w:fill="auto"/>
            <w:noWrap/>
            <w:vAlign w:val="bottom"/>
            <w:hideMark/>
          </w:tcPr>
          <w:p w14:paraId="5B64C653"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-3.81</w:t>
            </w:r>
          </w:p>
        </w:tc>
      </w:tr>
      <w:tr w:rsidR="00C27EDE" w:rsidRPr="00A574D1" w14:paraId="62197BDC"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6100240"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SERTAD1</w:t>
            </w:r>
          </w:p>
        </w:tc>
        <w:tc>
          <w:tcPr>
            <w:tcW w:w="603" w:type="dxa"/>
            <w:tcBorders>
              <w:top w:val="nil"/>
              <w:left w:val="nil"/>
              <w:bottom w:val="single" w:sz="4" w:space="0" w:color="auto"/>
              <w:right w:val="single" w:sz="4" w:space="0" w:color="auto"/>
            </w:tcBorders>
            <w:shd w:val="clear" w:color="auto" w:fill="auto"/>
            <w:noWrap/>
            <w:vAlign w:val="bottom"/>
            <w:hideMark/>
          </w:tcPr>
          <w:p w14:paraId="7F3313C8"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-2.65</w:t>
            </w:r>
          </w:p>
        </w:tc>
        <w:tc>
          <w:tcPr>
            <w:tcW w:w="701" w:type="dxa"/>
            <w:tcBorders>
              <w:top w:val="nil"/>
              <w:left w:val="nil"/>
              <w:bottom w:val="single" w:sz="4" w:space="0" w:color="auto"/>
              <w:right w:val="single" w:sz="4" w:space="0" w:color="auto"/>
            </w:tcBorders>
            <w:shd w:val="clear" w:color="auto" w:fill="auto"/>
            <w:noWrap/>
            <w:vAlign w:val="bottom"/>
            <w:hideMark/>
          </w:tcPr>
          <w:p w14:paraId="658AEB3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w:t>
            </w:r>
          </w:p>
        </w:tc>
        <w:tc>
          <w:tcPr>
            <w:tcW w:w="701" w:type="dxa"/>
            <w:tcBorders>
              <w:top w:val="nil"/>
              <w:left w:val="nil"/>
              <w:bottom w:val="single" w:sz="4" w:space="0" w:color="auto"/>
              <w:right w:val="single" w:sz="4" w:space="0" w:color="auto"/>
            </w:tcBorders>
            <w:shd w:val="clear" w:color="auto" w:fill="auto"/>
            <w:noWrap/>
            <w:vAlign w:val="bottom"/>
            <w:hideMark/>
          </w:tcPr>
          <w:p w14:paraId="1D6FB903"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-4.72</w:t>
            </w:r>
          </w:p>
        </w:tc>
      </w:tr>
      <w:tr w:rsidR="00C27EDE" w:rsidRPr="00A574D1" w14:paraId="3FCCDAEB"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6B1839D"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SESN1</w:t>
            </w:r>
          </w:p>
        </w:tc>
        <w:tc>
          <w:tcPr>
            <w:tcW w:w="603" w:type="dxa"/>
            <w:tcBorders>
              <w:top w:val="nil"/>
              <w:left w:val="nil"/>
              <w:bottom w:val="single" w:sz="4" w:space="0" w:color="auto"/>
              <w:right w:val="single" w:sz="4" w:space="0" w:color="auto"/>
            </w:tcBorders>
            <w:shd w:val="clear" w:color="auto" w:fill="auto"/>
            <w:noWrap/>
            <w:vAlign w:val="bottom"/>
            <w:hideMark/>
          </w:tcPr>
          <w:p w14:paraId="6312C598"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-3.4</w:t>
            </w:r>
          </w:p>
        </w:tc>
        <w:tc>
          <w:tcPr>
            <w:tcW w:w="701" w:type="dxa"/>
            <w:tcBorders>
              <w:top w:val="nil"/>
              <w:left w:val="nil"/>
              <w:bottom w:val="single" w:sz="4" w:space="0" w:color="auto"/>
              <w:right w:val="single" w:sz="4" w:space="0" w:color="auto"/>
            </w:tcBorders>
            <w:shd w:val="clear" w:color="auto" w:fill="auto"/>
            <w:noWrap/>
            <w:vAlign w:val="bottom"/>
            <w:hideMark/>
          </w:tcPr>
          <w:p w14:paraId="623354D3"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-4.57</w:t>
            </w:r>
          </w:p>
        </w:tc>
        <w:tc>
          <w:tcPr>
            <w:tcW w:w="701" w:type="dxa"/>
            <w:tcBorders>
              <w:top w:val="nil"/>
              <w:left w:val="nil"/>
              <w:bottom w:val="single" w:sz="4" w:space="0" w:color="auto"/>
              <w:right w:val="single" w:sz="4" w:space="0" w:color="auto"/>
            </w:tcBorders>
            <w:shd w:val="clear" w:color="auto" w:fill="auto"/>
            <w:noWrap/>
            <w:vAlign w:val="bottom"/>
            <w:hideMark/>
          </w:tcPr>
          <w:p w14:paraId="6649FF1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-4.31</w:t>
            </w:r>
          </w:p>
        </w:tc>
      </w:tr>
      <w:tr w:rsidR="00C27EDE" w:rsidRPr="00A574D1" w14:paraId="2F7F5608"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0F74BFA"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SGK1</w:t>
            </w:r>
          </w:p>
        </w:tc>
        <w:tc>
          <w:tcPr>
            <w:tcW w:w="603" w:type="dxa"/>
            <w:tcBorders>
              <w:top w:val="nil"/>
              <w:left w:val="nil"/>
              <w:bottom w:val="single" w:sz="4" w:space="0" w:color="auto"/>
              <w:right w:val="single" w:sz="4" w:space="0" w:color="auto"/>
            </w:tcBorders>
            <w:shd w:val="clear" w:color="auto" w:fill="auto"/>
            <w:noWrap/>
            <w:vAlign w:val="bottom"/>
            <w:hideMark/>
          </w:tcPr>
          <w:p w14:paraId="1A2A912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-2.03</w:t>
            </w:r>
          </w:p>
        </w:tc>
        <w:tc>
          <w:tcPr>
            <w:tcW w:w="701" w:type="dxa"/>
            <w:tcBorders>
              <w:top w:val="nil"/>
              <w:left w:val="nil"/>
              <w:bottom w:val="single" w:sz="4" w:space="0" w:color="auto"/>
              <w:right w:val="single" w:sz="4" w:space="0" w:color="auto"/>
            </w:tcBorders>
            <w:shd w:val="clear" w:color="auto" w:fill="auto"/>
            <w:noWrap/>
            <w:vAlign w:val="bottom"/>
            <w:hideMark/>
          </w:tcPr>
          <w:p w14:paraId="6E0F957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-2.19</w:t>
            </w:r>
          </w:p>
        </w:tc>
        <w:tc>
          <w:tcPr>
            <w:tcW w:w="701" w:type="dxa"/>
            <w:tcBorders>
              <w:top w:val="nil"/>
              <w:left w:val="nil"/>
              <w:bottom w:val="single" w:sz="4" w:space="0" w:color="auto"/>
              <w:right w:val="single" w:sz="4" w:space="0" w:color="auto"/>
            </w:tcBorders>
            <w:shd w:val="clear" w:color="auto" w:fill="auto"/>
            <w:noWrap/>
            <w:vAlign w:val="bottom"/>
            <w:hideMark/>
          </w:tcPr>
          <w:p w14:paraId="66E6636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-2.67</w:t>
            </w:r>
          </w:p>
        </w:tc>
      </w:tr>
      <w:tr w:rsidR="00C27EDE" w:rsidRPr="00A574D1" w14:paraId="6474AC50"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31449EC"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SLC2A14</w:t>
            </w:r>
          </w:p>
        </w:tc>
        <w:tc>
          <w:tcPr>
            <w:tcW w:w="603" w:type="dxa"/>
            <w:tcBorders>
              <w:top w:val="nil"/>
              <w:left w:val="nil"/>
              <w:bottom w:val="single" w:sz="4" w:space="0" w:color="auto"/>
              <w:right w:val="single" w:sz="4" w:space="0" w:color="auto"/>
            </w:tcBorders>
            <w:shd w:val="clear" w:color="auto" w:fill="auto"/>
            <w:noWrap/>
            <w:vAlign w:val="bottom"/>
            <w:hideMark/>
          </w:tcPr>
          <w:p w14:paraId="7C64B47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-3.71</w:t>
            </w:r>
          </w:p>
        </w:tc>
        <w:tc>
          <w:tcPr>
            <w:tcW w:w="701" w:type="dxa"/>
            <w:tcBorders>
              <w:top w:val="nil"/>
              <w:left w:val="nil"/>
              <w:bottom w:val="single" w:sz="4" w:space="0" w:color="auto"/>
              <w:right w:val="single" w:sz="4" w:space="0" w:color="auto"/>
            </w:tcBorders>
            <w:shd w:val="clear" w:color="auto" w:fill="auto"/>
            <w:noWrap/>
            <w:vAlign w:val="bottom"/>
            <w:hideMark/>
          </w:tcPr>
          <w:p w14:paraId="3E6CB30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-4.55</w:t>
            </w:r>
          </w:p>
        </w:tc>
        <w:tc>
          <w:tcPr>
            <w:tcW w:w="701" w:type="dxa"/>
            <w:tcBorders>
              <w:top w:val="nil"/>
              <w:left w:val="nil"/>
              <w:bottom w:val="single" w:sz="4" w:space="0" w:color="auto"/>
              <w:right w:val="single" w:sz="4" w:space="0" w:color="auto"/>
            </w:tcBorders>
            <w:shd w:val="clear" w:color="auto" w:fill="auto"/>
            <w:noWrap/>
            <w:vAlign w:val="bottom"/>
            <w:hideMark/>
          </w:tcPr>
          <w:p w14:paraId="6B1D773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-6.5</w:t>
            </w:r>
          </w:p>
        </w:tc>
      </w:tr>
      <w:tr w:rsidR="00C27EDE" w:rsidRPr="00A574D1" w14:paraId="1D665569"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B035FC9"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SLC2A3</w:t>
            </w:r>
          </w:p>
        </w:tc>
        <w:tc>
          <w:tcPr>
            <w:tcW w:w="603" w:type="dxa"/>
            <w:tcBorders>
              <w:top w:val="nil"/>
              <w:left w:val="nil"/>
              <w:bottom w:val="single" w:sz="4" w:space="0" w:color="auto"/>
              <w:right w:val="single" w:sz="4" w:space="0" w:color="auto"/>
            </w:tcBorders>
            <w:shd w:val="clear" w:color="auto" w:fill="auto"/>
            <w:noWrap/>
            <w:vAlign w:val="bottom"/>
            <w:hideMark/>
          </w:tcPr>
          <w:p w14:paraId="7B7EA358"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-7.79</w:t>
            </w:r>
          </w:p>
        </w:tc>
        <w:tc>
          <w:tcPr>
            <w:tcW w:w="701" w:type="dxa"/>
            <w:tcBorders>
              <w:top w:val="nil"/>
              <w:left w:val="nil"/>
              <w:bottom w:val="single" w:sz="4" w:space="0" w:color="auto"/>
              <w:right w:val="single" w:sz="4" w:space="0" w:color="auto"/>
            </w:tcBorders>
            <w:shd w:val="clear" w:color="auto" w:fill="auto"/>
            <w:noWrap/>
            <w:vAlign w:val="bottom"/>
            <w:hideMark/>
          </w:tcPr>
          <w:p w14:paraId="444D549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-8.99</w:t>
            </w:r>
          </w:p>
        </w:tc>
        <w:tc>
          <w:tcPr>
            <w:tcW w:w="701" w:type="dxa"/>
            <w:tcBorders>
              <w:top w:val="nil"/>
              <w:left w:val="nil"/>
              <w:bottom w:val="single" w:sz="4" w:space="0" w:color="auto"/>
              <w:right w:val="single" w:sz="4" w:space="0" w:color="auto"/>
            </w:tcBorders>
            <w:shd w:val="clear" w:color="auto" w:fill="auto"/>
            <w:noWrap/>
            <w:vAlign w:val="bottom"/>
            <w:hideMark/>
          </w:tcPr>
          <w:p w14:paraId="65B2F4C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-11.82</w:t>
            </w:r>
          </w:p>
        </w:tc>
      </w:tr>
      <w:tr w:rsidR="00C27EDE" w:rsidRPr="00A574D1" w14:paraId="3D05733E"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9E75710"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STAT3</w:t>
            </w:r>
          </w:p>
        </w:tc>
        <w:tc>
          <w:tcPr>
            <w:tcW w:w="603" w:type="dxa"/>
            <w:tcBorders>
              <w:top w:val="nil"/>
              <w:left w:val="nil"/>
              <w:bottom w:val="single" w:sz="4" w:space="0" w:color="auto"/>
              <w:right w:val="single" w:sz="4" w:space="0" w:color="auto"/>
            </w:tcBorders>
            <w:shd w:val="clear" w:color="auto" w:fill="auto"/>
            <w:noWrap/>
            <w:vAlign w:val="bottom"/>
            <w:hideMark/>
          </w:tcPr>
          <w:p w14:paraId="3B03EA5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-2.19</w:t>
            </w:r>
          </w:p>
        </w:tc>
        <w:tc>
          <w:tcPr>
            <w:tcW w:w="701" w:type="dxa"/>
            <w:tcBorders>
              <w:top w:val="nil"/>
              <w:left w:val="nil"/>
              <w:bottom w:val="single" w:sz="4" w:space="0" w:color="auto"/>
              <w:right w:val="single" w:sz="4" w:space="0" w:color="auto"/>
            </w:tcBorders>
            <w:shd w:val="clear" w:color="auto" w:fill="auto"/>
            <w:noWrap/>
            <w:vAlign w:val="bottom"/>
            <w:hideMark/>
          </w:tcPr>
          <w:p w14:paraId="2040CF5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-2.02</w:t>
            </w:r>
          </w:p>
        </w:tc>
        <w:tc>
          <w:tcPr>
            <w:tcW w:w="701" w:type="dxa"/>
            <w:tcBorders>
              <w:top w:val="nil"/>
              <w:left w:val="nil"/>
              <w:bottom w:val="single" w:sz="4" w:space="0" w:color="auto"/>
              <w:right w:val="single" w:sz="4" w:space="0" w:color="auto"/>
            </w:tcBorders>
            <w:shd w:val="clear" w:color="auto" w:fill="auto"/>
            <w:noWrap/>
            <w:vAlign w:val="bottom"/>
            <w:hideMark/>
          </w:tcPr>
          <w:p w14:paraId="715DF824"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w:t>
            </w:r>
          </w:p>
        </w:tc>
      </w:tr>
      <w:tr w:rsidR="00C27EDE" w:rsidRPr="00A574D1" w14:paraId="737E826F"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1522D63C"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STK17A</w:t>
            </w:r>
          </w:p>
        </w:tc>
        <w:tc>
          <w:tcPr>
            <w:tcW w:w="603" w:type="dxa"/>
            <w:tcBorders>
              <w:top w:val="nil"/>
              <w:left w:val="nil"/>
              <w:bottom w:val="single" w:sz="4" w:space="0" w:color="auto"/>
              <w:right w:val="single" w:sz="4" w:space="0" w:color="auto"/>
            </w:tcBorders>
            <w:shd w:val="clear" w:color="auto" w:fill="auto"/>
            <w:noWrap/>
            <w:vAlign w:val="bottom"/>
            <w:hideMark/>
          </w:tcPr>
          <w:p w14:paraId="748184E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-3.36</w:t>
            </w:r>
          </w:p>
        </w:tc>
        <w:tc>
          <w:tcPr>
            <w:tcW w:w="701" w:type="dxa"/>
            <w:tcBorders>
              <w:top w:val="nil"/>
              <w:left w:val="nil"/>
              <w:bottom w:val="single" w:sz="4" w:space="0" w:color="auto"/>
              <w:right w:val="single" w:sz="4" w:space="0" w:color="auto"/>
            </w:tcBorders>
            <w:shd w:val="clear" w:color="auto" w:fill="auto"/>
            <w:noWrap/>
            <w:vAlign w:val="bottom"/>
            <w:hideMark/>
          </w:tcPr>
          <w:p w14:paraId="27D55CBA"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-2.33</w:t>
            </w:r>
          </w:p>
        </w:tc>
        <w:tc>
          <w:tcPr>
            <w:tcW w:w="701" w:type="dxa"/>
            <w:tcBorders>
              <w:top w:val="nil"/>
              <w:left w:val="nil"/>
              <w:bottom w:val="single" w:sz="4" w:space="0" w:color="auto"/>
              <w:right w:val="single" w:sz="4" w:space="0" w:color="auto"/>
            </w:tcBorders>
            <w:shd w:val="clear" w:color="auto" w:fill="auto"/>
            <w:noWrap/>
            <w:vAlign w:val="bottom"/>
            <w:hideMark/>
          </w:tcPr>
          <w:p w14:paraId="3F53235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w:t>
            </w:r>
          </w:p>
        </w:tc>
      </w:tr>
      <w:tr w:rsidR="00C27EDE" w:rsidRPr="00A574D1" w14:paraId="11EB4B61"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75EDC60"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TGFBR3</w:t>
            </w:r>
          </w:p>
        </w:tc>
        <w:tc>
          <w:tcPr>
            <w:tcW w:w="603" w:type="dxa"/>
            <w:tcBorders>
              <w:top w:val="nil"/>
              <w:left w:val="nil"/>
              <w:bottom w:val="single" w:sz="4" w:space="0" w:color="auto"/>
              <w:right w:val="single" w:sz="4" w:space="0" w:color="auto"/>
            </w:tcBorders>
            <w:shd w:val="clear" w:color="auto" w:fill="auto"/>
            <w:noWrap/>
            <w:vAlign w:val="bottom"/>
            <w:hideMark/>
          </w:tcPr>
          <w:p w14:paraId="6D39390C"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-2.74</w:t>
            </w:r>
          </w:p>
        </w:tc>
        <w:tc>
          <w:tcPr>
            <w:tcW w:w="701" w:type="dxa"/>
            <w:tcBorders>
              <w:top w:val="nil"/>
              <w:left w:val="nil"/>
              <w:bottom w:val="single" w:sz="4" w:space="0" w:color="auto"/>
              <w:right w:val="single" w:sz="4" w:space="0" w:color="auto"/>
            </w:tcBorders>
            <w:shd w:val="clear" w:color="auto" w:fill="auto"/>
            <w:noWrap/>
            <w:vAlign w:val="bottom"/>
            <w:hideMark/>
          </w:tcPr>
          <w:p w14:paraId="474E69F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-2.19</w:t>
            </w:r>
          </w:p>
        </w:tc>
        <w:tc>
          <w:tcPr>
            <w:tcW w:w="701" w:type="dxa"/>
            <w:tcBorders>
              <w:top w:val="nil"/>
              <w:left w:val="nil"/>
              <w:bottom w:val="single" w:sz="4" w:space="0" w:color="auto"/>
              <w:right w:val="single" w:sz="4" w:space="0" w:color="auto"/>
            </w:tcBorders>
            <w:shd w:val="clear" w:color="auto" w:fill="auto"/>
            <w:noWrap/>
            <w:vAlign w:val="bottom"/>
            <w:hideMark/>
          </w:tcPr>
          <w:p w14:paraId="2643CBB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-5.46</w:t>
            </w:r>
          </w:p>
        </w:tc>
      </w:tr>
      <w:tr w:rsidR="00C27EDE" w:rsidRPr="00A574D1" w14:paraId="69127770"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AB7938B"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TM4SF18</w:t>
            </w:r>
          </w:p>
        </w:tc>
        <w:tc>
          <w:tcPr>
            <w:tcW w:w="603" w:type="dxa"/>
            <w:tcBorders>
              <w:top w:val="nil"/>
              <w:left w:val="nil"/>
              <w:bottom w:val="single" w:sz="4" w:space="0" w:color="auto"/>
              <w:right w:val="single" w:sz="4" w:space="0" w:color="auto"/>
            </w:tcBorders>
            <w:shd w:val="clear" w:color="auto" w:fill="auto"/>
            <w:noWrap/>
            <w:vAlign w:val="bottom"/>
            <w:hideMark/>
          </w:tcPr>
          <w:p w14:paraId="3FA4040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-2.05</w:t>
            </w:r>
          </w:p>
        </w:tc>
        <w:tc>
          <w:tcPr>
            <w:tcW w:w="701" w:type="dxa"/>
            <w:tcBorders>
              <w:top w:val="nil"/>
              <w:left w:val="nil"/>
              <w:bottom w:val="single" w:sz="4" w:space="0" w:color="auto"/>
              <w:right w:val="single" w:sz="4" w:space="0" w:color="auto"/>
            </w:tcBorders>
            <w:shd w:val="clear" w:color="auto" w:fill="auto"/>
            <w:noWrap/>
            <w:vAlign w:val="bottom"/>
            <w:hideMark/>
          </w:tcPr>
          <w:p w14:paraId="123B53C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-2.13</w:t>
            </w:r>
          </w:p>
        </w:tc>
        <w:tc>
          <w:tcPr>
            <w:tcW w:w="701" w:type="dxa"/>
            <w:tcBorders>
              <w:top w:val="nil"/>
              <w:left w:val="nil"/>
              <w:bottom w:val="single" w:sz="4" w:space="0" w:color="auto"/>
              <w:right w:val="single" w:sz="4" w:space="0" w:color="auto"/>
            </w:tcBorders>
            <w:shd w:val="clear" w:color="auto" w:fill="auto"/>
            <w:noWrap/>
            <w:vAlign w:val="bottom"/>
            <w:hideMark/>
          </w:tcPr>
          <w:p w14:paraId="090A3EA8"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-2.63</w:t>
            </w:r>
          </w:p>
        </w:tc>
      </w:tr>
      <w:tr w:rsidR="00C27EDE" w:rsidRPr="00A574D1" w14:paraId="3F4F6436"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47CFDAD"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TNFRSF10B</w:t>
            </w:r>
          </w:p>
        </w:tc>
        <w:tc>
          <w:tcPr>
            <w:tcW w:w="603" w:type="dxa"/>
            <w:tcBorders>
              <w:top w:val="nil"/>
              <w:left w:val="nil"/>
              <w:bottom w:val="single" w:sz="4" w:space="0" w:color="auto"/>
              <w:right w:val="single" w:sz="4" w:space="0" w:color="auto"/>
            </w:tcBorders>
            <w:shd w:val="clear" w:color="auto" w:fill="auto"/>
            <w:noWrap/>
            <w:vAlign w:val="bottom"/>
            <w:hideMark/>
          </w:tcPr>
          <w:p w14:paraId="4A1C7E3C"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-2.5</w:t>
            </w:r>
          </w:p>
        </w:tc>
        <w:tc>
          <w:tcPr>
            <w:tcW w:w="701" w:type="dxa"/>
            <w:tcBorders>
              <w:top w:val="nil"/>
              <w:left w:val="nil"/>
              <w:bottom w:val="single" w:sz="4" w:space="0" w:color="auto"/>
              <w:right w:val="single" w:sz="4" w:space="0" w:color="auto"/>
            </w:tcBorders>
            <w:shd w:val="clear" w:color="auto" w:fill="auto"/>
            <w:noWrap/>
            <w:vAlign w:val="bottom"/>
            <w:hideMark/>
          </w:tcPr>
          <w:p w14:paraId="422399F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-2.63</w:t>
            </w:r>
          </w:p>
        </w:tc>
        <w:tc>
          <w:tcPr>
            <w:tcW w:w="701" w:type="dxa"/>
            <w:tcBorders>
              <w:top w:val="nil"/>
              <w:left w:val="nil"/>
              <w:bottom w:val="single" w:sz="4" w:space="0" w:color="auto"/>
              <w:right w:val="single" w:sz="4" w:space="0" w:color="auto"/>
            </w:tcBorders>
            <w:shd w:val="clear" w:color="auto" w:fill="auto"/>
            <w:noWrap/>
            <w:vAlign w:val="bottom"/>
            <w:hideMark/>
          </w:tcPr>
          <w:p w14:paraId="6AD66E3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-2.23</w:t>
            </w:r>
          </w:p>
        </w:tc>
      </w:tr>
      <w:tr w:rsidR="00C27EDE" w:rsidRPr="00A574D1" w14:paraId="53042F7D"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3C44DD9"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TP53INP1</w:t>
            </w:r>
          </w:p>
        </w:tc>
        <w:tc>
          <w:tcPr>
            <w:tcW w:w="603" w:type="dxa"/>
            <w:tcBorders>
              <w:top w:val="nil"/>
              <w:left w:val="nil"/>
              <w:bottom w:val="single" w:sz="4" w:space="0" w:color="auto"/>
              <w:right w:val="single" w:sz="4" w:space="0" w:color="auto"/>
            </w:tcBorders>
            <w:shd w:val="clear" w:color="auto" w:fill="auto"/>
            <w:noWrap/>
            <w:vAlign w:val="bottom"/>
            <w:hideMark/>
          </w:tcPr>
          <w:p w14:paraId="7CEB5CB0"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-3.64</w:t>
            </w:r>
          </w:p>
        </w:tc>
        <w:tc>
          <w:tcPr>
            <w:tcW w:w="701" w:type="dxa"/>
            <w:tcBorders>
              <w:top w:val="nil"/>
              <w:left w:val="nil"/>
              <w:bottom w:val="single" w:sz="4" w:space="0" w:color="auto"/>
              <w:right w:val="single" w:sz="4" w:space="0" w:color="auto"/>
            </w:tcBorders>
            <w:shd w:val="clear" w:color="auto" w:fill="auto"/>
            <w:noWrap/>
            <w:vAlign w:val="bottom"/>
            <w:hideMark/>
          </w:tcPr>
          <w:p w14:paraId="6C4FCA7D"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-2.99</w:t>
            </w:r>
          </w:p>
        </w:tc>
        <w:tc>
          <w:tcPr>
            <w:tcW w:w="701" w:type="dxa"/>
            <w:tcBorders>
              <w:top w:val="nil"/>
              <w:left w:val="nil"/>
              <w:bottom w:val="single" w:sz="4" w:space="0" w:color="auto"/>
              <w:right w:val="single" w:sz="4" w:space="0" w:color="auto"/>
            </w:tcBorders>
            <w:shd w:val="clear" w:color="auto" w:fill="auto"/>
            <w:noWrap/>
            <w:vAlign w:val="bottom"/>
            <w:hideMark/>
          </w:tcPr>
          <w:p w14:paraId="4C1815A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-3.6</w:t>
            </w:r>
          </w:p>
        </w:tc>
      </w:tr>
      <w:tr w:rsidR="00C27EDE" w:rsidRPr="00A574D1" w14:paraId="02A2EEEF"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29EBD9A"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TSPAN12</w:t>
            </w:r>
          </w:p>
        </w:tc>
        <w:tc>
          <w:tcPr>
            <w:tcW w:w="603" w:type="dxa"/>
            <w:tcBorders>
              <w:top w:val="nil"/>
              <w:left w:val="nil"/>
              <w:bottom w:val="single" w:sz="4" w:space="0" w:color="auto"/>
              <w:right w:val="single" w:sz="4" w:space="0" w:color="auto"/>
            </w:tcBorders>
            <w:shd w:val="clear" w:color="auto" w:fill="auto"/>
            <w:noWrap/>
            <w:vAlign w:val="bottom"/>
            <w:hideMark/>
          </w:tcPr>
          <w:p w14:paraId="7EDCAC0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-2.66</w:t>
            </w:r>
          </w:p>
        </w:tc>
        <w:tc>
          <w:tcPr>
            <w:tcW w:w="701" w:type="dxa"/>
            <w:tcBorders>
              <w:top w:val="nil"/>
              <w:left w:val="nil"/>
              <w:bottom w:val="single" w:sz="4" w:space="0" w:color="auto"/>
              <w:right w:val="single" w:sz="4" w:space="0" w:color="auto"/>
            </w:tcBorders>
            <w:shd w:val="clear" w:color="auto" w:fill="auto"/>
            <w:noWrap/>
            <w:vAlign w:val="bottom"/>
            <w:hideMark/>
          </w:tcPr>
          <w:p w14:paraId="72C1C9F6"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-2.6</w:t>
            </w:r>
          </w:p>
        </w:tc>
        <w:tc>
          <w:tcPr>
            <w:tcW w:w="701" w:type="dxa"/>
            <w:tcBorders>
              <w:top w:val="nil"/>
              <w:left w:val="nil"/>
              <w:bottom w:val="single" w:sz="4" w:space="0" w:color="auto"/>
              <w:right w:val="single" w:sz="4" w:space="0" w:color="auto"/>
            </w:tcBorders>
            <w:shd w:val="clear" w:color="auto" w:fill="auto"/>
            <w:noWrap/>
            <w:vAlign w:val="bottom"/>
            <w:hideMark/>
          </w:tcPr>
          <w:p w14:paraId="0F6DCECB"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-2.42</w:t>
            </w:r>
          </w:p>
        </w:tc>
      </w:tr>
      <w:tr w:rsidR="00C27EDE" w:rsidRPr="00A574D1" w14:paraId="1CEFDF12"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FB4E83E"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ZBTB5</w:t>
            </w:r>
          </w:p>
        </w:tc>
        <w:tc>
          <w:tcPr>
            <w:tcW w:w="603" w:type="dxa"/>
            <w:tcBorders>
              <w:top w:val="nil"/>
              <w:left w:val="nil"/>
              <w:bottom w:val="single" w:sz="4" w:space="0" w:color="auto"/>
              <w:right w:val="single" w:sz="4" w:space="0" w:color="auto"/>
            </w:tcBorders>
            <w:shd w:val="clear" w:color="auto" w:fill="auto"/>
            <w:noWrap/>
            <w:vAlign w:val="bottom"/>
            <w:hideMark/>
          </w:tcPr>
          <w:p w14:paraId="1A3E6CD1"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-2.05</w:t>
            </w:r>
          </w:p>
        </w:tc>
        <w:tc>
          <w:tcPr>
            <w:tcW w:w="701" w:type="dxa"/>
            <w:tcBorders>
              <w:top w:val="nil"/>
              <w:left w:val="nil"/>
              <w:bottom w:val="single" w:sz="4" w:space="0" w:color="auto"/>
              <w:right w:val="single" w:sz="4" w:space="0" w:color="auto"/>
            </w:tcBorders>
            <w:shd w:val="clear" w:color="auto" w:fill="auto"/>
            <w:noWrap/>
            <w:vAlign w:val="bottom"/>
            <w:hideMark/>
          </w:tcPr>
          <w:p w14:paraId="67E153AF"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-3.05</w:t>
            </w:r>
          </w:p>
        </w:tc>
        <w:tc>
          <w:tcPr>
            <w:tcW w:w="701" w:type="dxa"/>
            <w:tcBorders>
              <w:top w:val="nil"/>
              <w:left w:val="nil"/>
              <w:bottom w:val="single" w:sz="4" w:space="0" w:color="auto"/>
              <w:right w:val="single" w:sz="4" w:space="0" w:color="auto"/>
            </w:tcBorders>
            <w:shd w:val="clear" w:color="auto" w:fill="auto"/>
            <w:noWrap/>
            <w:vAlign w:val="bottom"/>
            <w:hideMark/>
          </w:tcPr>
          <w:p w14:paraId="4A543E8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-2.88</w:t>
            </w:r>
          </w:p>
        </w:tc>
      </w:tr>
      <w:tr w:rsidR="00C27EDE" w:rsidRPr="00A574D1" w14:paraId="200A2518"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94D6C16"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ZNF217</w:t>
            </w:r>
          </w:p>
        </w:tc>
        <w:tc>
          <w:tcPr>
            <w:tcW w:w="603" w:type="dxa"/>
            <w:tcBorders>
              <w:top w:val="nil"/>
              <w:left w:val="nil"/>
              <w:bottom w:val="single" w:sz="4" w:space="0" w:color="auto"/>
              <w:right w:val="single" w:sz="4" w:space="0" w:color="auto"/>
            </w:tcBorders>
            <w:shd w:val="clear" w:color="auto" w:fill="auto"/>
            <w:noWrap/>
            <w:vAlign w:val="bottom"/>
            <w:hideMark/>
          </w:tcPr>
          <w:p w14:paraId="6A386AD2"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-3.51</w:t>
            </w:r>
          </w:p>
        </w:tc>
        <w:tc>
          <w:tcPr>
            <w:tcW w:w="701" w:type="dxa"/>
            <w:tcBorders>
              <w:top w:val="nil"/>
              <w:left w:val="nil"/>
              <w:bottom w:val="single" w:sz="4" w:space="0" w:color="auto"/>
              <w:right w:val="single" w:sz="4" w:space="0" w:color="auto"/>
            </w:tcBorders>
            <w:shd w:val="clear" w:color="auto" w:fill="auto"/>
            <w:noWrap/>
            <w:vAlign w:val="bottom"/>
            <w:hideMark/>
          </w:tcPr>
          <w:p w14:paraId="1166EA8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-2.27</w:t>
            </w:r>
          </w:p>
        </w:tc>
        <w:tc>
          <w:tcPr>
            <w:tcW w:w="701" w:type="dxa"/>
            <w:tcBorders>
              <w:top w:val="nil"/>
              <w:left w:val="nil"/>
              <w:bottom w:val="single" w:sz="4" w:space="0" w:color="auto"/>
              <w:right w:val="single" w:sz="4" w:space="0" w:color="auto"/>
            </w:tcBorders>
            <w:shd w:val="clear" w:color="auto" w:fill="auto"/>
            <w:noWrap/>
            <w:vAlign w:val="bottom"/>
            <w:hideMark/>
          </w:tcPr>
          <w:p w14:paraId="344040FE"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-2.58</w:t>
            </w:r>
          </w:p>
        </w:tc>
      </w:tr>
      <w:tr w:rsidR="00C27EDE" w:rsidRPr="00A574D1" w14:paraId="07A4BB20" w14:textId="77777777" w:rsidTr="00A17F81">
        <w:trPr>
          <w:trHeight w:val="230"/>
        </w:trPr>
        <w:tc>
          <w:tcPr>
            <w:tcW w:w="115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03DD4DF" w14:textId="77777777" w:rsidR="00C27EDE" w:rsidRPr="00A574D1" w:rsidRDefault="00C27EDE" w:rsidP="005A571B">
            <w:pPr>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ZNF425</w:t>
            </w:r>
          </w:p>
        </w:tc>
        <w:tc>
          <w:tcPr>
            <w:tcW w:w="603" w:type="dxa"/>
            <w:tcBorders>
              <w:top w:val="nil"/>
              <w:left w:val="nil"/>
              <w:bottom w:val="single" w:sz="4" w:space="0" w:color="auto"/>
              <w:right w:val="single" w:sz="4" w:space="0" w:color="auto"/>
            </w:tcBorders>
            <w:shd w:val="clear" w:color="auto" w:fill="auto"/>
            <w:noWrap/>
            <w:vAlign w:val="bottom"/>
            <w:hideMark/>
          </w:tcPr>
          <w:p w14:paraId="1F1C4FF9"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-2.78</w:t>
            </w:r>
          </w:p>
        </w:tc>
        <w:tc>
          <w:tcPr>
            <w:tcW w:w="701" w:type="dxa"/>
            <w:tcBorders>
              <w:top w:val="nil"/>
              <w:left w:val="nil"/>
              <w:bottom w:val="single" w:sz="4" w:space="0" w:color="auto"/>
              <w:right w:val="single" w:sz="4" w:space="0" w:color="auto"/>
            </w:tcBorders>
            <w:shd w:val="clear" w:color="auto" w:fill="auto"/>
            <w:noWrap/>
            <w:vAlign w:val="bottom"/>
            <w:hideMark/>
          </w:tcPr>
          <w:p w14:paraId="1C34B895"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-2.75</w:t>
            </w:r>
          </w:p>
        </w:tc>
        <w:tc>
          <w:tcPr>
            <w:tcW w:w="701" w:type="dxa"/>
            <w:tcBorders>
              <w:top w:val="nil"/>
              <w:left w:val="nil"/>
              <w:bottom w:val="single" w:sz="4" w:space="0" w:color="auto"/>
              <w:right w:val="single" w:sz="4" w:space="0" w:color="auto"/>
            </w:tcBorders>
            <w:shd w:val="clear" w:color="auto" w:fill="auto"/>
            <w:noWrap/>
            <w:vAlign w:val="bottom"/>
            <w:hideMark/>
          </w:tcPr>
          <w:p w14:paraId="2D99FDA7" w14:textId="77777777" w:rsidR="00C27EDE" w:rsidRPr="00A574D1" w:rsidRDefault="00C27EDE" w:rsidP="005A571B">
            <w:pPr>
              <w:jc w:val="right"/>
              <w:rPr>
                <w:rFonts w:ascii="Calibri" w:eastAsia="Times New Roman" w:hAnsi="Calibri" w:cs="Times New Roman"/>
                <w:color w:val="000000"/>
                <w:sz w:val="16"/>
                <w:szCs w:val="16"/>
              </w:rPr>
            </w:pPr>
            <w:r w:rsidRPr="00A574D1">
              <w:rPr>
                <w:rFonts w:ascii="Calibri" w:eastAsia="Times New Roman" w:hAnsi="Calibri" w:cs="Times New Roman"/>
                <w:color w:val="000000"/>
                <w:sz w:val="16"/>
                <w:szCs w:val="16"/>
              </w:rPr>
              <w:t>-2.49</w:t>
            </w:r>
          </w:p>
        </w:tc>
      </w:tr>
    </w:tbl>
    <w:p w14:paraId="55AB6ABA" w14:textId="77777777" w:rsidR="00C27EDE" w:rsidRDefault="00C27EDE" w:rsidP="00C27EDE">
      <w:pPr>
        <w:rPr>
          <w:rFonts w:asciiTheme="majorHAnsi" w:hAnsiTheme="majorHAnsi"/>
          <w:sz w:val="28"/>
          <w:u w:val="single"/>
        </w:rPr>
      </w:pPr>
    </w:p>
    <w:p w14:paraId="2C2A52F0" w14:textId="77777777" w:rsidR="00C27EDE" w:rsidRDefault="00C27EDE" w:rsidP="00C27EDE">
      <w:pPr>
        <w:rPr>
          <w:rFonts w:asciiTheme="majorHAnsi" w:hAnsiTheme="majorHAnsi"/>
          <w:sz w:val="28"/>
          <w:u w:val="single"/>
        </w:rPr>
      </w:pPr>
      <w:r>
        <w:rPr>
          <w:rFonts w:asciiTheme="majorHAnsi" w:hAnsiTheme="majorHAnsi"/>
          <w:noProof/>
          <w:sz w:val="22"/>
          <w:u w:val="single"/>
          <w:lang w:val="en-US"/>
        </w:rPr>
        <mc:AlternateContent>
          <mc:Choice Requires="wps">
            <w:drawing>
              <wp:anchor distT="0" distB="0" distL="114300" distR="114300" simplePos="0" relativeHeight="252070912" behindDoc="0" locked="0" layoutInCell="1" allowOverlap="1" wp14:anchorId="6398E0C6" wp14:editId="7AF3E6AA">
                <wp:simplePos x="0" y="0"/>
                <wp:positionH relativeFrom="column">
                  <wp:posOffset>-114300</wp:posOffset>
                </wp:positionH>
                <wp:positionV relativeFrom="paragraph">
                  <wp:posOffset>49530</wp:posOffset>
                </wp:positionV>
                <wp:extent cx="5143500" cy="1028700"/>
                <wp:effectExtent l="0" t="0" r="0" b="12700"/>
                <wp:wrapSquare wrapText="bothSides"/>
                <wp:docPr id="313" name="Text Box 313"/>
                <wp:cNvGraphicFramePr/>
                <a:graphic xmlns:a="http://schemas.openxmlformats.org/drawingml/2006/main">
                  <a:graphicData uri="http://schemas.microsoft.com/office/word/2010/wordprocessingShape">
                    <wps:wsp>
                      <wps:cNvSpPr txBox="1"/>
                      <wps:spPr>
                        <a:xfrm>
                          <a:off x="0" y="0"/>
                          <a:ext cx="51435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49AFB1" w14:textId="77777777" w:rsidR="00E82D3B" w:rsidRPr="00842290" w:rsidRDefault="00E82D3B" w:rsidP="00C27EDE">
                            <w:pPr>
                              <w:jc w:val="both"/>
                              <w:rPr>
                                <w:b/>
                                <w:i/>
                                <w:sz w:val="22"/>
                              </w:rPr>
                            </w:pPr>
                            <w:proofErr w:type="gramStart"/>
                            <w:r>
                              <w:rPr>
                                <w:b/>
                                <w:i/>
                                <w:sz w:val="22"/>
                              </w:rPr>
                              <w:t>Appendix Figure 11.</w:t>
                            </w:r>
                            <w:proofErr w:type="gramEnd"/>
                            <w:r>
                              <w:rPr>
                                <w:b/>
                                <w:i/>
                                <w:sz w:val="22"/>
                              </w:rPr>
                              <w:t xml:space="preserve"> </w:t>
                            </w:r>
                            <w:r w:rsidRPr="00842290">
                              <w:rPr>
                                <w:b/>
                                <w:i/>
                                <w:sz w:val="22"/>
                              </w:rPr>
                              <w:t xml:space="preserve">Control vs si6 genes that have a -2 or more fold change across all three repeats. </w:t>
                            </w:r>
                          </w:p>
                          <w:p w14:paraId="1DE603ED" w14:textId="77777777" w:rsidR="00E82D3B" w:rsidRPr="00A574D1" w:rsidRDefault="00E82D3B" w:rsidP="00C27EDE">
                            <w:pPr>
                              <w:jc w:val="both"/>
                              <w:rPr>
                                <w:b/>
                                <w:i/>
                              </w:rPr>
                            </w:pPr>
                            <w:r w:rsidRPr="00842290">
                              <w:rPr>
                                <w:i/>
                                <w:sz w:val="22"/>
                              </w:rPr>
                              <w:t>These genes represent al the genes that are increased in expression by a -2 or more fold change when SRCAP is knocked down</w:t>
                            </w:r>
                            <w:r>
                              <w:rPr>
                                <w:b/>
                                <w:i/>
                              </w:rPr>
                              <w:t>.</w:t>
                            </w:r>
                          </w:p>
                          <w:p w14:paraId="1C3160C9" w14:textId="77777777" w:rsidR="00E82D3B" w:rsidRDefault="00E82D3B" w:rsidP="00C27E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3" o:spid="_x0000_s1225" type="#_x0000_t202" style="position:absolute;margin-left:-8.95pt;margin-top:3.9pt;width:405pt;height:81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AmLtYCAAAc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" filled="f" stroked="f">
                <v:textbox>
                  <w:txbxContent>
                    <w:p w14:paraId="5849AFB1" w14:textId="77777777" w:rsidR="000A1E0D" w:rsidRPr="00842290" w:rsidRDefault="000A1E0D" w:rsidP="00C27EDE">
                      <w:pPr>
                        <w:jc w:val="both"/>
                        <w:rPr>
                          <w:b/>
                          <w:i/>
                          <w:sz w:val="22"/>
                        </w:rPr>
                      </w:pPr>
                      <w:proofErr w:type="gramStart"/>
                      <w:r>
                        <w:rPr>
                          <w:b/>
                          <w:i/>
                          <w:sz w:val="22"/>
                        </w:rPr>
                        <w:t>Appendix Figure 11.</w:t>
                      </w:r>
                      <w:proofErr w:type="gramEnd"/>
                      <w:r>
                        <w:rPr>
                          <w:b/>
                          <w:i/>
                          <w:sz w:val="22"/>
                        </w:rPr>
                        <w:t xml:space="preserve"> </w:t>
                      </w:r>
                      <w:r w:rsidRPr="00842290">
                        <w:rPr>
                          <w:b/>
                          <w:i/>
                          <w:sz w:val="22"/>
                        </w:rPr>
                        <w:t xml:space="preserve">Control vs si6 genes that have a -2 or more fold change across all three repeats. </w:t>
                      </w:r>
                    </w:p>
                    <w:p w14:paraId="1DE603ED" w14:textId="77777777" w:rsidR="000A1E0D" w:rsidRPr="00A574D1" w:rsidRDefault="000A1E0D" w:rsidP="00C27EDE">
                      <w:pPr>
                        <w:jc w:val="both"/>
                        <w:rPr>
                          <w:b/>
                          <w:i/>
                        </w:rPr>
                      </w:pPr>
                      <w:r w:rsidRPr="00842290">
                        <w:rPr>
                          <w:i/>
                          <w:sz w:val="22"/>
                        </w:rPr>
                        <w:t>These genes represent al the genes that are increased in expression by a -2 or more fold change when SRCAP is knocked down</w:t>
                      </w:r>
                      <w:r>
                        <w:rPr>
                          <w:b/>
                          <w:i/>
                        </w:rPr>
                        <w:t>.</w:t>
                      </w:r>
                    </w:p>
                    <w:p w14:paraId="1C3160C9" w14:textId="77777777" w:rsidR="000A1E0D" w:rsidRDefault="000A1E0D" w:rsidP="00C27EDE"/>
                  </w:txbxContent>
                </v:textbox>
                <w10:wrap type="square"/>
              </v:shape>
            </w:pict>
          </mc:Fallback>
        </mc:AlternateContent>
      </w:r>
    </w:p>
    <w:p w14:paraId="6EBC9435" w14:textId="77777777" w:rsidR="00C27EDE" w:rsidRDefault="00C27EDE" w:rsidP="00C27EDE">
      <w:pPr>
        <w:rPr>
          <w:rFonts w:asciiTheme="majorHAnsi" w:hAnsiTheme="majorHAnsi"/>
          <w:sz w:val="28"/>
          <w:u w:val="single"/>
          <w:lang w:val="en-US"/>
        </w:rPr>
      </w:pPr>
      <w:r>
        <w:rPr>
          <w:rFonts w:asciiTheme="majorHAnsi" w:hAnsiTheme="majorHAnsi"/>
          <w:sz w:val="28"/>
          <w:u w:val="single"/>
        </w:rPr>
        <w:br w:type="page"/>
      </w:r>
    </w:p>
    <w:p w14:paraId="538E98FC" w14:textId="77777777" w:rsidR="00C27EDE" w:rsidRPr="0085411C" w:rsidRDefault="00C27EDE" w:rsidP="0085411C">
      <w:pPr>
        <w:pStyle w:val="Title"/>
        <w:rPr>
          <w:color w:val="auto"/>
        </w:rPr>
      </w:pPr>
      <w:r w:rsidRPr="0085411C">
        <w:rPr>
          <w:noProof/>
          <w:color w:val="auto"/>
          <w:lang w:val="en-US"/>
        </w:rPr>
        <w:drawing>
          <wp:anchor distT="0" distB="0" distL="114300" distR="114300" simplePos="0" relativeHeight="252073984" behindDoc="0" locked="0" layoutInCell="1" allowOverlap="1" wp14:anchorId="79E506AF" wp14:editId="623E5C63">
            <wp:simplePos x="0" y="0"/>
            <wp:positionH relativeFrom="column">
              <wp:posOffset>0</wp:posOffset>
            </wp:positionH>
            <wp:positionV relativeFrom="paragraph">
              <wp:posOffset>914400</wp:posOffset>
            </wp:positionV>
            <wp:extent cx="5382895" cy="4020185"/>
            <wp:effectExtent l="0" t="0" r="1905" b="0"/>
            <wp:wrapSquare wrapText="bothSides"/>
            <wp:docPr id="328" name="Picture 328" descr="Macintosh HD:Users:ClairFellows:Desktop:Screen Shot 2017-10-12 at 11.1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lairFellows:Desktop:Screen Shot 2017-10-12 at 11.17.40.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382895" cy="4020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411C">
        <w:rPr>
          <w:color w:val="auto"/>
        </w:rPr>
        <w:t>Appendix 12</w:t>
      </w:r>
    </w:p>
    <w:p w14:paraId="208FCC66" w14:textId="77777777" w:rsidR="00C27EDE" w:rsidRDefault="00C27EDE" w:rsidP="00C27EDE">
      <w:pPr>
        <w:rPr>
          <w:rFonts w:asciiTheme="majorHAnsi" w:hAnsiTheme="majorHAnsi"/>
          <w:sz w:val="28"/>
          <w:u w:val="single"/>
          <w:lang w:val="en-US"/>
        </w:rPr>
      </w:pPr>
      <w:r>
        <w:rPr>
          <w:rFonts w:asciiTheme="majorHAnsi" w:hAnsiTheme="majorHAnsi"/>
          <w:noProof/>
          <w:sz w:val="28"/>
          <w:u w:val="single"/>
          <w:lang w:val="en-US"/>
        </w:rPr>
        <mc:AlternateContent>
          <mc:Choice Requires="wps">
            <w:drawing>
              <wp:anchor distT="0" distB="0" distL="114300" distR="114300" simplePos="0" relativeHeight="252075008" behindDoc="0" locked="0" layoutInCell="1" allowOverlap="1" wp14:anchorId="0D6B22B3" wp14:editId="33BAC76C">
                <wp:simplePos x="0" y="0"/>
                <wp:positionH relativeFrom="column">
                  <wp:posOffset>0</wp:posOffset>
                </wp:positionH>
                <wp:positionV relativeFrom="paragraph">
                  <wp:posOffset>4600575</wp:posOffset>
                </wp:positionV>
                <wp:extent cx="5372100" cy="914400"/>
                <wp:effectExtent l="0" t="0" r="0" b="0"/>
                <wp:wrapSquare wrapText="bothSides"/>
                <wp:docPr id="314" name="Text Box 314"/>
                <wp:cNvGraphicFramePr/>
                <a:graphic xmlns:a="http://schemas.openxmlformats.org/drawingml/2006/main">
                  <a:graphicData uri="http://schemas.microsoft.com/office/word/2010/wordprocessingShape">
                    <wps:wsp>
                      <wps:cNvSpPr txBox="1"/>
                      <wps:spPr>
                        <a:xfrm>
                          <a:off x="0" y="0"/>
                          <a:ext cx="5372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1148BA" w14:textId="77777777" w:rsidR="00E82D3B" w:rsidRPr="00842290" w:rsidRDefault="00E82D3B" w:rsidP="004D7A67">
                            <w:pPr>
                              <w:jc w:val="both"/>
                              <w:rPr>
                                <w:b/>
                                <w:i/>
                                <w:sz w:val="22"/>
                              </w:rPr>
                            </w:pPr>
                            <w:proofErr w:type="gramStart"/>
                            <w:r>
                              <w:rPr>
                                <w:b/>
                                <w:i/>
                                <w:sz w:val="22"/>
                              </w:rPr>
                              <w:t>Appendix Figure 12.</w:t>
                            </w:r>
                            <w:proofErr w:type="gramEnd"/>
                            <w:r>
                              <w:rPr>
                                <w:b/>
                                <w:i/>
                                <w:sz w:val="22"/>
                              </w:rPr>
                              <w:t xml:space="preserve"> </w:t>
                            </w:r>
                            <w:r w:rsidRPr="00842290">
                              <w:rPr>
                                <w:b/>
                                <w:i/>
                                <w:sz w:val="22"/>
                              </w:rPr>
                              <w:t>STRING network a</w:t>
                            </w:r>
                            <w:r>
                              <w:rPr>
                                <w:b/>
                                <w:i/>
                                <w:sz w:val="22"/>
                              </w:rPr>
                              <w:t>nalysis on the 55</w:t>
                            </w:r>
                            <w:r w:rsidRPr="00842290">
                              <w:rPr>
                                <w:b/>
                                <w:i/>
                                <w:sz w:val="22"/>
                              </w:rPr>
                              <w:t xml:space="preserve"> genes that had a </w:t>
                            </w:r>
                            <w:r>
                              <w:rPr>
                                <w:b/>
                                <w:i/>
                                <w:sz w:val="22"/>
                              </w:rPr>
                              <w:t>-</w:t>
                            </w:r>
                            <w:r w:rsidRPr="00842290">
                              <w:rPr>
                                <w:b/>
                                <w:i/>
                                <w:sz w:val="22"/>
                              </w:rPr>
                              <w:t xml:space="preserve">2 or more </w:t>
                            </w:r>
                            <w:r>
                              <w:rPr>
                                <w:b/>
                                <w:i/>
                                <w:sz w:val="22"/>
                              </w:rPr>
                              <w:t>negative</w:t>
                            </w:r>
                            <w:r w:rsidRPr="00842290">
                              <w:rPr>
                                <w:b/>
                                <w:i/>
                                <w:sz w:val="22"/>
                              </w:rPr>
                              <w:t xml:space="preserve"> fold change across all </w:t>
                            </w:r>
                            <w:proofErr w:type="gramStart"/>
                            <w:r w:rsidRPr="00842290">
                              <w:rPr>
                                <w:b/>
                                <w:i/>
                                <w:sz w:val="22"/>
                              </w:rPr>
                              <w:t>three control</w:t>
                            </w:r>
                            <w:proofErr w:type="gramEnd"/>
                            <w:r w:rsidRPr="00842290">
                              <w:rPr>
                                <w:b/>
                                <w:i/>
                                <w:sz w:val="22"/>
                              </w:rPr>
                              <w:t xml:space="preserve"> vs si6 repeats.</w:t>
                            </w:r>
                          </w:p>
                          <w:p w14:paraId="311FBDBF" w14:textId="77777777" w:rsidR="00E82D3B" w:rsidRPr="00842290" w:rsidRDefault="00E82D3B" w:rsidP="004D7A67">
                            <w:pPr>
                              <w:jc w:val="both"/>
                              <w:rPr>
                                <w:i/>
                                <w:sz w:val="22"/>
                              </w:rPr>
                            </w:pPr>
                            <w:r w:rsidRPr="00842290">
                              <w:rPr>
                                <w:i/>
                                <w:sz w:val="22"/>
                              </w:rPr>
                              <w:t>The red dots correspond to gene</w:t>
                            </w:r>
                            <w:r>
                              <w:rPr>
                                <w:i/>
                                <w:sz w:val="22"/>
                              </w:rPr>
                              <w:t>s</w:t>
                            </w:r>
                            <w:r w:rsidRPr="00842290">
                              <w:rPr>
                                <w:i/>
                                <w:sz w:val="22"/>
                              </w:rPr>
                              <w:t xml:space="preserve"> involved in </w:t>
                            </w:r>
                            <w:r>
                              <w:rPr>
                                <w:i/>
                                <w:sz w:val="22"/>
                              </w:rPr>
                              <w:t xml:space="preserve">the regulation of apoptotic processes. </w:t>
                            </w:r>
                          </w:p>
                          <w:p w14:paraId="29BF0861" w14:textId="77777777" w:rsidR="00E82D3B" w:rsidRDefault="00E82D3B" w:rsidP="00C27E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4" o:spid="_x0000_s1226" type="#_x0000_t202" style="position:absolute;margin-left:0;margin-top:362.25pt;width:423pt;height:1in;z-index:25207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" filled="f" stroked="f">
                <v:textbox>
                  <w:txbxContent>
                    <w:p w14:paraId="0B1148BA" w14:textId="77777777" w:rsidR="000A1E0D" w:rsidRPr="00842290" w:rsidRDefault="000A1E0D" w:rsidP="004D7A67">
                      <w:pPr>
                        <w:jc w:val="both"/>
                        <w:rPr>
                          <w:b/>
                          <w:i/>
                          <w:sz w:val="22"/>
                        </w:rPr>
                      </w:pPr>
                      <w:proofErr w:type="gramStart"/>
                      <w:r>
                        <w:rPr>
                          <w:b/>
                          <w:i/>
                          <w:sz w:val="22"/>
                        </w:rPr>
                        <w:t>Appendix Figure 12.</w:t>
                      </w:r>
                      <w:proofErr w:type="gramEnd"/>
                      <w:r>
                        <w:rPr>
                          <w:b/>
                          <w:i/>
                          <w:sz w:val="22"/>
                        </w:rPr>
                        <w:t xml:space="preserve"> </w:t>
                      </w:r>
                      <w:r w:rsidRPr="00842290">
                        <w:rPr>
                          <w:b/>
                          <w:i/>
                          <w:sz w:val="22"/>
                        </w:rPr>
                        <w:t>STRING network a</w:t>
                      </w:r>
                      <w:r>
                        <w:rPr>
                          <w:b/>
                          <w:i/>
                          <w:sz w:val="22"/>
                        </w:rPr>
                        <w:t>nalysis on the 55</w:t>
                      </w:r>
                      <w:r w:rsidRPr="00842290">
                        <w:rPr>
                          <w:b/>
                          <w:i/>
                          <w:sz w:val="22"/>
                        </w:rPr>
                        <w:t xml:space="preserve"> genes that had a </w:t>
                      </w:r>
                      <w:r>
                        <w:rPr>
                          <w:b/>
                          <w:i/>
                          <w:sz w:val="22"/>
                        </w:rPr>
                        <w:t>-</w:t>
                      </w:r>
                      <w:r w:rsidRPr="00842290">
                        <w:rPr>
                          <w:b/>
                          <w:i/>
                          <w:sz w:val="22"/>
                        </w:rPr>
                        <w:t xml:space="preserve">2 or more </w:t>
                      </w:r>
                      <w:r>
                        <w:rPr>
                          <w:b/>
                          <w:i/>
                          <w:sz w:val="22"/>
                        </w:rPr>
                        <w:t>negative</w:t>
                      </w:r>
                      <w:r w:rsidRPr="00842290">
                        <w:rPr>
                          <w:b/>
                          <w:i/>
                          <w:sz w:val="22"/>
                        </w:rPr>
                        <w:t xml:space="preserve"> fold change across all </w:t>
                      </w:r>
                      <w:proofErr w:type="gramStart"/>
                      <w:r w:rsidRPr="00842290">
                        <w:rPr>
                          <w:b/>
                          <w:i/>
                          <w:sz w:val="22"/>
                        </w:rPr>
                        <w:t>three control</w:t>
                      </w:r>
                      <w:proofErr w:type="gramEnd"/>
                      <w:r w:rsidRPr="00842290">
                        <w:rPr>
                          <w:b/>
                          <w:i/>
                          <w:sz w:val="22"/>
                        </w:rPr>
                        <w:t xml:space="preserve"> vs si6 repeats.</w:t>
                      </w:r>
                    </w:p>
                    <w:p w14:paraId="311FBDBF" w14:textId="77777777" w:rsidR="000A1E0D" w:rsidRPr="00842290" w:rsidRDefault="000A1E0D" w:rsidP="004D7A67">
                      <w:pPr>
                        <w:jc w:val="both"/>
                        <w:rPr>
                          <w:i/>
                          <w:sz w:val="22"/>
                        </w:rPr>
                      </w:pPr>
                      <w:r w:rsidRPr="00842290">
                        <w:rPr>
                          <w:i/>
                          <w:sz w:val="22"/>
                        </w:rPr>
                        <w:t>The red dots correspond to gene</w:t>
                      </w:r>
                      <w:r>
                        <w:rPr>
                          <w:i/>
                          <w:sz w:val="22"/>
                        </w:rPr>
                        <w:t>s</w:t>
                      </w:r>
                      <w:r w:rsidRPr="00842290">
                        <w:rPr>
                          <w:i/>
                          <w:sz w:val="22"/>
                        </w:rPr>
                        <w:t xml:space="preserve"> involved in </w:t>
                      </w:r>
                      <w:r>
                        <w:rPr>
                          <w:i/>
                          <w:sz w:val="22"/>
                        </w:rPr>
                        <w:t xml:space="preserve">the regulation of apoptotic processes. </w:t>
                      </w:r>
                    </w:p>
                    <w:p w14:paraId="29BF0861" w14:textId="77777777" w:rsidR="000A1E0D" w:rsidRDefault="000A1E0D" w:rsidP="00C27EDE"/>
                  </w:txbxContent>
                </v:textbox>
                <w10:wrap type="square"/>
              </v:shape>
            </w:pict>
          </mc:Fallback>
        </mc:AlternateContent>
      </w:r>
      <w:r>
        <w:rPr>
          <w:rFonts w:asciiTheme="majorHAnsi" w:hAnsiTheme="majorHAnsi"/>
          <w:sz w:val="28"/>
          <w:u w:val="single"/>
        </w:rPr>
        <w:br w:type="page"/>
      </w:r>
    </w:p>
    <w:p w14:paraId="47A11828" w14:textId="77777777" w:rsidR="00C27EDE" w:rsidRPr="0085411C" w:rsidRDefault="00C27EDE" w:rsidP="0085411C">
      <w:pPr>
        <w:pStyle w:val="Title"/>
        <w:rPr>
          <w:color w:val="auto"/>
        </w:rPr>
      </w:pPr>
      <w:r w:rsidRPr="0085411C">
        <w:rPr>
          <w:color w:val="auto"/>
        </w:rPr>
        <w:t>Appendix 13</w:t>
      </w:r>
    </w:p>
    <w:p w14:paraId="0A288BBA" w14:textId="77777777" w:rsidR="00C27EDE" w:rsidRDefault="00C27EDE" w:rsidP="00C27EDE">
      <w:pPr>
        <w:rPr>
          <w:rFonts w:asciiTheme="majorHAnsi" w:hAnsiTheme="majorHAnsi"/>
          <w:sz w:val="28"/>
          <w:u w:val="single"/>
        </w:rPr>
      </w:pPr>
    </w:p>
    <w:tbl>
      <w:tblPr>
        <w:tblW w:w="5200" w:type="dxa"/>
        <w:tblInd w:w="93" w:type="dxa"/>
        <w:tblLook w:val="04A0" w:firstRow="1" w:lastRow="0" w:firstColumn="1" w:lastColumn="0" w:noHBand="0" w:noVBand="1"/>
      </w:tblPr>
      <w:tblGrid>
        <w:gridCol w:w="1300"/>
        <w:gridCol w:w="1300"/>
        <w:gridCol w:w="1300"/>
        <w:gridCol w:w="1300"/>
      </w:tblGrid>
      <w:tr w:rsidR="00C27EDE" w:rsidRPr="00EC2586" w14:paraId="45BD2CC1" w14:textId="77777777" w:rsidTr="005A571B">
        <w:trPr>
          <w:trHeight w:val="300"/>
        </w:trPr>
        <w:tc>
          <w:tcPr>
            <w:tcW w:w="1300"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50852633" w14:textId="77777777" w:rsidR="00C27EDE" w:rsidRPr="00EC2586" w:rsidRDefault="00C27EDE" w:rsidP="005A571B">
            <w:pPr>
              <w:jc w:val="center"/>
              <w:rPr>
                <w:rFonts w:ascii="Calibri" w:eastAsia="Times New Roman" w:hAnsi="Calibri" w:cs="Times New Roman"/>
                <w:color w:val="FFFFFF"/>
              </w:rPr>
            </w:pPr>
            <w:r w:rsidRPr="00EC2586">
              <w:rPr>
                <w:rFonts w:ascii="Calibri" w:eastAsia="Times New Roman" w:hAnsi="Calibri" w:cs="Times New Roman"/>
                <w:color w:val="FFFFFF"/>
              </w:rPr>
              <w:t>GENE</w:t>
            </w:r>
          </w:p>
        </w:tc>
        <w:tc>
          <w:tcPr>
            <w:tcW w:w="1300" w:type="dxa"/>
            <w:tcBorders>
              <w:top w:val="single" w:sz="4" w:space="0" w:color="auto"/>
              <w:left w:val="nil"/>
              <w:bottom w:val="single" w:sz="4" w:space="0" w:color="auto"/>
              <w:right w:val="single" w:sz="4" w:space="0" w:color="auto"/>
            </w:tcBorders>
            <w:shd w:val="clear" w:color="000000" w:fill="000000"/>
            <w:noWrap/>
            <w:vAlign w:val="bottom"/>
            <w:hideMark/>
          </w:tcPr>
          <w:p w14:paraId="1F17653F" w14:textId="77777777" w:rsidR="00C27EDE" w:rsidRPr="00EC2586" w:rsidRDefault="00C27EDE" w:rsidP="005A571B">
            <w:pPr>
              <w:jc w:val="center"/>
              <w:rPr>
                <w:rFonts w:ascii="Calibri" w:eastAsia="Times New Roman" w:hAnsi="Calibri" w:cs="Times New Roman"/>
                <w:color w:val="FFFFFF"/>
              </w:rPr>
            </w:pPr>
            <w:r w:rsidRPr="00EC2586">
              <w:rPr>
                <w:rFonts w:ascii="Calibri" w:eastAsia="Times New Roman" w:hAnsi="Calibri" w:cs="Times New Roman"/>
                <w:color w:val="FFFFFF"/>
              </w:rPr>
              <w:t>1</w:t>
            </w:r>
          </w:p>
        </w:tc>
        <w:tc>
          <w:tcPr>
            <w:tcW w:w="1300" w:type="dxa"/>
            <w:tcBorders>
              <w:top w:val="single" w:sz="4" w:space="0" w:color="auto"/>
              <w:left w:val="nil"/>
              <w:bottom w:val="single" w:sz="4" w:space="0" w:color="auto"/>
              <w:right w:val="single" w:sz="4" w:space="0" w:color="auto"/>
            </w:tcBorders>
            <w:shd w:val="clear" w:color="000000" w:fill="000000"/>
            <w:noWrap/>
            <w:vAlign w:val="bottom"/>
            <w:hideMark/>
          </w:tcPr>
          <w:p w14:paraId="5F93D8E2" w14:textId="77777777" w:rsidR="00C27EDE" w:rsidRPr="00EC2586" w:rsidRDefault="00C27EDE" w:rsidP="005A571B">
            <w:pPr>
              <w:jc w:val="center"/>
              <w:rPr>
                <w:rFonts w:ascii="Calibri" w:eastAsia="Times New Roman" w:hAnsi="Calibri" w:cs="Times New Roman"/>
                <w:color w:val="FFFFFF"/>
              </w:rPr>
            </w:pPr>
            <w:r w:rsidRPr="00EC2586">
              <w:rPr>
                <w:rFonts w:ascii="Calibri" w:eastAsia="Times New Roman" w:hAnsi="Calibri" w:cs="Times New Roman"/>
                <w:color w:val="FFFFFF"/>
              </w:rPr>
              <w:t>2</w:t>
            </w:r>
          </w:p>
        </w:tc>
        <w:tc>
          <w:tcPr>
            <w:tcW w:w="1300" w:type="dxa"/>
            <w:tcBorders>
              <w:top w:val="single" w:sz="4" w:space="0" w:color="auto"/>
              <w:left w:val="nil"/>
              <w:bottom w:val="single" w:sz="4" w:space="0" w:color="auto"/>
              <w:right w:val="single" w:sz="4" w:space="0" w:color="auto"/>
            </w:tcBorders>
            <w:shd w:val="clear" w:color="000000" w:fill="000000"/>
            <w:noWrap/>
            <w:vAlign w:val="bottom"/>
            <w:hideMark/>
          </w:tcPr>
          <w:p w14:paraId="45F43C61" w14:textId="77777777" w:rsidR="00C27EDE" w:rsidRPr="00EC2586" w:rsidRDefault="00C27EDE" w:rsidP="005A571B">
            <w:pPr>
              <w:jc w:val="center"/>
              <w:rPr>
                <w:rFonts w:ascii="Calibri" w:eastAsia="Times New Roman" w:hAnsi="Calibri" w:cs="Times New Roman"/>
                <w:color w:val="FFFFFF"/>
              </w:rPr>
            </w:pPr>
            <w:r w:rsidRPr="00EC2586">
              <w:rPr>
                <w:rFonts w:ascii="Calibri" w:eastAsia="Times New Roman" w:hAnsi="Calibri" w:cs="Times New Roman"/>
                <w:color w:val="FFFFFF"/>
              </w:rPr>
              <w:t>3</w:t>
            </w:r>
          </w:p>
        </w:tc>
      </w:tr>
      <w:tr w:rsidR="00C27EDE" w:rsidRPr="00EC2586" w14:paraId="2B4C004B" w14:textId="77777777" w:rsidTr="00A17F81">
        <w:trPr>
          <w:trHeight w:val="300"/>
        </w:trPr>
        <w:tc>
          <w:tcPr>
            <w:tcW w:w="130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56AC7F3" w14:textId="77777777" w:rsidR="00C27EDE" w:rsidRPr="00EC2586" w:rsidRDefault="00C27EDE" w:rsidP="005A571B">
            <w:pPr>
              <w:rPr>
                <w:rFonts w:ascii="Calibri" w:eastAsia="Times New Roman" w:hAnsi="Calibri" w:cs="Times New Roman"/>
                <w:color w:val="000000"/>
              </w:rPr>
            </w:pPr>
            <w:r w:rsidRPr="00EC2586">
              <w:rPr>
                <w:rFonts w:ascii="Calibri" w:eastAsia="Times New Roman" w:hAnsi="Calibri" w:cs="Times New Roman"/>
                <w:color w:val="000000"/>
              </w:rPr>
              <w:t>P</w:t>
            </w:r>
            <w:r w:rsidRPr="00A17F81">
              <w:rPr>
                <w:rFonts w:ascii="Calibri" w:eastAsia="Times New Roman" w:hAnsi="Calibri" w:cs="Times New Roman"/>
                <w:color w:val="000000"/>
                <w:shd w:val="clear" w:color="auto" w:fill="D9D9D9" w:themeFill="background1" w:themeFillShade="D9"/>
              </w:rPr>
              <w:t>CYOX1L</w:t>
            </w:r>
          </w:p>
        </w:tc>
        <w:tc>
          <w:tcPr>
            <w:tcW w:w="1300" w:type="dxa"/>
            <w:tcBorders>
              <w:top w:val="nil"/>
              <w:left w:val="nil"/>
              <w:bottom w:val="single" w:sz="4" w:space="0" w:color="auto"/>
              <w:right w:val="single" w:sz="4" w:space="0" w:color="auto"/>
            </w:tcBorders>
            <w:shd w:val="clear" w:color="auto" w:fill="auto"/>
            <w:noWrap/>
            <w:vAlign w:val="bottom"/>
            <w:hideMark/>
          </w:tcPr>
          <w:p w14:paraId="6C8574F7"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2.28</w:t>
            </w:r>
          </w:p>
        </w:tc>
        <w:tc>
          <w:tcPr>
            <w:tcW w:w="1300" w:type="dxa"/>
            <w:tcBorders>
              <w:top w:val="nil"/>
              <w:left w:val="nil"/>
              <w:bottom w:val="single" w:sz="4" w:space="0" w:color="auto"/>
              <w:right w:val="single" w:sz="4" w:space="0" w:color="auto"/>
            </w:tcBorders>
            <w:shd w:val="clear" w:color="auto" w:fill="auto"/>
            <w:noWrap/>
            <w:vAlign w:val="bottom"/>
            <w:hideMark/>
          </w:tcPr>
          <w:p w14:paraId="56E510B4"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2.13</w:t>
            </w:r>
          </w:p>
        </w:tc>
        <w:tc>
          <w:tcPr>
            <w:tcW w:w="1300" w:type="dxa"/>
            <w:tcBorders>
              <w:top w:val="nil"/>
              <w:left w:val="nil"/>
              <w:bottom w:val="single" w:sz="4" w:space="0" w:color="auto"/>
              <w:right w:val="single" w:sz="4" w:space="0" w:color="auto"/>
            </w:tcBorders>
            <w:shd w:val="clear" w:color="auto" w:fill="auto"/>
            <w:noWrap/>
            <w:vAlign w:val="bottom"/>
            <w:hideMark/>
          </w:tcPr>
          <w:p w14:paraId="2CBEB5AA"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2.6</w:t>
            </w:r>
          </w:p>
        </w:tc>
      </w:tr>
    </w:tbl>
    <w:p w14:paraId="1DB4064E" w14:textId="77777777" w:rsidR="00C27EDE" w:rsidRDefault="00C27EDE" w:rsidP="00C27EDE">
      <w:pPr>
        <w:rPr>
          <w:rFonts w:asciiTheme="majorHAnsi" w:hAnsiTheme="majorHAnsi"/>
          <w:sz w:val="28"/>
          <w:u w:val="single"/>
        </w:rPr>
      </w:pPr>
      <w:r>
        <w:rPr>
          <w:rFonts w:asciiTheme="majorHAnsi" w:hAnsiTheme="majorHAnsi"/>
          <w:noProof/>
          <w:sz w:val="22"/>
          <w:u w:val="single"/>
          <w:lang w:val="en-US"/>
        </w:rPr>
        <mc:AlternateContent>
          <mc:Choice Requires="wps">
            <w:drawing>
              <wp:anchor distT="0" distB="0" distL="114300" distR="114300" simplePos="0" relativeHeight="252077056" behindDoc="0" locked="0" layoutInCell="1" allowOverlap="1" wp14:anchorId="5874858E" wp14:editId="09348948">
                <wp:simplePos x="0" y="0"/>
                <wp:positionH relativeFrom="column">
                  <wp:posOffset>-114300</wp:posOffset>
                </wp:positionH>
                <wp:positionV relativeFrom="paragraph">
                  <wp:posOffset>194310</wp:posOffset>
                </wp:positionV>
                <wp:extent cx="5143500" cy="914400"/>
                <wp:effectExtent l="0" t="0" r="0" b="0"/>
                <wp:wrapSquare wrapText="bothSides"/>
                <wp:docPr id="315" name="Text Box 315"/>
                <wp:cNvGraphicFramePr/>
                <a:graphic xmlns:a="http://schemas.openxmlformats.org/drawingml/2006/main">
                  <a:graphicData uri="http://schemas.microsoft.com/office/word/2010/wordprocessingShape">
                    <wps:wsp>
                      <wps:cNvSpPr txBox="1"/>
                      <wps:spPr>
                        <a:xfrm>
                          <a:off x="0" y="0"/>
                          <a:ext cx="5143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8C8A22" w14:textId="77777777" w:rsidR="00E82D3B" w:rsidRPr="00842290" w:rsidRDefault="00E82D3B" w:rsidP="00C27EDE">
                            <w:pPr>
                              <w:jc w:val="both"/>
                              <w:rPr>
                                <w:b/>
                                <w:i/>
                                <w:sz w:val="22"/>
                              </w:rPr>
                            </w:pPr>
                            <w:proofErr w:type="gramStart"/>
                            <w:r w:rsidRPr="00842290">
                              <w:rPr>
                                <w:b/>
                                <w:i/>
                                <w:sz w:val="22"/>
                              </w:rPr>
                              <w:t>App</w:t>
                            </w:r>
                            <w:r>
                              <w:rPr>
                                <w:b/>
                                <w:i/>
                                <w:sz w:val="22"/>
                              </w:rPr>
                              <w:t>endix Figure 13a.</w:t>
                            </w:r>
                            <w:proofErr w:type="gramEnd"/>
                            <w:r>
                              <w:rPr>
                                <w:b/>
                                <w:i/>
                                <w:sz w:val="22"/>
                              </w:rPr>
                              <w:t xml:space="preserve">  Control vs YFP SRCAP</w:t>
                            </w:r>
                            <w:r w:rsidRPr="00842290">
                              <w:rPr>
                                <w:b/>
                                <w:i/>
                                <w:sz w:val="22"/>
                              </w:rPr>
                              <w:t xml:space="preserve"> genes that have a 2 or more fold change across all three repeats. </w:t>
                            </w:r>
                          </w:p>
                          <w:p w14:paraId="759C20C7" w14:textId="75F71FC1" w:rsidR="00E82D3B" w:rsidRPr="00842290" w:rsidRDefault="00E82D3B" w:rsidP="00C27EDE">
                            <w:pPr>
                              <w:jc w:val="both"/>
                              <w:rPr>
                                <w:i/>
                                <w:sz w:val="22"/>
                              </w:rPr>
                            </w:pPr>
                            <w:r>
                              <w:rPr>
                                <w:i/>
                                <w:sz w:val="22"/>
                              </w:rPr>
                              <w:t xml:space="preserve">This is the only </w:t>
                            </w:r>
                            <w:proofErr w:type="gramStart"/>
                            <w:r>
                              <w:rPr>
                                <w:i/>
                                <w:sz w:val="22"/>
                              </w:rPr>
                              <w:t>gene which</w:t>
                            </w:r>
                            <w:proofErr w:type="gramEnd"/>
                            <w:r>
                              <w:rPr>
                                <w:i/>
                                <w:sz w:val="22"/>
                              </w:rPr>
                              <w:t xml:space="preserve"> is </w:t>
                            </w:r>
                            <w:r w:rsidRPr="00842290">
                              <w:rPr>
                                <w:i/>
                                <w:sz w:val="22"/>
                              </w:rPr>
                              <w:t>decreased in expression by a 2 or more fold c</w:t>
                            </w:r>
                            <w:r>
                              <w:rPr>
                                <w:i/>
                                <w:sz w:val="22"/>
                              </w:rPr>
                              <w:t>hange when SRCAP is over-expressed</w:t>
                            </w:r>
                            <w:r w:rsidRPr="00842290">
                              <w:rPr>
                                <w:i/>
                                <w:sz w:val="22"/>
                              </w:rPr>
                              <w:t xml:space="preserve">. </w:t>
                            </w:r>
                          </w:p>
                          <w:p w14:paraId="01A257C0" w14:textId="77777777" w:rsidR="00E82D3B" w:rsidRDefault="00E82D3B" w:rsidP="00C27E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5" o:spid="_x0000_s1227" type="#_x0000_t202" style="position:absolute;margin-left:-8.95pt;margin-top:15.3pt;width:405pt;height:1in;z-index:25207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" filled="f" stroked="f">
                <v:textbox>
                  <w:txbxContent>
                    <w:p w14:paraId="478C8A22" w14:textId="77777777" w:rsidR="000A1E0D" w:rsidRPr="00842290" w:rsidRDefault="000A1E0D" w:rsidP="00C27EDE">
                      <w:pPr>
                        <w:jc w:val="both"/>
                        <w:rPr>
                          <w:b/>
                          <w:i/>
                          <w:sz w:val="22"/>
                        </w:rPr>
                      </w:pPr>
                      <w:proofErr w:type="gramStart"/>
                      <w:r w:rsidRPr="00842290">
                        <w:rPr>
                          <w:b/>
                          <w:i/>
                          <w:sz w:val="22"/>
                        </w:rPr>
                        <w:t>App</w:t>
                      </w:r>
                      <w:r>
                        <w:rPr>
                          <w:b/>
                          <w:i/>
                          <w:sz w:val="22"/>
                        </w:rPr>
                        <w:t>endix Figure 13a.</w:t>
                      </w:r>
                      <w:proofErr w:type="gramEnd"/>
                      <w:r>
                        <w:rPr>
                          <w:b/>
                          <w:i/>
                          <w:sz w:val="22"/>
                        </w:rPr>
                        <w:t xml:space="preserve">  Control vs YFP SRCAP</w:t>
                      </w:r>
                      <w:r w:rsidRPr="00842290">
                        <w:rPr>
                          <w:b/>
                          <w:i/>
                          <w:sz w:val="22"/>
                        </w:rPr>
                        <w:t xml:space="preserve"> genes that have a 2 or more fold change across all three repeats. </w:t>
                      </w:r>
                    </w:p>
                    <w:p w14:paraId="759C20C7" w14:textId="75F71FC1" w:rsidR="000A1E0D" w:rsidRPr="00842290" w:rsidRDefault="000A1E0D" w:rsidP="00C27EDE">
                      <w:pPr>
                        <w:jc w:val="both"/>
                        <w:rPr>
                          <w:i/>
                          <w:sz w:val="22"/>
                        </w:rPr>
                      </w:pPr>
                      <w:r>
                        <w:rPr>
                          <w:i/>
                          <w:sz w:val="22"/>
                        </w:rPr>
                        <w:t xml:space="preserve">This is the only </w:t>
                      </w:r>
                      <w:proofErr w:type="gramStart"/>
                      <w:r>
                        <w:rPr>
                          <w:i/>
                          <w:sz w:val="22"/>
                        </w:rPr>
                        <w:t>gene which</w:t>
                      </w:r>
                      <w:proofErr w:type="gramEnd"/>
                      <w:r>
                        <w:rPr>
                          <w:i/>
                          <w:sz w:val="22"/>
                        </w:rPr>
                        <w:t xml:space="preserve"> is </w:t>
                      </w:r>
                      <w:r w:rsidRPr="00842290">
                        <w:rPr>
                          <w:i/>
                          <w:sz w:val="22"/>
                        </w:rPr>
                        <w:t>decreased in expression by a 2 or more fold c</w:t>
                      </w:r>
                      <w:r>
                        <w:rPr>
                          <w:i/>
                          <w:sz w:val="22"/>
                        </w:rPr>
                        <w:t>hange when SRCAP is over-expressed</w:t>
                      </w:r>
                      <w:r w:rsidRPr="00842290">
                        <w:rPr>
                          <w:i/>
                          <w:sz w:val="22"/>
                        </w:rPr>
                        <w:t xml:space="preserve">. </w:t>
                      </w:r>
                    </w:p>
                    <w:p w14:paraId="01A257C0" w14:textId="77777777" w:rsidR="000A1E0D" w:rsidRDefault="000A1E0D" w:rsidP="00C27EDE"/>
                  </w:txbxContent>
                </v:textbox>
                <w10:wrap type="square"/>
              </v:shape>
            </w:pict>
          </mc:Fallback>
        </mc:AlternateContent>
      </w:r>
    </w:p>
    <w:p w14:paraId="1E6295A3" w14:textId="77777777" w:rsidR="00C27EDE" w:rsidRDefault="00C27EDE" w:rsidP="00C27EDE">
      <w:pPr>
        <w:rPr>
          <w:rFonts w:asciiTheme="majorHAnsi" w:hAnsiTheme="majorHAnsi"/>
          <w:sz w:val="28"/>
          <w:u w:val="single"/>
        </w:rPr>
      </w:pPr>
    </w:p>
    <w:p w14:paraId="471343A3" w14:textId="77777777" w:rsidR="00C27EDE" w:rsidRDefault="00C27EDE" w:rsidP="00C27EDE">
      <w:pPr>
        <w:rPr>
          <w:rFonts w:asciiTheme="majorHAnsi" w:hAnsiTheme="majorHAnsi"/>
          <w:sz w:val="28"/>
          <w:u w:val="single"/>
        </w:rPr>
      </w:pPr>
    </w:p>
    <w:p w14:paraId="4916B19C" w14:textId="77777777" w:rsidR="00C27EDE" w:rsidRDefault="00C27EDE" w:rsidP="00C27EDE">
      <w:pPr>
        <w:rPr>
          <w:rFonts w:asciiTheme="majorHAnsi" w:hAnsiTheme="majorHAnsi"/>
          <w:sz w:val="28"/>
          <w:u w:val="single"/>
        </w:rPr>
      </w:pPr>
    </w:p>
    <w:p w14:paraId="06A88F02" w14:textId="77777777" w:rsidR="00C27EDE" w:rsidRDefault="00C27EDE" w:rsidP="00C27EDE">
      <w:pPr>
        <w:rPr>
          <w:rFonts w:asciiTheme="majorHAnsi" w:hAnsiTheme="majorHAnsi"/>
          <w:sz w:val="28"/>
          <w:u w:val="single"/>
        </w:rPr>
      </w:pPr>
    </w:p>
    <w:p w14:paraId="0B82F155" w14:textId="77777777" w:rsidR="00C27EDE" w:rsidRDefault="00C27EDE" w:rsidP="00C27EDE">
      <w:pPr>
        <w:rPr>
          <w:rFonts w:asciiTheme="majorHAnsi" w:hAnsiTheme="majorHAnsi"/>
          <w:sz w:val="28"/>
          <w:u w:val="single"/>
        </w:rPr>
      </w:pPr>
    </w:p>
    <w:p w14:paraId="397106CC" w14:textId="77777777" w:rsidR="00C27EDE" w:rsidRDefault="00C27EDE" w:rsidP="00C27EDE">
      <w:pPr>
        <w:rPr>
          <w:rFonts w:asciiTheme="majorHAnsi" w:hAnsiTheme="majorHAnsi"/>
          <w:sz w:val="28"/>
          <w:u w:val="single"/>
        </w:rPr>
      </w:pPr>
    </w:p>
    <w:tbl>
      <w:tblPr>
        <w:tblW w:w="5200" w:type="dxa"/>
        <w:tblInd w:w="93" w:type="dxa"/>
        <w:tblLook w:val="04A0" w:firstRow="1" w:lastRow="0" w:firstColumn="1" w:lastColumn="0" w:noHBand="0" w:noVBand="1"/>
      </w:tblPr>
      <w:tblGrid>
        <w:gridCol w:w="1300"/>
        <w:gridCol w:w="1300"/>
        <w:gridCol w:w="1300"/>
        <w:gridCol w:w="1300"/>
      </w:tblGrid>
      <w:tr w:rsidR="00C27EDE" w:rsidRPr="00EC2586" w14:paraId="763A0447" w14:textId="77777777" w:rsidTr="005A571B">
        <w:trPr>
          <w:trHeight w:val="300"/>
        </w:trPr>
        <w:tc>
          <w:tcPr>
            <w:tcW w:w="1300"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401E8D70" w14:textId="77777777" w:rsidR="00C27EDE" w:rsidRPr="00EC2586" w:rsidRDefault="00C27EDE" w:rsidP="005A571B">
            <w:pPr>
              <w:jc w:val="center"/>
              <w:rPr>
                <w:rFonts w:ascii="Calibri" w:eastAsia="Times New Roman" w:hAnsi="Calibri" w:cs="Times New Roman"/>
                <w:color w:val="FFFFFF"/>
              </w:rPr>
            </w:pPr>
            <w:r w:rsidRPr="00EC2586">
              <w:rPr>
                <w:rFonts w:ascii="Calibri" w:eastAsia="Times New Roman" w:hAnsi="Calibri" w:cs="Times New Roman"/>
                <w:color w:val="FFFFFF"/>
              </w:rPr>
              <w:t>GENE</w:t>
            </w:r>
          </w:p>
        </w:tc>
        <w:tc>
          <w:tcPr>
            <w:tcW w:w="1300" w:type="dxa"/>
            <w:tcBorders>
              <w:top w:val="single" w:sz="4" w:space="0" w:color="auto"/>
              <w:left w:val="nil"/>
              <w:bottom w:val="single" w:sz="4" w:space="0" w:color="auto"/>
              <w:right w:val="single" w:sz="4" w:space="0" w:color="auto"/>
            </w:tcBorders>
            <w:shd w:val="clear" w:color="000000" w:fill="000000"/>
            <w:noWrap/>
            <w:vAlign w:val="bottom"/>
            <w:hideMark/>
          </w:tcPr>
          <w:p w14:paraId="6F24C68B" w14:textId="77777777" w:rsidR="00C27EDE" w:rsidRPr="00EC2586" w:rsidRDefault="00C27EDE" w:rsidP="005A571B">
            <w:pPr>
              <w:jc w:val="center"/>
              <w:rPr>
                <w:rFonts w:ascii="Calibri" w:eastAsia="Times New Roman" w:hAnsi="Calibri" w:cs="Times New Roman"/>
                <w:color w:val="FFFFFF"/>
              </w:rPr>
            </w:pPr>
            <w:r w:rsidRPr="00EC2586">
              <w:rPr>
                <w:rFonts w:ascii="Calibri" w:eastAsia="Times New Roman" w:hAnsi="Calibri" w:cs="Times New Roman"/>
                <w:color w:val="FFFFFF"/>
              </w:rPr>
              <w:t>1</w:t>
            </w:r>
          </w:p>
        </w:tc>
        <w:tc>
          <w:tcPr>
            <w:tcW w:w="1300" w:type="dxa"/>
            <w:tcBorders>
              <w:top w:val="single" w:sz="4" w:space="0" w:color="auto"/>
              <w:left w:val="nil"/>
              <w:bottom w:val="single" w:sz="4" w:space="0" w:color="auto"/>
              <w:right w:val="single" w:sz="4" w:space="0" w:color="auto"/>
            </w:tcBorders>
            <w:shd w:val="clear" w:color="000000" w:fill="000000"/>
            <w:noWrap/>
            <w:vAlign w:val="bottom"/>
            <w:hideMark/>
          </w:tcPr>
          <w:p w14:paraId="70E1BFEC" w14:textId="77777777" w:rsidR="00C27EDE" w:rsidRPr="00EC2586" w:rsidRDefault="00C27EDE" w:rsidP="005A571B">
            <w:pPr>
              <w:jc w:val="center"/>
              <w:rPr>
                <w:rFonts w:ascii="Calibri" w:eastAsia="Times New Roman" w:hAnsi="Calibri" w:cs="Times New Roman"/>
                <w:color w:val="FFFFFF"/>
              </w:rPr>
            </w:pPr>
            <w:r w:rsidRPr="00EC2586">
              <w:rPr>
                <w:rFonts w:ascii="Calibri" w:eastAsia="Times New Roman" w:hAnsi="Calibri" w:cs="Times New Roman"/>
                <w:color w:val="FFFFFF"/>
              </w:rPr>
              <w:t>2</w:t>
            </w:r>
          </w:p>
        </w:tc>
        <w:tc>
          <w:tcPr>
            <w:tcW w:w="1300" w:type="dxa"/>
            <w:tcBorders>
              <w:top w:val="single" w:sz="4" w:space="0" w:color="auto"/>
              <w:left w:val="nil"/>
              <w:bottom w:val="single" w:sz="4" w:space="0" w:color="auto"/>
              <w:right w:val="single" w:sz="4" w:space="0" w:color="auto"/>
            </w:tcBorders>
            <w:shd w:val="clear" w:color="000000" w:fill="000000"/>
            <w:noWrap/>
            <w:vAlign w:val="bottom"/>
            <w:hideMark/>
          </w:tcPr>
          <w:p w14:paraId="1F8CC3A3" w14:textId="77777777" w:rsidR="00C27EDE" w:rsidRPr="00EC2586" w:rsidRDefault="00C27EDE" w:rsidP="005A571B">
            <w:pPr>
              <w:jc w:val="center"/>
              <w:rPr>
                <w:rFonts w:ascii="Calibri" w:eastAsia="Times New Roman" w:hAnsi="Calibri" w:cs="Times New Roman"/>
                <w:color w:val="FFFFFF"/>
              </w:rPr>
            </w:pPr>
            <w:r w:rsidRPr="00EC2586">
              <w:rPr>
                <w:rFonts w:ascii="Calibri" w:eastAsia="Times New Roman" w:hAnsi="Calibri" w:cs="Times New Roman"/>
                <w:color w:val="FFFFFF"/>
              </w:rPr>
              <w:t>3</w:t>
            </w:r>
          </w:p>
        </w:tc>
      </w:tr>
      <w:tr w:rsidR="00C27EDE" w:rsidRPr="00EC2586" w14:paraId="37EEC88E" w14:textId="77777777" w:rsidTr="00A17F81">
        <w:trPr>
          <w:trHeight w:val="300"/>
        </w:trPr>
        <w:tc>
          <w:tcPr>
            <w:tcW w:w="130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AC2FD3F" w14:textId="77777777" w:rsidR="00C27EDE" w:rsidRPr="00EC2586" w:rsidRDefault="00C27EDE" w:rsidP="005A571B">
            <w:pPr>
              <w:rPr>
                <w:rFonts w:ascii="Calibri" w:eastAsia="Times New Roman" w:hAnsi="Calibri" w:cs="Times New Roman"/>
                <w:color w:val="000000"/>
              </w:rPr>
            </w:pPr>
            <w:r w:rsidRPr="00EC2586">
              <w:rPr>
                <w:rFonts w:ascii="Calibri" w:eastAsia="Times New Roman" w:hAnsi="Calibri" w:cs="Times New Roman"/>
                <w:color w:val="000000"/>
              </w:rPr>
              <w:t>CPA4</w:t>
            </w:r>
          </w:p>
        </w:tc>
        <w:tc>
          <w:tcPr>
            <w:tcW w:w="1300" w:type="dxa"/>
            <w:tcBorders>
              <w:top w:val="nil"/>
              <w:left w:val="nil"/>
              <w:bottom w:val="single" w:sz="4" w:space="0" w:color="auto"/>
              <w:right w:val="single" w:sz="4" w:space="0" w:color="auto"/>
            </w:tcBorders>
            <w:shd w:val="clear" w:color="auto" w:fill="auto"/>
            <w:noWrap/>
            <w:vAlign w:val="bottom"/>
            <w:hideMark/>
          </w:tcPr>
          <w:p w14:paraId="157A31A1"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-4.07</w:t>
            </w:r>
          </w:p>
        </w:tc>
        <w:tc>
          <w:tcPr>
            <w:tcW w:w="1300" w:type="dxa"/>
            <w:tcBorders>
              <w:top w:val="nil"/>
              <w:left w:val="nil"/>
              <w:bottom w:val="single" w:sz="4" w:space="0" w:color="auto"/>
              <w:right w:val="single" w:sz="4" w:space="0" w:color="auto"/>
            </w:tcBorders>
            <w:shd w:val="clear" w:color="auto" w:fill="auto"/>
            <w:noWrap/>
            <w:vAlign w:val="bottom"/>
            <w:hideMark/>
          </w:tcPr>
          <w:p w14:paraId="0BCEBBDE"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-6.5</w:t>
            </w:r>
          </w:p>
        </w:tc>
        <w:tc>
          <w:tcPr>
            <w:tcW w:w="1300" w:type="dxa"/>
            <w:tcBorders>
              <w:top w:val="nil"/>
              <w:left w:val="nil"/>
              <w:bottom w:val="single" w:sz="4" w:space="0" w:color="auto"/>
              <w:right w:val="single" w:sz="4" w:space="0" w:color="auto"/>
            </w:tcBorders>
            <w:shd w:val="clear" w:color="auto" w:fill="auto"/>
            <w:noWrap/>
            <w:vAlign w:val="bottom"/>
            <w:hideMark/>
          </w:tcPr>
          <w:p w14:paraId="1509E6FA"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-7.19</w:t>
            </w:r>
          </w:p>
        </w:tc>
      </w:tr>
      <w:tr w:rsidR="00C27EDE" w:rsidRPr="00EC2586" w14:paraId="630DF9EE" w14:textId="77777777" w:rsidTr="00A17F81">
        <w:trPr>
          <w:trHeight w:val="300"/>
        </w:trPr>
        <w:tc>
          <w:tcPr>
            <w:tcW w:w="130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E90D137" w14:textId="77777777" w:rsidR="00C27EDE" w:rsidRPr="00EC2586" w:rsidRDefault="00C27EDE" w:rsidP="005A571B">
            <w:pPr>
              <w:rPr>
                <w:rFonts w:ascii="Calibri" w:eastAsia="Times New Roman" w:hAnsi="Calibri" w:cs="Times New Roman"/>
                <w:color w:val="000000"/>
              </w:rPr>
            </w:pPr>
            <w:r w:rsidRPr="00EC2586">
              <w:rPr>
                <w:rFonts w:ascii="Calibri" w:eastAsia="Times New Roman" w:hAnsi="Calibri" w:cs="Times New Roman"/>
                <w:color w:val="000000"/>
              </w:rPr>
              <w:t>KLK5</w:t>
            </w:r>
          </w:p>
        </w:tc>
        <w:tc>
          <w:tcPr>
            <w:tcW w:w="1300" w:type="dxa"/>
            <w:tcBorders>
              <w:top w:val="nil"/>
              <w:left w:val="nil"/>
              <w:bottom w:val="single" w:sz="4" w:space="0" w:color="auto"/>
              <w:right w:val="single" w:sz="4" w:space="0" w:color="auto"/>
            </w:tcBorders>
            <w:shd w:val="clear" w:color="auto" w:fill="auto"/>
            <w:noWrap/>
            <w:vAlign w:val="bottom"/>
            <w:hideMark/>
          </w:tcPr>
          <w:p w14:paraId="74B71ED1"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-3.12</w:t>
            </w:r>
          </w:p>
        </w:tc>
        <w:tc>
          <w:tcPr>
            <w:tcW w:w="1300" w:type="dxa"/>
            <w:tcBorders>
              <w:top w:val="nil"/>
              <w:left w:val="nil"/>
              <w:bottom w:val="single" w:sz="4" w:space="0" w:color="auto"/>
              <w:right w:val="single" w:sz="4" w:space="0" w:color="auto"/>
            </w:tcBorders>
            <w:shd w:val="clear" w:color="auto" w:fill="auto"/>
            <w:noWrap/>
            <w:vAlign w:val="bottom"/>
            <w:hideMark/>
          </w:tcPr>
          <w:p w14:paraId="30263116"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-3.12</w:t>
            </w:r>
          </w:p>
        </w:tc>
        <w:tc>
          <w:tcPr>
            <w:tcW w:w="1300" w:type="dxa"/>
            <w:tcBorders>
              <w:top w:val="nil"/>
              <w:left w:val="nil"/>
              <w:bottom w:val="single" w:sz="4" w:space="0" w:color="auto"/>
              <w:right w:val="single" w:sz="4" w:space="0" w:color="auto"/>
            </w:tcBorders>
            <w:shd w:val="clear" w:color="auto" w:fill="auto"/>
            <w:noWrap/>
            <w:vAlign w:val="bottom"/>
            <w:hideMark/>
          </w:tcPr>
          <w:p w14:paraId="4435E7E4"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-2.6</w:t>
            </w:r>
          </w:p>
        </w:tc>
      </w:tr>
      <w:tr w:rsidR="00C27EDE" w:rsidRPr="00EC2586" w14:paraId="5D38387F" w14:textId="77777777" w:rsidTr="00A17F81">
        <w:trPr>
          <w:trHeight w:val="300"/>
        </w:trPr>
        <w:tc>
          <w:tcPr>
            <w:tcW w:w="130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A3A1314" w14:textId="77777777" w:rsidR="00C27EDE" w:rsidRPr="00EC2586" w:rsidRDefault="00C27EDE" w:rsidP="005A571B">
            <w:pPr>
              <w:rPr>
                <w:rFonts w:ascii="Calibri" w:eastAsia="Times New Roman" w:hAnsi="Calibri" w:cs="Times New Roman"/>
                <w:color w:val="000000"/>
              </w:rPr>
            </w:pPr>
            <w:r w:rsidRPr="00EC2586">
              <w:rPr>
                <w:rFonts w:ascii="Calibri" w:eastAsia="Times New Roman" w:hAnsi="Calibri" w:cs="Times New Roman"/>
                <w:color w:val="000000"/>
              </w:rPr>
              <w:t>CALB2</w:t>
            </w:r>
          </w:p>
        </w:tc>
        <w:tc>
          <w:tcPr>
            <w:tcW w:w="1300" w:type="dxa"/>
            <w:tcBorders>
              <w:top w:val="nil"/>
              <w:left w:val="nil"/>
              <w:bottom w:val="single" w:sz="4" w:space="0" w:color="auto"/>
              <w:right w:val="single" w:sz="4" w:space="0" w:color="auto"/>
            </w:tcBorders>
            <w:shd w:val="clear" w:color="auto" w:fill="auto"/>
            <w:noWrap/>
            <w:vAlign w:val="bottom"/>
            <w:hideMark/>
          </w:tcPr>
          <w:p w14:paraId="10FAA429"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-2.9</w:t>
            </w:r>
          </w:p>
        </w:tc>
        <w:tc>
          <w:tcPr>
            <w:tcW w:w="1300" w:type="dxa"/>
            <w:tcBorders>
              <w:top w:val="nil"/>
              <w:left w:val="nil"/>
              <w:bottom w:val="single" w:sz="4" w:space="0" w:color="auto"/>
              <w:right w:val="single" w:sz="4" w:space="0" w:color="auto"/>
            </w:tcBorders>
            <w:shd w:val="clear" w:color="auto" w:fill="auto"/>
            <w:noWrap/>
            <w:vAlign w:val="bottom"/>
            <w:hideMark/>
          </w:tcPr>
          <w:p w14:paraId="7A786DB7"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-3.87</w:t>
            </w:r>
          </w:p>
        </w:tc>
        <w:tc>
          <w:tcPr>
            <w:tcW w:w="1300" w:type="dxa"/>
            <w:tcBorders>
              <w:top w:val="nil"/>
              <w:left w:val="nil"/>
              <w:bottom w:val="single" w:sz="4" w:space="0" w:color="auto"/>
              <w:right w:val="single" w:sz="4" w:space="0" w:color="auto"/>
            </w:tcBorders>
            <w:shd w:val="clear" w:color="auto" w:fill="auto"/>
            <w:noWrap/>
            <w:vAlign w:val="bottom"/>
            <w:hideMark/>
          </w:tcPr>
          <w:p w14:paraId="791607DA"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-2.2</w:t>
            </w:r>
          </w:p>
        </w:tc>
      </w:tr>
      <w:tr w:rsidR="00C27EDE" w:rsidRPr="00EC2586" w14:paraId="437D622F" w14:textId="77777777" w:rsidTr="00A17F81">
        <w:trPr>
          <w:trHeight w:val="300"/>
        </w:trPr>
        <w:tc>
          <w:tcPr>
            <w:tcW w:w="130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0DC352E" w14:textId="77777777" w:rsidR="00C27EDE" w:rsidRPr="00EC2586" w:rsidRDefault="00C27EDE" w:rsidP="005A571B">
            <w:pPr>
              <w:rPr>
                <w:rFonts w:ascii="Calibri" w:eastAsia="Times New Roman" w:hAnsi="Calibri" w:cs="Times New Roman"/>
                <w:color w:val="000000"/>
              </w:rPr>
            </w:pPr>
            <w:r w:rsidRPr="00EC2586">
              <w:rPr>
                <w:rFonts w:ascii="Calibri" w:eastAsia="Times New Roman" w:hAnsi="Calibri" w:cs="Times New Roman"/>
                <w:color w:val="000000"/>
              </w:rPr>
              <w:t>ZFP36</w:t>
            </w:r>
          </w:p>
        </w:tc>
        <w:tc>
          <w:tcPr>
            <w:tcW w:w="1300" w:type="dxa"/>
            <w:tcBorders>
              <w:top w:val="nil"/>
              <w:left w:val="nil"/>
              <w:bottom w:val="single" w:sz="4" w:space="0" w:color="auto"/>
              <w:right w:val="single" w:sz="4" w:space="0" w:color="auto"/>
            </w:tcBorders>
            <w:shd w:val="clear" w:color="auto" w:fill="auto"/>
            <w:noWrap/>
            <w:vAlign w:val="bottom"/>
            <w:hideMark/>
          </w:tcPr>
          <w:p w14:paraId="2AF105C5"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-2.32</w:t>
            </w:r>
          </w:p>
        </w:tc>
        <w:tc>
          <w:tcPr>
            <w:tcW w:w="1300" w:type="dxa"/>
            <w:tcBorders>
              <w:top w:val="nil"/>
              <w:left w:val="nil"/>
              <w:bottom w:val="single" w:sz="4" w:space="0" w:color="auto"/>
              <w:right w:val="single" w:sz="4" w:space="0" w:color="auto"/>
            </w:tcBorders>
            <w:shd w:val="clear" w:color="auto" w:fill="auto"/>
            <w:noWrap/>
            <w:vAlign w:val="bottom"/>
            <w:hideMark/>
          </w:tcPr>
          <w:p w14:paraId="7B772B28"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-2.17</w:t>
            </w:r>
          </w:p>
        </w:tc>
        <w:tc>
          <w:tcPr>
            <w:tcW w:w="1300" w:type="dxa"/>
            <w:tcBorders>
              <w:top w:val="nil"/>
              <w:left w:val="nil"/>
              <w:bottom w:val="single" w:sz="4" w:space="0" w:color="auto"/>
              <w:right w:val="single" w:sz="4" w:space="0" w:color="auto"/>
            </w:tcBorders>
            <w:shd w:val="clear" w:color="auto" w:fill="auto"/>
            <w:noWrap/>
            <w:vAlign w:val="bottom"/>
            <w:hideMark/>
          </w:tcPr>
          <w:p w14:paraId="25BFA082"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-2.33</w:t>
            </w:r>
          </w:p>
        </w:tc>
      </w:tr>
      <w:tr w:rsidR="00C27EDE" w:rsidRPr="00EC2586" w14:paraId="185DF553" w14:textId="77777777" w:rsidTr="00A17F81">
        <w:trPr>
          <w:trHeight w:val="300"/>
        </w:trPr>
        <w:tc>
          <w:tcPr>
            <w:tcW w:w="130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C2C7F70" w14:textId="77777777" w:rsidR="00C27EDE" w:rsidRPr="00EC2586" w:rsidRDefault="00C27EDE" w:rsidP="005A571B">
            <w:pPr>
              <w:rPr>
                <w:rFonts w:ascii="Calibri" w:eastAsia="Times New Roman" w:hAnsi="Calibri" w:cs="Times New Roman"/>
                <w:color w:val="000000"/>
              </w:rPr>
            </w:pPr>
            <w:r w:rsidRPr="00EC2586">
              <w:rPr>
                <w:rFonts w:ascii="Calibri" w:eastAsia="Times New Roman" w:hAnsi="Calibri" w:cs="Times New Roman"/>
                <w:color w:val="000000"/>
              </w:rPr>
              <w:t>KRTAP2-3</w:t>
            </w:r>
          </w:p>
        </w:tc>
        <w:tc>
          <w:tcPr>
            <w:tcW w:w="1300" w:type="dxa"/>
            <w:tcBorders>
              <w:top w:val="nil"/>
              <w:left w:val="nil"/>
              <w:bottom w:val="single" w:sz="4" w:space="0" w:color="auto"/>
              <w:right w:val="single" w:sz="4" w:space="0" w:color="auto"/>
            </w:tcBorders>
            <w:shd w:val="clear" w:color="auto" w:fill="auto"/>
            <w:noWrap/>
            <w:vAlign w:val="bottom"/>
            <w:hideMark/>
          </w:tcPr>
          <w:p w14:paraId="1221C7C7"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-2.3</w:t>
            </w:r>
          </w:p>
        </w:tc>
        <w:tc>
          <w:tcPr>
            <w:tcW w:w="1300" w:type="dxa"/>
            <w:tcBorders>
              <w:top w:val="nil"/>
              <w:left w:val="nil"/>
              <w:bottom w:val="single" w:sz="4" w:space="0" w:color="auto"/>
              <w:right w:val="single" w:sz="4" w:space="0" w:color="auto"/>
            </w:tcBorders>
            <w:shd w:val="clear" w:color="auto" w:fill="auto"/>
            <w:noWrap/>
            <w:vAlign w:val="bottom"/>
            <w:hideMark/>
          </w:tcPr>
          <w:p w14:paraId="34F9D9D6"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-2.27</w:t>
            </w:r>
          </w:p>
        </w:tc>
        <w:tc>
          <w:tcPr>
            <w:tcW w:w="1300" w:type="dxa"/>
            <w:tcBorders>
              <w:top w:val="nil"/>
              <w:left w:val="nil"/>
              <w:bottom w:val="single" w:sz="4" w:space="0" w:color="auto"/>
              <w:right w:val="single" w:sz="4" w:space="0" w:color="auto"/>
            </w:tcBorders>
            <w:shd w:val="clear" w:color="auto" w:fill="auto"/>
            <w:noWrap/>
            <w:vAlign w:val="bottom"/>
            <w:hideMark/>
          </w:tcPr>
          <w:p w14:paraId="7026B796" w14:textId="77777777" w:rsidR="00C27EDE" w:rsidRPr="00EC2586" w:rsidRDefault="00C27EDE" w:rsidP="005A571B">
            <w:pPr>
              <w:jc w:val="right"/>
              <w:rPr>
                <w:rFonts w:ascii="Calibri" w:eastAsia="Times New Roman" w:hAnsi="Calibri" w:cs="Times New Roman"/>
                <w:color w:val="000000"/>
              </w:rPr>
            </w:pPr>
            <w:r w:rsidRPr="00EC2586">
              <w:rPr>
                <w:rFonts w:ascii="Calibri" w:eastAsia="Times New Roman" w:hAnsi="Calibri" w:cs="Times New Roman"/>
                <w:color w:val="000000"/>
              </w:rPr>
              <w:t>-8.5</w:t>
            </w:r>
          </w:p>
        </w:tc>
      </w:tr>
    </w:tbl>
    <w:p w14:paraId="1D1BBFAB" w14:textId="60457DB0" w:rsidR="00F73710" w:rsidRDefault="00C27EDE" w:rsidP="00C27EDE">
      <w:pPr>
        <w:rPr>
          <w:rFonts w:asciiTheme="majorHAnsi" w:hAnsiTheme="majorHAnsi"/>
          <w:sz w:val="28"/>
          <w:u w:val="single"/>
        </w:rPr>
        <w:sectPr w:rsidR="00F73710" w:rsidSect="00F70FA9">
          <w:headerReference w:type="default" r:id="rId195"/>
          <w:pgSz w:w="11900" w:h="16840"/>
          <w:pgMar w:top="1440" w:right="1134" w:bottom="1440" w:left="2268" w:header="709" w:footer="709" w:gutter="0"/>
          <w:cols w:space="708"/>
          <w:docGrid w:linePitch="360"/>
        </w:sectPr>
      </w:pPr>
      <w:r>
        <w:rPr>
          <w:rFonts w:asciiTheme="majorHAnsi" w:hAnsiTheme="majorHAnsi"/>
          <w:noProof/>
          <w:sz w:val="22"/>
          <w:u w:val="single"/>
          <w:lang w:val="en-US"/>
        </w:rPr>
        <mc:AlternateContent>
          <mc:Choice Requires="wps">
            <w:drawing>
              <wp:anchor distT="0" distB="0" distL="114300" distR="114300" simplePos="0" relativeHeight="252076032" behindDoc="0" locked="0" layoutInCell="1" allowOverlap="1" wp14:anchorId="3F8349D3" wp14:editId="2AB4061C">
                <wp:simplePos x="0" y="0"/>
                <wp:positionH relativeFrom="column">
                  <wp:posOffset>-114300</wp:posOffset>
                </wp:positionH>
                <wp:positionV relativeFrom="paragraph">
                  <wp:posOffset>254000</wp:posOffset>
                </wp:positionV>
                <wp:extent cx="5143500" cy="1028700"/>
                <wp:effectExtent l="0" t="0" r="0" b="12700"/>
                <wp:wrapSquare wrapText="bothSides"/>
                <wp:docPr id="316" name="Text Box 316"/>
                <wp:cNvGraphicFramePr/>
                <a:graphic xmlns:a="http://schemas.openxmlformats.org/drawingml/2006/main">
                  <a:graphicData uri="http://schemas.microsoft.com/office/word/2010/wordprocessingShape">
                    <wps:wsp>
                      <wps:cNvSpPr txBox="1"/>
                      <wps:spPr>
                        <a:xfrm>
                          <a:off x="0" y="0"/>
                          <a:ext cx="51435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7D4A5E" w14:textId="77777777" w:rsidR="00E82D3B" w:rsidRPr="00842290" w:rsidRDefault="00E82D3B" w:rsidP="00C27EDE">
                            <w:pPr>
                              <w:jc w:val="both"/>
                              <w:rPr>
                                <w:b/>
                                <w:i/>
                                <w:sz w:val="22"/>
                              </w:rPr>
                            </w:pPr>
                            <w:proofErr w:type="gramStart"/>
                            <w:r w:rsidRPr="00842290">
                              <w:rPr>
                                <w:b/>
                                <w:i/>
                                <w:sz w:val="22"/>
                              </w:rPr>
                              <w:t>Ap</w:t>
                            </w:r>
                            <w:r>
                              <w:rPr>
                                <w:b/>
                                <w:i/>
                                <w:sz w:val="22"/>
                              </w:rPr>
                              <w:t>pendix Figure 13b.</w:t>
                            </w:r>
                            <w:proofErr w:type="gramEnd"/>
                            <w:r>
                              <w:rPr>
                                <w:b/>
                                <w:i/>
                                <w:sz w:val="22"/>
                              </w:rPr>
                              <w:t xml:space="preserve">  Control vs YFP SRCAP</w:t>
                            </w:r>
                            <w:r w:rsidRPr="00842290">
                              <w:rPr>
                                <w:b/>
                                <w:i/>
                                <w:sz w:val="22"/>
                              </w:rPr>
                              <w:t xml:space="preserve"> genes that have a -2 or more fold change across all three repeats. </w:t>
                            </w:r>
                          </w:p>
                          <w:p w14:paraId="5D9AB6F0" w14:textId="63C1CE1F" w:rsidR="00E82D3B" w:rsidRPr="00A574D1" w:rsidRDefault="00E82D3B" w:rsidP="00C27EDE">
                            <w:pPr>
                              <w:jc w:val="both"/>
                              <w:rPr>
                                <w:b/>
                                <w:i/>
                              </w:rPr>
                            </w:pPr>
                            <w:r w:rsidRPr="00842290">
                              <w:rPr>
                                <w:i/>
                                <w:sz w:val="22"/>
                              </w:rPr>
                              <w:t>These genes represent al the genes that are increased in expression by a -2 or more fold change when SRCAP is</w:t>
                            </w:r>
                            <w:r>
                              <w:rPr>
                                <w:i/>
                                <w:sz w:val="22"/>
                              </w:rPr>
                              <w:t xml:space="preserve"> over-expressed</w:t>
                            </w:r>
                            <w:r>
                              <w:rPr>
                                <w:b/>
                                <w:i/>
                              </w:rPr>
                              <w:t>.</w:t>
                            </w:r>
                          </w:p>
                          <w:p w14:paraId="1368F746" w14:textId="77777777" w:rsidR="00E82D3B" w:rsidRDefault="00E82D3B" w:rsidP="00C27E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228" type="#_x0000_t202" style="position:absolute;margin-left:-8.95pt;margin-top:20pt;width:405pt;height:81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p/t9UCAAAc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" filled="f" stroked="f">
                <v:textbox>
                  <w:txbxContent>
                    <w:p w14:paraId="2C7D4A5E" w14:textId="77777777" w:rsidR="000A1E0D" w:rsidRPr="00842290" w:rsidRDefault="000A1E0D" w:rsidP="00C27EDE">
                      <w:pPr>
                        <w:jc w:val="both"/>
                        <w:rPr>
                          <w:b/>
                          <w:i/>
                          <w:sz w:val="22"/>
                        </w:rPr>
                      </w:pPr>
                      <w:proofErr w:type="gramStart"/>
                      <w:r w:rsidRPr="00842290">
                        <w:rPr>
                          <w:b/>
                          <w:i/>
                          <w:sz w:val="22"/>
                        </w:rPr>
                        <w:t>Ap</w:t>
                      </w:r>
                      <w:r>
                        <w:rPr>
                          <w:b/>
                          <w:i/>
                          <w:sz w:val="22"/>
                        </w:rPr>
                        <w:t>pendix Figure 13b.</w:t>
                      </w:r>
                      <w:proofErr w:type="gramEnd"/>
                      <w:r>
                        <w:rPr>
                          <w:b/>
                          <w:i/>
                          <w:sz w:val="22"/>
                        </w:rPr>
                        <w:t xml:space="preserve">  Control vs YFP SRCAP</w:t>
                      </w:r>
                      <w:r w:rsidRPr="00842290">
                        <w:rPr>
                          <w:b/>
                          <w:i/>
                          <w:sz w:val="22"/>
                        </w:rPr>
                        <w:t xml:space="preserve"> genes that have a -2 or more fold change across all three repeats. </w:t>
                      </w:r>
                    </w:p>
                    <w:p w14:paraId="5D9AB6F0" w14:textId="63C1CE1F" w:rsidR="000A1E0D" w:rsidRPr="00A574D1" w:rsidRDefault="000A1E0D" w:rsidP="00C27EDE">
                      <w:pPr>
                        <w:jc w:val="both"/>
                        <w:rPr>
                          <w:b/>
                          <w:i/>
                        </w:rPr>
                      </w:pPr>
                      <w:r w:rsidRPr="00842290">
                        <w:rPr>
                          <w:i/>
                          <w:sz w:val="22"/>
                        </w:rPr>
                        <w:t>These genes represent al the genes that are increased in expression by a -2 or more fold change when SRCAP is</w:t>
                      </w:r>
                      <w:r>
                        <w:rPr>
                          <w:i/>
                          <w:sz w:val="22"/>
                        </w:rPr>
                        <w:t xml:space="preserve"> over-expressed</w:t>
                      </w:r>
                      <w:r>
                        <w:rPr>
                          <w:b/>
                          <w:i/>
                        </w:rPr>
                        <w:t>.</w:t>
                      </w:r>
                    </w:p>
                    <w:p w14:paraId="1368F746" w14:textId="77777777" w:rsidR="000A1E0D" w:rsidRDefault="000A1E0D" w:rsidP="00C27EDE"/>
                  </w:txbxContent>
                </v:textbox>
                <w10:wrap type="square"/>
              </v:shape>
            </w:pict>
          </mc:Fallback>
        </mc:AlternateContent>
      </w:r>
    </w:p>
    <w:p w14:paraId="6D35DFAD" w14:textId="504E6542" w:rsidR="00D840E7" w:rsidRPr="0085411C" w:rsidRDefault="00692AAA" w:rsidP="0085411C">
      <w:pPr>
        <w:pStyle w:val="Title"/>
        <w:rPr>
          <w:color w:val="auto"/>
        </w:rPr>
      </w:pPr>
      <w:r>
        <w:rPr>
          <w:color w:val="auto"/>
        </w:rPr>
        <w:t>Image Use Licens</w:t>
      </w:r>
      <w:r w:rsidR="0085411C" w:rsidRPr="0085411C">
        <w:rPr>
          <w:color w:val="auto"/>
        </w:rPr>
        <w:t>es</w:t>
      </w:r>
    </w:p>
    <w:p w14:paraId="13C2DC9C" w14:textId="77777777" w:rsidR="0085411C" w:rsidRDefault="0085411C" w:rsidP="000A2558">
      <w:pPr>
        <w:jc w:val="both"/>
        <w:rPr>
          <w:u w:val="single"/>
        </w:rPr>
      </w:pPr>
    </w:p>
    <w:p w14:paraId="56400719" w14:textId="1A33C9C4" w:rsidR="0085411C" w:rsidRDefault="0085411C" w:rsidP="0085411C">
      <w:pPr>
        <w:spacing w:line="360" w:lineRule="auto"/>
        <w:jc w:val="both"/>
        <w:rPr>
          <w:rFonts w:asciiTheme="majorHAnsi" w:hAnsiTheme="majorHAnsi"/>
        </w:rPr>
      </w:pPr>
      <w:r>
        <w:rPr>
          <w:rFonts w:asciiTheme="majorHAnsi" w:hAnsiTheme="majorHAnsi"/>
        </w:rPr>
        <w:t>Where appropriate permission for adaptation and modification of images used throughout this thesis was obtained via the Copyright Clearance Centre</w:t>
      </w:r>
      <w:r w:rsidR="00F73710">
        <w:rPr>
          <w:rFonts w:asciiTheme="majorHAnsi" w:hAnsiTheme="majorHAnsi"/>
        </w:rPr>
        <w:t xml:space="preserve"> (</w:t>
      </w:r>
      <w:hyperlink r:id="rId196" w:history="1">
        <w:r w:rsidR="00F73710" w:rsidRPr="00F73710">
          <w:rPr>
            <w:rStyle w:val="Hyperlink"/>
            <w:rFonts w:asciiTheme="majorHAnsi" w:hAnsiTheme="majorHAnsi"/>
          </w:rPr>
          <w:t>http://www.rightslink.com</w:t>
        </w:r>
      </w:hyperlink>
      <w:r w:rsidR="00F73710">
        <w:rPr>
          <w:rFonts w:asciiTheme="majorHAnsi" w:hAnsiTheme="majorHAnsi"/>
        </w:rPr>
        <w:t>)</w:t>
      </w:r>
      <w:r>
        <w:rPr>
          <w:rFonts w:asciiTheme="majorHAnsi" w:hAnsiTheme="majorHAnsi"/>
        </w:rPr>
        <w:t xml:space="preserve"> using the onli</w:t>
      </w:r>
      <w:r w:rsidR="00692AAA">
        <w:rPr>
          <w:rFonts w:asciiTheme="majorHAnsi" w:hAnsiTheme="majorHAnsi"/>
        </w:rPr>
        <w:t>ne system. The individual licens</w:t>
      </w:r>
      <w:r>
        <w:rPr>
          <w:rFonts w:asciiTheme="majorHAnsi" w:hAnsiTheme="majorHAnsi"/>
        </w:rPr>
        <w:t>e requests</w:t>
      </w:r>
      <w:r w:rsidR="00F73710">
        <w:rPr>
          <w:rFonts w:asciiTheme="majorHAnsi" w:hAnsiTheme="majorHAnsi"/>
        </w:rPr>
        <w:t>,</w:t>
      </w:r>
      <w:r>
        <w:rPr>
          <w:rFonts w:asciiTheme="majorHAnsi" w:hAnsiTheme="majorHAnsi"/>
        </w:rPr>
        <w:t xml:space="preserve"> which were granted</w:t>
      </w:r>
      <w:r w:rsidR="00F73710">
        <w:rPr>
          <w:rFonts w:asciiTheme="majorHAnsi" w:hAnsiTheme="majorHAnsi"/>
        </w:rPr>
        <w:t>,</w:t>
      </w:r>
      <w:r>
        <w:rPr>
          <w:rFonts w:asciiTheme="majorHAnsi" w:hAnsiTheme="majorHAnsi"/>
        </w:rPr>
        <w:t xml:space="preserve"> and </w:t>
      </w:r>
      <w:r w:rsidR="00F73710">
        <w:rPr>
          <w:rFonts w:asciiTheme="majorHAnsi" w:hAnsiTheme="majorHAnsi"/>
        </w:rPr>
        <w:t xml:space="preserve">the </w:t>
      </w:r>
      <w:r w:rsidR="00637CE3">
        <w:rPr>
          <w:rFonts w:asciiTheme="majorHAnsi" w:hAnsiTheme="majorHAnsi"/>
        </w:rPr>
        <w:t xml:space="preserve">appropriate Figure they are for, </w:t>
      </w:r>
      <w:r w:rsidR="00F73710">
        <w:rPr>
          <w:rFonts w:asciiTheme="majorHAnsi" w:hAnsiTheme="majorHAnsi"/>
        </w:rPr>
        <w:t xml:space="preserve">are </w:t>
      </w:r>
      <w:r>
        <w:rPr>
          <w:rFonts w:asciiTheme="majorHAnsi" w:hAnsiTheme="majorHAnsi"/>
        </w:rPr>
        <w:t>shown below</w:t>
      </w:r>
      <w:r w:rsidR="00F73710">
        <w:rPr>
          <w:rFonts w:asciiTheme="majorHAnsi" w:hAnsiTheme="majorHAnsi"/>
        </w:rPr>
        <w:t xml:space="preserve">. </w:t>
      </w:r>
    </w:p>
    <w:p w14:paraId="590BF59E" w14:textId="77777777" w:rsidR="00692AAA" w:rsidRDefault="00692AAA" w:rsidP="0085411C">
      <w:pPr>
        <w:spacing w:line="360" w:lineRule="auto"/>
        <w:jc w:val="both"/>
        <w:rPr>
          <w:rFonts w:asciiTheme="majorHAnsi" w:hAnsiTheme="majorHAnsi"/>
        </w:rPr>
      </w:pPr>
    </w:p>
    <w:tbl>
      <w:tblPr>
        <w:tblStyle w:val="LightList1"/>
        <w:tblW w:w="8755" w:type="dxa"/>
        <w:tblLayout w:type="fixed"/>
        <w:tblLook w:val="04A0" w:firstRow="1" w:lastRow="0" w:firstColumn="1" w:lastColumn="0" w:noHBand="0" w:noVBand="1"/>
      </w:tblPr>
      <w:tblGrid>
        <w:gridCol w:w="817"/>
        <w:gridCol w:w="992"/>
        <w:gridCol w:w="1276"/>
        <w:gridCol w:w="1418"/>
        <w:gridCol w:w="1417"/>
        <w:gridCol w:w="1134"/>
        <w:gridCol w:w="709"/>
        <w:gridCol w:w="992"/>
      </w:tblGrid>
      <w:tr w:rsidR="00692AAA" w:rsidRPr="00692AAA" w14:paraId="36C3EA90" w14:textId="77777777" w:rsidTr="00692AA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7" w:type="dxa"/>
            <w:noWrap/>
            <w:hideMark/>
          </w:tcPr>
          <w:p w14:paraId="327DF6F3" w14:textId="77777777" w:rsidR="00692AAA" w:rsidRPr="00692AAA" w:rsidRDefault="00692AAA" w:rsidP="00692AAA">
            <w:pPr>
              <w:jc w:val="both"/>
              <w:rPr>
                <w:rFonts w:asciiTheme="majorHAnsi" w:hAnsiTheme="majorHAnsi"/>
                <w:sz w:val="20"/>
                <w:szCs w:val="20"/>
              </w:rPr>
            </w:pPr>
            <w:r w:rsidRPr="00692AAA">
              <w:rPr>
                <w:rFonts w:asciiTheme="majorHAnsi" w:hAnsiTheme="majorHAnsi"/>
                <w:sz w:val="20"/>
                <w:szCs w:val="20"/>
              </w:rPr>
              <w:t>Figure</w:t>
            </w:r>
          </w:p>
        </w:tc>
        <w:tc>
          <w:tcPr>
            <w:tcW w:w="992" w:type="dxa"/>
            <w:noWrap/>
            <w:hideMark/>
          </w:tcPr>
          <w:p w14:paraId="25779515" w14:textId="783BEEB2" w:rsidR="00692AAA" w:rsidRPr="00692AAA" w:rsidRDefault="00692AAA" w:rsidP="00692AAA">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Pr>
                <w:rFonts w:asciiTheme="majorHAnsi" w:hAnsiTheme="majorHAnsi"/>
                <w:b w:val="0"/>
                <w:bCs w:val="0"/>
                <w:sz w:val="20"/>
                <w:szCs w:val="20"/>
              </w:rPr>
              <w:t>License N</w:t>
            </w:r>
            <w:r w:rsidRPr="00692AAA">
              <w:rPr>
                <w:rFonts w:asciiTheme="majorHAnsi" w:hAnsiTheme="majorHAnsi"/>
                <w:sz w:val="20"/>
                <w:szCs w:val="20"/>
              </w:rPr>
              <w:t>umber</w:t>
            </w:r>
          </w:p>
        </w:tc>
        <w:tc>
          <w:tcPr>
            <w:tcW w:w="1276" w:type="dxa"/>
            <w:noWrap/>
            <w:hideMark/>
          </w:tcPr>
          <w:p w14:paraId="779F0112" w14:textId="10CCF3E3" w:rsidR="00692AAA" w:rsidRPr="00692AAA" w:rsidRDefault="00692AAA" w:rsidP="00692AAA">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Pr>
                <w:rFonts w:asciiTheme="majorHAnsi" w:hAnsiTheme="majorHAnsi"/>
                <w:b w:val="0"/>
                <w:bCs w:val="0"/>
                <w:sz w:val="20"/>
                <w:szCs w:val="20"/>
              </w:rPr>
              <w:t>License P</w:t>
            </w:r>
            <w:r w:rsidRPr="00692AAA">
              <w:rPr>
                <w:rFonts w:asciiTheme="majorHAnsi" w:hAnsiTheme="majorHAnsi"/>
                <w:sz w:val="20"/>
                <w:szCs w:val="20"/>
              </w:rPr>
              <w:t>ublisher</w:t>
            </w:r>
          </w:p>
        </w:tc>
        <w:tc>
          <w:tcPr>
            <w:tcW w:w="1418" w:type="dxa"/>
            <w:noWrap/>
            <w:hideMark/>
          </w:tcPr>
          <w:p w14:paraId="29F90374" w14:textId="3AB0322D" w:rsidR="00692AAA" w:rsidRPr="00692AAA" w:rsidRDefault="00692AAA" w:rsidP="00692AAA">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692AAA">
              <w:rPr>
                <w:rFonts w:asciiTheme="majorHAnsi" w:hAnsiTheme="majorHAnsi"/>
                <w:b w:val="0"/>
                <w:bCs w:val="0"/>
                <w:sz w:val="20"/>
                <w:szCs w:val="20"/>
              </w:rPr>
              <w:t>License</w:t>
            </w:r>
            <w:r w:rsidRPr="00692AAA">
              <w:rPr>
                <w:rFonts w:asciiTheme="majorHAnsi" w:hAnsiTheme="majorHAnsi"/>
                <w:sz w:val="20"/>
                <w:szCs w:val="20"/>
              </w:rPr>
              <w:t xml:space="preserve"> Publication</w:t>
            </w:r>
          </w:p>
        </w:tc>
        <w:tc>
          <w:tcPr>
            <w:tcW w:w="1417" w:type="dxa"/>
            <w:noWrap/>
            <w:hideMark/>
          </w:tcPr>
          <w:p w14:paraId="510652FB" w14:textId="77777777" w:rsidR="00692AAA" w:rsidRPr="00692AAA" w:rsidRDefault="00692AAA" w:rsidP="00692AAA">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692AAA">
              <w:rPr>
                <w:rFonts w:asciiTheme="majorHAnsi" w:hAnsiTheme="majorHAnsi"/>
                <w:sz w:val="20"/>
                <w:szCs w:val="20"/>
              </w:rPr>
              <w:t>Title</w:t>
            </w:r>
          </w:p>
        </w:tc>
        <w:tc>
          <w:tcPr>
            <w:tcW w:w="1134" w:type="dxa"/>
            <w:noWrap/>
            <w:hideMark/>
          </w:tcPr>
          <w:p w14:paraId="7AAA38DA" w14:textId="77777777" w:rsidR="00692AAA" w:rsidRPr="00692AAA" w:rsidRDefault="00692AAA" w:rsidP="00692AAA">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692AAA">
              <w:rPr>
                <w:rFonts w:asciiTheme="majorHAnsi" w:hAnsiTheme="majorHAnsi"/>
                <w:sz w:val="20"/>
                <w:szCs w:val="20"/>
              </w:rPr>
              <w:t>Author</w:t>
            </w:r>
          </w:p>
        </w:tc>
        <w:tc>
          <w:tcPr>
            <w:tcW w:w="709" w:type="dxa"/>
            <w:noWrap/>
            <w:hideMark/>
          </w:tcPr>
          <w:p w14:paraId="6F5402F2" w14:textId="77777777" w:rsidR="00692AAA" w:rsidRPr="00692AAA" w:rsidRDefault="00692AAA" w:rsidP="00692AAA">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692AAA">
              <w:rPr>
                <w:rFonts w:asciiTheme="majorHAnsi" w:hAnsiTheme="majorHAnsi"/>
                <w:sz w:val="20"/>
                <w:szCs w:val="20"/>
              </w:rPr>
              <w:t>Date</w:t>
            </w:r>
          </w:p>
        </w:tc>
        <w:tc>
          <w:tcPr>
            <w:tcW w:w="992" w:type="dxa"/>
            <w:noWrap/>
            <w:hideMark/>
          </w:tcPr>
          <w:p w14:paraId="0501F295" w14:textId="77777777" w:rsidR="00692AAA" w:rsidRPr="00692AAA" w:rsidRDefault="00692AAA" w:rsidP="00692AAA">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692AAA">
              <w:rPr>
                <w:rFonts w:asciiTheme="majorHAnsi" w:hAnsiTheme="majorHAnsi"/>
                <w:sz w:val="20"/>
                <w:szCs w:val="20"/>
              </w:rPr>
              <w:t>Volume No.</w:t>
            </w:r>
          </w:p>
        </w:tc>
      </w:tr>
      <w:tr w:rsidR="00692AAA" w:rsidRPr="00692AAA" w14:paraId="1FB9AA90" w14:textId="77777777" w:rsidTr="007C07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7" w:type="dxa"/>
            <w:shd w:val="clear" w:color="auto" w:fill="D9D9D9" w:themeFill="background1" w:themeFillShade="D9"/>
            <w:noWrap/>
            <w:hideMark/>
          </w:tcPr>
          <w:p w14:paraId="150A6524" w14:textId="77777777" w:rsidR="00692AAA" w:rsidRPr="00692AAA" w:rsidRDefault="00692AAA" w:rsidP="00692AAA">
            <w:pPr>
              <w:jc w:val="both"/>
              <w:rPr>
                <w:rFonts w:asciiTheme="majorHAnsi" w:hAnsiTheme="majorHAnsi"/>
                <w:sz w:val="18"/>
                <w:szCs w:val="20"/>
              </w:rPr>
            </w:pPr>
            <w:r w:rsidRPr="00692AAA">
              <w:rPr>
                <w:rFonts w:asciiTheme="majorHAnsi" w:hAnsiTheme="majorHAnsi"/>
                <w:sz w:val="18"/>
                <w:szCs w:val="20"/>
              </w:rPr>
              <w:t>1.1</w:t>
            </w:r>
          </w:p>
        </w:tc>
        <w:tc>
          <w:tcPr>
            <w:tcW w:w="992" w:type="dxa"/>
            <w:noWrap/>
            <w:hideMark/>
          </w:tcPr>
          <w:p w14:paraId="4AD6CCDA" w14:textId="5E1DE8D8" w:rsidR="00692AAA" w:rsidRPr="00692AAA" w:rsidRDefault="00CF7F8C" w:rsidP="00692AA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Pr>
                <w:rFonts w:asciiTheme="majorHAnsi" w:hAnsiTheme="majorHAnsi"/>
                <w:sz w:val="18"/>
                <w:szCs w:val="20"/>
              </w:rPr>
              <w:t>3603640545153</w:t>
            </w:r>
          </w:p>
        </w:tc>
        <w:tc>
          <w:tcPr>
            <w:tcW w:w="1276" w:type="dxa"/>
            <w:noWrap/>
            <w:hideMark/>
          </w:tcPr>
          <w:p w14:paraId="2D7D9892"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Nature Publishing Group</w:t>
            </w:r>
          </w:p>
        </w:tc>
        <w:tc>
          <w:tcPr>
            <w:tcW w:w="1418" w:type="dxa"/>
            <w:noWrap/>
            <w:hideMark/>
          </w:tcPr>
          <w:p w14:paraId="4652D68E"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Nature reviews molecular cell biology</w:t>
            </w:r>
          </w:p>
        </w:tc>
        <w:tc>
          <w:tcPr>
            <w:tcW w:w="1417" w:type="dxa"/>
            <w:noWrap/>
            <w:hideMark/>
          </w:tcPr>
          <w:p w14:paraId="72FDE44B"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DNA damage response in adult stem cells: pathways and consequences</w:t>
            </w:r>
          </w:p>
        </w:tc>
        <w:tc>
          <w:tcPr>
            <w:tcW w:w="1134" w:type="dxa"/>
            <w:noWrap/>
            <w:hideMark/>
          </w:tcPr>
          <w:p w14:paraId="112C01DE"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proofErr w:type="spellStart"/>
            <w:r w:rsidRPr="00692AAA">
              <w:rPr>
                <w:rFonts w:asciiTheme="majorHAnsi" w:hAnsiTheme="majorHAnsi"/>
                <w:sz w:val="18"/>
                <w:szCs w:val="20"/>
              </w:rPr>
              <w:t>Mandal</w:t>
            </w:r>
            <w:proofErr w:type="spellEnd"/>
            <w:r w:rsidRPr="00692AAA">
              <w:rPr>
                <w:rFonts w:asciiTheme="majorHAnsi" w:hAnsiTheme="majorHAnsi"/>
                <w:sz w:val="18"/>
                <w:szCs w:val="20"/>
              </w:rPr>
              <w:t xml:space="preserve"> et al.</w:t>
            </w:r>
          </w:p>
        </w:tc>
        <w:tc>
          <w:tcPr>
            <w:tcW w:w="709" w:type="dxa"/>
            <w:noWrap/>
            <w:hideMark/>
          </w:tcPr>
          <w:p w14:paraId="6050556C"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Mar 1, 2011</w:t>
            </w:r>
          </w:p>
        </w:tc>
        <w:tc>
          <w:tcPr>
            <w:tcW w:w="992" w:type="dxa"/>
            <w:noWrap/>
            <w:hideMark/>
          </w:tcPr>
          <w:p w14:paraId="04E9FDC9" w14:textId="77777777" w:rsidR="00692AAA" w:rsidRPr="00692AAA" w:rsidRDefault="00692AAA" w:rsidP="00692AA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12</w:t>
            </w:r>
          </w:p>
        </w:tc>
      </w:tr>
      <w:tr w:rsidR="00692AAA" w:rsidRPr="00692AAA" w14:paraId="3FCCC63F" w14:textId="77777777" w:rsidTr="007C07FA">
        <w:trPr>
          <w:trHeight w:val="300"/>
        </w:trPr>
        <w:tc>
          <w:tcPr>
            <w:cnfStyle w:val="001000000000" w:firstRow="0" w:lastRow="0" w:firstColumn="1" w:lastColumn="0" w:oddVBand="0" w:evenVBand="0" w:oddHBand="0" w:evenHBand="0" w:firstRowFirstColumn="0" w:firstRowLastColumn="0" w:lastRowFirstColumn="0" w:lastRowLastColumn="0"/>
            <w:tcW w:w="817" w:type="dxa"/>
            <w:shd w:val="clear" w:color="auto" w:fill="D9D9D9" w:themeFill="background1" w:themeFillShade="D9"/>
            <w:noWrap/>
            <w:hideMark/>
          </w:tcPr>
          <w:p w14:paraId="30D1260A" w14:textId="77777777" w:rsidR="00692AAA" w:rsidRPr="00692AAA" w:rsidRDefault="00692AAA" w:rsidP="00692AAA">
            <w:pPr>
              <w:jc w:val="both"/>
              <w:rPr>
                <w:rFonts w:asciiTheme="majorHAnsi" w:hAnsiTheme="majorHAnsi"/>
                <w:sz w:val="18"/>
                <w:szCs w:val="20"/>
              </w:rPr>
            </w:pPr>
            <w:r w:rsidRPr="00692AAA">
              <w:rPr>
                <w:rFonts w:asciiTheme="majorHAnsi" w:hAnsiTheme="majorHAnsi"/>
                <w:sz w:val="18"/>
                <w:szCs w:val="20"/>
              </w:rPr>
              <w:t>1.2</w:t>
            </w:r>
          </w:p>
        </w:tc>
        <w:tc>
          <w:tcPr>
            <w:tcW w:w="992" w:type="dxa"/>
            <w:noWrap/>
            <w:hideMark/>
          </w:tcPr>
          <w:p w14:paraId="62AD0B4C" w14:textId="77777777" w:rsidR="00692AAA" w:rsidRPr="00692AAA" w:rsidRDefault="00692AAA" w:rsidP="00692AA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4223690040366</w:t>
            </w:r>
          </w:p>
        </w:tc>
        <w:tc>
          <w:tcPr>
            <w:tcW w:w="1276" w:type="dxa"/>
            <w:noWrap/>
            <w:hideMark/>
          </w:tcPr>
          <w:p w14:paraId="23974F42"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Elsevier</w:t>
            </w:r>
          </w:p>
        </w:tc>
        <w:tc>
          <w:tcPr>
            <w:tcW w:w="1418" w:type="dxa"/>
            <w:noWrap/>
            <w:hideMark/>
          </w:tcPr>
          <w:p w14:paraId="7EC858FC"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Cell</w:t>
            </w:r>
          </w:p>
        </w:tc>
        <w:tc>
          <w:tcPr>
            <w:tcW w:w="1417" w:type="dxa"/>
            <w:noWrap/>
            <w:hideMark/>
          </w:tcPr>
          <w:p w14:paraId="670ABCB9"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A genetic model for colorectal tumourigenesis</w:t>
            </w:r>
          </w:p>
        </w:tc>
        <w:tc>
          <w:tcPr>
            <w:tcW w:w="1134" w:type="dxa"/>
            <w:noWrap/>
            <w:hideMark/>
          </w:tcPr>
          <w:p w14:paraId="21F6E4BE"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proofErr w:type="spellStart"/>
            <w:r w:rsidRPr="00692AAA">
              <w:rPr>
                <w:rFonts w:asciiTheme="majorHAnsi" w:hAnsiTheme="majorHAnsi"/>
                <w:sz w:val="18"/>
                <w:szCs w:val="20"/>
              </w:rPr>
              <w:t>Fearon</w:t>
            </w:r>
            <w:proofErr w:type="spellEnd"/>
            <w:r w:rsidRPr="00692AAA">
              <w:rPr>
                <w:rFonts w:asciiTheme="majorHAnsi" w:hAnsiTheme="majorHAnsi"/>
                <w:sz w:val="18"/>
                <w:szCs w:val="20"/>
              </w:rPr>
              <w:t xml:space="preserve"> and Vogelstein</w:t>
            </w:r>
          </w:p>
        </w:tc>
        <w:tc>
          <w:tcPr>
            <w:tcW w:w="709" w:type="dxa"/>
            <w:noWrap/>
            <w:hideMark/>
          </w:tcPr>
          <w:p w14:paraId="17B21735"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Jun 1, 1990</w:t>
            </w:r>
          </w:p>
        </w:tc>
        <w:tc>
          <w:tcPr>
            <w:tcW w:w="992" w:type="dxa"/>
            <w:noWrap/>
            <w:hideMark/>
          </w:tcPr>
          <w:p w14:paraId="2630F8FD" w14:textId="77777777" w:rsidR="00692AAA" w:rsidRPr="00692AAA" w:rsidRDefault="00692AAA" w:rsidP="00692AA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61</w:t>
            </w:r>
          </w:p>
        </w:tc>
      </w:tr>
      <w:tr w:rsidR="00692AAA" w:rsidRPr="00692AAA" w14:paraId="457564FC" w14:textId="77777777" w:rsidTr="007C07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7" w:type="dxa"/>
            <w:shd w:val="clear" w:color="auto" w:fill="D9D9D9" w:themeFill="background1" w:themeFillShade="D9"/>
            <w:noWrap/>
            <w:hideMark/>
          </w:tcPr>
          <w:p w14:paraId="2DDE2B8A" w14:textId="77777777" w:rsidR="00692AAA" w:rsidRPr="00692AAA" w:rsidRDefault="00692AAA" w:rsidP="00692AAA">
            <w:pPr>
              <w:jc w:val="both"/>
              <w:rPr>
                <w:rFonts w:asciiTheme="majorHAnsi" w:hAnsiTheme="majorHAnsi"/>
                <w:sz w:val="18"/>
                <w:szCs w:val="20"/>
              </w:rPr>
            </w:pPr>
            <w:r w:rsidRPr="00692AAA">
              <w:rPr>
                <w:rFonts w:asciiTheme="majorHAnsi" w:hAnsiTheme="majorHAnsi"/>
                <w:sz w:val="18"/>
                <w:szCs w:val="20"/>
              </w:rPr>
              <w:t>1.3</w:t>
            </w:r>
          </w:p>
        </w:tc>
        <w:tc>
          <w:tcPr>
            <w:tcW w:w="992" w:type="dxa"/>
            <w:noWrap/>
            <w:hideMark/>
          </w:tcPr>
          <w:p w14:paraId="3F392001" w14:textId="77777777" w:rsidR="00692AAA" w:rsidRPr="00692AAA" w:rsidRDefault="00692AAA" w:rsidP="00692AA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4223680519390</w:t>
            </w:r>
          </w:p>
        </w:tc>
        <w:tc>
          <w:tcPr>
            <w:tcW w:w="1276" w:type="dxa"/>
            <w:noWrap/>
            <w:hideMark/>
          </w:tcPr>
          <w:p w14:paraId="0D8D9C29"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Elsevier</w:t>
            </w:r>
          </w:p>
        </w:tc>
        <w:tc>
          <w:tcPr>
            <w:tcW w:w="1418" w:type="dxa"/>
            <w:noWrap/>
            <w:hideMark/>
          </w:tcPr>
          <w:p w14:paraId="0CAC838D"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Experimental Cell Research</w:t>
            </w:r>
          </w:p>
        </w:tc>
        <w:tc>
          <w:tcPr>
            <w:tcW w:w="1417" w:type="dxa"/>
            <w:noWrap/>
            <w:hideMark/>
          </w:tcPr>
          <w:p w14:paraId="513F639B" w14:textId="73A5805F"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Exploiting DNA mismatch repair deficiency as a therapeutic target</w:t>
            </w:r>
          </w:p>
        </w:tc>
        <w:tc>
          <w:tcPr>
            <w:tcW w:w="1134" w:type="dxa"/>
            <w:noWrap/>
            <w:hideMark/>
          </w:tcPr>
          <w:p w14:paraId="07DD11AC"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proofErr w:type="spellStart"/>
            <w:r w:rsidRPr="00692AAA">
              <w:rPr>
                <w:rFonts w:asciiTheme="majorHAnsi" w:hAnsiTheme="majorHAnsi"/>
                <w:sz w:val="18"/>
                <w:szCs w:val="20"/>
              </w:rPr>
              <w:t>Guillotin</w:t>
            </w:r>
            <w:proofErr w:type="spellEnd"/>
            <w:r w:rsidRPr="00692AAA">
              <w:rPr>
                <w:rFonts w:asciiTheme="majorHAnsi" w:hAnsiTheme="majorHAnsi"/>
                <w:sz w:val="18"/>
                <w:szCs w:val="20"/>
              </w:rPr>
              <w:t xml:space="preserve"> and Martin</w:t>
            </w:r>
          </w:p>
        </w:tc>
        <w:tc>
          <w:tcPr>
            <w:tcW w:w="709" w:type="dxa"/>
            <w:noWrap/>
            <w:hideMark/>
          </w:tcPr>
          <w:p w14:paraId="46FB973A"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Nov 15, 2014</w:t>
            </w:r>
          </w:p>
        </w:tc>
        <w:tc>
          <w:tcPr>
            <w:tcW w:w="992" w:type="dxa"/>
            <w:noWrap/>
            <w:hideMark/>
          </w:tcPr>
          <w:p w14:paraId="3CE55833" w14:textId="77777777" w:rsidR="00692AAA" w:rsidRPr="00692AAA" w:rsidRDefault="00692AAA" w:rsidP="00692AA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329</w:t>
            </w:r>
          </w:p>
        </w:tc>
      </w:tr>
      <w:tr w:rsidR="00692AAA" w:rsidRPr="00692AAA" w14:paraId="28BA79A6" w14:textId="77777777" w:rsidTr="007C07FA">
        <w:trPr>
          <w:trHeight w:val="300"/>
        </w:trPr>
        <w:tc>
          <w:tcPr>
            <w:cnfStyle w:val="001000000000" w:firstRow="0" w:lastRow="0" w:firstColumn="1" w:lastColumn="0" w:oddVBand="0" w:evenVBand="0" w:oddHBand="0" w:evenHBand="0" w:firstRowFirstColumn="0" w:firstRowLastColumn="0" w:lastRowFirstColumn="0" w:lastRowLastColumn="0"/>
            <w:tcW w:w="817" w:type="dxa"/>
            <w:shd w:val="clear" w:color="auto" w:fill="D9D9D9" w:themeFill="background1" w:themeFillShade="D9"/>
            <w:noWrap/>
            <w:hideMark/>
          </w:tcPr>
          <w:p w14:paraId="43AFE3D3" w14:textId="77777777" w:rsidR="00692AAA" w:rsidRPr="00692AAA" w:rsidRDefault="00692AAA" w:rsidP="00692AAA">
            <w:pPr>
              <w:jc w:val="both"/>
              <w:rPr>
                <w:rFonts w:asciiTheme="majorHAnsi" w:hAnsiTheme="majorHAnsi"/>
                <w:sz w:val="18"/>
                <w:szCs w:val="20"/>
              </w:rPr>
            </w:pPr>
            <w:r w:rsidRPr="00692AAA">
              <w:rPr>
                <w:rFonts w:asciiTheme="majorHAnsi" w:hAnsiTheme="majorHAnsi"/>
                <w:sz w:val="18"/>
                <w:szCs w:val="20"/>
              </w:rPr>
              <w:t>1.4</w:t>
            </w:r>
          </w:p>
        </w:tc>
        <w:tc>
          <w:tcPr>
            <w:tcW w:w="992" w:type="dxa"/>
            <w:noWrap/>
            <w:hideMark/>
          </w:tcPr>
          <w:p w14:paraId="4DC3EC0B" w14:textId="77777777" w:rsidR="00692AAA" w:rsidRPr="00692AAA" w:rsidRDefault="00692AAA" w:rsidP="00692AA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4220151001797</w:t>
            </w:r>
          </w:p>
        </w:tc>
        <w:tc>
          <w:tcPr>
            <w:tcW w:w="1276" w:type="dxa"/>
            <w:noWrap/>
            <w:hideMark/>
          </w:tcPr>
          <w:p w14:paraId="70434C64"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American Association for Cancer Research</w:t>
            </w:r>
          </w:p>
        </w:tc>
        <w:tc>
          <w:tcPr>
            <w:tcW w:w="1418" w:type="dxa"/>
            <w:noWrap/>
            <w:hideMark/>
          </w:tcPr>
          <w:p w14:paraId="60D695D5"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Clinical Cancer Research</w:t>
            </w:r>
          </w:p>
        </w:tc>
        <w:tc>
          <w:tcPr>
            <w:tcW w:w="1417" w:type="dxa"/>
            <w:noWrap/>
            <w:hideMark/>
          </w:tcPr>
          <w:p w14:paraId="233EEFD0" w14:textId="416C044C" w:rsidR="00692AAA" w:rsidRPr="00692AAA" w:rsidRDefault="00642915"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Pr>
                <w:rFonts w:asciiTheme="majorHAnsi" w:hAnsiTheme="majorHAnsi"/>
                <w:sz w:val="18"/>
                <w:szCs w:val="20"/>
              </w:rPr>
              <w:t>Targeting WNT</w:t>
            </w:r>
            <w:r w:rsidR="00692AAA" w:rsidRPr="00692AAA">
              <w:rPr>
                <w:rFonts w:asciiTheme="majorHAnsi" w:hAnsiTheme="majorHAnsi"/>
                <w:sz w:val="18"/>
                <w:szCs w:val="20"/>
              </w:rPr>
              <w:t xml:space="preserve"> </w:t>
            </w:r>
            <w:proofErr w:type="spellStart"/>
            <w:r w:rsidR="00692AAA" w:rsidRPr="00692AAA">
              <w:rPr>
                <w:rFonts w:asciiTheme="majorHAnsi" w:hAnsiTheme="majorHAnsi"/>
                <w:sz w:val="18"/>
                <w:szCs w:val="20"/>
              </w:rPr>
              <w:t>signaling</w:t>
            </w:r>
            <w:proofErr w:type="spellEnd"/>
            <w:r w:rsidR="00692AAA" w:rsidRPr="00692AAA">
              <w:rPr>
                <w:rFonts w:asciiTheme="majorHAnsi" w:hAnsiTheme="majorHAnsi"/>
                <w:sz w:val="18"/>
                <w:szCs w:val="20"/>
              </w:rPr>
              <w:t xml:space="preserve"> in colon cancer stem cells</w:t>
            </w:r>
          </w:p>
        </w:tc>
        <w:tc>
          <w:tcPr>
            <w:tcW w:w="1134" w:type="dxa"/>
            <w:noWrap/>
            <w:hideMark/>
          </w:tcPr>
          <w:p w14:paraId="4082B376"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proofErr w:type="gramStart"/>
            <w:r w:rsidRPr="00692AAA">
              <w:rPr>
                <w:rFonts w:asciiTheme="majorHAnsi" w:hAnsiTheme="majorHAnsi"/>
                <w:sz w:val="18"/>
                <w:szCs w:val="20"/>
              </w:rPr>
              <w:t>de</w:t>
            </w:r>
            <w:proofErr w:type="gramEnd"/>
            <w:r w:rsidRPr="00692AAA">
              <w:rPr>
                <w:rFonts w:asciiTheme="majorHAnsi" w:hAnsiTheme="majorHAnsi"/>
                <w:sz w:val="18"/>
                <w:szCs w:val="20"/>
              </w:rPr>
              <w:t xml:space="preserve"> Sousa et al. </w:t>
            </w:r>
          </w:p>
        </w:tc>
        <w:tc>
          <w:tcPr>
            <w:tcW w:w="709" w:type="dxa"/>
            <w:noWrap/>
            <w:hideMark/>
          </w:tcPr>
          <w:p w14:paraId="712B98D8" w14:textId="77777777" w:rsidR="00692AAA" w:rsidRPr="00692AAA" w:rsidRDefault="00692AAA"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Feb 15, 2011</w:t>
            </w:r>
          </w:p>
        </w:tc>
        <w:tc>
          <w:tcPr>
            <w:tcW w:w="992" w:type="dxa"/>
            <w:noWrap/>
            <w:hideMark/>
          </w:tcPr>
          <w:p w14:paraId="309394A6" w14:textId="77777777" w:rsidR="00692AAA" w:rsidRPr="00692AAA" w:rsidRDefault="00692AAA" w:rsidP="00692AA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17</w:t>
            </w:r>
          </w:p>
        </w:tc>
      </w:tr>
      <w:tr w:rsidR="00692AAA" w:rsidRPr="00692AAA" w14:paraId="28E6F838" w14:textId="77777777" w:rsidTr="007C07F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7" w:type="dxa"/>
            <w:shd w:val="clear" w:color="auto" w:fill="D9D9D9" w:themeFill="background1" w:themeFillShade="D9"/>
            <w:noWrap/>
            <w:hideMark/>
          </w:tcPr>
          <w:p w14:paraId="14D9AAE0" w14:textId="13B92924" w:rsidR="00692AAA" w:rsidRPr="00692AAA" w:rsidRDefault="00692AAA" w:rsidP="00692AAA">
            <w:pPr>
              <w:jc w:val="both"/>
              <w:rPr>
                <w:rFonts w:asciiTheme="majorHAnsi" w:hAnsiTheme="majorHAnsi"/>
                <w:sz w:val="18"/>
                <w:szCs w:val="20"/>
              </w:rPr>
            </w:pPr>
            <w:r w:rsidRPr="00692AAA">
              <w:rPr>
                <w:rFonts w:asciiTheme="majorHAnsi" w:hAnsiTheme="majorHAnsi"/>
                <w:sz w:val="18"/>
                <w:szCs w:val="20"/>
              </w:rPr>
              <w:t>1.5</w:t>
            </w:r>
          </w:p>
        </w:tc>
        <w:tc>
          <w:tcPr>
            <w:tcW w:w="992" w:type="dxa"/>
            <w:noWrap/>
            <w:hideMark/>
          </w:tcPr>
          <w:p w14:paraId="7D7D177B" w14:textId="77777777" w:rsidR="00692AAA" w:rsidRPr="00692AAA" w:rsidRDefault="00692AAA" w:rsidP="00692AA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4220150202221</w:t>
            </w:r>
          </w:p>
        </w:tc>
        <w:tc>
          <w:tcPr>
            <w:tcW w:w="1276" w:type="dxa"/>
            <w:noWrap/>
            <w:hideMark/>
          </w:tcPr>
          <w:p w14:paraId="42FACE28"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BMJ Publishing group Ltd.</w:t>
            </w:r>
          </w:p>
        </w:tc>
        <w:tc>
          <w:tcPr>
            <w:tcW w:w="1418" w:type="dxa"/>
            <w:noWrap/>
            <w:hideMark/>
          </w:tcPr>
          <w:p w14:paraId="2AC3B3C4"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Gut</w:t>
            </w:r>
          </w:p>
        </w:tc>
        <w:tc>
          <w:tcPr>
            <w:tcW w:w="1417" w:type="dxa"/>
            <w:noWrap/>
            <w:hideMark/>
          </w:tcPr>
          <w:p w14:paraId="30D43AE0"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A combined oncogenic pathway signature of BRAF, KRAS and PI3KCA mutation improves colorectal cancer classification and cetuximab treatment prediction</w:t>
            </w:r>
          </w:p>
        </w:tc>
        <w:tc>
          <w:tcPr>
            <w:tcW w:w="1134" w:type="dxa"/>
            <w:noWrap/>
            <w:hideMark/>
          </w:tcPr>
          <w:p w14:paraId="58E36097"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proofErr w:type="spellStart"/>
            <w:r w:rsidRPr="00692AAA">
              <w:rPr>
                <w:rFonts w:asciiTheme="majorHAnsi" w:hAnsiTheme="majorHAnsi"/>
                <w:sz w:val="18"/>
                <w:szCs w:val="20"/>
              </w:rPr>
              <w:t>Tian</w:t>
            </w:r>
            <w:proofErr w:type="spellEnd"/>
            <w:r w:rsidRPr="00692AAA">
              <w:rPr>
                <w:rFonts w:asciiTheme="majorHAnsi" w:hAnsiTheme="majorHAnsi"/>
                <w:sz w:val="18"/>
                <w:szCs w:val="20"/>
              </w:rPr>
              <w:t xml:space="preserve"> et al.</w:t>
            </w:r>
          </w:p>
        </w:tc>
        <w:tc>
          <w:tcPr>
            <w:tcW w:w="709" w:type="dxa"/>
            <w:noWrap/>
            <w:hideMark/>
          </w:tcPr>
          <w:p w14:paraId="25FD6A0F" w14:textId="77777777" w:rsidR="00692AAA" w:rsidRPr="00692AAA" w:rsidRDefault="00692AAA" w:rsidP="00692AAA">
            <w:pP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Apr 1, 2013</w:t>
            </w:r>
          </w:p>
        </w:tc>
        <w:tc>
          <w:tcPr>
            <w:tcW w:w="992" w:type="dxa"/>
            <w:noWrap/>
            <w:hideMark/>
          </w:tcPr>
          <w:p w14:paraId="05DA75D4" w14:textId="77777777" w:rsidR="00692AAA" w:rsidRPr="00692AAA" w:rsidRDefault="00692AAA" w:rsidP="00692AAA">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62</w:t>
            </w:r>
          </w:p>
        </w:tc>
      </w:tr>
      <w:tr w:rsidR="003F0192" w:rsidRPr="00692AAA" w14:paraId="5F307FC9" w14:textId="77777777" w:rsidTr="007C07FA">
        <w:trPr>
          <w:trHeight w:val="300"/>
        </w:trPr>
        <w:tc>
          <w:tcPr>
            <w:cnfStyle w:val="001000000000" w:firstRow="0" w:lastRow="0" w:firstColumn="1" w:lastColumn="0" w:oddVBand="0" w:evenVBand="0" w:oddHBand="0" w:evenHBand="0" w:firstRowFirstColumn="0" w:firstRowLastColumn="0" w:lastRowFirstColumn="0" w:lastRowLastColumn="0"/>
            <w:tcW w:w="817" w:type="dxa"/>
            <w:shd w:val="clear" w:color="auto" w:fill="D9D9D9" w:themeFill="background1" w:themeFillShade="D9"/>
            <w:noWrap/>
          </w:tcPr>
          <w:p w14:paraId="152D7A65" w14:textId="44509C0E" w:rsidR="003F0192" w:rsidRPr="00692AAA" w:rsidRDefault="003F0192" w:rsidP="00692AAA">
            <w:pPr>
              <w:jc w:val="both"/>
              <w:rPr>
                <w:rFonts w:asciiTheme="majorHAnsi" w:hAnsiTheme="majorHAnsi"/>
                <w:sz w:val="18"/>
                <w:szCs w:val="20"/>
              </w:rPr>
            </w:pPr>
            <w:r>
              <w:rPr>
                <w:rFonts w:asciiTheme="majorHAnsi" w:hAnsiTheme="majorHAnsi"/>
                <w:sz w:val="18"/>
                <w:szCs w:val="20"/>
              </w:rPr>
              <w:t>1.6</w:t>
            </w:r>
          </w:p>
        </w:tc>
        <w:tc>
          <w:tcPr>
            <w:tcW w:w="992" w:type="dxa"/>
            <w:noWrap/>
          </w:tcPr>
          <w:p w14:paraId="0CBD3CC7" w14:textId="637F8D04" w:rsidR="003F0192" w:rsidRPr="00692AAA" w:rsidRDefault="003F0192" w:rsidP="00692AA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Pr>
                <w:rFonts w:asciiTheme="majorHAnsi" w:hAnsiTheme="majorHAnsi"/>
                <w:sz w:val="18"/>
                <w:szCs w:val="20"/>
              </w:rPr>
              <w:t>4235291096024</w:t>
            </w:r>
          </w:p>
        </w:tc>
        <w:tc>
          <w:tcPr>
            <w:tcW w:w="1276" w:type="dxa"/>
            <w:noWrap/>
          </w:tcPr>
          <w:p w14:paraId="52D147BA" w14:textId="00EC9DC6" w:rsidR="003F0192" w:rsidRPr="00692AAA" w:rsidRDefault="003F0192"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sidRPr="00692AAA">
              <w:rPr>
                <w:rFonts w:asciiTheme="majorHAnsi" w:hAnsiTheme="majorHAnsi"/>
                <w:sz w:val="18"/>
                <w:szCs w:val="20"/>
              </w:rPr>
              <w:t>American Association for Cancer Research</w:t>
            </w:r>
          </w:p>
        </w:tc>
        <w:tc>
          <w:tcPr>
            <w:tcW w:w="1418" w:type="dxa"/>
            <w:noWrap/>
          </w:tcPr>
          <w:p w14:paraId="41B99591" w14:textId="4DD88BA6" w:rsidR="003F0192" w:rsidRPr="00692AAA" w:rsidRDefault="003F0192"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Pr>
                <w:rFonts w:asciiTheme="majorHAnsi" w:hAnsiTheme="majorHAnsi"/>
                <w:sz w:val="18"/>
                <w:szCs w:val="20"/>
              </w:rPr>
              <w:t>Clinical Cancer Research</w:t>
            </w:r>
          </w:p>
        </w:tc>
        <w:tc>
          <w:tcPr>
            <w:tcW w:w="1417" w:type="dxa"/>
            <w:noWrap/>
          </w:tcPr>
          <w:p w14:paraId="07ABC434" w14:textId="14524FC1" w:rsidR="003F0192" w:rsidRPr="00692AAA" w:rsidRDefault="003F0192"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Pr>
                <w:rFonts w:asciiTheme="majorHAnsi" w:hAnsiTheme="majorHAnsi"/>
                <w:sz w:val="18"/>
                <w:szCs w:val="20"/>
              </w:rPr>
              <w:t>Colon cancer: It’s CIN or CIMP</w:t>
            </w:r>
          </w:p>
        </w:tc>
        <w:tc>
          <w:tcPr>
            <w:tcW w:w="1134" w:type="dxa"/>
            <w:noWrap/>
          </w:tcPr>
          <w:p w14:paraId="6392C146" w14:textId="34CA63F9" w:rsidR="003F0192" w:rsidRPr="00692AAA" w:rsidRDefault="003F0192"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proofErr w:type="spellStart"/>
            <w:r>
              <w:rPr>
                <w:rFonts w:asciiTheme="majorHAnsi" w:hAnsiTheme="majorHAnsi"/>
                <w:sz w:val="18"/>
                <w:szCs w:val="20"/>
              </w:rPr>
              <w:t>Issa</w:t>
            </w:r>
            <w:proofErr w:type="spellEnd"/>
          </w:p>
        </w:tc>
        <w:tc>
          <w:tcPr>
            <w:tcW w:w="709" w:type="dxa"/>
            <w:noWrap/>
          </w:tcPr>
          <w:p w14:paraId="100D9816" w14:textId="536A1E86" w:rsidR="003F0192" w:rsidRPr="00692AAA" w:rsidRDefault="003F0192" w:rsidP="00692AA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Pr>
                <w:rFonts w:asciiTheme="majorHAnsi" w:hAnsiTheme="majorHAnsi"/>
                <w:sz w:val="18"/>
                <w:szCs w:val="20"/>
              </w:rPr>
              <w:t>Oct 1, 2008</w:t>
            </w:r>
          </w:p>
        </w:tc>
        <w:tc>
          <w:tcPr>
            <w:tcW w:w="992" w:type="dxa"/>
            <w:noWrap/>
          </w:tcPr>
          <w:p w14:paraId="74904EEB" w14:textId="2921D711" w:rsidR="003F0192" w:rsidRPr="00692AAA" w:rsidRDefault="003F0192" w:rsidP="00692AAA">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20"/>
              </w:rPr>
            </w:pPr>
            <w:r>
              <w:rPr>
                <w:rFonts w:asciiTheme="majorHAnsi" w:hAnsiTheme="majorHAnsi"/>
                <w:sz w:val="18"/>
                <w:szCs w:val="20"/>
              </w:rPr>
              <w:t>14</w:t>
            </w:r>
          </w:p>
        </w:tc>
      </w:tr>
    </w:tbl>
    <w:p w14:paraId="2FB28249" w14:textId="77777777" w:rsidR="003F0192" w:rsidRDefault="003F0192" w:rsidP="0085411C">
      <w:pPr>
        <w:spacing w:line="360" w:lineRule="auto"/>
        <w:jc w:val="both"/>
        <w:rPr>
          <w:rFonts w:asciiTheme="majorHAnsi" w:hAnsiTheme="majorHAnsi"/>
        </w:rPr>
      </w:pPr>
    </w:p>
    <w:p w14:paraId="31E37CE0" w14:textId="77777777" w:rsidR="003F0192" w:rsidRDefault="003F0192" w:rsidP="0085411C">
      <w:pPr>
        <w:spacing w:line="360" w:lineRule="auto"/>
        <w:jc w:val="both"/>
        <w:rPr>
          <w:rFonts w:asciiTheme="majorHAnsi" w:hAnsiTheme="majorHAnsi"/>
        </w:rPr>
      </w:pPr>
    </w:p>
    <w:p w14:paraId="4B85FA5E" w14:textId="77777777" w:rsidR="00813DDF" w:rsidRDefault="00813DDF" w:rsidP="004D7A67">
      <w:pPr>
        <w:rPr>
          <w:rFonts w:asciiTheme="majorHAnsi" w:hAnsiTheme="majorHAnsi"/>
          <w:lang w:val="en-US"/>
        </w:rPr>
      </w:pPr>
    </w:p>
    <w:p w14:paraId="2F6C9641" w14:textId="77777777" w:rsidR="00813DDF" w:rsidRDefault="00813DDF" w:rsidP="004D7A67">
      <w:pPr>
        <w:rPr>
          <w:rFonts w:asciiTheme="majorHAnsi" w:hAnsiTheme="majorHAnsi"/>
          <w:lang w:val="en-US"/>
        </w:rPr>
      </w:pPr>
    </w:p>
    <w:p w14:paraId="5586BBCE" w14:textId="77777777" w:rsidR="00813DDF" w:rsidRDefault="00813DDF" w:rsidP="00813DDF">
      <w:pPr>
        <w:pStyle w:val="EndNoteBibliography"/>
        <w:ind w:left="720" w:hanging="720"/>
        <w:rPr>
          <w:rFonts w:asciiTheme="majorHAnsi" w:hAnsiTheme="majorHAnsi"/>
        </w:rPr>
      </w:pPr>
    </w:p>
    <w:p w14:paraId="1B87FE03" w14:textId="77777777" w:rsidR="00024075" w:rsidRDefault="00024075" w:rsidP="004D7A67">
      <w:pPr>
        <w:rPr>
          <w:rFonts w:asciiTheme="majorHAnsi" w:hAnsiTheme="majorHAnsi"/>
          <w:lang w:val="en-US"/>
        </w:rPr>
      </w:pPr>
    </w:p>
    <w:p w14:paraId="717D4D3C" w14:textId="77777777" w:rsidR="00CE3BE9" w:rsidRDefault="00CE3BE9" w:rsidP="000260E0">
      <w:pPr>
        <w:jc w:val="both"/>
        <w:rPr>
          <w:rFonts w:asciiTheme="majorHAnsi" w:hAnsiTheme="majorHAnsi"/>
          <w:lang w:val="en-US"/>
        </w:rPr>
      </w:pPr>
    </w:p>
    <w:p w14:paraId="43C52618" w14:textId="77777777" w:rsidR="00CE3BE9" w:rsidRDefault="00CE3BE9" w:rsidP="000260E0">
      <w:pPr>
        <w:jc w:val="both"/>
        <w:rPr>
          <w:rFonts w:asciiTheme="majorHAnsi" w:hAnsiTheme="majorHAnsi"/>
          <w:lang w:val="en-US"/>
        </w:rPr>
      </w:pPr>
    </w:p>
    <w:p w14:paraId="4E01F64B" w14:textId="77777777" w:rsidR="001F465A" w:rsidRDefault="001F465A" w:rsidP="000260E0">
      <w:pPr>
        <w:jc w:val="both"/>
        <w:rPr>
          <w:rFonts w:asciiTheme="majorHAnsi" w:hAnsiTheme="majorHAnsi"/>
          <w:lang w:val="en-US"/>
        </w:rPr>
      </w:pPr>
    </w:p>
    <w:p w14:paraId="439350F5" w14:textId="77777777" w:rsidR="001F465A" w:rsidRDefault="001F465A" w:rsidP="000260E0">
      <w:pPr>
        <w:jc w:val="both"/>
        <w:rPr>
          <w:rFonts w:asciiTheme="majorHAnsi" w:hAnsiTheme="majorHAnsi"/>
          <w:lang w:val="en-US"/>
        </w:rPr>
      </w:pPr>
    </w:p>
    <w:p w14:paraId="3ADA98CC" w14:textId="0AAFC375" w:rsidR="00692AAA" w:rsidRPr="004D7A67" w:rsidRDefault="00692AAA" w:rsidP="00ED4F76">
      <w:pPr>
        <w:jc w:val="both"/>
        <w:rPr>
          <w:rFonts w:asciiTheme="majorHAnsi" w:hAnsiTheme="majorHAnsi"/>
          <w:lang w:val="en-US"/>
        </w:rPr>
      </w:pPr>
    </w:p>
    <w:sectPr w:rsidR="00692AAA" w:rsidRPr="004D7A67" w:rsidSect="00F70FA9">
      <w:headerReference w:type="default" r:id="rId197"/>
      <w:pgSz w:w="11900" w:h="16840"/>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E05C4F" w14:textId="77777777" w:rsidR="00E82D3B" w:rsidRDefault="00E82D3B" w:rsidP="00C23AC2">
      <w:r>
        <w:separator/>
      </w:r>
    </w:p>
  </w:endnote>
  <w:endnote w:type="continuationSeparator" w:id="0">
    <w:p w14:paraId="249D0EDE" w14:textId="77777777" w:rsidR="00E82D3B" w:rsidRDefault="00E82D3B" w:rsidP="00C23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Ｐゴシック">
    <w:charset w:val="4E"/>
    <w:family w:val="auto"/>
    <w:pitch w:val="variable"/>
    <w:sig w:usb0="00000001" w:usb1="08070000" w:usb2="00000010" w:usb3="00000000" w:csb0="00020000" w:csb1="00000000"/>
  </w:font>
  <w:font w:name="STIXGeneral-Italic">
    <w:panose1 w:val="00000000000000000000"/>
    <w:charset w:val="00"/>
    <w:family w:val="auto"/>
    <w:pitch w:val="variable"/>
    <w:sig w:usb0="A00002BF" w:usb1="42000D4E" w:usb2="02000000" w:usb3="00000000" w:csb0="800001F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TIXGeneral-Regular">
    <w:panose1 w:val="00000000000000000000"/>
    <w:charset w:val="00"/>
    <w:family w:val="auto"/>
    <w:pitch w:val="variable"/>
    <w:sig w:usb0="00000003" w:usb1="00000000" w:usb2="00000000" w:usb3="00000000" w:csb0="00000001" w:csb1="00000000"/>
  </w:font>
  <w:font w:name="Geneva">
    <w:panose1 w:val="020B0503030404040204"/>
    <w:charset w:val="00"/>
    <w:family w:val="auto"/>
    <w:pitch w:val="variable"/>
    <w:sig w:usb0="E00002FF" w:usb1="5200205F" w:usb2="00A0C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76F50C" w14:textId="77777777" w:rsidR="00E82D3B" w:rsidRDefault="00E82D3B" w:rsidP="004D05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02B844" w14:textId="4EA023CD" w:rsidR="00E82D3B" w:rsidRDefault="00E82D3B" w:rsidP="00C23AC2">
    <w:pPr>
      <w:pStyle w:val="Footer"/>
      <w:ind w:right="360"/>
    </w:pPr>
    <w:sdt>
      <w:sdtPr>
        <w:id w:val="-1691299319"/>
        <w:temporary/>
        <w:showingPlcHdr/>
      </w:sdtPr>
      <w:sdtContent>
        <w:r>
          <w:t>[Type text]</w:t>
        </w:r>
      </w:sdtContent>
    </w:sdt>
    <w:r>
      <w:ptab w:relativeTo="margin" w:alignment="center" w:leader="none"/>
    </w:r>
    <w:sdt>
      <w:sdtPr>
        <w:id w:val="431950109"/>
        <w:temporary/>
        <w:showingPlcHdr/>
      </w:sdtPr>
      <w:sdtContent>
        <w:r>
          <w:t>[Type text]</w:t>
        </w:r>
      </w:sdtContent>
    </w:sdt>
    <w:r>
      <w:ptab w:relativeTo="margin" w:alignment="right" w:leader="none"/>
    </w:r>
    <w:sdt>
      <w:sdtPr>
        <w:id w:val="-457880436"/>
        <w:temporary/>
        <w:showingPlcHdr/>
      </w:sdtPr>
      <w:sdtContent>
        <w:r>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A39AFD" w14:textId="03BF7162" w:rsidR="00E82D3B" w:rsidRDefault="00E82D3B" w:rsidP="004D05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83A72">
      <w:rPr>
        <w:rStyle w:val="PageNumber"/>
        <w:noProof/>
      </w:rPr>
      <w:t>287</w:t>
    </w:r>
    <w:r>
      <w:rPr>
        <w:rStyle w:val="PageNumber"/>
      </w:rPr>
      <w:fldChar w:fldCharType="end"/>
    </w:r>
  </w:p>
  <w:p w14:paraId="11A77D1A" w14:textId="0CEE4A9C" w:rsidR="00E82D3B" w:rsidRDefault="00E82D3B" w:rsidP="00C23AC2">
    <w:pPr>
      <w:pStyle w:val="Footer"/>
      <w:ind w:right="360"/>
    </w:pPr>
    <w:r>
      <w:t>Clair Fellows</w:t>
    </w:r>
    <w:r>
      <w:ptab w:relativeTo="margin" w:alignment="center" w:leader="none"/>
    </w:r>
    <w:r>
      <w:ptab w:relativeTo="margin" w:alignment="right" w:leader="none"/>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33A1BE" w14:textId="77777777" w:rsidR="00E82D3B" w:rsidRDefault="00E82D3B" w:rsidP="00C23AC2">
      <w:r>
        <w:separator/>
      </w:r>
    </w:p>
  </w:footnote>
  <w:footnote w:type="continuationSeparator" w:id="0">
    <w:p w14:paraId="601240B4" w14:textId="77777777" w:rsidR="00E82D3B" w:rsidRDefault="00E82D3B" w:rsidP="00C23AC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289AF" w14:textId="77777777" w:rsidR="00E82D3B" w:rsidRDefault="00E82D3B">
    <w:pPr>
      <w:pStyle w:val="Header"/>
    </w:pPr>
    <w:sdt>
      <w:sdtPr>
        <w:id w:val="171999623"/>
        <w:placeholder>
          <w:docPart w:val="D8DF59F36CCA0447A820C07D12A9B16B"/>
        </w:placeholder>
        <w:temporary/>
        <w:showingPlcHdr/>
      </w:sdtPr>
      <w:sdtContent>
        <w:r>
          <w:t>[Type text]</w:t>
        </w:r>
      </w:sdtContent>
    </w:sdt>
    <w:r>
      <w:ptab w:relativeTo="margin" w:alignment="center" w:leader="none"/>
    </w:r>
    <w:sdt>
      <w:sdtPr>
        <w:id w:val="171999624"/>
        <w:placeholder>
          <w:docPart w:val="973C7962CCE8684D997EE42536DE1FDE"/>
        </w:placeholder>
        <w:temporary/>
        <w:showingPlcHdr/>
      </w:sdtPr>
      <w:sdtContent>
        <w:r>
          <w:t>[Type text]</w:t>
        </w:r>
      </w:sdtContent>
    </w:sdt>
    <w:r>
      <w:ptab w:relativeTo="margin" w:alignment="right" w:leader="none"/>
    </w:r>
    <w:sdt>
      <w:sdtPr>
        <w:id w:val="171999625"/>
        <w:placeholder>
          <w:docPart w:val="53374B32107C0941BB143EC68BA72FE9"/>
        </w:placeholder>
        <w:temporary/>
        <w:showingPlcHdr/>
      </w:sdtPr>
      <w:sdtContent>
        <w:r>
          <w:t>[Type text]</w:t>
        </w:r>
      </w:sdtContent>
    </w:sdt>
  </w:p>
  <w:p w14:paraId="13891375" w14:textId="77777777" w:rsidR="00E82D3B" w:rsidRDefault="00E82D3B">
    <w:pPr>
      <w:pStyle w:val="Header"/>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0BDAB8" w14:textId="2C200617" w:rsidR="00E82D3B" w:rsidRDefault="00E82D3B">
    <w:pPr>
      <w:pStyle w:val="Header"/>
    </w:pPr>
    <w:r>
      <w:ptab w:relativeTo="margin" w:alignment="right" w:leader="none"/>
    </w:r>
    <w:r>
      <w:t>References</w:t>
    </w:r>
  </w:p>
  <w:p w14:paraId="6DD2B9BB" w14:textId="77777777" w:rsidR="00E82D3B" w:rsidRDefault="00E82D3B">
    <w:pPr>
      <w:pStyle w:val="Heade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72CC5C" w14:textId="120A88B2" w:rsidR="00E82D3B" w:rsidRDefault="00E82D3B">
    <w:pPr>
      <w:pStyle w:val="Header"/>
    </w:pPr>
    <w:r>
      <w:ptab w:relativeTo="margin" w:alignment="center" w:leader="none"/>
    </w:r>
    <w:r>
      <w:ptab w:relativeTo="margin" w:alignment="right" w:leader="none"/>
    </w:r>
    <w:r>
      <w:t>Appendix</w:t>
    </w:r>
  </w:p>
  <w:p w14:paraId="0916948E" w14:textId="77777777" w:rsidR="00E82D3B" w:rsidRDefault="00E82D3B">
    <w:pPr>
      <w:pStyle w:val="Heade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1BF9AE" w14:textId="2587A805" w:rsidR="00E82D3B" w:rsidRDefault="00E82D3B">
    <w:pPr>
      <w:pStyle w:val="Header"/>
    </w:pPr>
    <w:r>
      <w:ptab w:relativeTo="margin" w:alignment="center" w:leader="none"/>
    </w:r>
    <w:r>
      <w:ptab w:relativeTo="margin" w:alignment="right" w:leader="none"/>
    </w:r>
    <w:r>
      <w:t>Image Use Licences</w:t>
    </w:r>
  </w:p>
  <w:p w14:paraId="26463E76" w14:textId="77777777" w:rsidR="00E82D3B" w:rsidRDefault="00E82D3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ACCAB" w14:textId="01698F9C" w:rsidR="00E82D3B" w:rsidRDefault="00E82D3B">
    <w:pPr>
      <w:pStyle w:val="Header"/>
    </w:pPr>
    <w:r>
      <w:ptab w:relativeTo="margin" w:alignment="center" w:leader="none"/>
    </w:r>
    <w:r>
      <w:ptab w:relativeTo="margin" w:alignment="right" w:leader="none"/>
    </w:r>
  </w:p>
  <w:p w14:paraId="2B6B2844" w14:textId="77777777" w:rsidR="00E82D3B" w:rsidRDefault="00E82D3B">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67A8D0" w14:textId="637AD3F6" w:rsidR="00E82D3B" w:rsidRDefault="00E82D3B">
    <w:pPr>
      <w:pStyle w:val="Header"/>
    </w:pPr>
    <w:r>
      <w:ptab w:relativeTo="margin" w:alignment="center" w:leader="none"/>
    </w:r>
    <w:r>
      <w:ptab w:relativeTo="margin" w:alignment="right" w:leader="none"/>
    </w:r>
    <w:r>
      <w:t>Chapter 1- Introduction</w:t>
    </w:r>
  </w:p>
  <w:p w14:paraId="6CC40FF2" w14:textId="77777777" w:rsidR="00E82D3B" w:rsidRDefault="00E82D3B">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B7B521" w14:textId="101FC163" w:rsidR="00E82D3B" w:rsidRDefault="00E82D3B">
    <w:pPr>
      <w:pStyle w:val="Header"/>
    </w:pPr>
    <w:r>
      <w:ptab w:relativeTo="margin" w:alignment="center" w:leader="none"/>
    </w:r>
    <w:r>
      <w:ptab w:relativeTo="margin" w:alignment="right" w:leader="none"/>
    </w:r>
    <w:r>
      <w:t>Chapter 2- Materials and Methods</w:t>
    </w:r>
  </w:p>
  <w:p w14:paraId="10AC9E37" w14:textId="77777777" w:rsidR="00E82D3B" w:rsidRDefault="00E82D3B">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1162B" w14:textId="77777777" w:rsidR="00E82D3B" w:rsidRDefault="00E82D3B">
    <w:pPr>
      <w:pStyle w:val="Header"/>
    </w:pPr>
    <w:r>
      <w:ptab w:relativeTo="margin" w:alignment="center" w:leader="none"/>
    </w:r>
    <w:r>
      <w:ptab w:relativeTo="margin" w:alignment="right" w:leader="none"/>
    </w:r>
    <w:r>
      <w:t>Chapter 4- Results</w:t>
    </w:r>
  </w:p>
  <w:p w14:paraId="06CC34C9" w14:textId="77777777" w:rsidR="00E82D3B" w:rsidRDefault="00E82D3B">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A981A" w14:textId="0E15A4CE" w:rsidR="00E82D3B" w:rsidRDefault="00E82D3B">
    <w:pPr>
      <w:pStyle w:val="Header"/>
    </w:pPr>
    <w:r>
      <w:ptab w:relativeTo="margin" w:alignment="center" w:leader="none"/>
    </w:r>
    <w:r>
      <w:ptab w:relativeTo="margin" w:alignment="right" w:leader="none"/>
    </w:r>
    <w:r>
      <w:t>Chapter 5- Results</w:t>
    </w:r>
  </w:p>
  <w:p w14:paraId="7CB9E3BA" w14:textId="77777777" w:rsidR="00E82D3B" w:rsidRDefault="00E82D3B">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265D4" w14:textId="77777777" w:rsidR="00E82D3B" w:rsidRDefault="00E82D3B">
    <w:pPr>
      <w:pStyle w:val="Header"/>
    </w:pPr>
    <w:r>
      <w:ptab w:relativeTo="margin" w:alignment="center" w:leader="none"/>
    </w:r>
    <w:r>
      <w:ptab w:relativeTo="margin" w:alignment="right" w:leader="none"/>
    </w:r>
    <w:r>
      <w:t>Chapter 6- Results</w:t>
    </w:r>
  </w:p>
  <w:p w14:paraId="2CF949F0" w14:textId="77777777" w:rsidR="00E82D3B" w:rsidRDefault="00E82D3B">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A4FB1" w14:textId="3921671A" w:rsidR="00E82D3B" w:rsidRDefault="00E82D3B">
    <w:pPr>
      <w:pStyle w:val="Header"/>
    </w:pPr>
    <w:r>
      <w:ptab w:relativeTo="margin" w:alignment="center" w:leader="none"/>
    </w:r>
    <w:r>
      <w:ptab w:relativeTo="margin" w:alignment="right" w:leader="none"/>
    </w:r>
    <w:r>
      <w:t>Result Chapter Summaries</w:t>
    </w:r>
  </w:p>
  <w:p w14:paraId="04302354" w14:textId="77777777" w:rsidR="00E82D3B" w:rsidRDefault="00E82D3B">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9CD2F9" w14:textId="77777777" w:rsidR="00E82D3B" w:rsidRDefault="00E82D3B">
    <w:pPr>
      <w:pStyle w:val="Header"/>
    </w:pPr>
    <w:r>
      <w:ptab w:relativeTo="margin" w:alignment="right" w:leader="none"/>
    </w:r>
    <w:r>
      <w:t>Chapter 7- Discussion and Future Perspectives</w:t>
    </w:r>
  </w:p>
  <w:p w14:paraId="43567ABD" w14:textId="77777777" w:rsidR="00E82D3B" w:rsidRDefault="00E82D3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F5D9E"/>
    <w:multiLevelType w:val="multilevel"/>
    <w:tmpl w:val="C6509450"/>
    <w:lvl w:ilvl="0">
      <w:start w:val="1"/>
      <w:numFmt w:val="upperRoman"/>
      <w:lvlText w:val="%1."/>
      <w:lvlJc w:val="right"/>
      <w:pPr>
        <w:ind w:left="1440" w:hanging="360"/>
      </w:pPr>
    </w:lvl>
    <w:lvl w:ilvl="1">
      <w:start w:val="4"/>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
    <w:nsid w:val="02634F60"/>
    <w:multiLevelType w:val="hybridMultilevel"/>
    <w:tmpl w:val="058AF5B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C9328F"/>
    <w:multiLevelType w:val="hybridMultilevel"/>
    <w:tmpl w:val="5DDC1C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083B20"/>
    <w:multiLevelType w:val="hybridMultilevel"/>
    <w:tmpl w:val="1B142618"/>
    <w:lvl w:ilvl="0" w:tplc="04090013">
      <w:start w:val="1"/>
      <w:numFmt w:val="upperRoman"/>
      <w:lvlText w:val="%1."/>
      <w:lvlJc w:val="right"/>
      <w:pPr>
        <w:ind w:left="1227" w:hanging="360"/>
      </w:pPr>
    </w:lvl>
    <w:lvl w:ilvl="1" w:tplc="04090019" w:tentative="1">
      <w:start w:val="1"/>
      <w:numFmt w:val="lowerLetter"/>
      <w:lvlText w:val="%2."/>
      <w:lvlJc w:val="left"/>
      <w:pPr>
        <w:ind w:left="1947" w:hanging="360"/>
      </w:pPr>
    </w:lvl>
    <w:lvl w:ilvl="2" w:tplc="0409001B" w:tentative="1">
      <w:start w:val="1"/>
      <w:numFmt w:val="lowerRoman"/>
      <w:lvlText w:val="%3."/>
      <w:lvlJc w:val="right"/>
      <w:pPr>
        <w:ind w:left="2667" w:hanging="180"/>
      </w:pPr>
    </w:lvl>
    <w:lvl w:ilvl="3" w:tplc="0409000F" w:tentative="1">
      <w:start w:val="1"/>
      <w:numFmt w:val="decimal"/>
      <w:lvlText w:val="%4."/>
      <w:lvlJc w:val="left"/>
      <w:pPr>
        <w:ind w:left="3387" w:hanging="360"/>
      </w:pPr>
    </w:lvl>
    <w:lvl w:ilvl="4" w:tplc="04090019" w:tentative="1">
      <w:start w:val="1"/>
      <w:numFmt w:val="lowerLetter"/>
      <w:lvlText w:val="%5."/>
      <w:lvlJc w:val="left"/>
      <w:pPr>
        <w:ind w:left="4107" w:hanging="360"/>
      </w:pPr>
    </w:lvl>
    <w:lvl w:ilvl="5" w:tplc="0409001B" w:tentative="1">
      <w:start w:val="1"/>
      <w:numFmt w:val="lowerRoman"/>
      <w:lvlText w:val="%6."/>
      <w:lvlJc w:val="right"/>
      <w:pPr>
        <w:ind w:left="4827" w:hanging="180"/>
      </w:pPr>
    </w:lvl>
    <w:lvl w:ilvl="6" w:tplc="0409000F" w:tentative="1">
      <w:start w:val="1"/>
      <w:numFmt w:val="decimal"/>
      <w:lvlText w:val="%7."/>
      <w:lvlJc w:val="left"/>
      <w:pPr>
        <w:ind w:left="5547" w:hanging="360"/>
      </w:pPr>
    </w:lvl>
    <w:lvl w:ilvl="7" w:tplc="04090019" w:tentative="1">
      <w:start w:val="1"/>
      <w:numFmt w:val="lowerLetter"/>
      <w:lvlText w:val="%8."/>
      <w:lvlJc w:val="left"/>
      <w:pPr>
        <w:ind w:left="6267" w:hanging="360"/>
      </w:pPr>
    </w:lvl>
    <w:lvl w:ilvl="8" w:tplc="0409001B" w:tentative="1">
      <w:start w:val="1"/>
      <w:numFmt w:val="lowerRoman"/>
      <w:lvlText w:val="%9."/>
      <w:lvlJc w:val="right"/>
      <w:pPr>
        <w:ind w:left="6987" w:hanging="180"/>
      </w:pPr>
    </w:lvl>
  </w:abstractNum>
  <w:abstractNum w:abstractNumId="4">
    <w:nsid w:val="09D27733"/>
    <w:multiLevelType w:val="hybridMultilevel"/>
    <w:tmpl w:val="8B4A33D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3">
      <w:start w:val="1"/>
      <w:numFmt w:val="upperRoman"/>
      <w:lvlText w:val="%4."/>
      <w:lvlJc w:val="right"/>
      <w:pPr>
        <w:ind w:left="144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3E51D8"/>
    <w:multiLevelType w:val="hybridMultilevel"/>
    <w:tmpl w:val="0E14554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0CE148D5"/>
    <w:multiLevelType w:val="multilevel"/>
    <w:tmpl w:val="9C0C0CDE"/>
    <w:lvl w:ilvl="0">
      <w:start w:val="1"/>
      <w:numFmt w:val="decimal"/>
      <w:lvlText w:val="%1"/>
      <w:lvlJc w:val="left"/>
      <w:pPr>
        <w:ind w:left="360" w:hanging="360"/>
      </w:pPr>
      <w:rPr>
        <w:rFonts w:hint="default"/>
      </w:rPr>
    </w:lvl>
    <w:lvl w:ilvl="1">
      <w:start w:val="6"/>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7">
    <w:nsid w:val="0D261215"/>
    <w:multiLevelType w:val="hybridMultilevel"/>
    <w:tmpl w:val="4F140E6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EA75F24"/>
    <w:multiLevelType w:val="multilevel"/>
    <w:tmpl w:val="80222866"/>
    <w:lvl w:ilvl="0">
      <w:start w:val="1"/>
      <w:numFmt w:val="upperRoman"/>
      <w:lvlText w:val="%1."/>
      <w:lvlJc w:val="right"/>
      <w:pPr>
        <w:ind w:left="720" w:hanging="360"/>
      </w:p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0F833EC3"/>
    <w:multiLevelType w:val="hybridMultilevel"/>
    <w:tmpl w:val="B09259E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A71768"/>
    <w:multiLevelType w:val="hybridMultilevel"/>
    <w:tmpl w:val="63701F48"/>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19C018B9"/>
    <w:multiLevelType w:val="hybridMultilevel"/>
    <w:tmpl w:val="6AA25978"/>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1A1974AA"/>
    <w:multiLevelType w:val="hybridMultilevel"/>
    <w:tmpl w:val="C0A85E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AA6763B"/>
    <w:multiLevelType w:val="hybridMultilevel"/>
    <w:tmpl w:val="2736C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6F02D5"/>
    <w:multiLevelType w:val="hybridMultilevel"/>
    <w:tmpl w:val="8D1A7F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964B95"/>
    <w:multiLevelType w:val="multilevel"/>
    <w:tmpl w:val="869CB024"/>
    <w:lvl w:ilvl="0">
      <w:start w:val="1"/>
      <w:numFmt w:val="upperRoman"/>
      <w:lvlText w:val="%1."/>
      <w:lvlJc w:val="right"/>
      <w:pPr>
        <w:ind w:left="1440" w:hanging="360"/>
      </w:pPr>
    </w:lvl>
    <w:lvl w:ilvl="1">
      <w:start w:val="5"/>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6">
    <w:nsid w:val="1E2C2273"/>
    <w:multiLevelType w:val="hybridMultilevel"/>
    <w:tmpl w:val="98E8ACD4"/>
    <w:lvl w:ilvl="0" w:tplc="04090013">
      <w:start w:val="1"/>
      <w:numFmt w:val="upperRoman"/>
      <w:lvlText w:val="%1."/>
      <w:lvlJc w:val="righ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766B0D"/>
    <w:multiLevelType w:val="hybridMultilevel"/>
    <w:tmpl w:val="DE284A8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61365A0"/>
    <w:multiLevelType w:val="hybridMultilevel"/>
    <w:tmpl w:val="D5721094"/>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2BA47FF9"/>
    <w:multiLevelType w:val="hybridMultilevel"/>
    <w:tmpl w:val="9BF6C3E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F173406"/>
    <w:multiLevelType w:val="hybridMultilevel"/>
    <w:tmpl w:val="2C46D32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06C5A43"/>
    <w:multiLevelType w:val="hybridMultilevel"/>
    <w:tmpl w:val="DFAE8F5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17C302C"/>
    <w:multiLevelType w:val="hybridMultilevel"/>
    <w:tmpl w:val="27BA93E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1D62CEC"/>
    <w:multiLevelType w:val="hybridMultilevel"/>
    <w:tmpl w:val="295C147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341D71F8"/>
    <w:multiLevelType w:val="multilevel"/>
    <w:tmpl w:val="B860F30C"/>
    <w:lvl w:ilvl="0">
      <w:start w:val="1"/>
      <w:numFmt w:val="upperRoman"/>
      <w:lvlText w:val="%1."/>
      <w:lvlJc w:val="right"/>
      <w:pPr>
        <w:ind w:left="1260" w:hanging="180"/>
      </w:p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5">
    <w:nsid w:val="38A017E5"/>
    <w:multiLevelType w:val="hybridMultilevel"/>
    <w:tmpl w:val="5EE4A91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A3A0171"/>
    <w:multiLevelType w:val="hybridMultilevel"/>
    <w:tmpl w:val="F0C41C9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D924641"/>
    <w:multiLevelType w:val="hybridMultilevel"/>
    <w:tmpl w:val="27B219C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2370516"/>
    <w:multiLevelType w:val="multilevel"/>
    <w:tmpl w:val="C6509450"/>
    <w:lvl w:ilvl="0">
      <w:start w:val="1"/>
      <w:numFmt w:val="upperRoman"/>
      <w:lvlText w:val="%1."/>
      <w:lvlJc w:val="right"/>
      <w:pPr>
        <w:ind w:left="1440" w:hanging="360"/>
      </w:pPr>
    </w:lvl>
    <w:lvl w:ilvl="1">
      <w:start w:val="4"/>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9">
    <w:nsid w:val="457C61C3"/>
    <w:multiLevelType w:val="multilevel"/>
    <w:tmpl w:val="7252126A"/>
    <w:lvl w:ilvl="0">
      <w:start w:val="1"/>
      <w:numFmt w:val="decimal"/>
      <w:lvlText w:val="%1"/>
      <w:lvlJc w:val="left"/>
      <w:pPr>
        <w:ind w:left="380" w:hanging="380"/>
      </w:pPr>
      <w:rPr>
        <w:rFonts w:hint="default"/>
      </w:rPr>
    </w:lvl>
    <w:lvl w:ilvl="1">
      <w:start w:val="1"/>
      <w:numFmt w:val="decimal"/>
      <w:lvlText w:val="%1.%2"/>
      <w:lvlJc w:val="left"/>
      <w:pPr>
        <w:ind w:left="1100" w:hanging="3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0">
    <w:nsid w:val="49550736"/>
    <w:multiLevelType w:val="multilevel"/>
    <w:tmpl w:val="1728B59C"/>
    <w:lvl w:ilvl="0">
      <w:start w:val="1"/>
      <w:numFmt w:val="upperRoman"/>
      <w:lvlText w:val="%1."/>
      <w:lvlJc w:val="right"/>
      <w:pPr>
        <w:ind w:left="1440" w:hanging="360"/>
      </w:pPr>
    </w:lvl>
    <w:lvl w:ilvl="1">
      <w:start w:val="1"/>
      <w:numFmt w:val="decimal"/>
      <w:isLgl/>
      <w:lvlText w:val="%1.%2"/>
      <w:lvlJc w:val="left"/>
      <w:pPr>
        <w:ind w:left="1620" w:hanging="540"/>
      </w:pPr>
      <w:rPr>
        <w:rFonts w:hint="default"/>
      </w:rPr>
    </w:lvl>
    <w:lvl w:ilvl="2">
      <w:start w:val="3"/>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1">
    <w:nsid w:val="4BD6077A"/>
    <w:multiLevelType w:val="hybridMultilevel"/>
    <w:tmpl w:val="C4CC500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314B4A"/>
    <w:multiLevelType w:val="hybridMultilevel"/>
    <w:tmpl w:val="EDC0759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CE233D2"/>
    <w:multiLevelType w:val="multilevel"/>
    <w:tmpl w:val="0436D97C"/>
    <w:lvl w:ilvl="0">
      <w:start w:val="1"/>
      <w:numFmt w:val="upperRoman"/>
      <w:lvlText w:val="%1."/>
      <w:lvlJc w:val="right"/>
      <w:pPr>
        <w:ind w:left="1440" w:hanging="360"/>
      </w:pPr>
    </w:lvl>
    <w:lvl w:ilvl="1">
      <w:start w:val="4"/>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4">
    <w:nsid w:val="53B4598C"/>
    <w:multiLevelType w:val="hybridMultilevel"/>
    <w:tmpl w:val="1C88CF1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7580B22"/>
    <w:multiLevelType w:val="hybridMultilevel"/>
    <w:tmpl w:val="B9520DC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8E34AFD"/>
    <w:multiLevelType w:val="hybridMultilevel"/>
    <w:tmpl w:val="411E91C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DA54C98"/>
    <w:multiLevelType w:val="hybridMultilevel"/>
    <w:tmpl w:val="1BE4422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0711CC1"/>
    <w:multiLevelType w:val="hybridMultilevel"/>
    <w:tmpl w:val="ED22AF4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0724988"/>
    <w:multiLevelType w:val="hybridMultilevel"/>
    <w:tmpl w:val="73946E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14C6AC9"/>
    <w:multiLevelType w:val="hybridMultilevel"/>
    <w:tmpl w:val="88EC49D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624C3C29"/>
    <w:multiLevelType w:val="hybridMultilevel"/>
    <w:tmpl w:val="43E033CC"/>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2">
    <w:nsid w:val="64A54944"/>
    <w:multiLevelType w:val="hybridMultilevel"/>
    <w:tmpl w:val="ADC6274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5CD4033"/>
    <w:multiLevelType w:val="hybridMultilevel"/>
    <w:tmpl w:val="3E269CA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66603DFD"/>
    <w:multiLevelType w:val="hybridMultilevel"/>
    <w:tmpl w:val="34CA877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B70076E"/>
    <w:multiLevelType w:val="hybridMultilevel"/>
    <w:tmpl w:val="866C7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C374616"/>
    <w:multiLevelType w:val="hybridMultilevel"/>
    <w:tmpl w:val="E7D206BA"/>
    <w:lvl w:ilvl="0" w:tplc="04090013">
      <w:start w:val="1"/>
      <w:numFmt w:val="upperRoman"/>
      <w:lvlText w:val="%1."/>
      <w:lvlJc w:val="righ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7">
    <w:nsid w:val="72EF7EBC"/>
    <w:multiLevelType w:val="hybridMultilevel"/>
    <w:tmpl w:val="72EC480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53C4F9A"/>
    <w:multiLevelType w:val="multilevel"/>
    <w:tmpl w:val="335CA7F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nsid w:val="79AC2021"/>
    <w:multiLevelType w:val="hybridMultilevel"/>
    <w:tmpl w:val="A6CED6C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D917184"/>
    <w:multiLevelType w:val="hybridMultilevel"/>
    <w:tmpl w:val="A114FF2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FBE7465"/>
    <w:multiLevelType w:val="multilevel"/>
    <w:tmpl w:val="B860F30C"/>
    <w:lvl w:ilvl="0">
      <w:start w:val="1"/>
      <w:numFmt w:val="upperRoman"/>
      <w:lvlText w:val="%1."/>
      <w:lvlJc w:val="right"/>
      <w:pPr>
        <w:ind w:left="1260" w:hanging="180"/>
      </w:p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num w:numId="1">
    <w:abstractNumId w:val="38"/>
  </w:num>
  <w:num w:numId="2">
    <w:abstractNumId w:val="50"/>
  </w:num>
  <w:num w:numId="3">
    <w:abstractNumId w:val="44"/>
  </w:num>
  <w:num w:numId="4">
    <w:abstractNumId w:val="47"/>
  </w:num>
  <w:num w:numId="5">
    <w:abstractNumId w:val="19"/>
  </w:num>
  <w:num w:numId="6">
    <w:abstractNumId w:val="35"/>
  </w:num>
  <w:num w:numId="7">
    <w:abstractNumId w:val="48"/>
  </w:num>
  <w:num w:numId="8">
    <w:abstractNumId w:val="17"/>
  </w:num>
  <w:num w:numId="9">
    <w:abstractNumId w:val="10"/>
  </w:num>
  <w:num w:numId="10">
    <w:abstractNumId w:val="13"/>
  </w:num>
  <w:num w:numId="11">
    <w:abstractNumId w:val="30"/>
  </w:num>
  <w:num w:numId="12">
    <w:abstractNumId w:val="43"/>
  </w:num>
  <w:num w:numId="13">
    <w:abstractNumId w:val="23"/>
  </w:num>
  <w:num w:numId="14">
    <w:abstractNumId w:val="36"/>
  </w:num>
  <w:num w:numId="15">
    <w:abstractNumId w:val="5"/>
  </w:num>
  <w:num w:numId="16">
    <w:abstractNumId w:val="20"/>
  </w:num>
  <w:num w:numId="17">
    <w:abstractNumId w:val="18"/>
  </w:num>
  <w:num w:numId="18">
    <w:abstractNumId w:val="40"/>
  </w:num>
  <w:num w:numId="19">
    <w:abstractNumId w:val="33"/>
  </w:num>
  <w:num w:numId="20">
    <w:abstractNumId w:val="31"/>
  </w:num>
  <w:num w:numId="21">
    <w:abstractNumId w:val="12"/>
  </w:num>
  <w:num w:numId="22">
    <w:abstractNumId w:val="37"/>
  </w:num>
  <w:num w:numId="23">
    <w:abstractNumId w:val="2"/>
  </w:num>
  <w:num w:numId="24">
    <w:abstractNumId w:val="14"/>
  </w:num>
  <w:num w:numId="25">
    <w:abstractNumId w:val="3"/>
  </w:num>
  <w:num w:numId="26">
    <w:abstractNumId w:val="25"/>
  </w:num>
  <w:num w:numId="27">
    <w:abstractNumId w:val="7"/>
  </w:num>
  <w:num w:numId="28">
    <w:abstractNumId w:val="1"/>
  </w:num>
  <w:num w:numId="29">
    <w:abstractNumId w:val="51"/>
  </w:num>
  <w:num w:numId="30">
    <w:abstractNumId w:val="11"/>
  </w:num>
  <w:num w:numId="31">
    <w:abstractNumId w:val="28"/>
  </w:num>
  <w:num w:numId="32">
    <w:abstractNumId w:val="15"/>
  </w:num>
  <w:num w:numId="33">
    <w:abstractNumId w:val="32"/>
  </w:num>
  <w:num w:numId="34">
    <w:abstractNumId w:val="21"/>
  </w:num>
  <w:num w:numId="35">
    <w:abstractNumId w:val="42"/>
  </w:num>
  <w:num w:numId="36">
    <w:abstractNumId w:val="45"/>
  </w:num>
  <w:num w:numId="37">
    <w:abstractNumId w:val="9"/>
  </w:num>
  <w:num w:numId="38">
    <w:abstractNumId w:val="39"/>
  </w:num>
  <w:num w:numId="39">
    <w:abstractNumId w:val="22"/>
  </w:num>
  <w:num w:numId="40">
    <w:abstractNumId w:val="46"/>
  </w:num>
  <w:num w:numId="41">
    <w:abstractNumId w:val="41"/>
  </w:num>
  <w:num w:numId="42">
    <w:abstractNumId w:val="27"/>
  </w:num>
  <w:num w:numId="43">
    <w:abstractNumId w:val="34"/>
  </w:num>
  <w:num w:numId="44">
    <w:abstractNumId w:val="6"/>
  </w:num>
  <w:num w:numId="45">
    <w:abstractNumId w:val="16"/>
  </w:num>
  <w:num w:numId="46">
    <w:abstractNumId w:val="49"/>
  </w:num>
  <w:num w:numId="47">
    <w:abstractNumId w:val="4"/>
  </w:num>
  <w:num w:numId="48">
    <w:abstractNumId w:val="26"/>
  </w:num>
  <w:num w:numId="49">
    <w:abstractNumId w:val="8"/>
  </w:num>
  <w:num w:numId="50">
    <w:abstractNumId w:val="0"/>
  </w:num>
  <w:num w:numId="51">
    <w:abstractNumId w:val="24"/>
  </w:num>
  <w:num w:numId="52">
    <w:abstractNumId w:val="29"/>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D840E7"/>
    <w:rsid w:val="0000087D"/>
    <w:rsid w:val="00003617"/>
    <w:rsid w:val="000068B1"/>
    <w:rsid w:val="00011B48"/>
    <w:rsid w:val="0002060C"/>
    <w:rsid w:val="00021551"/>
    <w:rsid w:val="00021FB8"/>
    <w:rsid w:val="00023FDF"/>
    <w:rsid w:val="00024075"/>
    <w:rsid w:val="000260E0"/>
    <w:rsid w:val="00026681"/>
    <w:rsid w:val="00027A93"/>
    <w:rsid w:val="000348A3"/>
    <w:rsid w:val="0003574E"/>
    <w:rsid w:val="000417E8"/>
    <w:rsid w:val="0004184B"/>
    <w:rsid w:val="000529BE"/>
    <w:rsid w:val="00062EB2"/>
    <w:rsid w:val="000656DD"/>
    <w:rsid w:val="00065BC5"/>
    <w:rsid w:val="00066A8C"/>
    <w:rsid w:val="000670CD"/>
    <w:rsid w:val="000707F5"/>
    <w:rsid w:val="00070851"/>
    <w:rsid w:val="00072080"/>
    <w:rsid w:val="00072F62"/>
    <w:rsid w:val="00073D65"/>
    <w:rsid w:val="00075445"/>
    <w:rsid w:val="00084555"/>
    <w:rsid w:val="00085458"/>
    <w:rsid w:val="00086FFE"/>
    <w:rsid w:val="00091260"/>
    <w:rsid w:val="000A1E0D"/>
    <w:rsid w:val="000A2558"/>
    <w:rsid w:val="000A33A1"/>
    <w:rsid w:val="000A6EA8"/>
    <w:rsid w:val="000A7C31"/>
    <w:rsid w:val="000B09D6"/>
    <w:rsid w:val="000B3F7D"/>
    <w:rsid w:val="000B477F"/>
    <w:rsid w:val="000B73F3"/>
    <w:rsid w:val="000B78C5"/>
    <w:rsid w:val="000B792D"/>
    <w:rsid w:val="000C0374"/>
    <w:rsid w:val="000C0396"/>
    <w:rsid w:val="000C3DEE"/>
    <w:rsid w:val="000C4D70"/>
    <w:rsid w:val="000C6CC9"/>
    <w:rsid w:val="000C6DC4"/>
    <w:rsid w:val="000D5D03"/>
    <w:rsid w:val="000E153C"/>
    <w:rsid w:val="000E3497"/>
    <w:rsid w:val="000E5145"/>
    <w:rsid w:val="000E5B25"/>
    <w:rsid w:val="000F355A"/>
    <w:rsid w:val="000F4FEF"/>
    <w:rsid w:val="000F507B"/>
    <w:rsid w:val="000F5A19"/>
    <w:rsid w:val="001006BA"/>
    <w:rsid w:val="00104FB4"/>
    <w:rsid w:val="00106341"/>
    <w:rsid w:val="001079A8"/>
    <w:rsid w:val="001162CB"/>
    <w:rsid w:val="00117B26"/>
    <w:rsid w:val="00126B64"/>
    <w:rsid w:val="001340CC"/>
    <w:rsid w:val="0013519E"/>
    <w:rsid w:val="0014183F"/>
    <w:rsid w:val="00144929"/>
    <w:rsid w:val="00144FA9"/>
    <w:rsid w:val="00146EF5"/>
    <w:rsid w:val="001510CB"/>
    <w:rsid w:val="00162492"/>
    <w:rsid w:val="00162F3E"/>
    <w:rsid w:val="00163EBF"/>
    <w:rsid w:val="001654B2"/>
    <w:rsid w:val="00170111"/>
    <w:rsid w:val="001746E8"/>
    <w:rsid w:val="00181823"/>
    <w:rsid w:val="00183BC5"/>
    <w:rsid w:val="00191F2A"/>
    <w:rsid w:val="001A3D84"/>
    <w:rsid w:val="001B3C87"/>
    <w:rsid w:val="001C0608"/>
    <w:rsid w:val="001C10CB"/>
    <w:rsid w:val="001C1857"/>
    <w:rsid w:val="001C40B3"/>
    <w:rsid w:val="001C7002"/>
    <w:rsid w:val="001D0458"/>
    <w:rsid w:val="001D144F"/>
    <w:rsid w:val="001D570A"/>
    <w:rsid w:val="001E0475"/>
    <w:rsid w:val="001E33DC"/>
    <w:rsid w:val="001F2027"/>
    <w:rsid w:val="001F41D0"/>
    <w:rsid w:val="001F465A"/>
    <w:rsid w:val="001F5258"/>
    <w:rsid w:val="001F5852"/>
    <w:rsid w:val="001F5F41"/>
    <w:rsid w:val="001F6A2B"/>
    <w:rsid w:val="00201D8F"/>
    <w:rsid w:val="002039EF"/>
    <w:rsid w:val="002061D9"/>
    <w:rsid w:val="00210BBD"/>
    <w:rsid w:val="002159CE"/>
    <w:rsid w:val="00221835"/>
    <w:rsid w:val="00221A85"/>
    <w:rsid w:val="00222D21"/>
    <w:rsid w:val="00223285"/>
    <w:rsid w:val="00230323"/>
    <w:rsid w:val="00233B9C"/>
    <w:rsid w:val="00233D1B"/>
    <w:rsid w:val="00235EBF"/>
    <w:rsid w:val="00240A6C"/>
    <w:rsid w:val="002410C8"/>
    <w:rsid w:val="0024250F"/>
    <w:rsid w:val="00252E52"/>
    <w:rsid w:val="00252FEC"/>
    <w:rsid w:val="00256497"/>
    <w:rsid w:val="002623DD"/>
    <w:rsid w:val="002655C3"/>
    <w:rsid w:val="00266330"/>
    <w:rsid w:val="00270169"/>
    <w:rsid w:val="0027188B"/>
    <w:rsid w:val="0027229F"/>
    <w:rsid w:val="00272F7A"/>
    <w:rsid w:val="00273B06"/>
    <w:rsid w:val="002743E5"/>
    <w:rsid w:val="00275544"/>
    <w:rsid w:val="00275BF2"/>
    <w:rsid w:val="00276C93"/>
    <w:rsid w:val="00277F72"/>
    <w:rsid w:val="00281F19"/>
    <w:rsid w:val="00282897"/>
    <w:rsid w:val="0028321A"/>
    <w:rsid w:val="00284351"/>
    <w:rsid w:val="002852C7"/>
    <w:rsid w:val="00287694"/>
    <w:rsid w:val="0028772C"/>
    <w:rsid w:val="00290CF6"/>
    <w:rsid w:val="002A032F"/>
    <w:rsid w:val="002A1305"/>
    <w:rsid w:val="002A1B85"/>
    <w:rsid w:val="002A5200"/>
    <w:rsid w:val="002B08F9"/>
    <w:rsid w:val="002B1792"/>
    <w:rsid w:val="002B1B9D"/>
    <w:rsid w:val="002B6B91"/>
    <w:rsid w:val="002B7F54"/>
    <w:rsid w:val="002C01B6"/>
    <w:rsid w:val="002C2E2A"/>
    <w:rsid w:val="002D07C2"/>
    <w:rsid w:val="002D139C"/>
    <w:rsid w:val="002D175E"/>
    <w:rsid w:val="002D1A18"/>
    <w:rsid w:val="002E39A4"/>
    <w:rsid w:val="002E4AFC"/>
    <w:rsid w:val="002E7C35"/>
    <w:rsid w:val="002F04E4"/>
    <w:rsid w:val="002F38DD"/>
    <w:rsid w:val="002F39AB"/>
    <w:rsid w:val="002F41C6"/>
    <w:rsid w:val="002F71D9"/>
    <w:rsid w:val="00302CA5"/>
    <w:rsid w:val="00303D36"/>
    <w:rsid w:val="00304562"/>
    <w:rsid w:val="00310BFB"/>
    <w:rsid w:val="00312754"/>
    <w:rsid w:val="003169C0"/>
    <w:rsid w:val="00323D15"/>
    <w:rsid w:val="00324DB5"/>
    <w:rsid w:val="00324F00"/>
    <w:rsid w:val="00327AA2"/>
    <w:rsid w:val="00330F79"/>
    <w:rsid w:val="003324EC"/>
    <w:rsid w:val="003377D3"/>
    <w:rsid w:val="00343E76"/>
    <w:rsid w:val="003456F1"/>
    <w:rsid w:val="00351D68"/>
    <w:rsid w:val="00352872"/>
    <w:rsid w:val="00355BE2"/>
    <w:rsid w:val="00362A49"/>
    <w:rsid w:val="003649E6"/>
    <w:rsid w:val="00375524"/>
    <w:rsid w:val="00377382"/>
    <w:rsid w:val="00377EA5"/>
    <w:rsid w:val="00382435"/>
    <w:rsid w:val="00383CBF"/>
    <w:rsid w:val="00385C22"/>
    <w:rsid w:val="00385FEA"/>
    <w:rsid w:val="00386E21"/>
    <w:rsid w:val="0038710B"/>
    <w:rsid w:val="003902F3"/>
    <w:rsid w:val="003917D4"/>
    <w:rsid w:val="00391945"/>
    <w:rsid w:val="003958D8"/>
    <w:rsid w:val="003A681B"/>
    <w:rsid w:val="003A7259"/>
    <w:rsid w:val="003A72CF"/>
    <w:rsid w:val="003B0D66"/>
    <w:rsid w:val="003B4661"/>
    <w:rsid w:val="003B6AC2"/>
    <w:rsid w:val="003B7B61"/>
    <w:rsid w:val="003C4379"/>
    <w:rsid w:val="003C4EA8"/>
    <w:rsid w:val="003D0CCD"/>
    <w:rsid w:val="003D35A4"/>
    <w:rsid w:val="003D7110"/>
    <w:rsid w:val="003D7599"/>
    <w:rsid w:val="003E1683"/>
    <w:rsid w:val="003E18BF"/>
    <w:rsid w:val="003E2325"/>
    <w:rsid w:val="003E533C"/>
    <w:rsid w:val="003E73B7"/>
    <w:rsid w:val="003F0192"/>
    <w:rsid w:val="003F1D4C"/>
    <w:rsid w:val="003F1F5D"/>
    <w:rsid w:val="003F5B37"/>
    <w:rsid w:val="003F6AA5"/>
    <w:rsid w:val="003F73C9"/>
    <w:rsid w:val="003F7731"/>
    <w:rsid w:val="00406577"/>
    <w:rsid w:val="00410F03"/>
    <w:rsid w:val="004146C7"/>
    <w:rsid w:val="004160EE"/>
    <w:rsid w:val="004212EE"/>
    <w:rsid w:val="0042449D"/>
    <w:rsid w:val="00425136"/>
    <w:rsid w:val="00437D67"/>
    <w:rsid w:val="00443E84"/>
    <w:rsid w:val="0044506B"/>
    <w:rsid w:val="00452052"/>
    <w:rsid w:val="00454A43"/>
    <w:rsid w:val="00457CCD"/>
    <w:rsid w:val="00462282"/>
    <w:rsid w:val="0046517D"/>
    <w:rsid w:val="0046794B"/>
    <w:rsid w:val="00471374"/>
    <w:rsid w:val="0047236F"/>
    <w:rsid w:val="00473621"/>
    <w:rsid w:val="004805B7"/>
    <w:rsid w:val="00482DE3"/>
    <w:rsid w:val="004831EB"/>
    <w:rsid w:val="00483F19"/>
    <w:rsid w:val="004918DE"/>
    <w:rsid w:val="00491A75"/>
    <w:rsid w:val="0049529F"/>
    <w:rsid w:val="00496DF9"/>
    <w:rsid w:val="004A1A08"/>
    <w:rsid w:val="004A1D36"/>
    <w:rsid w:val="004A4979"/>
    <w:rsid w:val="004A5FDF"/>
    <w:rsid w:val="004B7C1B"/>
    <w:rsid w:val="004C52BE"/>
    <w:rsid w:val="004D0530"/>
    <w:rsid w:val="004D0EED"/>
    <w:rsid w:val="004D1D6B"/>
    <w:rsid w:val="004D71B3"/>
    <w:rsid w:val="004D7A67"/>
    <w:rsid w:val="004D7FF4"/>
    <w:rsid w:val="004E4248"/>
    <w:rsid w:val="004E48AC"/>
    <w:rsid w:val="004E6C62"/>
    <w:rsid w:val="004F0F63"/>
    <w:rsid w:val="004F3057"/>
    <w:rsid w:val="004F41AE"/>
    <w:rsid w:val="004F4ECC"/>
    <w:rsid w:val="004F5D1D"/>
    <w:rsid w:val="00502A13"/>
    <w:rsid w:val="00503328"/>
    <w:rsid w:val="00510387"/>
    <w:rsid w:val="00512B04"/>
    <w:rsid w:val="00514E7D"/>
    <w:rsid w:val="00521DE4"/>
    <w:rsid w:val="00522BC6"/>
    <w:rsid w:val="005261C8"/>
    <w:rsid w:val="0052719D"/>
    <w:rsid w:val="0052760F"/>
    <w:rsid w:val="0053111C"/>
    <w:rsid w:val="0053192A"/>
    <w:rsid w:val="0053426D"/>
    <w:rsid w:val="005349E2"/>
    <w:rsid w:val="00537B6E"/>
    <w:rsid w:val="0054324F"/>
    <w:rsid w:val="005468BA"/>
    <w:rsid w:val="00546C8A"/>
    <w:rsid w:val="00552E65"/>
    <w:rsid w:val="00554B8E"/>
    <w:rsid w:val="0055594B"/>
    <w:rsid w:val="005606CF"/>
    <w:rsid w:val="00564B2B"/>
    <w:rsid w:val="00566B5F"/>
    <w:rsid w:val="005707B5"/>
    <w:rsid w:val="005733B2"/>
    <w:rsid w:val="005741BE"/>
    <w:rsid w:val="00574CA5"/>
    <w:rsid w:val="00581C53"/>
    <w:rsid w:val="005850CE"/>
    <w:rsid w:val="005853A4"/>
    <w:rsid w:val="0059491F"/>
    <w:rsid w:val="00594D57"/>
    <w:rsid w:val="005A4565"/>
    <w:rsid w:val="005A4789"/>
    <w:rsid w:val="005A571B"/>
    <w:rsid w:val="005A6CE3"/>
    <w:rsid w:val="005A7BA8"/>
    <w:rsid w:val="005B2E14"/>
    <w:rsid w:val="005B38EC"/>
    <w:rsid w:val="005C57EE"/>
    <w:rsid w:val="005C6BE9"/>
    <w:rsid w:val="005D0119"/>
    <w:rsid w:val="005D1F19"/>
    <w:rsid w:val="005D3A2C"/>
    <w:rsid w:val="005E07DE"/>
    <w:rsid w:val="005E14E1"/>
    <w:rsid w:val="005E1CD2"/>
    <w:rsid w:val="005E4798"/>
    <w:rsid w:val="005F2031"/>
    <w:rsid w:val="005F5B1B"/>
    <w:rsid w:val="006006FD"/>
    <w:rsid w:val="00601004"/>
    <w:rsid w:val="00603787"/>
    <w:rsid w:val="006063F9"/>
    <w:rsid w:val="006071EF"/>
    <w:rsid w:val="0061066C"/>
    <w:rsid w:val="00614645"/>
    <w:rsid w:val="00614754"/>
    <w:rsid w:val="00620344"/>
    <w:rsid w:val="00620B68"/>
    <w:rsid w:val="00626169"/>
    <w:rsid w:val="0063559E"/>
    <w:rsid w:val="00637CE3"/>
    <w:rsid w:val="00642915"/>
    <w:rsid w:val="00645D9B"/>
    <w:rsid w:val="006462F4"/>
    <w:rsid w:val="006503EE"/>
    <w:rsid w:val="00650B66"/>
    <w:rsid w:val="006528B3"/>
    <w:rsid w:val="00653844"/>
    <w:rsid w:val="00653928"/>
    <w:rsid w:val="00653DB3"/>
    <w:rsid w:val="00656881"/>
    <w:rsid w:val="00661DEC"/>
    <w:rsid w:val="006624D2"/>
    <w:rsid w:val="00664ECC"/>
    <w:rsid w:val="0066629E"/>
    <w:rsid w:val="006678A6"/>
    <w:rsid w:val="00670C6D"/>
    <w:rsid w:val="00676FDB"/>
    <w:rsid w:val="006814C2"/>
    <w:rsid w:val="00682192"/>
    <w:rsid w:val="006860E1"/>
    <w:rsid w:val="00687E29"/>
    <w:rsid w:val="00692426"/>
    <w:rsid w:val="00692AAA"/>
    <w:rsid w:val="006A0C54"/>
    <w:rsid w:val="006A36EF"/>
    <w:rsid w:val="006A3818"/>
    <w:rsid w:val="006A4B91"/>
    <w:rsid w:val="006B08A9"/>
    <w:rsid w:val="006B242E"/>
    <w:rsid w:val="006B6137"/>
    <w:rsid w:val="006B7F6C"/>
    <w:rsid w:val="006D16BD"/>
    <w:rsid w:val="006D2B58"/>
    <w:rsid w:val="006D2E41"/>
    <w:rsid w:val="006D35F3"/>
    <w:rsid w:val="006D4689"/>
    <w:rsid w:val="006E0476"/>
    <w:rsid w:val="006E12E2"/>
    <w:rsid w:val="006E43F8"/>
    <w:rsid w:val="006F3308"/>
    <w:rsid w:val="006F3899"/>
    <w:rsid w:val="0070038F"/>
    <w:rsid w:val="0070133F"/>
    <w:rsid w:val="00703A48"/>
    <w:rsid w:val="007053FB"/>
    <w:rsid w:val="00705FC7"/>
    <w:rsid w:val="0070638A"/>
    <w:rsid w:val="00711DF8"/>
    <w:rsid w:val="00715A65"/>
    <w:rsid w:val="00723A13"/>
    <w:rsid w:val="00732FD9"/>
    <w:rsid w:val="00733C16"/>
    <w:rsid w:val="007359E5"/>
    <w:rsid w:val="0073779E"/>
    <w:rsid w:val="00742A19"/>
    <w:rsid w:val="007436E9"/>
    <w:rsid w:val="00744318"/>
    <w:rsid w:val="00745621"/>
    <w:rsid w:val="00750E60"/>
    <w:rsid w:val="00751B2C"/>
    <w:rsid w:val="00754A9C"/>
    <w:rsid w:val="00754D3C"/>
    <w:rsid w:val="00760B04"/>
    <w:rsid w:val="00763952"/>
    <w:rsid w:val="00765BA9"/>
    <w:rsid w:val="00770EBD"/>
    <w:rsid w:val="007739E8"/>
    <w:rsid w:val="00781AD2"/>
    <w:rsid w:val="00781FDC"/>
    <w:rsid w:val="0078229F"/>
    <w:rsid w:val="007846B7"/>
    <w:rsid w:val="007861A4"/>
    <w:rsid w:val="00786F36"/>
    <w:rsid w:val="00787436"/>
    <w:rsid w:val="00787B20"/>
    <w:rsid w:val="00790DD1"/>
    <w:rsid w:val="00790E48"/>
    <w:rsid w:val="00793399"/>
    <w:rsid w:val="00797A7D"/>
    <w:rsid w:val="007A3A36"/>
    <w:rsid w:val="007A5701"/>
    <w:rsid w:val="007A6E6D"/>
    <w:rsid w:val="007B0840"/>
    <w:rsid w:val="007B1C45"/>
    <w:rsid w:val="007B3AAC"/>
    <w:rsid w:val="007B6CE8"/>
    <w:rsid w:val="007B73F0"/>
    <w:rsid w:val="007C07FA"/>
    <w:rsid w:val="007C58EA"/>
    <w:rsid w:val="007D2CEC"/>
    <w:rsid w:val="007D5361"/>
    <w:rsid w:val="007D7FDF"/>
    <w:rsid w:val="007E117F"/>
    <w:rsid w:val="007E5505"/>
    <w:rsid w:val="007F02D3"/>
    <w:rsid w:val="007F43E8"/>
    <w:rsid w:val="007F4720"/>
    <w:rsid w:val="007F4DFE"/>
    <w:rsid w:val="007F7907"/>
    <w:rsid w:val="00804CA9"/>
    <w:rsid w:val="00807FC1"/>
    <w:rsid w:val="0081135F"/>
    <w:rsid w:val="00812BFE"/>
    <w:rsid w:val="00813DDF"/>
    <w:rsid w:val="008149C1"/>
    <w:rsid w:val="0081505A"/>
    <w:rsid w:val="00815803"/>
    <w:rsid w:val="0082029A"/>
    <w:rsid w:val="0082538B"/>
    <w:rsid w:val="00826BF7"/>
    <w:rsid w:val="00831F75"/>
    <w:rsid w:val="008330F7"/>
    <w:rsid w:val="008367FC"/>
    <w:rsid w:val="00841BF2"/>
    <w:rsid w:val="00851E13"/>
    <w:rsid w:val="00852D5C"/>
    <w:rsid w:val="00853806"/>
    <w:rsid w:val="0085411C"/>
    <w:rsid w:val="00855429"/>
    <w:rsid w:val="00861277"/>
    <w:rsid w:val="0086522F"/>
    <w:rsid w:val="00872B44"/>
    <w:rsid w:val="0087326B"/>
    <w:rsid w:val="00873A65"/>
    <w:rsid w:val="00874736"/>
    <w:rsid w:val="008753F7"/>
    <w:rsid w:val="00880720"/>
    <w:rsid w:val="0088168C"/>
    <w:rsid w:val="00882D7A"/>
    <w:rsid w:val="00886F55"/>
    <w:rsid w:val="00890ADC"/>
    <w:rsid w:val="008917F1"/>
    <w:rsid w:val="00891C57"/>
    <w:rsid w:val="00893955"/>
    <w:rsid w:val="00896936"/>
    <w:rsid w:val="008A0D76"/>
    <w:rsid w:val="008A2907"/>
    <w:rsid w:val="008B00BA"/>
    <w:rsid w:val="008B274A"/>
    <w:rsid w:val="008B41A7"/>
    <w:rsid w:val="008B5A6E"/>
    <w:rsid w:val="008C3AC5"/>
    <w:rsid w:val="008C59AE"/>
    <w:rsid w:val="008C68EC"/>
    <w:rsid w:val="008C6A24"/>
    <w:rsid w:val="008C6AC7"/>
    <w:rsid w:val="008C6F34"/>
    <w:rsid w:val="008C7C97"/>
    <w:rsid w:val="008D0881"/>
    <w:rsid w:val="008D0EE6"/>
    <w:rsid w:val="008D1E3B"/>
    <w:rsid w:val="008D3EE8"/>
    <w:rsid w:val="008D5697"/>
    <w:rsid w:val="008E0293"/>
    <w:rsid w:val="008E0719"/>
    <w:rsid w:val="008E44D2"/>
    <w:rsid w:val="008E7B3A"/>
    <w:rsid w:val="00900899"/>
    <w:rsid w:val="009008AE"/>
    <w:rsid w:val="00901FC2"/>
    <w:rsid w:val="009045EE"/>
    <w:rsid w:val="00907B02"/>
    <w:rsid w:val="00914512"/>
    <w:rsid w:val="009145FE"/>
    <w:rsid w:val="00914635"/>
    <w:rsid w:val="00916545"/>
    <w:rsid w:val="009176E8"/>
    <w:rsid w:val="009233B7"/>
    <w:rsid w:val="0093456A"/>
    <w:rsid w:val="00934B56"/>
    <w:rsid w:val="00941615"/>
    <w:rsid w:val="00942A11"/>
    <w:rsid w:val="009430B6"/>
    <w:rsid w:val="009433A4"/>
    <w:rsid w:val="00954EB0"/>
    <w:rsid w:val="00955EDD"/>
    <w:rsid w:val="00956D88"/>
    <w:rsid w:val="00962D73"/>
    <w:rsid w:val="00964FE3"/>
    <w:rsid w:val="00967A7F"/>
    <w:rsid w:val="009700DC"/>
    <w:rsid w:val="00970748"/>
    <w:rsid w:val="00973126"/>
    <w:rsid w:val="00981419"/>
    <w:rsid w:val="009821E0"/>
    <w:rsid w:val="009823EF"/>
    <w:rsid w:val="00982E2C"/>
    <w:rsid w:val="009838AB"/>
    <w:rsid w:val="00986451"/>
    <w:rsid w:val="0099143F"/>
    <w:rsid w:val="009931EF"/>
    <w:rsid w:val="009949E0"/>
    <w:rsid w:val="0099552F"/>
    <w:rsid w:val="009967FD"/>
    <w:rsid w:val="009A15B5"/>
    <w:rsid w:val="009A2238"/>
    <w:rsid w:val="009A5CE9"/>
    <w:rsid w:val="009A789D"/>
    <w:rsid w:val="009A7F91"/>
    <w:rsid w:val="009B0254"/>
    <w:rsid w:val="009B03D7"/>
    <w:rsid w:val="009B7BE0"/>
    <w:rsid w:val="009C2F27"/>
    <w:rsid w:val="009C59E0"/>
    <w:rsid w:val="009C5EC6"/>
    <w:rsid w:val="009C6C95"/>
    <w:rsid w:val="009C7307"/>
    <w:rsid w:val="009D09F2"/>
    <w:rsid w:val="009D2DB3"/>
    <w:rsid w:val="009D2E01"/>
    <w:rsid w:val="009D3EC2"/>
    <w:rsid w:val="009D6A74"/>
    <w:rsid w:val="009E5ABB"/>
    <w:rsid w:val="009E77DB"/>
    <w:rsid w:val="009E7C96"/>
    <w:rsid w:val="009F05F1"/>
    <w:rsid w:val="009F29B4"/>
    <w:rsid w:val="009F3BD4"/>
    <w:rsid w:val="00A00964"/>
    <w:rsid w:val="00A00C8E"/>
    <w:rsid w:val="00A02CA0"/>
    <w:rsid w:val="00A0339B"/>
    <w:rsid w:val="00A06262"/>
    <w:rsid w:val="00A07575"/>
    <w:rsid w:val="00A14C24"/>
    <w:rsid w:val="00A1506D"/>
    <w:rsid w:val="00A15583"/>
    <w:rsid w:val="00A164B5"/>
    <w:rsid w:val="00A16855"/>
    <w:rsid w:val="00A17F81"/>
    <w:rsid w:val="00A219A0"/>
    <w:rsid w:val="00A22794"/>
    <w:rsid w:val="00A23FE7"/>
    <w:rsid w:val="00A24BE3"/>
    <w:rsid w:val="00A26761"/>
    <w:rsid w:val="00A272CE"/>
    <w:rsid w:val="00A31F46"/>
    <w:rsid w:val="00A32C4A"/>
    <w:rsid w:val="00A3412A"/>
    <w:rsid w:val="00A346A5"/>
    <w:rsid w:val="00A35C7E"/>
    <w:rsid w:val="00A373B1"/>
    <w:rsid w:val="00A40F61"/>
    <w:rsid w:val="00A41B6C"/>
    <w:rsid w:val="00A430F3"/>
    <w:rsid w:val="00A452E0"/>
    <w:rsid w:val="00A45F1E"/>
    <w:rsid w:val="00A53DBC"/>
    <w:rsid w:val="00A544AF"/>
    <w:rsid w:val="00A5506E"/>
    <w:rsid w:val="00A55523"/>
    <w:rsid w:val="00A57C28"/>
    <w:rsid w:val="00A625F7"/>
    <w:rsid w:val="00A62B0D"/>
    <w:rsid w:val="00A72B38"/>
    <w:rsid w:val="00A73840"/>
    <w:rsid w:val="00A7504F"/>
    <w:rsid w:val="00A7594C"/>
    <w:rsid w:val="00A82503"/>
    <w:rsid w:val="00A82AC7"/>
    <w:rsid w:val="00A83DD7"/>
    <w:rsid w:val="00A845F0"/>
    <w:rsid w:val="00A87B72"/>
    <w:rsid w:val="00A90A86"/>
    <w:rsid w:val="00A9566E"/>
    <w:rsid w:val="00AA599E"/>
    <w:rsid w:val="00AA7B03"/>
    <w:rsid w:val="00AB28EF"/>
    <w:rsid w:val="00AB46C8"/>
    <w:rsid w:val="00AC03C8"/>
    <w:rsid w:val="00AC3592"/>
    <w:rsid w:val="00AC4B4A"/>
    <w:rsid w:val="00AC6D47"/>
    <w:rsid w:val="00AC7232"/>
    <w:rsid w:val="00AD06B1"/>
    <w:rsid w:val="00AD528E"/>
    <w:rsid w:val="00AD6B5F"/>
    <w:rsid w:val="00AD6C58"/>
    <w:rsid w:val="00AE099F"/>
    <w:rsid w:val="00AE465B"/>
    <w:rsid w:val="00AE5F1A"/>
    <w:rsid w:val="00AE7859"/>
    <w:rsid w:val="00AF19B6"/>
    <w:rsid w:val="00AF4CA6"/>
    <w:rsid w:val="00AF562F"/>
    <w:rsid w:val="00AF5D69"/>
    <w:rsid w:val="00B02C96"/>
    <w:rsid w:val="00B04DF6"/>
    <w:rsid w:val="00B0641A"/>
    <w:rsid w:val="00B142B5"/>
    <w:rsid w:val="00B15A35"/>
    <w:rsid w:val="00B20887"/>
    <w:rsid w:val="00B21D2E"/>
    <w:rsid w:val="00B248CE"/>
    <w:rsid w:val="00B24F33"/>
    <w:rsid w:val="00B2550D"/>
    <w:rsid w:val="00B271AE"/>
    <w:rsid w:val="00B27EC8"/>
    <w:rsid w:val="00B27FE9"/>
    <w:rsid w:val="00B305C3"/>
    <w:rsid w:val="00B3724B"/>
    <w:rsid w:val="00B41667"/>
    <w:rsid w:val="00B41C0C"/>
    <w:rsid w:val="00B41D92"/>
    <w:rsid w:val="00B45395"/>
    <w:rsid w:val="00B503EE"/>
    <w:rsid w:val="00B54664"/>
    <w:rsid w:val="00B57AF2"/>
    <w:rsid w:val="00B64CDF"/>
    <w:rsid w:val="00B71AD9"/>
    <w:rsid w:val="00B74B51"/>
    <w:rsid w:val="00B83004"/>
    <w:rsid w:val="00B93438"/>
    <w:rsid w:val="00B9377B"/>
    <w:rsid w:val="00B95834"/>
    <w:rsid w:val="00B9633B"/>
    <w:rsid w:val="00BA2F65"/>
    <w:rsid w:val="00BA3496"/>
    <w:rsid w:val="00BA442E"/>
    <w:rsid w:val="00BB385C"/>
    <w:rsid w:val="00BB3CAA"/>
    <w:rsid w:val="00BB3FAC"/>
    <w:rsid w:val="00BB5DF2"/>
    <w:rsid w:val="00BB701C"/>
    <w:rsid w:val="00BC37FA"/>
    <w:rsid w:val="00BC7586"/>
    <w:rsid w:val="00BD3DDF"/>
    <w:rsid w:val="00BD65F9"/>
    <w:rsid w:val="00BE0F37"/>
    <w:rsid w:val="00BE0FBC"/>
    <w:rsid w:val="00BE16F7"/>
    <w:rsid w:val="00BE365F"/>
    <w:rsid w:val="00BE6BCB"/>
    <w:rsid w:val="00BF2097"/>
    <w:rsid w:val="00C011EA"/>
    <w:rsid w:val="00C03705"/>
    <w:rsid w:val="00C059E5"/>
    <w:rsid w:val="00C068D3"/>
    <w:rsid w:val="00C1483B"/>
    <w:rsid w:val="00C1559D"/>
    <w:rsid w:val="00C17740"/>
    <w:rsid w:val="00C2068E"/>
    <w:rsid w:val="00C20D21"/>
    <w:rsid w:val="00C219AA"/>
    <w:rsid w:val="00C23AC2"/>
    <w:rsid w:val="00C242F9"/>
    <w:rsid w:val="00C265C6"/>
    <w:rsid w:val="00C273E6"/>
    <w:rsid w:val="00C2790F"/>
    <w:rsid w:val="00C27EDE"/>
    <w:rsid w:val="00C40D56"/>
    <w:rsid w:val="00C40F96"/>
    <w:rsid w:val="00C50350"/>
    <w:rsid w:val="00C5170E"/>
    <w:rsid w:val="00C524BC"/>
    <w:rsid w:val="00C56992"/>
    <w:rsid w:val="00C60C7E"/>
    <w:rsid w:val="00C6437B"/>
    <w:rsid w:val="00C702F5"/>
    <w:rsid w:val="00C77D4D"/>
    <w:rsid w:val="00C808A1"/>
    <w:rsid w:val="00C853BB"/>
    <w:rsid w:val="00C878F4"/>
    <w:rsid w:val="00C90DF5"/>
    <w:rsid w:val="00C93358"/>
    <w:rsid w:val="00C94C19"/>
    <w:rsid w:val="00C974C5"/>
    <w:rsid w:val="00C97E89"/>
    <w:rsid w:val="00CA5B4E"/>
    <w:rsid w:val="00CB4B35"/>
    <w:rsid w:val="00CC14DC"/>
    <w:rsid w:val="00CC1EC0"/>
    <w:rsid w:val="00CC5A12"/>
    <w:rsid w:val="00CD05AA"/>
    <w:rsid w:val="00CD10A5"/>
    <w:rsid w:val="00CD3390"/>
    <w:rsid w:val="00CD3CE5"/>
    <w:rsid w:val="00CD47CF"/>
    <w:rsid w:val="00CD5447"/>
    <w:rsid w:val="00CD6E8B"/>
    <w:rsid w:val="00CE3BE9"/>
    <w:rsid w:val="00CF0167"/>
    <w:rsid w:val="00CF0E37"/>
    <w:rsid w:val="00CF393B"/>
    <w:rsid w:val="00CF3BBD"/>
    <w:rsid w:val="00CF5335"/>
    <w:rsid w:val="00CF7F8C"/>
    <w:rsid w:val="00D01D43"/>
    <w:rsid w:val="00D029A3"/>
    <w:rsid w:val="00D03152"/>
    <w:rsid w:val="00D06201"/>
    <w:rsid w:val="00D06F96"/>
    <w:rsid w:val="00D12AA2"/>
    <w:rsid w:val="00D13308"/>
    <w:rsid w:val="00D17EB6"/>
    <w:rsid w:val="00D21658"/>
    <w:rsid w:val="00D21EBE"/>
    <w:rsid w:val="00D23556"/>
    <w:rsid w:val="00D34949"/>
    <w:rsid w:val="00D360F5"/>
    <w:rsid w:val="00D4130B"/>
    <w:rsid w:val="00D42CA7"/>
    <w:rsid w:val="00D456B0"/>
    <w:rsid w:val="00D47F79"/>
    <w:rsid w:val="00D52352"/>
    <w:rsid w:val="00D564E0"/>
    <w:rsid w:val="00D56FD5"/>
    <w:rsid w:val="00D60314"/>
    <w:rsid w:val="00D6224B"/>
    <w:rsid w:val="00D64E49"/>
    <w:rsid w:val="00D65AB2"/>
    <w:rsid w:val="00D66FC3"/>
    <w:rsid w:val="00D735AF"/>
    <w:rsid w:val="00D7549E"/>
    <w:rsid w:val="00D826FF"/>
    <w:rsid w:val="00D82E70"/>
    <w:rsid w:val="00D832FE"/>
    <w:rsid w:val="00D840E7"/>
    <w:rsid w:val="00D926BA"/>
    <w:rsid w:val="00D94E3C"/>
    <w:rsid w:val="00D954A1"/>
    <w:rsid w:val="00DA126A"/>
    <w:rsid w:val="00DA2BF9"/>
    <w:rsid w:val="00DB29B6"/>
    <w:rsid w:val="00DC3E74"/>
    <w:rsid w:val="00DC426C"/>
    <w:rsid w:val="00DC5806"/>
    <w:rsid w:val="00DC5D16"/>
    <w:rsid w:val="00DC612D"/>
    <w:rsid w:val="00DD2E77"/>
    <w:rsid w:val="00DD7B9D"/>
    <w:rsid w:val="00DE0F03"/>
    <w:rsid w:val="00DF090C"/>
    <w:rsid w:val="00DF0E5C"/>
    <w:rsid w:val="00DF1056"/>
    <w:rsid w:val="00E02553"/>
    <w:rsid w:val="00E03EA8"/>
    <w:rsid w:val="00E043B5"/>
    <w:rsid w:val="00E04A51"/>
    <w:rsid w:val="00E059C1"/>
    <w:rsid w:val="00E0621B"/>
    <w:rsid w:val="00E12433"/>
    <w:rsid w:val="00E15055"/>
    <w:rsid w:val="00E209DB"/>
    <w:rsid w:val="00E24C09"/>
    <w:rsid w:val="00E250C6"/>
    <w:rsid w:val="00E26F94"/>
    <w:rsid w:val="00E33884"/>
    <w:rsid w:val="00E37AF1"/>
    <w:rsid w:val="00E43FB5"/>
    <w:rsid w:val="00E45448"/>
    <w:rsid w:val="00E4635E"/>
    <w:rsid w:val="00E50664"/>
    <w:rsid w:val="00E5143C"/>
    <w:rsid w:val="00E5260D"/>
    <w:rsid w:val="00E52A05"/>
    <w:rsid w:val="00E53BDD"/>
    <w:rsid w:val="00E605BE"/>
    <w:rsid w:val="00E616BE"/>
    <w:rsid w:val="00E6223C"/>
    <w:rsid w:val="00E66D1B"/>
    <w:rsid w:val="00E7213F"/>
    <w:rsid w:val="00E74EAC"/>
    <w:rsid w:val="00E7544D"/>
    <w:rsid w:val="00E76C2B"/>
    <w:rsid w:val="00E77379"/>
    <w:rsid w:val="00E80804"/>
    <w:rsid w:val="00E82D3B"/>
    <w:rsid w:val="00E83A72"/>
    <w:rsid w:val="00E83E56"/>
    <w:rsid w:val="00E844C1"/>
    <w:rsid w:val="00E9080D"/>
    <w:rsid w:val="00E92995"/>
    <w:rsid w:val="00E95AFB"/>
    <w:rsid w:val="00EA2C44"/>
    <w:rsid w:val="00EA5A1A"/>
    <w:rsid w:val="00EA5FC8"/>
    <w:rsid w:val="00EA75E4"/>
    <w:rsid w:val="00EA7C5D"/>
    <w:rsid w:val="00EA7CDB"/>
    <w:rsid w:val="00EB25AE"/>
    <w:rsid w:val="00EB3408"/>
    <w:rsid w:val="00EB452F"/>
    <w:rsid w:val="00EB74DE"/>
    <w:rsid w:val="00EC54E0"/>
    <w:rsid w:val="00ED0308"/>
    <w:rsid w:val="00ED0E50"/>
    <w:rsid w:val="00ED24B6"/>
    <w:rsid w:val="00ED2971"/>
    <w:rsid w:val="00ED434D"/>
    <w:rsid w:val="00ED4F76"/>
    <w:rsid w:val="00EE27CD"/>
    <w:rsid w:val="00EE4C29"/>
    <w:rsid w:val="00EE5641"/>
    <w:rsid w:val="00EF1BAA"/>
    <w:rsid w:val="00EF1CB0"/>
    <w:rsid w:val="00EF1FEE"/>
    <w:rsid w:val="00EF5D1A"/>
    <w:rsid w:val="00EF6982"/>
    <w:rsid w:val="00EF6B9C"/>
    <w:rsid w:val="00F04651"/>
    <w:rsid w:val="00F11871"/>
    <w:rsid w:val="00F1379E"/>
    <w:rsid w:val="00F16076"/>
    <w:rsid w:val="00F2015C"/>
    <w:rsid w:val="00F21797"/>
    <w:rsid w:val="00F21F0A"/>
    <w:rsid w:val="00F22224"/>
    <w:rsid w:val="00F22747"/>
    <w:rsid w:val="00F22C71"/>
    <w:rsid w:val="00F23A04"/>
    <w:rsid w:val="00F23A9F"/>
    <w:rsid w:val="00F30D47"/>
    <w:rsid w:val="00F36BF4"/>
    <w:rsid w:val="00F3730A"/>
    <w:rsid w:val="00F37C85"/>
    <w:rsid w:val="00F43342"/>
    <w:rsid w:val="00F460FC"/>
    <w:rsid w:val="00F46D74"/>
    <w:rsid w:val="00F50674"/>
    <w:rsid w:val="00F50675"/>
    <w:rsid w:val="00F53638"/>
    <w:rsid w:val="00F54A17"/>
    <w:rsid w:val="00F54C26"/>
    <w:rsid w:val="00F55716"/>
    <w:rsid w:val="00F55C65"/>
    <w:rsid w:val="00F60A22"/>
    <w:rsid w:val="00F6158E"/>
    <w:rsid w:val="00F632C0"/>
    <w:rsid w:val="00F63441"/>
    <w:rsid w:val="00F63CC9"/>
    <w:rsid w:val="00F67FCB"/>
    <w:rsid w:val="00F70FA9"/>
    <w:rsid w:val="00F73710"/>
    <w:rsid w:val="00F7507C"/>
    <w:rsid w:val="00F75DC6"/>
    <w:rsid w:val="00F76C09"/>
    <w:rsid w:val="00F8630F"/>
    <w:rsid w:val="00F870D0"/>
    <w:rsid w:val="00F91BEA"/>
    <w:rsid w:val="00FA00E6"/>
    <w:rsid w:val="00FA1353"/>
    <w:rsid w:val="00FA2C2A"/>
    <w:rsid w:val="00FA336C"/>
    <w:rsid w:val="00FA3BAC"/>
    <w:rsid w:val="00FB5509"/>
    <w:rsid w:val="00FB585D"/>
    <w:rsid w:val="00FB5A2D"/>
    <w:rsid w:val="00FB5ACB"/>
    <w:rsid w:val="00FB709C"/>
    <w:rsid w:val="00FC1F12"/>
    <w:rsid w:val="00FC7825"/>
    <w:rsid w:val="00FD0C71"/>
    <w:rsid w:val="00FD4F82"/>
    <w:rsid w:val="00FD5B6A"/>
    <w:rsid w:val="00FD6E33"/>
    <w:rsid w:val="00FD7648"/>
    <w:rsid w:val="00FE0D70"/>
    <w:rsid w:val="00FE10D7"/>
    <w:rsid w:val="00FE1FFB"/>
    <w:rsid w:val="00FE25C2"/>
    <w:rsid w:val="00FE2A62"/>
    <w:rsid w:val="00FE58E9"/>
    <w:rsid w:val="00FE5B22"/>
    <w:rsid w:val="00FE5F01"/>
    <w:rsid w:val="00FE6E1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2089A3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D71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EB452F"/>
  </w:style>
  <w:style w:type="paragraph" w:customStyle="1" w:styleId="EndNoteBibliographyTitle">
    <w:name w:val="EndNote Bibliography Title"/>
    <w:basedOn w:val="Normal"/>
    <w:rsid w:val="00D840E7"/>
    <w:pPr>
      <w:jc w:val="center"/>
    </w:pPr>
    <w:rPr>
      <w:rFonts w:ascii="Calibri" w:hAnsi="Calibri"/>
      <w:sz w:val="22"/>
      <w:lang w:val="en-US"/>
    </w:rPr>
  </w:style>
  <w:style w:type="paragraph" w:customStyle="1" w:styleId="EndNoteBibliography">
    <w:name w:val="EndNote Bibliography"/>
    <w:basedOn w:val="Normal"/>
    <w:rsid w:val="00D840E7"/>
    <w:rPr>
      <w:rFonts w:ascii="Calibri" w:hAnsi="Calibri"/>
      <w:sz w:val="22"/>
      <w:lang w:val="en-US"/>
    </w:rPr>
  </w:style>
  <w:style w:type="character" w:customStyle="1" w:styleId="Heading1Char">
    <w:name w:val="Heading 1 Char"/>
    <w:basedOn w:val="DefaultParagraphFont"/>
    <w:link w:val="Heading1"/>
    <w:uiPriority w:val="9"/>
    <w:rsid w:val="003D7110"/>
    <w:rPr>
      <w:rFonts w:asciiTheme="majorHAnsi" w:eastAsiaTheme="majorEastAsia" w:hAnsiTheme="majorHAnsi" w:cstheme="majorBidi"/>
      <w:b/>
      <w:bCs/>
      <w:color w:val="345A8A" w:themeColor="accent1" w:themeShade="B5"/>
      <w:sz w:val="32"/>
      <w:szCs w:val="32"/>
    </w:rPr>
  </w:style>
  <w:style w:type="paragraph" w:styleId="Title">
    <w:name w:val="Title"/>
    <w:basedOn w:val="Normal"/>
    <w:next w:val="Normal"/>
    <w:link w:val="TitleChar"/>
    <w:uiPriority w:val="10"/>
    <w:qFormat/>
    <w:rsid w:val="003D711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D7110"/>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3D7110"/>
    <w:pPr>
      <w:ind w:left="720"/>
      <w:contextualSpacing/>
    </w:pPr>
  </w:style>
  <w:style w:type="paragraph" w:styleId="BalloonText">
    <w:name w:val="Balloon Text"/>
    <w:basedOn w:val="Normal"/>
    <w:link w:val="BalloonTextChar"/>
    <w:uiPriority w:val="99"/>
    <w:semiHidden/>
    <w:unhideWhenUsed/>
    <w:rsid w:val="00E1505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15055"/>
    <w:rPr>
      <w:rFonts w:ascii="Lucida Grande" w:hAnsi="Lucida Grande" w:cs="Lucida Grande"/>
      <w:sz w:val="18"/>
      <w:szCs w:val="18"/>
    </w:rPr>
  </w:style>
  <w:style w:type="paragraph" w:styleId="Footer">
    <w:name w:val="footer"/>
    <w:basedOn w:val="Normal"/>
    <w:link w:val="FooterChar"/>
    <w:uiPriority w:val="99"/>
    <w:unhideWhenUsed/>
    <w:rsid w:val="00C23AC2"/>
    <w:pPr>
      <w:tabs>
        <w:tab w:val="center" w:pos="4320"/>
        <w:tab w:val="right" w:pos="8640"/>
      </w:tabs>
    </w:pPr>
  </w:style>
  <w:style w:type="character" w:customStyle="1" w:styleId="FooterChar">
    <w:name w:val="Footer Char"/>
    <w:basedOn w:val="DefaultParagraphFont"/>
    <w:link w:val="Footer"/>
    <w:uiPriority w:val="99"/>
    <w:rsid w:val="00C23AC2"/>
  </w:style>
  <w:style w:type="character" w:styleId="PageNumber">
    <w:name w:val="page number"/>
    <w:basedOn w:val="DefaultParagraphFont"/>
    <w:uiPriority w:val="99"/>
    <w:semiHidden/>
    <w:unhideWhenUsed/>
    <w:rsid w:val="00C23AC2"/>
  </w:style>
  <w:style w:type="paragraph" w:styleId="Header">
    <w:name w:val="header"/>
    <w:basedOn w:val="Normal"/>
    <w:link w:val="HeaderChar"/>
    <w:uiPriority w:val="99"/>
    <w:unhideWhenUsed/>
    <w:rsid w:val="00C23AC2"/>
    <w:pPr>
      <w:tabs>
        <w:tab w:val="center" w:pos="4320"/>
        <w:tab w:val="right" w:pos="8640"/>
      </w:tabs>
    </w:pPr>
  </w:style>
  <w:style w:type="character" w:customStyle="1" w:styleId="HeaderChar">
    <w:name w:val="Header Char"/>
    <w:basedOn w:val="DefaultParagraphFont"/>
    <w:link w:val="Header"/>
    <w:uiPriority w:val="99"/>
    <w:rsid w:val="00C23AC2"/>
  </w:style>
  <w:style w:type="character" w:styleId="PlaceholderText">
    <w:name w:val="Placeholder Text"/>
    <w:basedOn w:val="DefaultParagraphFont"/>
    <w:uiPriority w:val="99"/>
    <w:semiHidden/>
    <w:rsid w:val="00E7213F"/>
    <w:rPr>
      <w:color w:val="808080"/>
    </w:rPr>
  </w:style>
  <w:style w:type="paragraph" w:styleId="NormalWeb">
    <w:name w:val="Normal (Web)"/>
    <w:basedOn w:val="Normal"/>
    <w:uiPriority w:val="99"/>
    <w:semiHidden/>
    <w:unhideWhenUsed/>
    <w:rsid w:val="00E7213F"/>
    <w:pPr>
      <w:spacing w:before="100" w:beforeAutospacing="1" w:after="100" w:afterAutospacing="1"/>
    </w:pPr>
    <w:rPr>
      <w:rFonts w:ascii="Times" w:hAnsi="Times" w:cs="Times New Roman"/>
      <w:sz w:val="20"/>
      <w:szCs w:val="20"/>
    </w:rPr>
  </w:style>
  <w:style w:type="numbering" w:customStyle="1" w:styleId="NoList1">
    <w:name w:val="No List1"/>
    <w:next w:val="NoList"/>
    <w:uiPriority w:val="99"/>
    <w:semiHidden/>
    <w:unhideWhenUsed/>
    <w:rsid w:val="008E7B3A"/>
  </w:style>
  <w:style w:type="paragraph" w:styleId="NoSpacing">
    <w:name w:val="No Spacing"/>
    <w:uiPriority w:val="1"/>
    <w:qFormat/>
    <w:rsid w:val="008E7B3A"/>
    <w:rPr>
      <w:lang w:val="en-US"/>
    </w:rPr>
  </w:style>
  <w:style w:type="table" w:styleId="TableGrid">
    <w:name w:val="Table Grid"/>
    <w:basedOn w:val="TableNormal"/>
    <w:uiPriority w:val="59"/>
    <w:rsid w:val="008E7B3A"/>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title1">
    <w:name w:val="Subtitle1"/>
    <w:basedOn w:val="Normal"/>
    <w:next w:val="Normal"/>
    <w:uiPriority w:val="11"/>
    <w:qFormat/>
    <w:rsid w:val="008E7B3A"/>
    <w:pPr>
      <w:numPr>
        <w:ilvl w:val="1"/>
      </w:numPr>
    </w:pPr>
    <w:rPr>
      <w:rFonts w:ascii="Calibri" w:eastAsia="ＭＳ Ｐゴシック" w:hAnsi="Calibri" w:cs="Times New Roman"/>
      <w:i/>
      <w:iCs/>
      <w:color w:val="4F81BD"/>
      <w:spacing w:val="15"/>
    </w:rPr>
  </w:style>
  <w:style w:type="character" w:customStyle="1" w:styleId="SubtitleChar">
    <w:name w:val="Subtitle Char"/>
    <w:basedOn w:val="DefaultParagraphFont"/>
    <w:link w:val="Subtitle"/>
    <w:uiPriority w:val="11"/>
    <w:rsid w:val="008E7B3A"/>
    <w:rPr>
      <w:rFonts w:ascii="Calibri" w:eastAsia="ＭＳ Ｐゴシック" w:hAnsi="Calibri" w:cs="Times New Roman"/>
      <w:i/>
      <w:iCs/>
      <w:color w:val="4F81BD"/>
      <w:spacing w:val="15"/>
    </w:rPr>
  </w:style>
  <w:style w:type="character" w:styleId="Strong">
    <w:name w:val="Strong"/>
    <w:basedOn w:val="DefaultParagraphFont"/>
    <w:uiPriority w:val="22"/>
    <w:qFormat/>
    <w:rsid w:val="008E7B3A"/>
    <w:rPr>
      <w:b/>
      <w:bCs/>
    </w:rPr>
  </w:style>
  <w:style w:type="table" w:customStyle="1" w:styleId="LightShading1">
    <w:name w:val="Light Shading1"/>
    <w:basedOn w:val="TableNormal"/>
    <w:next w:val="LightShading"/>
    <w:uiPriority w:val="60"/>
    <w:rsid w:val="008E7B3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next w:val="LightList"/>
    <w:uiPriority w:val="61"/>
    <w:rsid w:val="008E7B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Subtitle">
    <w:name w:val="Subtitle"/>
    <w:basedOn w:val="Normal"/>
    <w:next w:val="Normal"/>
    <w:link w:val="SubtitleChar"/>
    <w:uiPriority w:val="11"/>
    <w:qFormat/>
    <w:rsid w:val="008E7B3A"/>
    <w:pPr>
      <w:numPr>
        <w:ilvl w:val="1"/>
      </w:numPr>
    </w:pPr>
    <w:rPr>
      <w:rFonts w:ascii="Calibri" w:eastAsia="ＭＳ Ｐゴシック" w:hAnsi="Calibri" w:cs="Times New Roman"/>
      <w:i/>
      <w:iCs/>
      <w:color w:val="4F81BD"/>
      <w:spacing w:val="15"/>
    </w:rPr>
  </w:style>
  <w:style w:type="character" w:customStyle="1" w:styleId="SubtitleChar1">
    <w:name w:val="Subtitle Char1"/>
    <w:basedOn w:val="DefaultParagraphFont"/>
    <w:uiPriority w:val="11"/>
    <w:rsid w:val="008E7B3A"/>
    <w:rPr>
      <w:rFonts w:asciiTheme="majorHAnsi" w:eastAsiaTheme="majorEastAsia" w:hAnsiTheme="majorHAnsi" w:cstheme="majorBidi"/>
      <w:i/>
      <w:iCs/>
      <w:color w:val="4F81BD" w:themeColor="accent1"/>
      <w:spacing w:val="15"/>
    </w:rPr>
  </w:style>
  <w:style w:type="table" w:styleId="LightShading">
    <w:name w:val="Light Shading"/>
    <w:basedOn w:val="TableNormal"/>
    <w:uiPriority w:val="60"/>
    <w:rsid w:val="008E7B3A"/>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8E7B3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uiPriority w:val="99"/>
    <w:unhideWhenUsed/>
    <w:rsid w:val="007C58EA"/>
    <w:rPr>
      <w:color w:val="0000FF" w:themeColor="hyperlink"/>
      <w:u w:val="single"/>
    </w:rPr>
  </w:style>
  <w:style w:type="character" w:styleId="FollowedHyperlink">
    <w:name w:val="FollowedHyperlink"/>
    <w:basedOn w:val="DefaultParagraphFont"/>
    <w:uiPriority w:val="99"/>
    <w:semiHidden/>
    <w:unhideWhenUsed/>
    <w:rsid w:val="00692AAA"/>
    <w:rPr>
      <w:color w:val="800080" w:themeColor="followedHyperlink"/>
      <w:u w:val="single"/>
    </w:rPr>
  </w:style>
  <w:style w:type="table" w:styleId="ColorfulList">
    <w:name w:val="Colorful List"/>
    <w:basedOn w:val="TableNormal"/>
    <w:uiPriority w:val="72"/>
    <w:rsid w:val="00B15A35"/>
    <w:rPr>
      <w:color w:val="000000" w:themeColor="text1"/>
      <w:lang w:val="en-US"/>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D71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EB452F"/>
  </w:style>
  <w:style w:type="paragraph" w:customStyle="1" w:styleId="EndNoteBibliographyTitle">
    <w:name w:val="EndNote Bibliography Title"/>
    <w:basedOn w:val="Normal"/>
    <w:rsid w:val="00D840E7"/>
    <w:pPr>
      <w:jc w:val="center"/>
    </w:pPr>
    <w:rPr>
      <w:rFonts w:ascii="Calibri" w:hAnsi="Calibri"/>
      <w:sz w:val="22"/>
      <w:lang w:val="en-US"/>
    </w:rPr>
  </w:style>
  <w:style w:type="paragraph" w:customStyle="1" w:styleId="EndNoteBibliography">
    <w:name w:val="EndNote Bibliography"/>
    <w:basedOn w:val="Normal"/>
    <w:rsid w:val="00D840E7"/>
    <w:rPr>
      <w:rFonts w:ascii="Calibri" w:hAnsi="Calibri"/>
      <w:sz w:val="22"/>
      <w:lang w:val="en-US"/>
    </w:rPr>
  </w:style>
  <w:style w:type="character" w:customStyle="1" w:styleId="Heading1Char">
    <w:name w:val="Heading 1 Char"/>
    <w:basedOn w:val="DefaultParagraphFont"/>
    <w:link w:val="Heading1"/>
    <w:uiPriority w:val="9"/>
    <w:rsid w:val="003D7110"/>
    <w:rPr>
      <w:rFonts w:asciiTheme="majorHAnsi" w:eastAsiaTheme="majorEastAsia" w:hAnsiTheme="majorHAnsi" w:cstheme="majorBidi"/>
      <w:b/>
      <w:bCs/>
      <w:color w:val="345A8A" w:themeColor="accent1" w:themeShade="B5"/>
      <w:sz w:val="32"/>
      <w:szCs w:val="32"/>
    </w:rPr>
  </w:style>
  <w:style w:type="paragraph" w:styleId="Title">
    <w:name w:val="Title"/>
    <w:basedOn w:val="Normal"/>
    <w:next w:val="Normal"/>
    <w:link w:val="TitleChar"/>
    <w:uiPriority w:val="10"/>
    <w:qFormat/>
    <w:rsid w:val="003D711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D7110"/>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3D7110"/>
    <w:pPr>
      <w:ind w:left="720"/>
      <w:contextualSpacing/>
    </w:pPr>
  </w:style>
  <w:style w:type="paragraph" w:styleId="BalloonText">
    <w:name w:val="Balloon Text"/>
    <w:basedOn w:val="Normal"/>
    <w:link w:val="BalloonTextChar"/>
    <w:uiPriority w:val="99"/>
    <w:semiHidden/>
    <w:unhideWhenUsed/>
    <w:rsid w:val="00E1505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15055"/>
    <w:rPr>
      <w:rFonts w:ascii="Lucida Grande" w:hAnsi="Lucida Grande" w:cs="Lucida Grande"/>
      <w:sz w:val="18"/>
      <w:szCs w:val="18"/>
    </w:rPr>
  </w:style>
  <w:style w:type="paragraph" w:styleId="Footer">
    <w:name w:val="footer"/>
    <w:basedOn w:val="Normal"/>
    <w:link w:val="FooterChar"/>
    <w:uiPriority w:val="99"/>
    <w:unhideWhenUsed/>
    <w:rsid w:val="00C23AC2"/>
    <w:pPr>
      <w:tabs>
        <w:tab w:val="center" w:pos="4320"/>
        <w:tab w:val="right" w:pos="8640"/>
      </w:tabs>
    </w:pPr>
  </w:style>
  <w:style w:type="character" w:customStyle="1" w:styleId="FooterChar">
    <w:name w:val="Footer Char"/>
    <w:basedOn w:val="DefaultParagraphFont"/>
    <w:link w:val="Footer"/>
    <w:uiPriority w:val="99"/>
    <w:rsid w:val="00C23AC2"/>
  </w:style>
  <w:style w:type="character" w:styleId="PageNumber">
    <w:name w:val="page number"/>
    <w:basedOn w:val="DefaultParagraphFont"/>
    <w:uiPriority w:val="99"/>
    <w:semiHidden/>
    <w:unhideWhenUsed/>
    <w:rsid w:val="00C23AC2"/>
  </w:style>
  <w:style w:type="paragraph" w:styleId="Header">
    <w:name w:val="header"/>
    <w:basedOn w:val="Normal"/>
    <w:link w:val="HeaderChar"/>
    <w:uiPriority w:val="99"/>
    <w:unhideWhenUsed/>
    <w:rsid w:val="00C23AC2"/>
    <w:pPr>
      <w:tabs>
        <w:tab w:val="center" w:pos="4320"/>
        <w:tab w:val="right" w:pos="8640"/>
      </w:tabs>
    </w:pPr>
  </w:style>
  <w:style w:type="character" w:customStyle="1" w:styleId="HeaderChar">
    <w:name w:val="Header Char"/>
    <w:basedOn w:val="DefaultParagraphFont"/>
    <w:link w:val="Header"/>
    <w:uiPriority w:val="99"/>
    <w:rsid w:val="00C23AC2"/>
  </w:style>
  <w:style w:type="character" w:styleId="PlaceholderText">
    <w:name w:val="Placeholder Text"/>
    <w:basedOn w:val="DefaultParagraphFont"/>
    <w:uiPriority w:val="99"/>
    <w:semiHidden/>
    <w:rsid w:val="00E7213F"/>
    <w:rPr>
      <w:color w:val="808080"/>
    </w:rPr>
  </w:style>
  <w:style w:type="paragraph" w:styleId="NormalWeb">
    <w:name w:val="Normal (Web)"/>
    <w:basedOn w:val="Normal"/>
    <w:uiPriority w:val="99"/>
    <w:semiHidden/>
    <w:unhideWhenUsed/>
    <w:rsid w:val="00E7213F"/>
    <w:pPr>
      <w:spacing w:before="100" w:beforeAutospacing="1" w:after="100" w:afterAutospacing="1"/>
    </w:pPr>
    <w:rPr>
      <w:rFonts w:ascii="Times" w:hAnsi="Times" w:cs="Times New Roman"/>
      <w:sz w:val="20"/>
      <w:szCs w:val="20"/>
    </w:rPr>
  </w:style>
  <w:style w:type="numbering" w:customStyle="1" w:styleId="NoList1">
    <w:name w:val="No List1"/>
    <w:next w:val="NoList"/>
    <w:uiPriority w:val="99"/>
    <w:semiHidden/>
    <w:unhideWhenUsed/>
    <w:rsid w:val="008E7B3A"/>
  </w:style>
  <w:style w:type="paragraph" w:styleId="NoSpacing">
    <w:name w:val="No Spacing"/>
    <w:uiPriority w:val="1"/>
    <w:qFormat/>
    <w:rsid w:val="008E7B3A"/>
    <w:rPr>
      <w:lang w:val="en-US"/>
    </w:rPr>
  </w:style>
  <w:style w:type="table" w:styleId="TableGrid">
    <w:name w:val="Table Grid"/>
    <w:basedOn w:val="TableNormal"/>
    <w:uiPriority w:val="59"/>
    <w:rsid w:val="008E7B3A"/>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title1">
    <w:name w:val="Subtitle1"/>
    <w:basedOn w:val="Normal"/>
    <w:next w:val="Normal"/>
    <w:uiPriority w:val="11"/>
    <w:qFormat/>
    <w:rsid w:val="008E7B3A"/>
    <w:pPr>
      <w:numPr>
        <w:ilvl w:val="1"/>
      </w:numPr>
    </w:pPr>
    <w:rPr>
      <w:rFonts w:ascii="Calibri" w:eastAsia="ＭＳ Ｐゴシック" w:hAnsi="Calibri" w:cs="Times New Roman"/>
      <w:i/>
      <w:iCs/>
      <w:color w:val="4F81BD"/>
      <w:spacing w:val="15"/>
    </w:rPr>
  </w:style>
  <w:style w:type="character" w:customStyle="1" w:styleId="SubtitleChar">
    <w:name w:val="Subtitle Char"/>
    <w:basedOn w:val="DefaultParagraphFont"/>
    <w:link w:val="Subtitle"/>
    <w:uiPriority w:val="11"/>
    <w:rsid w:val="008E7B3A"/>
    <w:rPr>
      <w:rFonts w:ascii="Calibri" w:eastAsia="ＭＳ Ｐゴシック" w:hAnsi="Calibri" w:cs="Times New Roman"/>
      <w:i/>
      <w:iCs/>
      <w:color w:val="4F81BD"/>
      <w:spacing w:val="15"/>
    </w:rPr>
  </w:style>
  <w:style w:type="character" w:styleId="Strong">
    <w:name w:val="Strong"/>
    <w:basedOn w:val="DefaultParagraphFont"/>
    <w:uiPriority w:val="22"/>
    <w:qFormat/>
    <w:rsid w:val="008E7B3A"/>
    <w:rPr>
      <w:b/>
      <w:bCs/>
    </w:rPr>
  </w:style>
  <w:style w:type="table" w:customStyle="1" w:styleId="LightShading1">
    <w:name w:val="Light Shading1"/>
    <w:basedOn w:val="TableNormal"/>
    <w:next w:val="LightShading"/>
    <w:uiPriority w:val="60"/>
    <w:rsid w:val="008E7B3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next w:val="LightList"/>
    <w:uiPriority w:val="61"/>
    <w:rsid w:val="008E7B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Subtitle">
    <w:name w:val="Subtitle"/>
    <w:basedOn w:val="Normal"/>
    <w:next w:val="Normal"/>
    <w:link w:val="SubtitleChar"/>
    <w:uiPriority w:val="11"/>
    <w:qFormat/>
    <w:rsid w:val="008E7B3A"/>
    <w:pPr>
      <w:numPr>
        <w:ilvl w:val="1"/>
      </w:numPr>
    </w:pPr>
    <w:rPr>
      <w:rFonts w:ascii="Calibri" w:eastAsia="ＭＳ Ｐゴシック" w:hAnsi="Calibri" w:cs="Times New Roman"/>
      <w:i/>
      <w:iCs/>
      <w:color w:val="4F81BD"/>
      <w:spacing w:val="15"/>
    </w:rPr>
  </w:style>
  <w:style w:type="character" w:customStyle="1" w:styleId="SubtitleChar1">
    <w:name w:val="Subtitle Char1"/>
    <w:basedOn w:val="DefaultParagraphFont"/>
    <w:uiPriority w:val="11"/>
    <w:rsid w:val="008E7B3A"/>
    <w:rPr>
      <w:rFonts w:asciiTheme="majorHAnsi" w:eastAsiaTheme="majorEastAsia" w:hAnsiTheme="majorHAnsi" w:cstheme="majorBidi"/>
      <w:i/>
      <w:iCs/>
      <w:color w:val="4F81BD" w:themeColor="accent1"/>
      <w:spacing w:val="15"/>
    </w:rPr>
  </w:style>
  <w:style w:type="table" w:styleId="LightShading">
    <w:name w:val="Light Shading"/>
    <w:basedOn w:val="TableNormal"/>
    <w:uiPriority w:val="60"/>
    <w:rsid w:val="008E7B3A"/>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8E7B3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uiPriority w:val="99"/>
    <w:unhideWhenUsed/>
    <w:rsid w:val="007C58EA"/>
    <w:rPr>
      <w:color w:val="0000FF" w:themeColor="hyperlink"/>
      <w:u w:val="single"/>
    </w:rPr>
  </w:style>
  <w:style w:type="character" w:styleId="FollowedHyperlink">
    <w:name w:val="FollowedHyperlink"/>
    <w:basedOn w:val="DefaultParagraphFont"/>
    <w:uiPriority w:val="99"/>
    <w:semiHidden/>
    <w:unhideWhenUsed/>
    <w:rsid w:val="00692AAA"/>
    <w:rPr>
      <w:color w:val="800080" w:themeColor="followedHyperlink"/>
      <w:u w:val="single"/>
    </w:rPr>
  </w:style>
  <w:style w:type="table" w:styleId="ColorfulList">
    <w:name w:val="Colorful List"/>
    <w:basedOn w:val="TableNormal"/>
    <w:uiPriority w:val="72"/>
    <w:rsid w:val="00B15A35"/>
    <w:rPr>
      <w:color w:val="000000" w:themeColor="text1"/>
      <w:lang w:val="en-US"/>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9166552">
      <w:bodyDiv w:val="1"/>
      <w:marLeft w:val="0"/>
      <w:marRight w:val="0"/>
      <w:marTop w:val="0"/>
      <w:marBottom w:val="0"/>
      <w:divBdr>
        <w:top w:val="none" w:sz="0" w:space="0" w:color="auto"/>
        <w:left w:val="none" w:sz="0" w:space="0" w:color="auto"/>
        <w:bottom w:val="none" w:sz="0" w:space="0" w:color="auto"/>
        <w:right w:val="none" w:sz="0" w:space="0" w:color="auto"/>
      </w:divBdr>
    </w:div>
    <w:div w:id="542907452">
      <w:bodyDiv w:val="1"/>
      <w:marLeft w:val="0"/>
      <w:marRight w:val="0"/>
      <w:marTop w:val="0"/>
      <w:marBottom w:val="0"/>
      <w:divBdr>
        <w:top w:val="none" w:sz="0" w:space="0" w:color="auto"/>
        <w:left w:val="none" w:sz="0" w:space="0" w:color="auto"/>
        <w:bottom w:val="none" w:sz="0" w:space="0" w:color="auto"/>
        <w:right w:val="none" w:sz="0" w:space="0" w:color="auto"/>
      </w:divBdr>
    </w:div>
    <w:div w:id="1076829535">
      <w:bodyDiv w:val="1"/>
      <w:marLeft w:val="0"/>
      <w:marRight w:val="0"/>
      <w:marTop w:val="0"/>
      <w:marBottom w:val="0"/>
      <w:divBdr>
        <w:top w:val="none" w:sz="0" w:space="0" w:color="auto"/>
        <w:left w:val="none" w:sz="0" w:space="0" w:color="auto"/>
        <w:bottom w:val="none" w:sz="0" w:space="0" w:color="auto"/>
        <w:right w:val="none" w:sz="0" w:space="0" w:color="auto"/>
      </w:divBdr>
    </w:div>
    <w:div w:id="1632900574">
      <w:bodyDiv w:val="1"/>
      <w:marLeft w:val="0"/>
      <w:marRight w:val="0"/>
      <w:marTop w:val="0"/>
      <w:marBottom w:val="0"/>
      <w:divBdr>
        <w:top w:val="none" w:sz="0" w:space="0" w:color="auto"/>
        <w:left w:val="none" w:sz="0" w:space="0" w:color="auto"/>
        <w:bottom w:val="none" w:sz="0" w:space="0" w:color="auto"/>
        <w:right w:val="none" w:sz="0" w:space="0" w:color="auto"/>
      </w:divBdr>
    </w:div>
    <w:div w:id="2006391758">
      <w:bodyDiv w:val="1"/>
      <w:marLeft w:val="0"/>
      <w:marRight w:val="0"/>
      <w:marTop w:val="0"/>
      <w:marBottom w:val="0"/>
      <w:divBdr>
        <w:top w:val="none" w:sz="0" w:space="0" w:color="auto"/>
        <w:left w:val="none" w:sz="0" w:space="0" w:color="auto"/>
        <w:bottom w:val="none" w:sz="0" w:space="0" w:color="auto"/>
        <w:right w:val="none" w:sz="0" w:space="0" w:color="auto"/>
      </w:divBdr>
    </w:div>
    <w:div w:id="20869507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99.emf"/><Relationship Id="rId143" Type="http://schemas.openxmlformats.org/officeDocument/2006/relationships/image" Target="media/image100.emf"/><Relationship Id="rId144" Type="http://schemas.openxmlformats.org/officeDocument/2006/relationships/image" Target="media/image101.emf"/><Relationship Id="rId145" Type="http://schemas.openxmlformats.org/officeDocument/2006/relationships/image" Target="media/image102.emf"/><Relationship Id="rId146" Type="http://schemas.openxmlformats.org/officeDocument/2006/relationships/image" Target="media/image103.jpeg"/><Relationship Id="rId147" Type="http://schemas.microsoft.com/office/2007/relationships/hdphoto" Target="media/hdphoto10.wdp"/><Relationship Id="rId148" Type="http://schemas.openxmlformats.org/officeDocument/2006/relationships/image" Target="media/image104.emf"/><Relationship Id="rId149" Type="http://schemas.openxmlformats.org/officeDocument/2006/relationships/image" Target="media/image105.emf"/><Relationship Id="rId180" Type="http://schemas.openxmlformats.org/officeDocument/2006/relationships/chart" Target="charts/chart22.xml"/><Relationship Id="rId181" Type="http://schemas.openxmlformats.org/officeDocument/2006/relationships/chart" Target="charts/chart23.xml"/><Relationship Id="rId182" Type="http://schemas.openxmlformats.org/officeDocument/2006/relationships/chart" Target="charts/chart24.xml"/><Relationship Id="rId40" Type="http://schemas.openxmlformats.org/officeDocument/2006/relationships/image" Target="media/image22.emf"/><Relationship Id="rId41" Type="http://schemas.openxmlformats.org/officeDocument/2006/relationships/image" Target="media/image23.emf"/><Relationship Id="rId42" Type="http://schemas.openxmlformats.org/officeDocument/2006/relationships/image" Target="media/image24.png"/><Relationship Id="rId43" Type="http://schemas.openxmlformats.org/officeDocument/2006/relationships/image" Target="media/image25.png"/><Relationship Id="rId44" Type="http://schemas.openxmlformats.org/officeDocument/2006/relationships/hyperlink" Target="https://web.expasy.org/peptide_cutter/" TargetMode="External"/><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chart" Target="charts/chart2.xml"/><Relationship Id="rId49" Type="http://schemas.openxmlformats.org/officeDocument/2006/relationships/image" Target="media/image29.png"/><Relationship Id="rId183" Type="http://schemas.openxmlformats.org/officeDocument/2006/relationships/image" Target="media/image124.png"/><Relationship Id="rId184" Type="http://schemas.openxmlformats.org/officeDocument/2006/relationships/image" Target="media/image125.png"/><Relationship Id="rId185" Type="http://schemas.openxmlformats.org/officeDocument/2006/relationships/image" Target="media/image126.png"/><Relationship Id="rId186" Type="http://schemas.openxmlformats.org/officeDocument/2006/relationships/image" Target="media/image127.png"/><Relationship Id="rId187" Type="http://schemas.openxmlformats.org/officeDocument/2006/relationships/image" Target="media/image128.emf"/><Relationship Id="rId188" Type="http://schemas.openxmlformats.org/officeDocument/2006/relationships/image" Target="media/image129.emf"/><Relationship Id="rId189" Type="http://schemas.openxmlformats.org/officeDocument/2006/relationships/image" Target="media/image130.png"/><Relationship Id="rId80" Type="http://schemas.openxmlformats.org/officeDocument/2006/relationships/image" Target="media/image45.png"/><Relationship Id="rId81" Type="http://schemas.openxmlformats.org/officeDocument/2006/relationships/image" Target="media/image46.emf"/><Relationship Id="rId82" Type="http://schemas.openxmlformats.org/officeDocument/2006/relationships/image" Target="media/image47.jpeg"/><Relationship Id="rId83" Type="http://schemas.microsoft.com/office/2007/relationships/hdphoto" Target="media/hdphoto7.wdp"/><Relationship Id="rId84" Type="http://schemas.openxmlformats.org/officeDocument/2006/relationships/image" Target="media/image48.emf"/><Relationship Id="rId85" Type="http://schemas.openxmlformats.org/officeDocument/2006/relationships/image" Target="media/image49.emf"/><Relationship Id="rId86" Type="http://schemas.openxmlformats.org/officeDocument/2006/relationships/image" Target="media/image50.png"/><Relationship Id="rId87" Type="http://schemas.openxmlformats.org/officeDocument/2006/relationships/image" Target="media/image51.png"/><Relationship Id="rId88" Type="http://schemas.openxmlformats.org/officeDocument/2006/relationships/chart" Target="charts/chart13.xml"/><Relationship Id="rId89" Type="http://schemas.openxmlformats.org/officeDocument/2006/relationships/chart" Target="charts/chart14.xml"/><Relationship Id="rId110" Type="http://schemas.openxmlformats.org/officeDocument/2006/relationships/image" Target="media/image69.emf"/><Relationship Id="rId111" Type="http://schemas.openxmlformats.org/officeDocument/2006/relationships/image" Target="media/image70.png"/><Relationship Id="rId112" Type="http://schemas.openxmlformats.org/officeDocument/2006/relationships/image" Target="media/image71.png"/><Relationship Id="rId113" Type="http://schemas.openxmlformats.org/officeDocument/2006/relationships/image" Target="media/image72.emf"/><Relationship Id="rId114" Type="http://schemas.openxmlformats.org/officeDocument/2006/relationships/image" Target="media/image73.png"/><Relationship Id="rId115" Type="http://schemas.openxmlformats.org/officeDocument/2006/relationships/image" Target="media/image74.png"/><Relationship Id="rId116" Type="http://schemas.openxmlformats.org/officeDocument/2006/relationships/image" Target="media/image75.emf"/><Relationship Id="rId117" Type="http://schemas.openxmlformats.org/officeDocument/2006/relationships/image" Target="media/image76.emf"/><Relationship Id="rId118" Type="http://schemas.openxmlformats.org/officeDocument/2006/relationships/image" Target="media/image77.png"/><Relationship Id="rId119" Type="http://schemas.openxmlformats.org/officeDocument/2006/relationships/image" Target="media/image78.emf"/><Relationship Id="rId150" Type="http://schemas.openxmlformats.org/officeDocument/2006/relationships/image" Target="media/image106.jpeg"/><Relationship Id="rId151" Type="http://schemas.microsoft.com/office/2007/relationships/hdphoto" Target="media/hdphoto11.wdp"/><Relationship Id="rId152" Type="http://schemas.openxmlformats.org/officeDocument/2006/relationships/header" Target="header6.xml"/><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153" Type="http://schemas.openxmlformats.org/officeDocument/2006/relationships/chart" Target="charts/chart17.xml"/><Relationship Id="rId154" Type="http://schemas.openxmlformats.org/officeDocument/2006/relationships/chart" Target="charts/chart18.xml"/><Relationship Id="rId155" Type="http://schemas.openxmlformats.org/officeDocument/2006/relationships/chart" Target="charts/chart19.xml"/><Relationship Id="rId156" Type="http://schemas.openxmlformats.org/officeDocument/2006/relationships/image" Target="media/image107.emf"/><Relationship Id="rId157" Type="http://schemas.openxmlformats.org/officeDocument/2006/relationships/image" Target="media/image108.png"/><Relationship Id="rId158" Type="http://schemas.openxmlformats.org/officeDocument/2006/relationships/image" Target="media/image109.png"/><Relationship Id="rId159" Type="http://schemas.openxmlformats.org/officeDocument/2006/relationships/image" Target="media/image110.png"/><Relationship Id="rId190" Type="http://schemas.openxmlformats.org/officeDocument/2006/relationships/image" Target="media/image131.png"/><Relationship Id="rId191" Type="http://schemas.openxmlformats.org/officeDocument/2006/relationships/image" Target="media/image132.png"/><Relationship Id="rId192" Type="http://schemas.openxmlformats.org/officeDocument/2006/relationships/image" Target="media/image133.png"/><Relationship Id="rId50" Type="http://schemas.openxmlformats.org/officeDocument/2006/relationships/image" Target="media/image30.emf"/><Relationship Id="rId51" Type="http://schemas.openxmlformats.org/officeDocument/2006/relationships/image" Target="media/image31.emf"/><Relationship Id="rId52" Type="http://schemas.openxmlformats.org/officeDocument/2006/relationships/image" Target="media/image32.png"/><Relationship Id="rId53" Type="http://schemas.openxmlformats.org/officeDocument/2006/relationships/image" Target="media/image33.emf"/><Relationship Id="rId54" Type="http://schemas.openxmlformats.org/officeDocument/2006/relationships/image" Target="media/image34.emf"/><Relationship Id="rId55" Type="http://schemas.openxmlformats.org/officeDocument/2006/relationships/image" Target="media/image35.png"/><Relationship Id="rId56" Type="http://schemas.openxmlformats.org/officeDocument/2006/relationships/image" Target="media/image36.png"/><Relationship Id="rId57" Type="http://schemas.openxmlformats.org/officeDocument/2006/relationships/chart" Target="charts/chart3.xml"/><Relationship Id="rId58" Type="http://schemas.openxmlformats.org/officeDocument/2006/relationships/chart" Target="charts/chart4.xml"/><Relationship Id="rId59" Type="http://schemas.openxmlformats.org/officeDocument/2006/relationships/chart" Target="charts/chart5.xml"/><Relationship Id="rId193" Type="http://schemas.openxmlformats.org/officeDocument/2006/relationships/image" Target="media/image134.png"/><Relationship Id="rId194" Type="http://schemas.openxmlformats.org/officeDocument/2006/relationships/image" Target="media/image135.png"/><Relationship Id="rId195" Type="http://schemas.openxmlformats.org/officeDocument/2006/relationships/header" Target="header11.xml"/><Relationship Id="rId196" Type="http://schemas.openxmlformats.org/officeDocument/2006/relationships/hyperlink" Target="http://www.rightslink.com" TargetMode="External"/><Relationship Id="rId197" Type="http://schemas.openxmlformats.org/officeDocument/2006/relationships/header" Target="header12.xml"/><Relationship Id="rId198" Type="http://schemas.openxmlformats.org/officeDocument/2006/relationships/fontTable" Target="fontTable.xml"/><Relationship Id="rId199" Type="http://schemas.openxmlformats.org/officeDocument/2006/relationships/glossaryDocument" Target="glossary/document.xml"/><Relationship Id="rId90" Type="http://schemas.openxmlformats.org/officeDocument/2006/relationships/chart" Target="charts/chart15.xml"/><Relationship Id="rId91" Type="http://schemas.openxmlformats.org/officeDocument/2006/relationships/chart" Target="charts/chart16.xml"/><Relationship Id="rId92" Type="http://schemas.openxmlformats.org/officeDocument/2006/relationships/image" Target="media/image52.png"/><Relationship Id="rId93" Type="http://schemas.openxmlformats.org/officeDocument/2006/relationships/image" Target="media/image53.png"/><Relationship Id="rId94" Type="http://schemas.openxmlformats.org/officeDocument/2006/relationships/image" Target="media/image54.emf"/><Relationship Id="rId95" Type="http://schemas.openxmlformats.org/officeDocument/2006/relationships/image" Target="media/image55.png"/><Relationship Id="rId96" Type="http://schemas.openxmlformats.org/officeDocument/2006/relationships/image" Target="media/image56.png"/><Relationship Id="rId97" Type="http://schemas.openxmlformats.org/officeDocument/2006/relationships/image" Target="media/image57.emf"/><Relationship Id="rId98" Type="http://schemas.openxmlformats.org/officeDocument/2006/relationships/image" Target="media/image58.emf"/><Relationship Id="rId99" Type="http://schemas.openxmlformats.org/officeDocument/2006/relationships/image" Target="media/image59.emf"/><Relationship Id="rId120" Type="http://schemas.openxmlformats.org/officeDocument/2006/relationships/image" Target="media/image79.emf"/><Relationship Id="rId121" Type="http://schemas.openxmlformats.org/officeDocument/2006/relationships/image" Target="media/image80.png"/><Relationship Id="rId122" Type="http://schemas.openxmlformats.org/officeDocument/2006/relationships/image" Target="media/image81.png"/><Relationship Id="rId123" Type="http://schemas.openxmlformats.org/officeDocument/2006/relationships/image" Target="media/image82.png"/><Relationship Id="rId124" Type="http://schemas.openxmlformats.org/officeDocument/2006/relationships/image" Target="media/image83.emf"/><Relationship Id="rId125" Type="http://schemas.openxmlformats.org/officeDocument/2006/relationships/image" Target="media/image84.emf"/><Relationship Id="rId126" Type="http://schemas.openxmlformats.org/officeDocument/2006/relationships/image" Target="media/image85.png"/><Relationship Id="rId127" Type="http://schemas.openxmlformats.org/officeDocument/2006/relationships/image" Target="media/image86.emf"/><Relationship Id="rId128" Type="http://schemas.openxmlformats.org/officeDocument/2006/relationships/image" Target="media/image87.emf"/><Relationship Id="rId129" Type="http://schemas.openxmlformats.org/officeDocument/2006/relationships/image" Target="media/image88.emf"/><Relationship Id="rId160" Type="http://schemas.openxmlformats.org/officeDocument/2006/relationships/image" Target="media/image111.png"/><Relationship Id="rId161" Type="http://schemas.openxmlformats.org/officeDocument/2006/relationships/image" Target="media/image112.png"/><Relationship Id="rId162" Type="http://schemas.openxmlformats.org/officeDocument/2006/relationships/image" Target="media/image113.png"/><Relationship Id="rId20" Type="http://schemas.openxmlformats.org/officeDocument/2006/relationships/hyperlink" Target="https://cancergenome.nih.gov/" TargetMode="External"/><Relationship Id="rId21" Type="http://schemas.openxmlformats.org/officeDocument/2006/relationships/hyperlink" Target="https://cansar.icr.ac.uk/" TargetMode="External"/><Relationship Id="rId22" Type="http://schemas.openxmlformats.org/officeDocument/2006/relationships/image" Target="media/image8.png"/><Relationship Id="rId23" Type="http://schemas.openxmlformats.org/officeDocument/2006/relationships/header" Target="header3.xml"/><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chart" Target="charts/chart1.xml"/><Relationship Id="rId27" Type="http://schemas.openxmlformats.org/officeDocument/2006/relationships/header" Target="header4.xml"/><Relationship Id="rId28" Type="http://schemas.openxmlformats.org/officeDocument/2006/relationships/image" Target="media/image11.png"/><Relationship Id="rId29" Type="http://schemas.openxmlformats.org/officeDocument/2006/relationships/image" Target="media/image12.png"/><Relationship Id="rId163" Type="http://schemas.openxmlformats.org/officeDocument/2006/relationships/image" Target="media/image114.png"/><Relationship Id="rId164" Type="http://schemas.openxmlformats.org/officeDocument/2006/relationships/image" Target="media/image115.png"/><Relationship Id="rId165" Type="http://schemas.openxmlformats.org/officeDocument/2006/relationships/image" Target="media/image116.png"/><Relationship Id="rId166" Type="http://schemas.openxmlformats.org/officeDocument/2006/relationships/image" Target="media/image117.png"/><Relationship Id="rId167" Type="http://schemas.openxmlformats.org/officeDocument/2006/relationships/chart" Target="charts/chart20.xml"/><Relationship Id="rId168" Type="http://schemas.openxmlformats.org/officeDocument/2006/relationships/image" Target="media/image118.png"/><Relationship Id="rId169" Type="http://schemas.openxmlformats.org/officeDocument/2006/relationships/image" Target="media/image119.png"/><Relationship Id="rId200" Type="http://schemas.openxmlformats.org/officeDocument/2006/relationships/theme" Target="theme/theme1.xml"/><Relationship Id="rId60" Type="http://schemas.openxmlformats.org/officeDocument/2006/relationships/chart" Target="charts/chart6.xml"/><Relationship Id="rId61" Type="http://schemas.openxmlformats.org/officeDocument/2006/relationships/chart" Target="charts/chart7.xml"/><Relationship Id="rId62" Type="http://schemas.openxmlformats.org/officeDocument/2006/relationships/chart" Target="charts/chart8.xml"/><Relationship Id="rId63" Type="http://schemas.openxmlformats.org/officeDocument/2006/relationships/chart" Target="charts/chart9.xml"/><Relationship Id="rId64" Type="http://schemas.openxmlformats.org/officeDocument/2006/relationships/chart" Target="charts/chart10.xml"/><Relationship Id="rId65" Type="http://schemas.openxmlformats.org/officeDocument/2006/relationships/chart" Target="charts/chart11.xml"/><Relationship Id="rId66" Type="http://schemas.openxmlformats.org/officeDocument/2006/relationships/image" Target="media/image37.jpeg"/><Relationship Id="rId67" Type="http://schemas.microsoft.com/office/2007/relationships/hdphoto" Target="media/hdphoto2.wdp"/><Relationship Id="rId68" Type="http://schemas.openxmlformats.org/officeDocument/2006/relationships/image" Target="media/image38.jpeg"/><Relationship Id="rId69" Type="http://schemas.microsoft.com/office/2007/relationships/hdphoto" Target="media/hdphoto3.wdp"/><Relationship Id="rId130" Type="http://schemas.openxmlformats.org/officeDocument/2006/relationships/image" Target="media/image89.emf"/><Relationship Id="rId131" Type="http://schemas.openxmlformats.org/officeDocument/2006/relationships/image" Target="media/image90.emf"/><Relationship Id="rId132" Type="http://schemas.openxmlformats.org/officeDocument/2006/relationships/image" Target="media/image91.emf"/><Relationship Id="rId133" Type="http://schemas.openxmlformats.org/officeDocument/2006/relationships/image" Target="media/image92.emf"/><Relationship Id="rId134" Type="http://schemas.openxmlformats.org/officeDocument/2006/relationships/header" Target="header5.xml"/><Relationship Id="rId135" Type="http://schemas.openxmlformats.org/officeDocument/2006/relationships/image" Target="media/image93.png"/><Relationship Id="rId136" Type="http://schemas.openxmlformats.org/officeDocument/2006/relationships/image" Target="media/image94.png"/><Relationship Id="rId137" Type="http://schemas.openxmlformats.org/officeDocument/2006/relationships/image" Target="media/image95.png"/><Relationship Id="rId138" Type="http://schemas.openxmlformats.org/officeDocument/2006/relationships/image" Target="media/image96.emf"/><Relationship Id="rId139" Type="http://schemas.openxmlformats.org/officeDocument/2006/relationships/image" Target="media/image97.jpeg"/><Relationship Id="rId170" Type="http://schemas.openxmlformats.org/officeDocument/2006/relationships/image" Target="media/image120.png"/><Relationship Id="rId171" Type="http://schemas.openxmlformats.org/officeDocument/2006/relationships/image" Target="media/image121.png"/><Relationship Id="rId172" Type="http://schemas.openxmlformats.org/officeDocument/2006/relationships/image" Target="media/image12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jpeg"/><Relationship Id="rId35" Type="http://schemas.microsoft.com/office/2007/relationships/hdphoto" Target="media/hdphoto1.wdp"/><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image" Target="media/image21.png"/><Relationship Id="rId173" Type="http://schemas.openxmlformats.org/officeDocument/2006/relationships/chart" Target="charts/chart21.xml"/><Relationship Id="rId174" Type="http://schemas.openxmlformats.org/officeDocument/2006/relationships/header" Target="header7.xml"/><Relationship Id="rId175" Type="http://schemas.openxmlformats.org/officeDocument/2006/relationships/header" Target="header8.xml"/><Relationship Id="rId176" Type="http://schemas.openxmlformats.org/officeDocument/2006/relationships/header" Target="header9.xml"/><Relationship Id="rId177" Type="http://schemas.openxmlformats.org/officeDocument/2006/relationships/image" Target="media/image123.png"/><Relationship Id="rId178" Type="http://schemas.openxmlformats.org/officeDocument/2006/relationships/hyperlink" Target="http://www.cancerscreening.nhs.uk/bowel/" TargetMode="External"/><Relationship Id="rId179" Type="http://schemas.openxmlformats.org/officeDocument/2006/relationships/header" Target="header10.xml"/><Relationship Id="rId70" Type="http://schemas.openxmlformats.org/officeDocument/2006/relationships/image" Target="media/image39.jpeg"/><Relationship Id="rId71" Type="http://schemas.microsoft.com/office/2007/relationships/hdphoto" Target="media/hdphoto4.wdp"/><Relationship Id="rId72" Type="http://schemas.openxmlformats.org/officeDocument/2006/relationships/image" Target="media/image40.jpeg"/><Relationship Id="rId73" Type="http://schemas.microsoft.com/office/2007/relationships/hdphoto" Target="media/hdphoto5.wdp"/><Relationship Id="rId74" Type="http://schemas.openxmlformats.org/officeDocument/2006/relationships/chart" Target="charts/chart12.xml"/><Relationship Id="rId75" Type="http://schemas.openxmlformats.org/officeDocument/2006/relationships/image" Target="media/image41.jpeg"/><Relationship Id="rId76" Type="http://schemas.microsoft.com/office/2007/relationships/hdphoto" Target="media/hdphoto6.wdp"/><Relationship Id="rId77" Type="http://schemas.openxmlformats.org/officeDocument/2006/relationships/image" Target="media/image42.emf"/><Relationship Id="rId78" Type="http://schemas.openxmlformats.org/officeDocument/2006/relationships/image" Target="media/image43.emf"/><Relationship Id="rId79" Type="http://schemas.openxmlformats.org/officeDocument/2006/relationships/image" Target="media/image44.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60.emf"/><Relationship Id="rId101" Type="http://schemas.openxmlformats.org/officeDocument/2006/relationships/image" Target="media/image61.png"/><Relationship Id="rId102" Type="http://schemas.openxmlformats.org/officeDocument/2006/relationships/image" Target="media/image62.png"/><Relationship Id="rId103" Type="http://schemas.openxmlformats.org/officeDocument/2006/relationships/image" Target="media/image63.emf"/><Relationship Id="rId104" Type="http://schemas.openxmlformats.org/officeDocument/2006/relationships/image" Target="media/image64.jpeg"/><Relationship Id="rId105" Type="http://schemas.microsoft.com/office/2007/relationships/hdphoto" Target="media/hdphoto8.wdp"/><Relationship Id="rId106" Type="http://schemas.openxmlformats.org/officeDocument/2006/relationships/image" Target="media/image65.emf"/><Relationship Id="rId107" Type="http://schemas.openxmlformats.org/officeDocument/2006/relationships/image" Target="media/image66.png"/><Relationship Id="rId108" Type="http://schemas.openxmlformats.org/officeDocument/2006/relationships/image" Target="media/image67.emf"/><Relationship Id="rId109" Type="http://schemas.openxmlformats.org/officeDocument/2006/relationships/image" Target="media/image68.emf"/><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40" Type="http://schemas.microsoft.com/office/2007/relationships/hdphoto" Target="media/hdphoto9.wdp"/><Relationship Id="rId141" Type="http://schemas.openxmlformats.org/officeDocument/2006/relationships/image" Target="media/image98.emf"/></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Macintosh%20HD:Users:ClairFellows:Documents:Data:Protein%20Standards:Protein%20quantification%20for%20siRNA%20western%20new.xls" TargetMode="External"/></Relationships>
</file>

<file path=word/charts/_rels/chart10.xml.rels><?xml version="1.0" encoding="UTF-8" standalone="yes"?>
<Relationships xmlns="http://schemas.openxmlformats.org/package/2006/relationships"><Relationship Id="rId1" Type="http://schemas.openxmlformats.org/officeDocument/2006/relationships/themeOverride" Target="../theme/themeOverride4.xml"/><Relationship Id="rId2" Type="http://schemas.openxmlformats.org/officeDocument/2006/relationships/oleObject" Target="Macintosh%20HD:Users:ClairFellows:Google%20Drive:Data:Lentiviral%20CRISPR:Clone%20Data:LV%20HCT116%20Clones.xls" TargetMode="External"/></Relationships>
</file>

<file path=word/charts/_rels/chart11.xml.rels><?xml version="1.0" encoding="UTF-8" standalone="yes"?>
<Relationships xmlns="http://schemas.openxmlformats.org/package/2006/relationships"><Relationship Id="rId1" Type="http://schemas.openxmlformats.org/officeDocument/2006/relationships/themeOverride" Target="../theme/themeOverride5.xml"/><Relationship Id="rId2" Type="http://schemas.openxmlformats.org/officeDocument/2006/relationships/oleObject" Target="Macintosh%20HD:Users:ClairFellows:Google%20Drive:Data:Lentiviral%20CRISPR:Clone%20Data:LV%20RpeClones.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ClairFellows:Google%20Drive:Data:Lentiviral%20CRISPR:Cell%20proliferation:prolif%20CRISPR%20collated.xlsx" TargetMode="External"/><Relationship Id="rId2" Type="http://schemas.openxmlformats.org/officeDocument/2006/relationships/chartUserShapes" Target="../drawings/drawing1.xml"/></Relationships>
</file>

<file path=word/charts/_rels/chart13.xml.rels><?xml version="1.0" encoding="UTF-8" standalone="yes"?>
<Relationships xmlns="http://schemas.openxmlformats.org/package/2006/relationships"><Relationship Id="rId1" Type="http://schemas.openxmlformats.org/officeDocument/2006/relationships/themeOverride" Target="../theme/themeOverride6.xml"/><Relationship Id="rId2" Type="http://schemas.openxmlformats.org/officeDocument/2006/relationships/oleObject" Target="Macintosh%20HD:Users:ClairFellows:Google%20Drive:Data:Lentiviral%20CRISPR:Clone%20Data:HCT116%20LV%20clones%20recheck%20after%20rescue.xls" TargetMode="External"/><Relationship Id="rId3" Type="http://schemas.openxmlformats.org/officeDocument/2006/relationships/chartUserShapes" Target="../drawings/drawing2.xml"/></Relationships>
</file>

<file path=word/charts/_rels/chart14.xml.rels><?xml version="1.0" encoding="UTF-8" standalone="yes"?>
<Relationships xmlns="http://schemas.openxmlformats.org/package/2006/relationships"><Relationship Id="rId1" Type="http://schemas.openxmlformats.org/officeDocument/2006/relationships/oleObject" Target="Macintosh%20HD:Users:ClairFellows:Google%20Drive:Data:Lentiviral%20CRISPR:Clone%20Data:HCT116%20LV%20clones%20recheck.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Macintosh%20HD:Users:ClairFellows:Google%20Drive:Data:Lentiviral%20CRISPR:Clone%20Data:SW480%20LV%20clones%20recheck.xls" TargetMode="External"/></Relationships>
</file>

<file path=word/charts/_rels/chart16.xml.rels><?xml version="1.0" encoding="UTF-8" standalone="yes"?>
<Relationships xmlns="http://schemas.openxmlformats.org/package/2006/relationships"><Relationship Id="rId1" Type="http://schemas.openxmlformats.org/officeDocument/2006/relationships/themeOverride" Target="../theme/themeOverride7.xml"/><Relationship Id="rId2" Type="http://schemas.openxmlformats.org/officeDocument/2006/relationships/oleObject" Target="Macintosh%20HD:Users:ClairFellows:Google%20Drive:Data:Lentiviral%20CRISPR:Clone%20Data:LV%20HCT116%20Clones%20number%202.xls" TargetMode="External"/></Relationships>
</file>

<file path=word/charts/_rels/chart17.xml.rels><?xml version="1.0" encoding="UTF-8" standalone="yes"?>
<Relationships xmlns="http://schemas.openxmlformats.org/package/2006/relationships"><Relationship Id="rId1" Type="http://schemas.openxmlformats.org/officeDocument/2006/relationships/themeOverride" Target="../theme/themeOverride8.xml"/><Relationship Id="rId2" Type="http://schemas.openxmlformats.org/officeDocument/2006/relationships/oleObject" Target="Macintosh%20HD:Users:ClairFellows:Google%20Drive:Data:microarray:Flow%20sorts:all%20three%20microarray%20samples.xlsx" TargetMode="External"/></Relationships>
</file>

<file path=word/charts/_rels/chart18.xml.rels><?xml version="1.0" encoding="UTF-8" standalone="yes"?>
<Relationships xmlns="http://schemas.openxmlformats.org/package/2006/relationships"><Relationship Id="rId1" Type="http://schemas.openxmlformats.org/officeDocument/2006/relationships/themeOverride" Target="../theme/themeOverride9.xml"/><Relationship Id="rId2" Type="http://schemas.openxmlformats.org/officeDocument/2006/relationships/oleObject" Target="Macintosh%20HD:Users:ClairFellows:Google%20Drive:Data:microarray:Flow%20sorts:all%20three%20microarray%20samples.xlsx" TargetMode="External"/></Relationships>
</file>

<file path=word/charts/_rels/chart19.xml.rels><?xml version="1.0" encoding="UTF-8" standalone="yes"?>
<Relationships xmlns="http://schemas.openxmlformats.org/package/2006/relationships"><Relationship Id="rId1" Type="http://schemas.openxmlformats.org/officeDocument/2006/relationships/themeOverride" Target="../theme/themeOverride10.xml"/><Relationship Id="rId2" Type="http://schemas.openxmlformats.org/officeDocument/2006/relationships/oleObject" Target="Macintosh%20HD:Users:ClairFellows:Google%20Drive:Data:microarray:Flow%20sorts:all%20three%20microarray%20sampl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ClairFellows:Documents:Data:Overexpression%20cDNA:XL10:XL10%20cDNA%20taqman%20in%20hela.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Macintosh%20HD:Users:ClairFellows:Google%20Drive:Data:microarray:hit%20validation:hit%20validation%20on%20original%20samples.xls"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Macintosh%20HD:Users:ClairFellows:Google%20Drive:Data:microarray:hit%20validation:hit%20validation%20on%20original%20samples.xls"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Macintosh%20HD:Users:ClairFellows:Google%20Drive:Data:Lentiviral%20CRISPR:Antibiotic%20resistance%20determination%20for%20lentiviral.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Macintosh%20HD:Users:ClairFellows:Google%20Drive:Data:Lentiviral%20CRISPR:Antibiotic%20resistance%20determination%20for%20lentiviral.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Macintosh%20HD:Users:ClairFellows:Google%20Drive:Data:Lentiviral%20CRISPR:Antibiotic%20resistance%20determination%20for%20lentiviral.xlsx" TargetMode="External"/></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Macintosh%20HD:Users:ClairFellows:Google%20Drive:Data:CRISPR:Taqman:Taqman%20overexpression%20CRISPR%20test%203.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ClairFellows:Google%20Drive:Data:CRISPR:Taqman:Taqman%20overexpression%20CRISPR%20test%202.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ClairFellows:Google%20Drive:Data:CRISPR:Taqman:Taqman%20overexpression%20CRISPR%20test%201.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ClairFellows:Google%20Drive:Data:Cell%20Proliferation:CRISPR:Cell%20proliferation%20overtime%20after%20CRISPR%20addition%20with%20Fugen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ClairFellows:Google%20Drive:Data:Cell%20Proliferation:CRISPR:Cell%20proliferation%20overtime%20after%20CRISPR%20addition%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ClairFellows:Google%20Drive:Data:Cell%20Proliferation:CRISPR:Cell%20proliferation%20overtime%20using%20new%20Control%20Lipofectamine.xlsx" TargetMode="External"/></Relationships>
</file>

<file path=word/charts/_rels/chart9.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oleObject" Target="Macintosh%20HD:Users:ClairFellows:Google%20Drive:Data:Lentiviral%20CRISPR:Clone%20Data:LV%20SW480%20Clone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732571653922"/>
          <c:y val="0.109755497523803"/>
          <c:w val="0.794418227218347"/>
          <c:h val="0.732902628390159"/>
        </c:manualLayout>
      </c:layout>
      <c:scatterChart>
        <c:scatterStyle val="lineMarker"/>
        <c:varyColors val="0"/>
        <c:ser>
          <c:idx val="0"/>
          <c:order val="0"/>
          <c:spPr>
            <a:ln w="28575">
              <a:noFill/>
            </a:ln>
          </c:spPr>
          <c:marker>
            <c:symbol val="diamond"/>
            <c:size val="5"/>
            <c:spPr>
              <a:solidFill>
                <a:srgbClr val="000080"/>
              </a:solidFill>
              <a:ln>
                <a:solidFill>
                  <a:srgbClr val="000090"/>
                </a:solidFill>
                <a:prstDash val="solid"/>
              </a:ln>
            </c:spPr>
          </c:marker>
          <c:trendline>
            <c:spPr>
              <a:ln w="25400">
                <a:solidFill>
                  <a:srgbClr val="000000"/>
                </a:solidFill>
                <a:prstDash val="solid"/>
              </a:ln>
            </c:spPr>
            <c:trendlineType val="linear"/>
            <c:intercept val="0.0"/>
            <c:dispRSqr val="1"/>
            <c:dispEq val="1"/>
            <c:trendlineLbl>
              <c:layout>
                <c:manualLayout>
                  <c:x val="-0.309685058329905"/>
                  <c:y val="0.0245150367265609"/>
                </c:manualLayout>
              </c:layout>
              <c:numFmt formatCode="General" sourceLinked="0"/>
              <c:spPr>
                <a:noFill/>
                <a:ln w="25400">
                  <a:noFill/>
                </a:ln>
              </c:spPr>
              <c:txPr>
                <a:bodyPr/>
                <a:lstStyle/>
                <a:p>
                  <a:pPr>
                    <a:defRPr sz="1125" b="0" i="0" u="none" strike="noStrike" baseline="0">
                      <a:solidFill>
                        <a:srgbClr val="000000"/>
                      </a:solidFill>
                      <a:latin typeface="Geneva"/>
                      <a:ea typeface="Geneva"/>
                      <a:cs typeface="Geneva"/>
                    </a:defRPr>
                  </a:pPr>
                  <a:endParaRPr lang="en-US"/>
                </a:p>
              </c:txPr>
            </c:trendlineLbl>
          </c:trendline>
          <c:xVal>
            <c:numRef>
              <c:f>Sheet1!$A$7:$A$11</c:f>
              <c:numCache>
                <c:formatCode>General</c:formatCode>
                <c:ptCount val="5"/>
                <c:pt idx="0">
                  <c:v>0.02</c:v>
                </c:pt>
                <c:pt idx="1">
                  <c:v>0.03</c:v>
                </c:pt>
                <c:pt idx="2">
                  <c:v>0.04</c:v>
                </c:pt>
                <c:pt idx="3">
                  <c:v>0.05</c:v>
                </c:pt>
                <c:pt idx="4">
                  <c:v>0.06</c:v>
                </c:pt>
              </c:numCache>
            </c:numRef>
          </c:xVal>
          <c:yVal>
            <c:numRef>
              <c:f>Sheet1!$F$7:$F$11</c:f>
              <c:numCache>
                <c:formatCode>0.000</c:formatCode>
                <c:ptCount val="5"/>
                <c:pt idx="0">
                  <c:v>0.220333333333333</c:v>
                </c:pt>
                <c:pt idx="1">
                  <c:v>0.31</c:v>
                </c:pt>
                <c:pt idx="2">
                  <c:v>0.422666666666667</c:v>
                </c:pt>
                <c:pt idx="3">
                  <c:v>0.479666666666667</c:v>
                </c:pt>
                <c:pt idx="4">
                  <c:v>0.53</c:v>
                </c:pt>
              </c:numCache>
            </c:numRef>
          </c:yVal>
          <c:smooth val="0"/>
        </c:ser>
        <c:dLbls>
          <c:showLegendKey val="0"/>
          <c:showVal val="0"/>
          <c:showCatName val="0"/>
          <c:showSerName val="0"/>
          <c:showPercent val="0"/>
          <c:showBubbleSize val="0"/>
        </c:dLbls>
        <c:axId val="2065584456"/>
        <c:axId val="2070024792"/>
      </c:scatterChart>
      <c:valAx>
        <c:axId val="2065584456"/>
        <c:scaling>
          <c:orientation val="minMax"/>
        </c:scaling>
        <c:delete val="0"/>
        <c:axPos val="b"/>
        <c:title>
          <c:tx>
            <c:rich>
              <a:bodyPr/>
              <a:lstStyle/>
              <a:p>
                <a:pPr>
                  <a:defRPr/>
                </a:pPr>
                <a:r>
                  <a:rPr lang="en-US"/>
                  <a:t>Protein Concentration (</a:t>
                </a:r>
                <a:r>
                  <a:rPr lang="en-GB" sz="1125" b="0" i="1" u="none" strike="noStrike" baseline="0">
                    <a:effectLst/>
                  </a:rPr>
                  <a:t>μ</a:t>
                </a:r>
                <a:r>
                  <a:rPr lang="en-GB" sz="1125" b="0" i="0" u="none" strike="noStrike" baseline="0">
                    <a:effectLst/>
                  </a:rPr>
                  <a:t>g /ml)</a:t>
                </a:r>
                <a:r>
                  <a:rPr lang="en-US"/>
                  <a:t> </a:t>
                </a:r>
              </a:p>
            </c:rich>
          </c:tx>
          <c:layout/>
          <c:overlay val="0"/>
        </c:title>
        <c:numFmt formatCode="General" sourceLinked="1"/>
        <c:majorTickMark val="out"/>
        <c:minorTickMark val="none"/>
        <c:tickLblPos val="nextTo"/>
        <c:spPr>
          <a:ln w="3175">
            <a:solidFill>
              <a:srgbClr val="000000"/>
            </a:solidFill>
            <a:prstDash val="solid"/>
          </a:ln>
        </c:spPr>
        <c:txPr>
          <a:bodyPr rot="0" vert="horz"/>
          <a:lstStyle/>
          <a:p>
            <a:pPr>
              <a:defRPr sz="1125" b="0" i="0" u="none" strike="noStrike" baseline="0">
                <a:solidFill>
                  <a:srgbClr val="000000"/>
                </a:solidFill>
                <a:latin typeface="Geneva"/>
                <a:ea typeface="Geneva"/>
                <a:cs typeface="Geneva"/>
              </a:defRPr>
            </a:pPr>
            <a:endParaRPr lang="en-US"/>
          </a:p>
        </c:txPr>
        <c:crossAx val="2070024792"/>
        <c:crosses val="autoZero"/>
        <c:crossBetween val="midCat"/>
      </c:valAx>
      <c:valAx>
        <c:axId val="2070024792"/>
        <c:scaling>
          <c:orientation val="minMax"/>
        </c:scaling>
        <c:delete val="0"/>
        <c:axPos val="l"/>
        <c:majorGridlines>
          <c:spPr>
            <a:ln w="3175">
              <a:solidFill>
                <a:srgbClr val="000000"/>
              </a:solidFill>
              <a:prstDash val="solid"/>
            </a:ln>
          </c:spPr>
        </c:majorGridlines>
        <c:title>
          <c:tx>
            <c:rich>
              <a:bodyPr rot="-5400000" vert="horz"/>
              <a:lstStyle/>
              <a:p>
                <a:pPr>
                  <a:defRPr/>
                </a:pPr>
                <a:r>
                  <a:rPr lang="en-US"/>
                  <a:t>Average OD</a:t>
                </a:r>
              </a:p>
            </c:rich>
          </c:tx>
          <c:layout>
            <c:manualLayout>
              <c:xMode val="edge"/>
              <c:yMode val="edge"/>
              <c:x val="0.0"/>
              <c:y val="0.325200059288145"/>
            </c:manualLayout>
          </c:layout>
          <c:overlay val="0"/>
        </c:title>
        <c:numFmt formatCode="0.000" sourceLinked="1"/>
        <c:majorTickMark val="out"/>
        <c:minorTickMark val="none"/>
        <c:tickLblPos val="nextTo"/>
        <c:spPr>
          <a:ln w="3175">
            <a:solidFill>
              <a:srgbClr val="000000"/>
            </a:solidFill>
            <a:prstDash val="solid"/>
          </a:ln>
        </c:spPr>
        <c:txPr>
          <a:bodyPr rot="0" vert="horz"/>
          <a:lstStyle/>
          <a:p>
            <a:pPr>
              <a:defRPr sz="1125" b="0" i="0" u="none" strike="noStrike" baseline="0">
                <a:solidFill>
                  <a:srgbClr val="000000"/>
                </a:solidFill>
                <a:latin typeface="Geneva"/>
                <a:ea typeface="Geneva"/>
                <a:cs typeface="Geneva"/>
              </a:defRPr>
            </a:pPr>
            <a:endParaRPr lang="en-US"/>
          </a:p>
        </c:txPr>
        <c:crossAx val="2065584456"/>
        <c:crosses val="autoZero"/>
        <c:crossBetween val="midCat"/>
      </c:valAx>
      <c:spPr>
        <a:solidFill>
          <a:srgbClr val="C0C0C0"/>
        </a:solidFill>
        <a:ln w="12700">
          <a:solidFill>
            <a:srgbClr val="808080"/>
          </a:solidFill>
          <a:prstDash val="solid"/>
        </a:ln>
      </c:spPr>
    </c:plotArea>
    <c:plotVisOnly val="1"/>
    <c:dispBlanksAs val="gap"/>
    <c:showDLblsOverMax val="0"/>
  </c:chart>
  <c:spPr>
    <a:solidFill>
      <a:srgbClr val="FFFFFF"/>
    </a:solidFill>
    <a:ln w="3175">
      <a:noFill/>
      <a:prstDash val="solid"/>
    </a:ln>
  </c:spPr>
  <c:txPr>
    <a:bodyPr/>
    <a:lstStyle/>
    <a:p>
      <a:pPr>
        <a:defRPr sz="1125" b="0" i="0" u="none" strike="noStrike" baseline="0">
          <a:solidFill>
            <a:srgbClr val="000000"/>
          </a:solidFill>
          <a:latin typeface="Geneva"/>
          <a:ea typeface="Geneva"/>
          <a:cs typeface="Geneva"/>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8485814273216"/>
          <c:y val="0.0337620578778135"/>
          <c:w val="0.74498667317748"/>
          <c:h val="0.780100598357681"/>
        </c:manualLayout>
      </c:layout>
      <c:barChart>
        <c:barDir val="col"/>
        <c:grouping val="clustered"/>
        <c:varyColors val="0"/>
        <c:ser>
          <c:idx val="0"/>
          <c:order val="0"/>
          <c:spPr>
            <a:solidFill>
              <a:schemeClr val="accent5"/>
            </a:solidFill>
            <a:ln>
              <a:noFill/>
            </a:ln>
            <a:effectLst/>
          </c:spPr>
          <c:invertIfNegative val="0"/>
          <c:dPt>
            <c:idx val="3"/>
            <c:invertIfNegative val="0"/>
            <c:bubble3D val="0"/>
            <c:spPr>
              <a:solidFill>
                <a:srgbClr val="C0504D"/>
              </a:solidFill>
              <a:ln>
                <a:noFill/>
              </a:ln>
              <a:effectLst/>
            </c:spPr>
          </c:dPt>
          <c:dPt>
            <c:idx val="10"/>
            <c:invertIfNegative val="0"/>
            <c:bubble3D val="0"/>
            <c:spPr>
              <a:solidFill>
                <a:srgbClr val="C0504D"/>
              </a:solidFill>
              <a:ln>
                <a:noFill/>
              </a:ln>
              <a:effectLst/>
            </c:spPr>
          </c:dPt>
          <c:dPt>
            <c:idx val="12"/>
            <c:invertIfNegative val="0"/>
            <c:bubble3D val="0"/>
            <c:spPr>
              <a:solidFill>
                <a:srgbClr val="C0504D"/>
              </a:solidFill>
              <a:ln>
                <a:noFill/>
              </a:ln>
              <a:effectLst/>
            </c:spPr>
          </c:dPt>
          <c:dPt>
            <c:idx val="13"/>
            <c:invertIfNegative val="0"/>
            <c:bubble3D val="0"/>
            <c:spPr>
              <a:solidFill>
                <a:srgbClr val="C0504D"/>
              </a:solidFill>
              <a:ln>
                <a:noFill/>
              </a:ln>
              <a:effectLst/>
            </c:spPr>
          </c:dPt>
          <c:dPt>
            <c:idx val="14"/>
            <c:invertIfNegative val="0"/>
            <c:bubble3D val="0"/>
            <c:spPr>
              <a:solidFill>
                <a:srgbClr val="C0504D"/>
              </a:solidFill>
              <a:ln>
                <a:noFill/>
              </a:ln>
              <a:effectLst/>
            </c:spPr>
          </c:dPt>
          <c:errBars>
            <c:errBarType val="both"/>
            <c:errValType val="cust"/>
            <c:noEndCap val="0"/>
            <c:plus>
              <c:numRef>
                <c:f>results!$D$21:$D$36</c:f>
                <c:numCache>
                  <c:formatCode>General</c:formatCode>
                  <c:ptCount val="16"/>
                  <c:pt idx="0">
                    <c:v>0.0169346863972112</c:v>
                  </c:pt>
                  <c:pt idx="1">
                    <c:v>0.115779281019249</c:v>
                  </c:pt>
                  <c:pt idx="2">
                    <c:v>0.0216327064248401</c:v>
                  </c:pt>
                  <c:pt idx="3">
                    <c:v>0.213783165427314</c:v>
                  </c:pt>
                  <c:pt idx="4">
                    <c:v>0.228597501812411</c:v>
                  </c:pt>
                  <c:pt idx="5">
                    <c:v>0.0148919046581881</c:v>
                  </c:pt>
                  <c:pt idx="6">
                    <c:v>0.0564951162984787</c:v>
                  </c:pt>
                  <c:pt idx="7">
                    <c:v>0.0351227855921782</c:v>
                  </c:pt>
                  <c:pt idx="8">
                    <c:v>0.134753027334643</c:v>
                  </c:pt>
                  <c:pt idx="9">
                    <c:v>0.175347359640309</c:v>
                  </c:pt>
                  <c:pt idx="10">
                    <c:v>0.325936528258131</c:v>
                  </c:pt>
                  <c:pt idx="11">
                    <c:v>0.0220349918550679</c:v>
                  </c:pt>
                  <c:pt idx="12">
                    <c:v>0.453277761714679</c:v>
                  </c:pt>
                  <c:pt idx="13">
                    <c:v>0.0348031848699542</c:v>
                  </c:pt>
                  <c:pt idx="14">
                    <c:v>0.386907340366676</c:v>
                  </c:pt>
                  <c:pt idx="15">
                    <c:v>0.0119629211598461</c:v>
                  </c:pt>
                </c:numCache>
              </c:numRef>
            </c:plus>
            <c:minus>
              <c:numRef>
                <c:f>results!$C$21:$C$36</c:f>
                <c:numCache>
                  <c:formatCode>General</c:formatCode>
                  <c:ptCount val="16"/>
                  <c:pt idx="0">
                    <c:v>0.0157910501189771</c:v>
                  </c:pt>
                  <c:pt idx="1">
                    <c:v>0.0244548130547371</c:v>
                  </c:pt>
                  <c:pt idx="2">
                    <c:v>0.0177475350496582</c:v>
                  </c:pt>
                  <c:pt idx="3">
                    <c:v>0.167559900069356</c:v>
                  </c:pt>
                  <c:pt idx="4">
                    <c:v>0.110509451837697</c:v>
                  </c:pt>
                  <c:pt idx="5">
                    <c:v>0.0131426645629403</c:v>
                  </c:pt>
                  <c:pt idx="6">
                    <c:v>0.0471772458985267</c:v>
                  </c:pt>
                  <c:pt idx="7">
                    <c:v>0.0299578859146001</c:v>
                  </c:pt>
                  <c:pt idx="8">
                    <c:v>0.101113391304024</c:v>
                  </c:pt>
                  <c:pt idx="9">
                    <c:v>0.115362195400403</c:v>
                  </c:pt>
                  <c:pt idx="10">
                    <c:v>0.21760308765825</c:v>
                  </c:pt>
                  <c:pt idx="11">
                    <c:v>0.0197350580136764</c:v>
                  </c:pt>
                  <c:pt idx="12">
                    <c:v>0.349548647831705</c:v>
                  </c:pt>
                  <c:pt idx="13">
                    <c:v>0.0325126417972553</c:v>
                  </c:pt>
                  <c:pt idx="14">
                    <c:v>0.348966309924675</c:v>
                  </c:pt>
                  <c:pt idx="15">
                    <c:v>0.011140379316438</c:v>
                  </c:pt>
                </c:numCache>
              </c:numRef>
            </c:minus>
            <c:spPr>
              <a:ln w="6350"/>
            </c:spPr>
          </c:errBars>
          <c:cat>
            <c:strRef>
              <c:f>results!$A$21:$A$36</c:f>
              <c:strCach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17</c:v>
                </c:pt>
                <c:pt idx="15">
                  <c:v>Control</c:v>
                </c:pt>
              </c:strCache>
            </c:strRef>
          </c:cat>
          <c:val>
            <c:numRef>
              <c:f>results!$B$21:$B$36</c:f>
              <c:numCache>
                <c:formatCode>0.00000000</c:formatCode>
                <c:ptCount val="16"/>
                <c:pt idx="0">
                  <c:v>0.233830009363182</c:v>
                </c:pt>
                <c:pt idx="1">
                  <c:v>0.0310033087084379</c:v>
                </c:pt>
                <c:pt idx="2">
                  <c:v>0.0988186050031953</c:v>
                </c:pt>
                <c:pt idx="3">
                  <c:v>0.774966579234624</c:v>
                </c:pt>
                <c:pt idx="4" formatCode="General">
                  <c:v>0.213926681168552</c:v>
                </c:pt>
                <c:pt idx="5" formatCode="General">
                  <c:v>0.111888189710249</c:v>
                </c:pt>
                <c:pt idx="6" formatCode="General">
                  <c:v>0.286040036969489</c:v>
                </c:pt>
                <c:pt idx="7" formatCode="General">
                  <c:v>0.203722137787357</c:v>
                </c:pt>
                <c:pt idx="8" formatCode="General">
                  <c:v>0.405038139232177</c:v>
                </c:pt>
                <c:pt idx="9" formatCode="General">
                  <c:v>0.337224322415252</c:v>
                </c:pt>
                <c:pt idx="10" formatCode="General">
                  <c:v>0.654689766491713</c:v>
                </c:pt>
                <c:pt idx="11" formatCode="General">
                  <c:v>0.189075805036006</c:v>
                </c:pt>
                <c:pt idx="12" formatCode="General">
                  <c:v>1.527465364047188</c:v>
                </c:pt>
                <c:pt idx="13" formatCode="General">
                  <c:v>0.494006638236758</c:v>
                </c:pt>
                <c:pt idx="14" formatCode="General">
                  <c:v>3.558617815004357</c:v>
                </c:pt>
                <c:pt idx="15" formatCode="General">
                  <c:v>0.162023951147733</c:v>
                </c:pt>
              </c:numCache>
            </c:numRef>
          </c:val>
        </c:ser>
        <c:dLbls>
          <c:showLegendKey val="0"/>
          <c:showVal val="0"/>
          <c:showCatName val="0"/>
          <c:showSerName val="0"/>
          <c:showPercent val="0"/>
          <c:showBubbleSize val="0"/>
        </c:dLbls>
        <c:gapWidth val="150"/>
        <c:axId val="2106162696"/>
        <c:axId val="2106168264"/>
      </c:barChart>
      <c:catAx>
        <c:axId val="2106162696"/>
        <c:scaling>
          <c:orientation val="minMax"/>
        </c:scaling>
        <c:delete val="0"/>
        <c:axPos val="b"/>
        <c:title>
          <c:tx>
            <c:rich>
              <a:bodyPr/>
              <a:lstStyle/>
              <a:p>
                <a:pPr>
                  <a:defRPr sz="1000"/>
                </a:pPr>
                <a:r>
                  <a:rPr lang="en-US" sz="1000"/>
                  <a:t>Clone Name</a:t>
                </a:r>
              </a:p>
            </c:rich>
          </c:tx>
          <c:layout>
            <c:manualLayout>
              <c:xMode val="edge"/>
              <c:yMode val="edge"/>
              <c:x val="0.476567304086989"/>
              <c:y val="0.871382636655948"/>
            </c:manualLayout>
          </c:layout>
          <c:overlay val="0"/>
        </c:title>
        <c:numFmt formatCode="General" sourceLinked="1"/>
        <c:majorTickMark val="none"/>
        <c:minorTickMark val="none"/>
        <c:tickLblPos val="nextTo"/>
        <c:txPr>
          <a:bodyPr/>
          <a:lstStyle/>
          <a:p>
            <a:pPr>
              <a:defRPr sz="1000"/>
            </a:pPr>
            <a:endParaRPr lang="en-US"/>
          </a:p>
        </c:txPr>
        <c:crossAx val="2106168264"/>
        <c:crosses val="autoZero"/>
        <c:auto val="1"/>
        <c:lblAlgn val="ctr"/>
        <c:lblOffset val="100"/>
        <c:noMultiLvlLbl val="0"/>
      </c:catAx>
      <c:valAx>
        <c:axId val="2106168264"/>
        <c:scaling>
          <c:orientation val="minMax"/>
          <c:max val="4.25"/>
        </c:scaling>
        <c:delete val="0"/>
        <c:axPos val="l"/>
        <c:title>
          <c:tx>
            <c:rich>
              <a:bodyPr/>
              <a:lstStyle/>
              <a:p>
                <a:pPr>
                  <a:defRPr sz="1000"/>
                </a:pPr>
                <a:r>
                  <a:rPr lang="en-US" sz="1000"/>
                  <a:t>Relative SRCAP mRNA Expression</a:t>
                </a:r>
                <a:r>
                  <a:rPr lang="en-US" sz="1000" baseline="0"/>
                  <a:t> of HCT116 cells</a:t>
                </a:r>
                <a:endParaRPr lang="en-US" sz="1000"/>
              </a:p>
            </c:rich>
          </c:tx>
          <c:layout>
            <c:manualLayout>
              <c:xMode val="edge"/>
              <c:yMode val="edge"/>
              <c:x val="0.0136859346070113"/>
              <c:y val="0.072516478044746"/>
            </c:manualLayout>
          </c:layout>
          <c:overlay val="0"/>
        </c:title>
        <c:numFmt formatCode="0.00" sourceLinked="0"/>
        <c:majorTickMark val="out"/>
        <c:minorTickMark val="none"/>
        <c:tickLblPos val="nextTo"/>
        <c:txPr>
          <a:bodyPr/>
          <a:lstStyle/>
          <a:p>
            <a:pPr>
              <a:defRPr sz="900"/>
            </a:pPr>
            <a:endParaRPr lang="en-US"/>
          </a:p>
        </c:txPr>
        <c:crossAx val="2106162696"/>
        <c:crosses val="autoZero"/>
        <c:crossBetween val="between"/>
      </c:valAx>
      <c:spPr>
        <a:effectLst/>
      </c:spPr>
    </c:plotArea>
    <c:plotVisOnly val="1"/>
    <c:dispBlanksAs val="gap"/>
    <c:showDLblsOverMax val="0"/>
  </c:chart>
  <c:spPr>
    <a:ln>
      <a:solidFill>
        <a:srgbClr val="FFFFFF"/>
      </a:solid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5870350974248"/>
          <c:y val="0.0315186246418338"/>
          <c:w val="0.784499931121495"/>
          <c:h val="0.739786844826215"/>
        </c:manualLayout>
      </c:layout>
      <c:barChart>
        <c:barDir val="col"/>
        <c:grouping val="clustered"/>
        <c:varyColors val="0"/>
        <c:ser>
          <c:idx val="0"/>
          <c:order val="0"/>
          <c:spPr>
            <a:solidFill>
              <a:schemeClr val="accent5"/>
            </a:solidFill>
            <a:effectLst/>
          </c:spPr>
          <c:invertIfNegative val="0"/>
          <c:errBars>
            <c:errBarType val="both"/>
            <c:errValType val="cust"/>
            <c:noEndCap val="0"/>
            <c:plus>
              <c:numRef>
                <c:f>results!$D$21:$D$36</c:f>
                <c:numCache>
                  <c:formatCode>General</c:formatCode>
                  <c:ptCount val="16"/>
                  <c:pt idx="0">
                    <c:v>8.09761149124103E-5</c:v>
                  </c:pt>
                  <c:pt idx="1">
                    <c:v>2.78757710617639E-5</c:v>
                  </c:pt>
                  <c:pt idx="2">
                    <c:v>4.78398259938417E-5</c:v>
                  </c:pt>
                  <c:pt idx="3">
                    <c:v>0.000157317405880744</c:v>
                  </c:pt>
                  <c:pt idx="4">
                    <c:v>0.000106710233333018</c:v>
                  </c:pt>
                  <c:pt idx="5">
                    <c:v>0.00014266684491482</c:v>
                  </c:pt>
                  <c:pt idx="6">
                    <c:v>0.000105718351586654</c:v>
                  </c:pt>
                  <c:pt idx="7">
                    <c:v>1.21729264504019E-5</c:v>
                  </c:pt>
                  <c:pt idx="8">
                    <c:v>8.1662499912115E-5</c:v>
                  </c:pt>
                  <c:pt idx="9">
                    <c:v>0.000175800194352425</c:v>
                  </c:pt>
                  <c:pt idx="10">
                    <c:v>8.09364096594346E-5</c:v>
                  </c:pt>
                  <c:pt idx="11">
                    <c:v>8.09996441531507E-5</c:v>
                  </c:pt>
                  <c:pt idx="12">
                    <c:v>0.000630541533436573</c:v>
                  </c:pt>
                  <c:pt idx="13">
                    <c:v>2.49435358819662E-5</c:v>
                  </c:pt>
                  <c:pt idx="14">
                    <c:v>5.98824067040151E-5</c:v>
                  </c:pt>
                  <c:pt idx="15">
                    <c:v>0.000291547431799972</c:v>
                  </c:pt>
                </c:numCache>
              </c:numRef>
            </c:plus>
            <c:minus>
              <c:numRef>
                <c:f>results!$C$21:$C$36</c:f>
                <c:numCache>
                  <c:formatCode>General</c:formatCode>
                  <c:ptCount val="16"/>
                  <c:pt idx="0">
                    <c:v>7.19496465030493E-5</c:v>
                  </c:pt>
                  <c:pt idx="1">
                    <c:v>2.65850904494686E-5</c:v>
                  </c:pt>
                  <c:pt idx="2">
                    <c:v>4.4686523499409E-5</c:v>
                  </c:pt>
                  <c:pt idx="3">
                    <c:v>0.00012795728120327</c:v>
                  </c:pt>
                  <c:pt idx="4">
                    <c:v>9.28263354914837E-5</c:v>
                  </c:pt>
                  <c:pt idx="5">
                    <c:v>0.000119022167721334</c:v>
                  </c:pt>
                  <c:pt idx="6">
                    <c:v>9.28562349774487E-5</c:v>
                  </c:pt>
                  <c:pt idx="7">
                    <c:v>1.19783492249729E-5</c:v>
                  </c:pt>
                  <c:pt idx="8">
                    <c:v>7.44256846596254E-5</c:v>
                  </c:pt>
                  <c:pt idx="9">
                    <c:v>0.000142893761436222</c:v>
                  </c:pt>
                  <c:pt idx="10">
                    <c:v>7.0836496403171E-5</c:v>
                  </c:pt>
                  <c:pt idx="11">
                    <c:v>7.28084825112035E-5</c:v>
                  </c:pt>
                  <c:pt idx="12">
                    <c:v>0.000380631709889313</c:v>
                  </c:pt>
                  <c:pt idx="13">
                    <c:v>2.4212738418551E-5</c:v>
                  </c:pt>
                  <c:pt idx="14">
                    <c:v>5.50342631587891E-5</c:v>
                  </c:pt>
                  <c:pt idx="15">
                    <c:v>0.000210101168296286</c:v>
                  </c:pt>
                </c:numCache>
              </c:numRef>
            </c:minus>
            <c:spPr>
              <a:ln w="6350"/>
            </c:spPr>
          </c:errBars>
          <c:cat>
            <c:strRef>
              <c:f>results!$A$21:$A$35</c:f>
              <c:strCache>
                <c:ptCount val="15"/>
                <c:pt idx="0">
                  <c:v>1</c:v>
                </c:pt>
                <c:pt idx="1">
                  <c:v>2</c:v>
                </c:pt>
                <c:pt idx="2">
                  <c:v>3</c:v>
                </c:pt>
                <c:pt idx="3">
                  <c:v>4</c:v>
                </c:pt>
                <c:pt idx="4">
                  <c:v>5</c:v>
                </c:pt>
                <c:pt idx="5">
                  <c:v>6</c:v>
                </c:pt>
                <c:pt idx="6">
                  <c:v>7</c:v>
                </c:pt>
                <c:pt idx="7">
                  <c:v>8</c:v>
                </c:pt>
                <c:pt idx="8">
                  <c:v>9</c:v>
                </c:pt>
                <c:pt idx="9">
                  <c:v>10</c:v>
                </c:pt>
                <c:pt idx="10">
                  <c:v>11</c:v>
                </c:pt>
                <c:pt idx="11">
                  <c:v>12</c:v>
                </c:pt>
                <c:pt idx="12">
                  <c:v>17</c:v>
                </c:pt>
                <c:pt idx="13">
                  <c:v>18</c:v>
                </c:pt>
                <c:pt idx="14">
                  <c:v>Control</c:v>
                </c:pt>
              </c:strCache>
            </c:strRef>
          </c:cat>
          <c:val>
            <c:numRef>
              <c:f>results!$B$21:$B$35</c:f>
              <c:numCache>
                <c:formatCode>0.00000000</c:formatCode>
                <c:ptCount val="15"/>
                <c:pt idx="0">
                  <c:v>0.000645457622949833</c:v>
                </c:pt>
                <c:pt idx="1">
                  <c:v>0.000574177598986365</c:v>
                </c:pt>
                <c:pt idx="2">
                  <c:v>0.000677954465914986</c:v>
                </c:pt>
                <c:pt idx="3">
                  <c:v>0.000685620642404692</c:v>
                </c:pt>
                <c:pt idx="4" formatCode="General">
                  <c:v>0.000713453817710432</c:v>
                </c:pt>
                <c:pt idx="5" formatCode="General">
                  <c:v>0.000718153900126123</c:v>
                </c:pt>
                <c:pt idx="6" formatCode="General">
                  <c:v>0.000763218713888294</c:v>
                </c:pt>
                <c:pt idx="7" formatCode="General">
                  <c:v>0.000749376314683049</c:v>
                </c:pt>
                <c:pt idx="8" formatCode="General">
                  <c:v>0.000839842839000985</c:v>
                </c:pt>
                <c:pt idx="9" formatCode="General">
                  <c:v>0.000763399396592372</c:v>
                </c:pt>
                <c:pt idx="10" formatCode="General">
                  <c:v>0.000567653557635312</c:v>
                </c:pt>
                <c:pt idx="11" formatCode="General">
                  <c:v>0.000719978610181159</c:v>
                </c:pt>
                <c:pt idx="12" formatCode="General">
                  <c:v>0.000960362816561326</c:v>
                </c:pt>
                <c:pt idx="13" formatCode="General">
                  <c:v>0.000826427758413544</c:v>
                </c:pt>
                <c:pt idx="14" formatCode="General">
                  <c:v>0.000679762077666852</c:v>
                </c:pt>
              </c:numCache>
            </c:numRef>
          </c:val>
        </c:ser>
        <c:dLbls>
          <c:showLegendKey val="0"/>
          <c:showVal val="0"/>
          <c:showCatName val="0"/>
          <c:showSerName val="0"/>
          <c:showPercent val="0"/>
          <c:showBubbleSize val="0"/>
        </c:dLbls>
        <c:gapWidth val="150"/>
        <c:axId val="2106787176"/>
        <c:axId val="2106781704"/>
      </c:barChart>
      <c:catAx>
        <c:axId val="2106787176"/>
        <c:scaling>
          <c:orientation val="minMax"/>
        </c:scaling>
        <c:delete val="0"/>
        <c:axPos val="b"/>
        <c:title>
          <c:tx>
            <c:rich>
              <a:bodyPr/>
              <a:lstStyle/>
              <a:p>
                <a:pPr>
                  <a:defRPr sz="1000"/>
                </a:pPr>
                <a:r>
                  <a:rPr lang="en-US" sz="1000"/>
                  <a:t>Clone Name</a:t>
                </a:r>
              </a:p>
            </c:rich>
          </c:tx>
          <c:layout>
            <c:manualLayout>
              <c:xMode val="edge"/>
              <c:yMode val="edge"/>
              <c:x val="0.49961646699189"/>
              <c:y val="0.863636363636364"/>
            </c:manualLayout>
          </c:layout>
          <c:overlay val="0"/>
        </c:title>
        <c:numFmt formatCode="General" sourceLinked="1"/>
        <c:majorTickMark val="none"/>
        <c:minorTickMark val="none"/>
        <c:tickLblPos val="nextTo"/>
        <c:txPr>
          <a:bodyPr/>
          <a:lstStyle/>
          <a:p>
            <a:pPr>
              <a:defRPr sz="1000"/>
            </a:pPr>
            <a:endParaRPr lang="en-US"/>
          </a:p>
        </c:txPr>
        <c:crossAx val="2106781704"/>
        <c:crosses val="autoZero"/>
        <c:auto val="1"/>
        <c:lblAlgn val="ctr"/>
        <c:lblOffset val="100"/>
        <c:noMultiLvlLbl val="0"/>
      </c:catAx>
      <c:valAx>
        <c:axId val="2106781704"/>
        <c:scaling>
          <c:orientation val="minMax"/>
          <c:max val="0.003"/>
        </c:scaling>
        <c:delete val="0"/>
        <c:axPos val="l"/>
        <c:title>
          <c:tx>
            <c:rich>
              <a:bodyPr/>
              <a:lstStyle/>
              <a:p>
                <a:pPr>
                  <a:defRPr sz="1000"/>
                </a:pPr>
                <a:r>
                  <a:rPr lang="en-US" sz="1000" dirty="0"/>
                  <a:t>Relative SRCAP mRNA </a:t>
                </a:r>
                <a:r>
                  <a:rPr lang="en-US" sz="1000" dirty="0" smtClean="0"/>
                  <a:t>Expression of Rpe Cells </a:t>
                </a:r>
                <a:endParaRPr lang="en-US" sz="1000" dirty="0"/>
              </a:p>
            </c:rich>
          </c:tx>
          <c:layout>
            <c:manualLayout>
              <c:xMode val="edge"/>
              <c:yMode val="edge"/>
              <c:x val="0.0115473173462315"/>
              <c:y val="0.0698675733715104"/>
            </c:manualLayout>
          </c:layout>
          <c:overlay val="0"/>
        </c:title>
        <c:numFmt formatCode="0.0000" sourceLinked="0"/>
        <c:majorTickMark val="out"/>
        <c:minorTickMark val="none"/>
        <c:tickLblPos val="nextTo"/>
        <c:txPr>
          <a:bodyPr/>
          <a:lstStyle/>
          <a:p>
            <a:pPr>
              <a:defRPr sz="900"/>
            </a:pPr>
            <a:endParaRPr lang="en-US"/>
          </a:p>
        </c:txPr>
        <c:crossAx val="2106787176"/>
        <c:crosses val="autoZero"/>
        <c:crossBetween val="between"/>
      </c:valAx>
    </c:plotArea>
    <c:plotVisOnly val="1"/>
    <c:dispBlanksAs val="gap"/>
    <c:showDLblsOverMax val="0"/>
  </c:chart>
  <c:spPr>
    <a:ln>
      <a:solidFill>
        <a:srgbClr val="FFFFFF"/>
      </a:solid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63411799777578"/>
          <c:y val="0.0517515923566879"/>
          <c:w val="0.755248243028791"/>
          <c:h val="0.791667084608054"/>
        </c:manualLayout>
      </c:layout>
      <c:lineChart>
        <c:grouping val="standard"/>
        <c:varyColors val="0"/>
        <c:ser>
          <c:idx val="0"/>
          <c:order val="0"/>
          <c:tx>
            <c:strRef>
              <c:f>'Sheet1 (2)'!$P$18</c:f>
              <c:strCache>
                <c:ptCount val="1"/>
                <c:pt idx="0">
                  <c:v>Control</c:v>
                </c:pt>
              </c:strCache>
            </c:strRef>
          </c:tx>
          <c:spPr>
            <a:ln w="25400">
              <a:solidFill>
                <a:schemeClr val="accent1"/>
              </a:solidFill>
            </a:ln>
          </c:spPr>
          <c:marker>
            <c:symbol val="none"/>
          </c:marker>
          <c:errBars>
            <c:errDir val="y"/>
            <c:errBarType val="both"/>
            <c:errValType val="cust"/>
            <c:noEndCap val="0"/>
            <c:plus>
              <c:numRef>
                <c:f>('Sheet1 (2)'!$H$4,'Sheet1 (2)'!$M$4,'Sheet1 (2)'!$R$4,'Sheet1 (2)'!$W$4,'Sheet1 (2)'!$AB$4,'Sheet1 (2)'!$AG$4)</c:f>
                <c:numCache>
                  <c:formatCode>General</c:formatCode>
                  <c:ptCount val="6"/>
                  <c:pt idx="0">
                    <c:v>0.0</c:v>
                  </c:pt>
                  <c:pt idx="1">
                    <c:v>51854.4972870135</c:v>
                  </c:pt>
                  <c:pt idx="2">
                    <c:v>0.0</c:v>
                  </c:pt>
                  <c:pt idx="3">
                    <c:v>3.5591041319723E6</c:v>
                  </c:pt>
                  <c:pt idx="4">
                    <c:v>1.53206469257086E6</c:v>
                  </c:pt>
                  <c:pt idx="5">
                    <c:v>4.38406251476111E6</c:v>
                  </c:pt>
                </c:numCache>
              </c:numRef>
            </c:plus>
            <c:minus>
              <c:numRef>
                <c:f>('Sheet1 (2)'!$H$4,'Sheet1 (2)'!$M$4,'Sheet1 (2)'!$R$4,'Sheet1 (2)'!$W$4,'Sheet1 (2)'!$AB$4,'Sheet1 (2)'!$AG$4)</c:f>
                <c:numCache>
                  <c:formatCode>General</c:formatCode>
                  <c:ptCount val="6"/>
                  <c:pt idx="0">
                    <c:v>0.0</c:v>
                  </c:pt>
                  <c:pt idx="1">
                    <c:v>51854.4972870135</c:v>
                  </c:pt>
                  <c:pt idx="2">
                    <c:v>0.0</c:v>
                  </c:pt>
                  <c:pt idx="3">
                    <c:v>3.5591041319723E6</c:v>
                  </c:pt>
                  <c:pt idx="4">
                    <c:v>1.53206469257086E6</c:v>
                  </c:pt>
                  <c:pt idx="5">
                    <c:v>4.38406251476111E6</c:v>
                  </c:pt>
                </c:numCache>
              </c:numRef>
            </c:minus>
          </c:errBars>
          <c:cat>
            <c:strRef>
              <c:f>'Sheet1 (2)'!$Q$17:$V$17</c:f>
              <c:strCache>
                <c:ptCount val="6"/>
                <c:pt idx="0">
                  <c:v>0hrs</c:v>
                </c:pt>
                <c:pt idx="1">
                  <c:v>24hrs</c:v>
                </c:pt>
                <c:pt idx="2">
                  <c:v>48hrs</c:v>
                </c:pt>
                <c:pt idx="3">
                  <c:v>72hrs</c:v>
                </c:pt>
                <c:pt idx="4">
                  <c:v>96hrs</c:v>
                </c:pt>
                <c:pt idx="5">
                  <c:v>120hrs</c:v>
                </c:pt>
              </c:strCache>
            </c:strRef>
          </c:cat>
          <c:val>
            <c:numRef>
              <c:f>'Sheet1 (2)'!$Q$18:$V$18</c:f>
              <c:numCache>
                <c:formatCode>General</c:formatCode>
                <c:ptCount val="6"/>
                <c:pt idx="0">
                  <c:v>150000.0</c:v>
                </c:pt>
                <c:pt idx="1">
                  <c:v>866666.666666667</c:v>
                </c:pt>
                <c:pt idx="2">
                  <c:v>2.74E6</c:v>
                </c:pt>
                <c:pt idx="3">
                  <c:v>7.21666666666667E6</c:v>
                </c:pt>
                <c:pt idx="4">
                  <c:v>8.48333333333333E6</c:v>
                </c:pt>
                <c:pt idx="5">
                  <c:v>3.43666663333333E7</c:v>
                </c:pt>
              </c:numCache>
            </c:numRef>
          </c:val>
          <c:smooth val="0"/>
        </c:ser>
        <c:ser>
          <c:idx val="1"/>
          <c:order val="1"/>
          <c:tx>
            <c:strRef>
              <c:f>'Sheet1 (2)'!$P$19</c:f>
              <c:strCache>
                <c:ptCount val="1"/>
                <c:pt idx="0">
                  <c:v>4</c:v>
                </c:pt>
              </c:strCache>
            </c:strRef>
          </c:tx>
          <c:spPr>
            <a:ln w="25400">
              <a:solidFill>
                <a:schemeClr val="accent2"/>
              </a:solidFill>
            </a:ln>
          </c:spPr>
          <c:marker>
            <c:symbol val="none"/>
          </c:marker>
          <c:errBars>
            <c:errDir val="y"/>
            <c:errBarType val="both"/>
            <c:errValType val="cust"/>
            <c:noEndCap val="0"/>
            <c:plus>
              <c:numRef>
                <c:f>('Sheet1 (2)'!$H$4,'Sheet1 (2)'!$M$5,'Sheet1 (2)'!$R$5,'Sheet1 (2)'!$W$5,'Sheet1 (2)'!$AB$5,'Sheet1 (2)'!$AG$5)</c:f>
                <c:numCache>
                  <c:formatCode>General</c:formatCode>
                  <c:ptCount val="6"/>
                  <c:pt idx="0">
                    <c:v>0.0</c:v>
                  </c:pt>
                  <c:pt idx="1">
                    <c:v>14142.13562373095</c:v>
                  </c:pt>
                  <c:pt idx="2">
                    <c:v>0.0</c:v>
                  </c:pt>
                  <c:pt idx="3">
                    <c:v>3.72409571424915E6</c:v>
                  </c:pt>
                  <c:pt idx="4">
                    <c:v>2.30988215187604E6</c:v>
                  </c:pt>
                  <c:pt idx="5">
                    <c:v>919238.8155425117</c:v>
                  </c:pt>
                </c:numCache>
              </c:numRef>
            </c:plus>
            <c:minus>
              <c:numRef>
                <c:f>('Sheet1 (2)'!$H$4,'Sheet1 (2)'!$M$5,'Sheet1 (2)'!$R$5,'Sheet1 (2)'!$W$5,'Sheet1 (2)'!$AB$5,'Sheet1 (2)'!$AG$5)</c:f>
                <c:numCache>
                  <c:formatCode>General</c:formatCode>
                  <c:ptCount val="6"/>
                  <c:pt idx="0">
                    <c:v>0.0</c:v>
                  </c:pt>
                  <c:pt idx="1">
                    <c:v>14142.13562373095</c:v>
                  </c:pt>
                  <c:pt idx="2">
                    <c:v>0.0</c:v>
                  </c:pt>
                  <c:pt idx="3">
                    <c:v>3.72409571424915E6</c:v>
                  </c:pt>
                  <c:pt idx="4">
                    <c:v>2.30988215187604E6</c:v>
                  </c:pt>
                  <c:pt idx="5">
                    <c:v>919238.8155425117</c:v>
                  </c:pt>
                </c:numCache>
              </c:numRef>
            </c:minus>
          </c:errBars>
          <c:cat>
            <c:strRef>
              <c:f>'Sheet1 (2)'!$Q$17:$V$17</c:f>
              <c:strCache>
                <c:ptCount val="6"/>
                <c:pt idx="0">
                  <c:v>0hrs</c:v>
                </c:pt>
                <c:pt idx="1">
                  <c:v>24hrs</c:v>
                </c:pt>
                <c:pt idx="2">
                  <c:v>48hrs</c:v>
                </c:pt>
                <c:pt idx="3">
                  <c:v>72hrs</c:v>
                </c:pt>
                <c:pt idx="4">
                  <c:v>96hrs</c:v>
                </c:pt>
                <c:pt idx="5">
                  <c:v>120hrs</c:v>
                </c:pt>
              </c:strCache>
            </c:strRef>
          </c:cat>
          <c:val>
            <c:numRef>
              <c:f>'Sheet1 (2)'!$Q$19:$V$19</c:f>
              <c:numCache>
                <c:formatCode>General</c:formatCode>
                <c:ptCount val="6"/>
                <c:pt idx="0">
                  <c:v>150000.0</c:v>
                </c:pt>
                <c:pt idx="1">
                  <c:v>810000.0</c:v>
                </c:pt>
                <c:pt idx="2">
                  <c:v>1.8E6</c:v>
                </c:pt>
                <c:pt idx="3">
                  <c:v>7.0E6</c:v>
                </c:pt>
                <c:pt idx="4">
                  <c:v>1.09666666666667E7</c:v>
                </c:pt>
                <c:pt idx="5">
                  <c:v>3.605E7</c:v>
                </c:pt>
              </c:numCache>
            </c:numRef>
          </c:val>
          <c:smooth val="0"/>
        </c:ser>
        <c:ser>
          <c:idx val="2"/>
          <c:order val="2"/>
          <c:tx>
            <c:strRef>
              <c:f>'Sheet1 (2)'!$P$20</c:f>
              <c:strCache>
                <c:ptCount val="1"/>
                <c:pt idx="0">
                  <c:v>11</c:v>
                </c:pt>
              </c:strCache>
            </c:strRef>
          </c:tx>
          <c:spPr>
            <a:ln w="25400">
              <a:solidFill>
                <a:schemeClr val="accent3"/>
              </a:solidFill>
            </a:ln>
          </c:spPr>
          <c:marker>
            <c:symbol val="none"/>
          </c:marker>
          <c:errBars>
            <c:errDir val="y"/>
            <c:errBarType val="both"/>
            <c:errValType val="cust"/>
            <c:noEndCap val="0"/>
            <c:plus>
              <c:numRef>
                <c:f>('Sheet1 (2)'!$H$6,'Sheet1 (2)'!$M$6,'Sheet1 (2)'!$R$6,'Sheet1 (2)'!$W$6,'Sheet1 (2)'!$AB$6,'Sheet1 (2)'!$AG$6)</c:f>
                <c:numCache>
                  <c:formatCode>General</c:formatCode>
                  <c:ptCount val="6"/>
                  <c:pt idx="0">
                    <c:v>0.0</c:v>
                  </c:pt>
                  <c:pt idx="1">
                    <c:v>170884.1387867494</c:v>
                  </c:pt>
                  <c:pt idx="2">
                    <c:v>0.0</c:v>
                  </c:pt>
                  <c:pt idx="3">
                    <c:v>2.7223611075682E6</c:v>
                  </c:pt>
                  <c:pt idx="4">
                    <c:v>0.0</c:v>
                  </c:pt>
                  <c:pt idx="5">
                    <c:v>5.30330085889911E6</c:v>
                  </c:pt>
                </c:numCache>
              </c:numRef>
            </c:plus>
            <c:minus>
              <c:numRef>
                <c:f>('Sheet1 (2)'!$H$6,'Sheet1 (2)'!$M$6,'Sheet1 (2)'!$R$6,'Sheet1 (2)'!$W$6,'Sheet1 (2)'!$AB$6,'Sheet1 (2)'!$AG$6)</c:f>
                <c:numCache>
                  <c:formatCode>General</c:formatCode>
                  <c:ptCount val="6"/>
                  <c:pt idx="0">
                    <c:v>0.0</c:v>
                  </c:pt>
                  <c:pt idx="1">
                    <c:v>170884.1387867494</c:v>
                  </c:pt>
                  <c:pt idx="2">
                    <c:v>0.0</c:v>
                  </c:pt>
                  <c:pt idx="3">
                    <c:v>2.7223611075682E6</c:v>
                  </c:pt>
                  <c:pt idx="4">
                    <c:v>0.0</c:v>
                  </c:pt>
                  <c:pt idx="5">
                    <c:v>5.30330085889911E6</c:v>
                  </c:pt>
                </c:numCache>
              </c:numRef>
            </c:minus>
          </c:errBars>
          <c:cat>
            <c:strRef>
              <c:f>'Sheet1 (2)'!$Q$17:$V$17</c:f>
              <c:strCache>
                <c:ptCount val="6"/>
                <c:pt idx="0">
                  <c:v>0hrs</c:v>
                </c:pt>
                <c:pt idx="1">
                  <c:v>24hrs</c:v>
                </c:pt>
                <c:pt idx="2">
                  <c:v>48hrs</c:v>
                </c:pt>
                <c:pt idx="3">
                  <c:v>72hrs</c:v>
                </c:pt>
                <c:pt idx="4">
                  <c:v>96hrs</c:v>
                </c:pt>
                <c:pt idx="5">
                  <c:v>120hrs</c:v>
                </c:pt>
              </c:strCache>
            </c:strRef>
          </c:cat>
          <c:val>
            <c:numRef>
              <c:f>'Sheet1 (2)'!$Q$20:$V$20</c:f>
              <c:numCache>
                <c:formatCode>General</c:formatCode>
                <c:ptCount val="6"/>
                <c:pt idx="0">
                  <c:v>150000.0</c:v>
                </c:pt>
                <c:pt idx="1">
                  <c:v>624166.666666667</c:v>
                </c:pt>
                <c:pt idx="2">
                  <c:v>1.84E6</c:v>
                </c:pt>
                <c:pt idx="3">
                  <c:v>6.60833333333333E6</c:v>
                </c:pt>
                <c:pt idx="4">
                  <c:v>4.46666666666667E6</c:v>
                </c:pt>
                <c:pt idx="5">
                  <c:v>2.615E7</c:v>
                </c:pt>
              </c:numCache>
            </c:numRef>
          </c:val>
          <c:smooth val="0"/>
        </c:ser>
        <c:ser>
          <c:idx val="3"/>
          <c:order val="3"/>
          <c:tx>
            <c:strRef>
              <c:f>'Sheet1 (2)'!$P$21</c:f>
              <c:strCache>
                <c:ptCount val="1"/>
                <c:pt idx="0">
                  <c:v>13</c:v>
                </c:pt>
              </c:strCache>
            </c:strRef>
          </c:tx>
          <c:spPr>
            <a:ln w="25400">
              <a:solidFill>
                <a:schemeClr val="accent4"/>
              </a:solidFill>
            </a:ln>
          </c:spPr>
          <c:marker>
            <c:symbol val="none"/>
          </c:marker>
          <c:errBars>
            <c:errDir val="y"/>
            <c:errBarType val="both"/>
            <c:errValType val="cust"/>
            <c:noEndCap val="0"/>
            <c:plus>
              <c:numRef>
                <c:f>('Sheet1 (2)'!$H$7,'Sheet1 (2)'!$M$7,'Sheet1 (2)'!$R$7,'Sheet1 (2)'!$W$7,'Sheet1 (2)'!$AB$7,'Sheet1 (2)'!$AG$7)</c:f>
                <c:numCache>
                  <c:formatCode>General</c:formatCode>
                  <c:ptCount val="6"/>
                  <c:pt idx="0">
                    <c:v>0.0</c:v>
                  </c:pt>
                  <c:pt idx="1">
                    <c:v>273414.6220587975</c:v>
                  </c:pt>
                  <c:pt idx="2">
                    <c:v>0.0</c:v>
                  </c:pt>
                  <c:pt idx="3">
                    <c:v>2.91092291588462E6</c:v>
                  </c:pt>
                  <c:pt idx="4">
                    <c:v>3.93622774860512E6</c:v>
                  </c:pt>
                  <c:pt idx="5">
                    <c:v>1.4142135623731E6</c:v>
                  </c:pt>
                </c:numCache>
              </c:numRef>
            </c:plus>
            <c:minus>
              <c:numRef>
                <c:f>('Sheet1 (2)'!$H$7,'Sheet1 (2)'!$M$7,'Sheet1 (2)'!$R$7,'Sheet1 (2)'!$W$7,'Sheet1 (2)'!$AB$7,'Sheet1 (2)'!$AG$7)</c:f>
                <c:numCache>
                  <c:formatCode>General</c:formatCode>
                  <c:ptCount val="6"/>
                  <c:pt idx="0">
                    <c:v>0.0</c:v>
                  </c:pt>
                  <c:pt idx="1">
                    <c:v>273414.6220587975</c:v>
                  </c:pt>
                  <c:pt idx="2">
                    <c:v>0.0</c:v>
                  </c:pt>
                  <c:pt idx="3">
                    <c:v>2.91092291588462E6</c:v>
                  </c:pt>
                  <c:pt idx="4">
                    <c:v>3.93622774860512E6</c:v>
                  </c:pt>
                  <c:pt idx="5">
                    <c:v>1.4142135623731E6</c:v>
                  </c:pt>
                </c:numCache>
              </c:numRef>
            </c:minus>
          </c:errBars>
          <c:cat>
            <c:strRef>
              <c:f>'Sheet1 (2)'!$Q$17:$V$17</c:f>
              <c:strCache>
                <c:ptCount val="6"/>
                <c:pt idx="0">
                  <c:v>0hrs</c:v>
                </c:pt>
                <c:pt idx="1">
                  <c:v>24hrs</c:v>
                </c:pt>
                <c:pt idx="2">
                  <c:v>48hrs</c:v>
                </c:pt>
                <c:pt idx="3">
                  <c:v>72hrs</c:v>
                </c:pt>
                <c:pt idx="4">
                  <c:v>96hrs</c:v>
                </c:pt>
                <c:pt idx="5">
                  <c:v>120hrs</c:v>
                </c:pt>
              </c:strCache>
            </c:strRef>
          </c:cat>
          <c:val>
            <c:numRef>
              <c:f>'Sheet1 (2)'!$Q$21:$V$21</c:f>
              <c:numCache>
                <c:formatCode>General</c:formatCode>
                <c:ptCount val="6"/>
                <c:pt idx="0">
                  <c:v>150000.0</c:v>
                </c:pt>
                <c:pt idx="1">
                  <c:v>596666.666666667</c:v>
                </c:pt>
                <c:pt idx="2">
                  <c:v>3.41E6</c:v>
                </c:pt>
                <c:pt idx="3">
                  <c:v>5.775E6</c:v>
                </c:pt>
                <c:pt idx="4">
                  <c:v>1.075E7</c:v>
                </c:pt>
                <c:pt idx="5">
                  <c:v>2.4E7</c:v>
                </c:pt>
              </c:numCache>
            </c:numRef>
          </c:val>
          <c:smooth val="0"/>
        </c:ser>
        <c:ser>
          <c:idx val="4"/>
          <c:order val="4"/>
          <c:tx>
            <c:strRef>
              <c:f>'Sheet1 (2)'!$P$22</c:f>
              <c:strCache>
                <c:ptCount val="1"/>
                <c:pt idx="0">
                  <c:v>14</c:v>
                </c:pt>
              </c:strCache>
            </c:strRef>
          </c:tx>
          <c:spPr>
            <a:ln w="25400">
              <a:solidFill>
                <a:schemeClr val="accent5"/>
              </a:solidFill>
            </a:ln>
          </c:spPr>
          <c:marker>
            <c:symbol val="none"/>
          </c:marker>
          <c:errBars>
            <c:errDir val="y"/>
            <c:errBarType val="both"/>
            <c:errValType val="cust"/>
            <c:noEndCap val="0"/>
            <c:plus>
              <c:numRef>
                <c:f>('Sheet1 (2)'!$H$8,'Sheet1 (2)'!$M$8,'Sheet1 (2)'!$R$8,'Sheet1 (2)'!$W$8,'Sheet1 (2)'!$AB$8,'Sheet1 (2)'!$AG$8)</c:f>
                <c:numCache>
                  <c:formatCode>General</c:formatCode>
                  <c:ptCount val="6"/>
                  <c:pt idx="0">
                    <c:v>0.0</c:v>
                  </c:pt>
                  <c:pt idx="1">
                    <c:v>228631.1925836502</c:v>
                  </c:pt>
                  <c:pt idx="2">
                    <c:v>0.0</c:v>
                  </c:pt>
                  <c:pt idx="3">
                    <c:v>3.364649767146E6</c:v>
                  </c:pt>
                  <c:pt idx="4">
                    <c:v>1.83847763108502E6</c:v>
                  </c:pt>
                  <c:pt idx="5">
                    <c:v>94281.37556272718</c:v>
                  </c:pt>
                </c:numCache>
              </c:numRef>
            </c:plus>
            <c:minus>
              <c:numRef>
                <c:f>('Sheet1 (2)'!$H$8,'Sheet1 (2)'!$M$8,'Sheet1 (2)'!$R$8,'Sheet1 (2)'!$W$8,'Sheet1 (2)'!$AB$8,'Sheet1 (2)'!$AG$8)</c:f>
                <c:numCache>
                  <c:formatCode>General</c:formatCode>
                  <c:ptCount val="6"/>
                  <c:pt idx="0">
                    <c:v>0.0</c:v>
                  </c:pt>
                  <c:pt idx="1">
                    <c:v>228631.1925836502</c:v>
                  </c:pt>
                  <c:pt idx="2">
                    <c:v>0.0</c:v>
                  </c:pt>
                  <c:pt idx="3">
                    <c:v>3.364649767146E6</c:v>
                  </c:pt>
                  <c:pt idx="4">
                    <c:v>1.83847763108502E6</c:v>
                  </c:pt>
                  <c:pt idx="5">
                    <c:v>94281.37556272718</c:v>
                  </c:pt>
                </c:numCache>
              </c:numRef>
            </c:minus>
          </c:errBars>
          <c:cat>
            <c:strRef>
              <c:f>'Sheet1 (2)'!$Q$17:$V$17</c:f>
              <c:strCache>
                <c:ptCount val="6"/>
                <c:pt idx="0">
                  <c:v>0hrs</c:v>
                </c:pt>
                <c:pt idx="1">
                  <c:v>24hrs</c:v>
                </c:pt>
                <c:pt idx="2">
                  <c:v>48hrs</c:v>
                </c:pt>
                <c:pt idx="3">
                  <c:v>72hrs</c:v>
                </c:pt>
                <c:pt idx="4">
                  <c:v>96hrs</c:v>
                </c:pt>
                <c:pt idx="5">
                  <c:v>120hrs</c:v>
                </c:pt>
              </c:strCache>
            </c:strRef>
          </c:cat>
          <c:val>
            <c:numRef>
              <c:f>'Sheet1 (2)'!$Q$22:$V$22</c:f>
              <c:numCache>
                <c:formatCode>General</c:formatCode>
                <c:ptCount val="6"/>
                <c:pt idx="0">
                  <c:v>150000.0</c:v>
                </c:pt>
                <c:pt idx="1">
                  <c:v>801666.666666667</c:v>
                </c:pt>
                <c:pt idx="2">
                  <c:v>3.02E6</c:v>
                </c:pt>
                <c:pt idx="3">
                  <c:v>6.05416666666667E6</c:v>
                </c:pt>
                <c:pt idx="4">
                  <c:v>9.9E6</c:v>
                </c:pt>
                <c:pt idx="5">
                  <c:v>1.8033333E7</c:v>
                </c:pt>
              </c:numCache>
            </c:numRef>
          </c:val>
          <c:smooth val="0"/>
        </c:ser>
        <c:ser>
          <c:idx val="5"/>
          <c:order val="5"/>
          <c:tx>
            <c:strRef>
              <c:f>'Sheet1 (2)'!$P$23</c:f>
              <c:strCache>
                <c:ptCount val="1"/>
                <c:pt idx="0">
                  <c:v>17</c:v>
                </c:pt>
              </c:strCache>
            </c:strRef>
          </c:tx>
          <c:spPr>
            <a:ln w="25400">
              <a:solidFill>
                <a:schemeClr val="accent6"/>
              </a:solidFill>
            </a:ln>
          </c:spPr>
          <c:marker>
            <c:symbol val="none"/>
          </c:marker>
          <c:errBars>
            <c:errDir val="y"/>
            <c:errBarType val="both"/>
            <c:errValType val="cust"/>
            <c:noEndCap val="0"/>
            <c:plus>
              <c:numRef>
                <c:f>('Sheet1 (2)'!$H$9,'Sheet1 (2)'!$M$9,'Sheet1 (2)'!$R$9,'Sheet1 (2)'!$W$9,'Sheet1 (2)'!$AB$9,'Sheet1 (2)'!$AG$9)</c:f>
                <c:numCache>
                  <c:formatCode>General</c:formatCode>
                  <c:ptCount val="6"/>
                  <c:pt idx="0">
                    <c:v>0.0</c:v>
                  </c:pt>
                  <c:pt idx="1">
                    <c:v>471404.5207910317</c:v>
                  </c:pt>
                  <c:pt idx="2">
                    <c:v>0.0</c:v>
                  </c:pt>
                  <c:pt idx="3">
                    <c:v>2.84021223776597E6</c:v>
                  </c:pt>
                  <c:pt idx="4">
                    <c:v>801387.6853447489</c:v>
                  </c:pt>
                  <c:pt idx="5">
                    <c:v>754246.7618611298</c:v>
                  </c:pt>
                </c:numCache>
              </c:numRef>
            </c:plus>
            <c:minus>
              <c:numRef>
                <c:f>('Sheet1 (2)'!$H$9,'Sheet1 (2)'!$M$9,'Sheet1 (2)'!$R$9,'Sheet1 (2)'!$W$9,'Sheet1 (2)'!$AB$9,'Sheet1 (2)'!$AG$9)</c:f>
                <c:numCache>
                  <c:formatCode>General</c:formatCode>
                  <c:ptCount val="6"/>
                  <c:pt idx="0">
                    <c:v>0.0</c:v>
                  </c:pt>
                  <c:pt idx="1">
                    <c:v>471404.5207910317</c:v>
                  </c:pt>
                  <c:pt idx="2">
                    <c:v>0.0</c:v>
                  </c:pt>
                  <c:pt idx="3">
                    <c:v>2.84021223776597E6</c:v>
                  </c:pt>
                  <c:pt idx="4">
                    <c:v>801387.6853447489</c:v>
                  </c:pt>
                  <c:pt idx="5">
                    <c:v>754246.7618611298</c:v>
                  </c:pt>
                </c:numCache>
              </c:numRef>
            </c:minus>
          </c:errBars>
          <c:cat>
            <c:strRef>
              <c:f>'Sheet1 (2)'!$Q$17:$V$17</c:f>
              <c:strCache>
                <c:ptCount val="6"/>
                <c:pt idx="0">
                  <c:v>0hrs</c:v>
                </c:pt>
                <c:pt idx="1">
                  <c:v>24hrs</c:v>
                </c:pt>
                <c:pt idx="2">
                  <c:v>48hrs</c:v>
                </c:pt>
                <c:pt idx="3">
                  <c:v>72hrs</c:v>
                </c:pt>
                <c:pt idx="4">
                  <c:v>96hrs</c:v>
                </c:pt>
                <c:pt idx="5">
                  <c:v>120hrs</c:v>
                </c:pt>
              </c:strCache>
            </c:strRef>
          </c:cat>
          <c:val>
            <c:numRef>
              <c:f>'Sheet1 (2)'!$Q$23:$V$23</c:f>
              <c:numCache>
                <c:formatCode>General</c:formatCode>
                <c:ptCount val="6"/>
                <c:pt idx="0">
                  <c:v>150000.0</c:v>
                </c:pt>
                <c:pt idx="1">
                  <c:v>746666.666666667</c:v>
                </c:pt>
                <c:pt idx="2">
                  <c:v>2.78666666666667E6</c:v>
                </c:pt>
                <c:pt idx="3">
                  <c:v>6.39166666666667E6</c:v>
                </c:pt>
                <c:pt idx="4">
                  <c:v>8.9E6</c:v>
                </c:pt>
                <c:pt idx="5">
                  <c:v>2.2933333E7</c:v>
                </c:pt>
              </c:numCache>
            </c:numRef>
          </c:val>
          <c:smooth val="0"/>
        </c:ser>
        <c:dLbls>
          <c:showLegendKey val="0"/>
          <c:showVal val="0"/>
          <c:showCatName val="0"/>
          <c:showSerName val="0"/>
          <c:showPercent val="0"/>
          <c:showBubbleSize val="0"/>
        </c:dLbls>
        <c:marker val="1"/>
        <c:smooth val="0"/>
        <c:axId val="2108898376"/>
        <c:axId val="2108903912"/>
      </c:lineChart>
      <c:catAx>
        <c:axId val="2108898376"/>
        <c:scaling>
          <c:orientation val="minMax"/>
        </c:scaling>
        <c:delete val="0"/>
        <c:axPos val="b"/>
        <c:title>
          <c:tx>
            <c:rich>
              <a:bodyPr/>
              <a:lstStyle/>
              <a:p>
                <a:pPr>
                  <a:defRPr/>
                </a:pPr>
                <a:r>
                  <a:rPr lang="en-US"/>
                  <a:t>Time after seeding</a:t>
                </a:r>
              </a:p>
            </c:rich>
          </c:tx>
          <c:layout>
            <c:manualLayout>
              <c:xMode val="edge"/>
              <c:yMode val="edge"/>
              <c:x val="0.426620278223553"/>
              <c:y val="0.932324840764331"/>
            </c:manualLayout>
          </c:layout>
          <c:overlay val="0"/>
        </c:title>
        <c:numFmt formatCode="General" sourceLinked="1"/>
        <c:majorTickMark val="none"/>
        <c:minorTickMark val="none"/>
        <c:tickLblPos val="nextTo"/>
        <c:txPr>
          <a:bodyPr/>
          <a:lstStyle/>
          <a:p>
            <a:pPr>
              <a:defRPr sz="900"/>
            </a:pPr>
            <a:endParaRPr lang="en-US"/>
          </a:p>
        </c:txPr>
        <c:crossAx val="2108903912"/>
        <c:crosses val="autoZero"/>
        <c:auto val="1"/>
        <c:lblAlgn val="ctr"/>
        <c:lblOffset val="100"/>
        <c:noMultiLvlLbl val="0"/>
      </c:catAx>
      <c:valAx>
        <c:axId val="2108903912"/>
        <c:scaling>
          <c:orientation val="minMax"/>
        </c:scaling>
        <c:delete val="0"/>
        <c:axPos val="l"/>
        <c:title>
          <c:tx>
            <c:rich>
              <a:bodyPr/>
              <a:lstStyle/>
              <a:p>
                <a:pPr>
                  <a:defRPr/>
                </a:pPr>
                <a:r>
                  <a:rPr lang="en-US"/>
                  <a:t>Total number of viable cells</a:t>
                </a:r>
              </a:p>
            </c:rich>
          </c:tx>
          <c:layout>
            <c:manualLayout>
              <c:xMode val="edge"/>
              <c:yMode val="edge"/>
              <c:x val="0.0"/>
              <c:y val="0.175830971964492"/>
            </c:manualLayout>
          </c:layout>
          <c:overlay val="0"/>
        </c:title>
        <c:numFmt formatCode="General" sourceLinked="1"/>
        <c:majorTickMark val="out"/>
        <c:minorTickMark val="none"/>
        <c:tickLblPos val="nextTo"/>
        <c:txPr>
          <a:bodyPr/>
          <a:lstStyle/>
          <a:p>
            <a:pPr>
              <a:defRPr sz="900"/>
            </a:pPr>
            <a:endParaRPr lang="en-US"/>
          </a:p>
        </c:txPr>
        <c:crossAx val="2108898376"/>
        <c:crosses val="autoZero"/>
        <c:crossBetween val="between"/>
      </c:valAx>
    </c:plotArea>
    <c:legend>
      <c:legendPos val="r"/>
      <c:layout>
        <c:manualLayout>
          <c:xMode val="edge"/>
          <c:yMode val="edge"/>
          <c:x val="0.28466128879662"/>
          <c:y val="0.094713250413762"/>
          <c:w val="0.150754508240012"/>
          <c:h val="0.468216811274387"/>
        </c:manualLayout>
      </c:layout>
      <c:overlay val="0"/>
      <c:txPr>
        <a:bodyPr/>
        <a:lstStyle/>
        <a:p>
          <a:pPr>
            <a:defRPr sz="900" b="0"/>
          </a:pPr>
          <a:endParaRPr lang="en-US"/>
        </a:p>
      </c:txPr>
    </c:legend>
    <c:plotVisOnly val="1"/>
    <c:dispBlanksAs val="gap"/>
    <c:showDLblsOverMax val="0"/>
  </c:chart>
  <c:spPr>
    <a:ln>
      <a:solidFill>
        <a:srgbClr val="FFFFFF"/>
      </a:solidFill>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6567534499444"/>
          <c:y val="0.0605496040987424"/>
          <c:w val="0.818240261927194"/>
          <c:h val="0.69476471472738"/>
        </c:manualLayout>
      </c:layout>
      <c:barChart>
        <c:barDir val="col"/>
        <c:grouping val="clustered"/>
        <c:varyColors val="0"/>
        <c:ser>
          <c:idx val="0"/>
          <c:order val="0"/>
          <c:spPr>
            <a:solidFill>
              <a:srgbClr val="A6A6A6"/>
            </a:solidFill>
          </c:spPr>
          <c:invertIfNegative val="0"/>
          <c:dPt>
            <c:idx val="6"/>
            <c:invertIfNegative val="0"/>
            <c:bubble3D val="0"/>
            <c:spPr>
              <a:solidFill>
                <a:sysClr val="windowText" lastClr="000000">
                  <a:lumMod val="50000"/>
                  <a:lumOff val="50000"/>
                </a:sysClr>
              </a:solidFill>
            </c:spPr>
          </c:dPt>
          <c:dPt>
            <c:idx val="7"/>
            <c:invertIfNegative val="0"/>
            <c:bubble3D val="0"/>
            <c:spPr>
              <a:solidFill>
                <a:sysClr val="windowText" lastClr="000000">
                  <a:lumMod val="50000"/>
                  <a:lumOff val="50000"/>
                </a:sysClr>
              </a:solidFill>
            </c:spPr>
          </c:dPt>
          <c:dPt>
            <c:idx val="8"/>
            <c:invertIfNegative val="0"/>
            <c:bubble3D val="0"/>
            <c:spPr>
              <a:solidFill>
                <a:srgbClr val="7F7F7F"/>
              </a:solidFill>
            </c:spPr>
          </c:dPt>
          <c:dPt>
            <c:idx val="9"/>
            <c:invertIfNegative val="0"/>
            <c:bubble3D val="0"/>
            <c:spPr>
              <a:solidFill>
                <a:srgbClr val="7F7F7F"/>
              </a:solidFill>
            </c:spPr>
          </c:dPt>
          <c:errBars>
            <c:errBarType val="both"/>
            <c:errValType val="cust"/>
            <c:noEndCap val="0"/>
            <c:plus>
              <c:numRef>
                <c:f>results!$E$16:$E$25</c:f>
                <c:numCache>
                  <c:formatCode>General</c:formatCode>
                  <c:ptCount val="10"/>
                  <c:pt idx="0">
                    <c:v>4.43588752084363E-5</c:v>
                  </c:pt>
                  <c:pt idx="1">
                    <c:v>3.84406091554113E-5</c:v>
                  </c:pt>
                  <c:pt idx="2">
                    <c:v>3.96664263107211E-5</c:v>
                  </c:pt>
                  <c:pt idx="3">
                    <c:v>4.69870053008635E-5</c:v>
                  </c:pt>
                  <c:pt idx="4">
                    <c:v>3.55805091582379E-5</c:v>
                  </c:pt>
                  <c:pt idx="5">
                    <c:v>9.53710737626526E-5</c:v>
                  </c:pt>
                  <c:pt idx="6">
                    <c:v>0.000119455898579373</c:v>
                  </c:pt>
                  <c:pt idx="7">
                    <c:v>8.484826240531E-5</c:v>
                  </c:pt>
                  <c:pt idx="8">
                    <c:v>7.22196662877729E-5</c:v>
                  </c:pt>
                  <c:pt idx="9">
                    <c:v>6.80671843937585E-6</c:v>
                  </c:pt>
                </c:numCache>
              </c:numRef>
            </c:plus>
            <c:minus>
              <c:numRef>
                <c:f>results!$D$16:$D$25</c:f>
                <c:numCache>
                  <c:formatCode>General</c:formatCode>
                  <c:ptCount val="10"/>
                  <c:pt idx="0">
                    <c:v>4.22740863037541E-5</c:v>
                  </c:pt>
                  <c:pt idx="1">
                    <c:v>3.66968804729853E-5</c:v>
                  </c:pt>
                  <c:pt idx="2">
                    <c:v>3.71200262272053E-5</c:v>
                  </c:pt>
                  <c:pt idx="3">
                    <c:v>4.20488701841302E-5</c:v>
                  </c:pt>
                  <c:pt idx="4">
                    <c:v>3.35999935570124E-5</c:v>
                  </c:pt>
                  <c:pt idx="5">
                    <c:v>8.51499954609741E-5</c:v>
                  </c:pt>
                  <c:pt idx="6">
                    <c:v>0.000102591270996061</c:v>
                  </c:pt>
                  <c:pt idx="7">
                    <c:v>7.78473824601222E-5</c:v>
                  </c:pt>
                  <c:pt idx="8">
                    <c:v>6.7184698439361E-5</c:v>
                  </c:pt>
                  <c:pt idx="9">
                    <c:v>6.75310131830831E-6</c:v>
                  </c:pt>
                </c:numCache>
              </c:numRef>
            </c:minus>
          </c:errBars>
          <c:cat>
            <c:strRef>
              <c:f>results!$B$16:$B$25</c:f>
              <c:strCache>
                <c:ptCount val="10"/>
                <c:pt idx="0">
                  <c:v>4</c:v>
                </c:pt>
                <c:pt idx="1">
                  <c:v>11</c:v>
                </c:pt>
                <c:pt idx="2">
                  <c:v>13</c:v>
                </c:pt>
                <c:pt idx="3">
                  <c:v>14</c:v>
                </c:pt>
                <c:pt idx="4">
                  <c:v>17</c:v>
                </c:pt>
                <c:pt idx="5">
                  <c:v>Control</c:v>
                </c:pt>
                <c:pt idx="6">
                  <c:v>4</c:v>
                </c:pt>
                <c:pt idx="7">
                  <c:v>11</c:v>
                </c:pt>
                <c:pt idx="8">
                  <c:v>13</c:v>
                </c:pt>
                <c:pt idx="9">
                  <c:v>control</c:v>
                </c:pt>
              </c:strCache>
            </c:strRef>
          </c:cat>
          <c:val>
            <c:numRef>
              <c:f>results!$C$16:$C$25</c:f>
              <c:numCache>
                <c:formatCode>General</c:formatCode>
                <c:ptCount val="10"/>
                <c:pt idx="0">
                  <c:v>0.000899482395885687</c:v>
                </c:pt>
                <c:pt idx="1">
                  <c:v>0.000808985052378066</c:v>
                </c:pt>
                <c:pt idx="2">
                  <c:v>0.000578235444824586</c:v>
                </c:pt>
                <c:pt idx="3">
                  <c:v>0.000400100531786194</c:v>
                </c:pt>
                <c:pt idx="4">
                  <c:v>0.000603633153777041</c:v>
                </c:pt>
                <c:pt idx="5">
                  <c:v>0.000794519546598607</c:v>
                </c:pt>
                <c:pt idx="6">
                  <c:v>0.000726676732272545</c:v>
                </c:pt>
                <c:pt idx="7">
                  <c:v>0.000943483560103588</c:v>
                </c:pt>
                <c:pt idx="8">
                  <c:v>0.000963671794342605</c:v>
                </c:pt>
                <c:pt idx="9">
                  <c:v>0.00085730935102334</c:v>
                </c:pt>
              </c:numCache>
            </c:numRef>
          </c:val>
        </c:ser>
        <c:dLbls>
          <c:showLegendKey val="0"/>
          <c:showVal val="0"/>
          <c:showCatName val="0"/>
          <c:showSerName val="0"/>
          <c:showPercent val="0"/>
          <c:showBubbleSize val="0"/>
        </c:dLbls>
        <c:gapWidth val="150"/>
        <c:axId val="2106228792"/>
        <c:axId val="2106234264"/>
      </c:barChart>
      <c:catAx>
        <c:axId val="2106228792"/>
        <c:scaling>
          <c:orientation val="minMax"/>
        </c:scaling>
        <c:delete val="0"/>
        <c:axPos val="b"/>
        <c:title>
          <c:tx>
            <c:rich>
              <a:bodyPr/>
              <a:lstStyle/>
              <a:p>
                <a:pPr>
                  <a:defRPr/>
                </a:pPr>
                <a:r>
                  <a:rPr lang="en-US">
                    <a:latin typeface="+mn-lt"/>
                  </a:rPr>
                  <a:t>Clone Name</a:t>
                </a:r>
              </a:p>
            </c:rich>
          </c:tx>
          <c:layout>
            <c:manualLayout>
              <c:xMode val="edge"/>
              <c:yMode val="edge"/>
              <c:x val="0.488716113382416"/>
              <c:y val="0.92081974848626"/>
            </c:manualLayout>
          </c:layout>
          <c:overlay val="0"/>
        </c:title>
        <c:numFmt formatCode="General" sourceLinked="1"/>
        <c:majorTickMark val="none"/>
        <c:minorTickMark val="none"/>
        <c:tickLblPos val="nextTo"/>
        <c:crossAx val="2106234264"/>
        <c:crosses val="autoZero"/>
        <c:auto val="1"/>
        <c:lblAlgn val="ctr"/>
        <c:lblOffset val="100"/>
        <c:noMultiLvlLbl val="0"/>
      </c:catAx>
      <c:valAx>
        <c:axId val="2106234264"/>
        <c:scaling>
          <c:orientation val="minMax"/>
          <c:max val="0.002"/>
        </c:scaling>
        <c:delete val="0"/>
        <c:axPos val="l"/>
        <c:title>
          <c:tx>
            <c:rich>
              <a:bodyPr/>
              <a:lstStyle/>
              <a:p>
                <a:pPr>
                  <a:defRPr/>
                </a:pPr>
                <a:r>
                  <a:rPr lang="en-US"/>
                  <a:t>Relative SRCAP</a:t>
                </a:r>
                <a:r>
                  <a:rPr lang="en-US" baseline="0"/>
                  <a:t> mRNA Expression</a:t>
                </a:r>
                <a:endParaRPr lang="en-US"/>
              </a:p>
            </c:rich>
          </c:tx>
          <c:layout/>
          <c:overlay val="0"/>
        </c:title>
        <c:numFmt formatCode="General" sourceLinked="1"/>
        <c:majorTickMark val="out"/>
        <c:minorTickMark val="none"/>
        <c:tickLblPos val="nextTo"/>
        <c:crossAx val="2106228792"/>
        <c:crosses val="autoZero"/>
        <c:crossBetween val="between"/>
      </c:valAx>
      <c:spPr>
        <a:ln>
          <a:solidFill>
            <a:srgbClr val="FFFFFF"/>
          </a:solidFill>
        </a:ln>
      </c:spPr>
    </c:plotArea>
    <c:plotVisOnly val="1"/>
    <c:dispBlanksAs val="gap"/>
    <c:showDLblsOverMax val="0"/>
  </c:chart>
  <c:spPr>
    <a:ln>
      <a:solidFill>
        <a:srgbClr val="FFFFFF"/>
      </a:solidFill>
    </a:ln>
  </c:sp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hart>
    <c:autoTitleDeleted val="0"/>
    <c:plotArea>
      <c:layout>
        <c:manualLayout>
          <c:layoutTarget val="inner"/>
          <c:xMode val="edge"/>
          <c:yMode val="edge"/>
          <c:x val="0.254073865766779"/>
          <c:y val="0.0760233918128655"/>
          <c:w val="0.694338832645919"/>
          <c:h val="0.691227609706681"/>
        </c:manualLayout>
      </c:layout>
      <c:barChart>
        <c:barDir val="col"/>
        <c:grouping val="clustered"/>
        <c:varyColors val="0"/>
        <c:ser>
          <c:idx val="0"/>
          <c:order val="0"/>
          <c:spPr>
            <a:solidFill>
              <a:schemeClr val="bg1">
                <a:lumMod val="65000"/>
              </a:schemeClr>
            </a:solidFill>
          </c:spPr>
          <c:invertIfNegative val="0"/>
          <c:errBars>
            <c:errBarType val="both"/>
            <c:errValType val="cust"/>
            <c:noEndCap val="0"/>
            <c:plus>
              <c:numRef>
                <c:f>results!$D$11:$D$16</c:f>
                <c:numCache>
                  <c:formatCode>General</c:formatCode>
                  <c:ptCount val="6"/>
                  <c:pt idx="0">
                    <c:v>0.000570908688287222</c:v>
                  </c:pt>
                  <c:pt idx="1">
                    <c:v>0.00048561676472823</c:v>
                  </c:pt>
                  <c:pt idx="2">
                    <c:v>0.000654747691266243</c:v>
                  </c:pt>
                  <c:pt idx="3">
                    <c:v>0.000375062465459515</c:v>
                  </c:pt>
                  <c:pt idx="4">
                    <c:v>0.000227243380801051</c:v>
                  </c:pt>
                  <c:pt idx="5">
                    <c:v>0.00138531765226122</c:v>
                  </c:pt>
                </c:numCache>
              </c:numRef>
            </c:plus>
            <c:minus>
              <c:numRef>
                <c:f>results!$C$11:$C$16</c:f>
                <c:numCache>
                  <c:formatCode>General</c:formatCode>
                  <c:ptCount val="6"/>
                  <c:pt idx="0">
                    <c:v>0.000463943153915213</c:v>
                  </c:pt>
                  <c:pt idx="1">
                    <c:v>0.000402811119828637</c:v>
                  </c:pt>
                  <c:pt idx="2">
                    <c:v>0.000533124947004658</c:v>
                  </c:pt>
                  <c:pt idx="3">
                    <c:v>0.000319804465102469</c:v>
                  </c:pt>
                  <c:pt idx="4">
                    <c:v>0.000206720842554437</c:v>
                  </c:pt>
                  <c:pt idx="5">
                    <c:v>0.00104922563768346</c:v>
                  </c:pt>
                </c:numCache>
              </c:numRef>
            </c:minus>
          </c:errBars>
          <c:cat>
            <c:strRef>
              <c:f>results!$A$11:$A$16</c:f>
              <c:strCache>
                <c:ptCount val="6"/>
                <c:pt idx="0">
                  <c:v>4</c:v>
                </c:pt>
                <c:pt idx="1">
                  <c:v>11</c:v>
                </c:pt>
                <c:pt idx="2">
                  <c:v>13</c:v>
                </c:pt>
                <c:pt idx="3">
                  <c:v>14</c:v>
                </c:pt>
                <c:pt idx="4">
                  <c:v>17</c:v>
                </c:pt>
                <c:pt idx="5">
                  <c:v>Control</c:v>
                </c:pt>
              </c:strCache>
            </c:strRef>
          </c:cat>
          <c:val>
            <c:numRef>
              <c:f>results!$B$11:$B$16</c:f>
              <c:numCache>
                <c:formatCode>General</c:formatCode>
                <c:ptCount val="6"/>
                <c:pt idx="0">
                  <c:v>0.00247621048215766</c:v>
                </c:pt>
                <c:pt idx="1">
                  <c:v>0.00236230069876185</c:v>
                </c:pt>
                <c:pt idx="2">
                  <c:v>0.00287004153973854</c:v>
                </c:pt>
                <c:pt idx="3">
                  <c:v>0.00217066579266834</c:v>
                </c:pt>
                <c:pt idx="4">
                  <c:v>0.00228899284189971</c:v>
                </c:pt>
                <c:pt idx="5">
                  <c:v>0.00432474064852155</c:v>
                </c:pt>
              </c:numCache>
            </c:numRef>
          </c:val>
        </c:ser>
        <c:dLbls>
          <c:showLegendKey val="0"/>
          <c:showVal val="0"/>
          <c:showCatName val="0"/>
          <c:showSerName val="0"/>
          <c:showPercent val="0"/>
          <c:showBubbleSize val="0"/>
        </c:dLbls>
        <c:gapWidth val="150"/>
        <c:axId val="2106268648"/>
        <c:axId val="2106274152"/>
      </c:barChart>
      <c:catAx>
        <c:axId val="2106268648"/>
        <c:scaling>
          <c:orientation val="minMax"/>
        </c:scaling>
        <c:delete val="0"/>
        <c:axPos val="b"/>
        <c:title>
          <c:tx>
            <c:rich>
              <a:bodyPr/>
              <a:lstStyle/>
              <a:p>
                <a:pPr>
                  <a:defRPr/>
                </a:pPr>
                <a:r>
                  <a:rPr lang="en-US">
                    <a:latin typeface="+mn-lt"/>
                  </a:rPr>
                  <a:t>Clone Name</a:t>
                </a:r>
              </a:p>
            </c:rich>
          </c:tx>
          <c:layout>
            <c:manualLayout>
              <c:xMode val="edge"/>
              <c:yMode val="edge"/>
              <c:x val="0.461552305961755"/>
              <c:y val="0.894736842105263"/>
            </c:manualLayout>
          </c:layout>
          <c:overlay val="0"/>
        </c:title>
        <c:numFmt formatCode="General" sourceLinked="1"/>
        <c:majorTickMark val="out"/>
        <c:minorTickMark val="none"/>
        <c:tickLblPos val="nextTo"/>
        <c:txPr>
          <a:bodyPr/>
          <a:lstStyle/>
          <a:p>
            <a:pPr>
              <a:defRPr sz="900"/>
            </a:pPr>
            <a:endParaRPr lang="en-US"/>
          </a:p>
        </c:txPr>
        <c:crossAx val="2106274152"/>
        <c:crosses val="autoZero"/>
        <c:auto val="1"/>
        <c:lblAlgn val="ctr"/>
        <c:lblOffset val="100"/>
        <c:noMultiLvlLbl val="0"/>
      </c:catAx>
      <c:valAx>
        <c:axId val="2106274152"/>
        <c:scaling>
          <c:orientation val="minMax"/>
        </c:scaling>
        <c:delete val="0"/>
        <c:axPos val="l"/>
        <c:title>
          <c:tx>
            <c:rich>
              <a:bodyPr rot="-5400000" vert="horz"/>
              <a:lstStyle/>
              <a:p>
                <a:pPr>
                  <a:defRPr/>
                </a:pPr>
                <a:r>
                  <a:rPr lang="en-US"/>
                  <a:t>Reltive</a:t>
                </a:r>
                <a:r>
                  <a:rPr lang="en-US" baseline="0"/>
                  <a:t> SRCAP mRNA Expression</a:t>
                </a:r>
                <a:endParaRPr lang="en-US"/>
              </a:p>
            </c:rich>
          </c:tx>
          <c:layout>
            <c:manualLayout>
              <c:xMode val="edge"/>
              <c:yMode val="edge"/>
              <c:x val="0.00762123484564429"/>
              <c:y val="0.0467836257309941"/>
            </c:manualLayout>
          </c:layout>
          <c:overlay val="0"/>
        </c:title>
        <c:numFmt formatCode="General" sourceLinked="1"/>
        <c:majorTickMark val="out"/>
        <c:minorTickMark val="none"/>
        <c:tickLblPos val="nextTo"/>
        <c:crossAx val="2106268648"/>
        <c:crosses val="autoZero"/>
        <c:crossBetween val="between"/>
      </c:valAx>
    </c:plotArea>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hart>
    <c:autoTitleDeleted val="0"/>
    <c:plotArea>
      <c:layout>
        <c:manualLayout>
          <c:layoutTarget val="inner"/>
          <c:xMode val="edge"/>
          <c:yMode val="edge"/>
          <c:x val="0.268133117975638"/>
          <c:y val="0.0504489570382649"/>
          <c:w val="0.671681809004644"/>
          <c:h val="0.740861076575954"/>
        </c:manualLayout>
      </c:layout>
      <c:barChart>
        <c:barDir val="col"/>
        <c:grouping val="clustered"/>
        <c:varyColors val="0"/>
        <c:ser>
          <c:idx val="0"/>
          <c:order val="0"/>
          <c:spPr>
            <a:solidFill>
              <a:srgbClr val="A6A6A6"/>
            </a:solidFill>
          </c:spPr>
          <c:invertIfNegative val="0"/>
          <c:errBars>
            <c:errBarType val="both"/>
            <c:errValType val="cust"/>
            <c:noEndCap val="0"/>
            <c:plus>
              <c:numRef>
                <c:f>results!$D$9:$D$12</c:f>
                <c:numCache>
                  <c:formatCode>General</c:formatCode>
                  <c:ptCount val="4"/>
                  <c:pt idx="0">
                    <c:v>2.59448992796724E-5</c:v>
                  </c:pt>
                  <c:pt idx="1">
                    <c:v>5.45155935531452E-5</c:v>
                  </c:pt>
                  <c:pt idx="2">
                    <c:v>0.000103749474675777</c:v>
                  </c:pt>
                  <c:pt idx="3">
                    <c:v>0.000227647184193587</c:v>
                  </c:pt>
                </c:numCache>
              </c:numRef>
            </c:plus>
            <c:minus>
              <c:numRef>
                <c:f>results!$C$9:$C$12</c:f>
                <c:numCache>
                  <c:formatCode>General</c:formatCode>
                  <c:ptCount val="4"/>
                  <c:pt idx="0">
                    <c:v>2.53117978585057E-5</c:v>
                  </c:pt>
                  <c:pt idx="1">
                    <c:v>5.26054013015021E-5</c:v>
                  </c:pt>
                  <c:pt idx="2">
                    <c:v>9.63146502461043E-5</c:v>
                  </c:pt>
                  <c:pt idx="3">
                    <c:v>0.000205841045162649</c:v>
                  </c:pt>
                </c:numCache>
              </c:numRef>
            </c:minus>
          </c:errBars>
          <c:cat>
            <c:strRef>
              <c:f>results!$A$9:$A$12</c:f>
              <c:strCache>
                <c:ptCount val="4"/>
                <c:pt idx="0">
                  <c:v>Control</c:v>
                </c:pt>
                <c:pt idx="1">
                  <c:v>2</c:v>
                </c:pt>
                <c:pt idx="2">
                  <c:v>3</c:v>
                </c:pt>
                <c:pt idx="3">
                  <c:v>9</c:v>
                </c:pt>
              </c:strCache>
            </c:strRef>
          </c:cat>
          <c:val>
            <c:numRef>
              <c:f>results!$B$9:$B$12</c:f>
              <c:numCache>
                <c:formatCode>0.000000</c:formatCode>
                <c:ptCount val="4"/>
                <c:pt idx="0">
                  <c:v>0.00103729359004829</c:v>
                </c:pt>
                <c:pt idx="1">
                  <c:v>0.00150132253629742</c:v>
                </c:pt>
                <c:pt idx="2">
                  <c:v>0.00134402560021885</c:v>
                </c:pt>
                <c:pt idx="3">
                  <c:v>0.00214889643032446</c:v>
                </c:pt>
              </c:numCache>
            </c:numRef>
          </c:val>
        </c:ser>
        <c:dLbls>
          <c:showLegendKey val="0"/>
          <c:showVal val="0"/>
          <c:showCatName val="0"/>
          <c:showSerName val="0"/>
          <c:showPercent val="0"/>
          <c:showBubbleSize val="0"/>
        </c:dLbls>
        <c:gapWidth val="150"/>
        <c:axId val="2106283768"/>
        <c:axId val="2106299560"/>
      </c:barChart>
      <c:catAx>
        <c:axId val="2106283768"/>
        <c:scaling>
          <c:orientation val="minMax"/>
        </c:scaling>
        <c:delete val="0"/>
        <c:axPos val="b"/>
        <c:title>
          <c:tx>
            <c:rich>
              <a:bodyPr/>
              <a:lstStyle/>
              <a:p>
                <a:pPr>
                  <a:defRPr/>
                </a:pPr>
                <a:r>
                  <a:rPr lang="en-US"/>
                  <a:t>Clone</a:t>
                </a:r>
                <a:r>
                  <a:rPr lang="en-US" baseline="0"/>
                  <a:t> Name</a:t>
                </a:r>
                <a:endParaRPr lang="en-US"/>
              </a:p>
            </c:rich>
          </c:tx>
          <c:layout>
            <c:manualLayout>
              <c:xMode val="edge"/>
              <c:yMode val="edge"/>
              <c:x val="0.499939767144492"/>
              <c:y val="0.890393700787401"/>
            </c:manualLayout>
          </c:layout>
          <c:overlay val="0"/>
        </c:title>
        <c:numFmt formatCode="General" sourceLinked="1"/>
        <c:majorTickMark val="out"/>
        <c:minorTickMark val="none"/>
        <c:tickLblPos val="nextTo"/>
        <c:txPr>
          <a:bodyPr/>
          <a:lstStyle/>
          <a:p>
            <a:pPr>
              <a:defRPr sz="900"/>
            </a:pPr>
            <a:endParaRPr lang="en-US"/>
          </a:p>
        </c:txPr>
        <c:crossAx val="2106299560"/>
        <c:crosses val="autoZero"/>
        <c:auto val="1"/>
        <c:lblAlgn val="ctr"/>
        <c:lblOffset val="100"/>
        <c:noMultiLvlLbl val="0"/>
      </c:catAx>
      <c:valAx>
        <c:axId val="2106299560"/>
        <c:scaling>
          <c:orientation val="minMax"/>
          <c:max val="0.004"/>
        </c:scaling>
        <c:delete val="0"/>
        <c:axPos val="l"/>
        <c:title>
          <c:tx>
            <c:rich>
              <a:bodyPr rot="-5400000" vert="horz"/>
              <a:lstStyle/>
              <a:p>
                <a:pPr>
                  <a:defRPr/>
                </a:pPr>
                <a:r>
                  <a:rPr lang="en-US"/>
                  <a:t>Relative SRCAP mRNA Expression</a:t>
                </a:r>
              </a:p>
            </c:rich>
          </c:tx>
          <c:layout>
            <c:manualLayout>
              <c:xMode val="edge"/>
              <c:yMode val="edge"/>
              <c:x val="0.0"/>
              <c:y val="0.0740424552194134"/>
            </c:manualLayout>
          </c:layout>
          <c:overlay val="0"/>
        </c:title>
        <c:numFmt formatCode="0.000" sourceLinked="0"/>
        <c:majorTickMark val="out"/>
        <c:minorTickMark val="none"/>
        <c:tickLblPos val="nextTo"/>
        <c:crossAx val="2106283768"/>
        <c:crosses val="autoZero"/>
        <c:crossBetween val="between"/>
        <c:minorUnit val="0.001"/>
      </c:valAx>
    </c:plotArea>
    <c:plotVisOnly val="1"/>
    <c:dispBlanksAs val="gap"/>
    <c:showDLblsOverMax val="0"/>
  </c:chart>
  <c:spPr>
    <a:ln>
      <a:solidFill>
        <a:srgbClr val="FFFFFF"/>
      </a:solid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5823570834134"/>
          <c:y val="0.0315186246418338"/>
          <c:w val="0.790014937157245"/>
          <c:h val="0.774437354472903"/>
        </c:manualLayout>
      </c:layout>
      <c:barChart>
        <c:barDir val="col"/>
        <c:grouping val="clustered"/>
        <c:varyColors val="0"/>
        <c:ser>
          <c:idx val="0"/>
          <c:order val="0"/>
          <c:spPr>
            <a:solidFill>
              <a:schemeClr val="accent5"/>
            </a:solidFill>
          </c:spPr>
          <c:invertIfNegative val="0"/>
          <c:errBars>
            <c:errBarType val="both"/>
            <c:errValType val="cust"/>
            <c:noEndCap val="0"/>
            <c:plus>
              <c:numRef>
                <c:f>results!$D$25:$D$44</c:f>
                <c:numCache>
                  <c:formatCode>General</c:formatCode>
                  <c:ptCount val="20"/>
                  <c:pt idx="0">
                    <c:v>9.66457077307374E-5</c:v>
                  </c:pt>
                  <c:pt idx="1">
                    <c:v>5.38821946308312E-5</c:v>
                  </c:pt>
                  <c:pt idx="2">
                    <c:v>8.88230502917282E-5</c:v>
                  </c:pt>
                  <c:pt idx="3">
                    <c:v>0.000151617299525692</c:v>
                  </c:pt>
                  <c:pt idx="4">
                    <c:v>0.000198077172421162</c:v>
                  </c:pt>
                  <c:pt idx="5">
                    <c:v>3.24220320278448E-5</c:v>
                  </c:pt>
                  <c:pt idx="6">
                    <c:v>4.37724742986796E-5</c:v>
                  </c:pt>
                  <c:pt idx="7">
                    <c:v>0.000100708986127111</c:v>
                  </c:pt>
                  <c:pt idx="8">
                    <c:v>8.53368900528642E-5</c:v>
                  </c:pt>
                  <c:pt idx="9">
                    <c:v>6.69659612042591E-5</c:v>
                  </c:pt>
                  <c:pt idx="10">
                    <c:v>8.0785496877939E-5</c:v>
                  </c:pt>
                  <c:pt idx="11">
                    <c:v>0.000178714833038907</c:v>
                  </c:pt>
                  <c:pt idx="12">
                    <c:v>5.6902795476938E-5</c:v>
                  </c:pt>
                  <c:pt idx="13">
                    <c:v>3.87323670295262E-5</c:v>
                  </c:pt>
                  <c:pt idx="14">
                    <c:v>1.93663637326708E-5</c:v>
                  </c:pt>
                  <c:pt idx="15">
                    <c:v>0.000108525792019124</c:v>
                  </c:pt>
                  <c:pt idx="16">
                    <c:v>9.14178054821704E-5</c:v>
                  </c:pt>
                  <c:pt idx="17">
                    <c:v>0.000543106498112028</c:v>
                  </c:pt>
                  <c:pt idx="18">
                    <c:v>0.000250395378446642</c:v>
                  </c:pt>
                  <c:pt idx="19">
                    <c:v>0.000557387479069843</c:v>
                  </c:pt>
                </c:numCache>
              </c:numRef>
            </c:plus>
            <c:minus>
              <c:numRef>
                <c:f>results!$C$25:$C$44</c:f>
                <c:numCache>
                  <c:formatCode>General</c:formatCode>
                  <c:ptCount val="20"/>
                  <c:pt idx="0">
                    <c:v>8.32459604988535E-5</c:v>
                  </c:pt>
                  <c:pt idx="1">
                    <c:v>5.06124132802671E-5</c:v>
                  </c:pt>
                  <c:pt idx="2">
                    <c:v>7.7360436355171E-5</c:v>
                  </c:pt>
                  <c:pt idx="3">
                    <c:v>0.000123560617458111</c:v>
                  </c:pt>
                  <c:pt idx="4">
                    <c:v>0.000159649196993023</c:v>
                  </c:pt>
                  <c:pt idx="5">
                    <c:v>3.13032461812117E-5</c:v>
                  </c:pt>
                  <c:pt idx="6">
                    <c:v>4.11192767245713E-5</c:v>
                  </c:pt>
                  <c:pt idx="7">
                    <c:v>8.97145042427347E-5</c:v>
                  </c:pt>
                  <c:pt idx="8">
                    <c:v>7.62944641594439E-5</c:v>
                  </c:pt>
                  <c:pt idx="9">
                    <c:v>6.19883229506753E-5</c:v>
                  </c:pt>
                  <c:pt idx="10">
                    <c:v>7.38340950400888E-5</c:v>
                  </c:pt>
                  <c:pt idx="11">
                    <c:v>0.000144599799246382</c:v>
                  </c:pt>
                  <c:pt idx="12">
                    <c:v>5.36579281319294E-5</c:v>
                  </c:pt>
                  <c:pt idx="13">
                    <c:v>3.68999484549459E-5</c:v>
                  </c:pt>
                  <c:pt idx="14">
                    <c:v>1.84874208310103E-5</c:v>
                  </c:pt>
                  <c:pt idx="15">
                    <c:v>9.90974827815807E-5</c:v>
                  </c:pt>
                  <c:pt idx="16">
                    <c:v>7.94373347280805E-5</c:v>
                  </c:pt>
                  <c:pt idx="17">
                    <c:v>0.000259635099734242</c:v>
                  </c:pt>
                  <c:pt idx="18">
                    <c:v>0.000211810487969957</c:v>
                  </c:pt>
                  <c:pt idx="19">
                    <c:v>0.000430995978067465</c:v>
                  </c:pt>
                </c:numCache>
              </c:numRef>
            </c:minus>
          </c:errBars>
          <c:cat>
            <c:strRef>
              <c:f>results!$A$25:$A$44</c:f>
              <c:strCach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Control</c:v>
                </c:pt>
                <c:pt idx="19">
                  <c:v>mixed</c:v>
                </c:pt>
              </c:strCache>
            </c:strRef>
          </c:cat>
          <c:val>
            <c:numRef>
              <c:f>results!$B$25:$B$44</c:f>
              <c:numCache>
                <c:formatCode>0.00000000</c:formatCode>
                <c:ptCount val="20"/>
                <c:pt idx="0">
                  <c:v>0.000600411681572113</c:v>
                </c:pt>
                <c:pt idx="1">
                  <c:v>0.000834033719909997</c:v>
                </c:pt>
                <c:pt idx="2">
                  <c:v>0.000599460992666864</c:v>
                </c:pt>
                <c:pt idx="3">
                  <c:v>0.000667717127121489</c:v>
                </c:pt>
                <c:pt idx="4" formatCode="General">
                  <c:v>0.000822912504948966</c:v>
                </c:pt>
                <c:pt idx="5" formatCode="General">
                  <c:v>0.000907157391486394</c:v>
                </c:pt>
                <c:pt idx="6" formatCode="General">
                  <c:v>0.000678386148536832</c:v>
                </c:pt>
                <c:pt idx="7" formatCode="General">
                  <c:v>0.000821781040543726</c:v>
                </c:pt>
                <c:pt idx="8" formatCode="General">
                  <c:v>0.000720020531697643</c:v>
                </c:pt>
                <c:pt idx="9" formatCode="General">
                  <c:v>0.000833951247229224</c:v>
                </c:pt>
                <c:pt idx="10" formatCode="General">
                  <c:v>0.000858060603239569</c:v>
                </c:pt>
                <c:pt idx="11" formatCode="General">
                  <c:v>0.000757499732726048</c:v>
                </c:pt>
                <c:pt idx="12" formatCode="General">
                  <c:v>0.000940958685076685</c:v>
                </c:pt>
                <c:pt idx="13" formatCode="General">
                  <c:v>0.000779964996401004</c:v>
                </c:pt>
                <c:pt idx="14" formatCode="General">
                  <c:v>0.000407346274275654</c:v>
                </c:pt>
                <c:pt idx="15" formatCode="General">
                  <c:v>0.00114067459339883</c:v>
                </c:pt>
                <c:pt idx="16" formatCode="General">
                  <c:v>0.000606152042207098</c:v>
                </c:pt>
                <c:pt idx="17" formatCode="General">
                  <c:v>0.000497438226962517</c:v>
                </c:pt>
                <c:pt idx="18" formatCode="General">
                  <c:v>0.00137453719938001</c:v>
                </c:pt>
                <c:pt idx="19" formatCode="General">
                  <c:v>0.0019006955356891</c:v>
                </c:pt>
              </c:numCache>
            </c:numRef>
          </c:val>
        </c:ser>
        <c:dLbls>
          <c:showLegendKey val="0"/>
          <c:showVal val="0"/>
          <c:showCatName val="0"/>
          <c:showSerName val="0"/>
          <c:showPercent val="0"/>
          <c:showBubbleSize val="0"/>
        </c:dLbls>
        <c:gapWidth val="150"/>
        <c:axId val="2109984904"/>
        <c:axId val="2109990488"/>
      </c:barChart>
      <c:catAx>
        <c:axId val="2109984904"/>
        <c:scaling>
          <c:orientation val="minMax"/>
        </c:scaling>
        <c:delete val="0"/>
        <c:axPos val="b"/>
        <c:title>
          <c:tx>
            <c:rich>
              <a:bodyPr/>
              <a:lstStyle/>
              <a:p>
                <a:pPr>
                  <a:defRPr/>
                </a:pPr>
                <a:r>
                  <a:rPr lang="en-US" dirty="0" smtClean="0"/>
                  <a:t>Clone Name</a:t>
                </a:r>
                <a:endParaRPr lang="en-US" dirty="0"/>
              </a:p>
            </c:rich>
          </c:tx>
          <c:layout>
            <c:manualLayout>
              <c:xMode val="edge"/>
              <c:yMode val="edge"/>
              <c:x val="0.500556366710414"/>
              <c:y val="0.929978745516848"/>
            </c:manualLayout>
          </c:layout>
          <c:overlay val="0"/>
        </c:title>
        <c:numFmt formatCode="General" sourceLinked="1"/>
        <c:majorTickMark val="none"/>
        <c:minorTickMark val="none"/>
        <c:tickLblPos val="nextTo"/>
        <c:crossAx val="2109990488"/>
        <c:crosses val="autoZero"/>
        <c:auto val="1"/>
        <c:lblAlgn val="ctr"/>
        <c:lblOffset val="100"/>
        <c:noMultiLvlLbl val="0"/>
      </c:catAx>
      <c:valAx>
        <c:axId val="2109990488"/>
        <c:scaling>
          <c:orientation val="minMax"/>
          <c:max val="0.003"/>
        </c:scaling>
        <c:delete val="0"/>
        <c:axPos val="l"/>
        <c:title>
          <c:tx>
            <c:rich>
              <a:bodyPr/>
              <a:lstStyle/>
              <a:p>
                <a:pPr>
                  <a:defRPr/>
                </a:pPr>
                <a:r>
                  <a:rPr lang="en-US"/>
                  <a:t>Relative SRCAP mRNA Expression</a:t>
                </a:r>
              </a:p>
            </c:rich>
          </c:tx>
          <c:layout>
            <c:manualLayout>
              <c:xMode val="edge"/>
              <c:yMode val="edge"/>
              <c:x val="0.000341207349081364"/>
              <c:y val="0.0835383711364438"/>
            </c:manualLayout>
          </c:layout>
          <c:overlay val="0"/>
        </c:title>
        <c:numFmt formatCode="0.0000" sourceLinked="0"/>
        <c:majorTickMark val="out"/>
        <c:minorTickMark val="none"/>
        <c:tickLblPos val="nextTo"/>
        <c:crossAx val="2109984904"/>
        <c:crosses val="autoZero"/>
        <c:crossBetween val="between"/>
      </c:valAx>
      <c:spPr>
        <a:ln>
          <a:solidFill>
            <a:srgbClr val="FFFFFF"/>
          </a:solidFill>
        </a:ln>
      </c:spPr>
    </c:plotArea>
    <c:plotVisOnly val="1"/>
    <c:dispBlanksAs val="gap"/>
    <c:showDLblsOverMax val="0"/>
  </c:chart>
  <c:spPr>
    <a:ln>
      <a:solidFill>
        <a:srgbClr val="FFFFFF"/>
      </a:solid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baseline="0"/>
              <a:t>Experimental Repeat 3</a:t>
            </a:r>
            <a:endParaRPr lang="en-US" sz="1100"/>
          </a:p>
        </c:rich>
      </c:tx>
      <c:layout/>
      <c:overlay val="0"/>
    </c:title>
    <c:autoTitleDeleted val="0"/>
    <c:plotArea>
      <c:layout>
        <c:manualLayout>
          <c:layoutTarget val="inner"/>
          <c:xMode val="edge"/>
          <c:yMode val="edge"/>
          <c:x val="0.206130268199234"/>
          <c:y val="0.159454344522724"/>
          <c:w val="0.723276012912179"/>
          <c:h val="0.723200257862504"/>
        </c:manualLayout>
      </c:layout>
      <c:barChart>
        <c:barDir val="col"/>
        <c:grouping val="clustered"/>
        <c:varyColors val="0"/>
        <c:ser>
          <c:idx val="0"/>
          <c:order val="0"/>
          <c:spPr>
            <a:solidFill>
              <a:srgbClr val="FFFFFF"/>
            </a:solidFill>
            <a:ln>
              <a:solidFill>
                <a:srgbClr val="000000"/>
              </a:solidFill>
            </a:ln>
          </c:spPr>
          <c:invertIfNegative val="0"/>
          <c:errBars>
            <c:errBarType val="both"/>
            <c:errValType val="cust"/>
            <c:noEndCap val="0"/>
            <c:plus>
              <c:numRef>
                <c:f>'microarray graphs'!$K$4:$K$7</c:f>
                <c:numCache>
                  <c:formatCode>General</c:formatCode>
                  <c:ptCount val="4"/>
                  <c:pt idx="0">
                    <c:v>1.2996747677359E-5</c:v>
                  </c:pt>
                  <c:pt idx="1">
                    <c:v>5.4017693034713E-5</c:v>
                  </c:pt>
                  <c:pt idx="2">
                    <c:v>3.39250356114432E-5</c:v>
                  </c:pt>
                  <c:pt idx="3">
                    <c:v>0.00187561291826215</c:v>
                  </c:pt>
                </c:numCache>
              </c:numRef>
            </c:plus>
            <c:minus>
              <c:numRef>
                <c:f>'microarray graphs'!$L$4:$L$7</c:f>
                <c:numCache>
                  <c:formatCode>General</c:formatCode>
                  <c:ptCount val="4"/>
                  <c:pt idx="0">
                    <c:v>1.27376861244017E-5</c:v>
                  </c:pt>
                  <c:pt idx="1">
                    <c:v>4.31028071324034E-5</c:v>
                  </c:pt>
                  <c:pt idx="2">
                    <c:v>3.18310307039105E-5</c:v>
                  </c:pt>
                  <c:pt idx="3">
                    <c:v>0.00161922631106515</c:v>
                  </c:pt>
                </c:numCache>
              </c:numRef>
            </c:minus>
            <c:spPr>
              <a:ln w="19050" cmpd="sng">
                <a:solidFill>
                  <a:srgbClr val="000000"/>
                </a:solidFill>
              </a:ln>
            </c:spPr>
          </c:errBars>
          <c:cat>
            <c:strRef>
              <c:f>'microarray graphs'!$P$4:$P$7</c:f>
              <c:strCache>
                <c:ptCount val="4"/>
                <c:pt idx="0">
                  <c:v>Control</c:v>
                </c:pt>
                <c:pt idx="1">
                  <c:v>si6</c:v>
                </c:pt>
                <c:pt idx="2">
                  <c:v>Negative YFP</c:v>
                </c:pt>
                <c:pt idx="3">
                  <c:v>Positive YFP</c:v>
                </c:pt>
              </c:strCache>
            </c:strRef>
          </c:cat>
          <c:val>
            <c:numRef>
              <c:f>'microarray graphs'!$J$4:$J$7</c:f>
              <c:numCache>
                <c:formatCode>0.00000000</c:formatCode>
                <c:ptCount val="4"/>
                <c:pt idx="0">
                  <c:v>0.000639031499126114</c:v>
                </c:pt>
                <c:pt idx="1">
                  <c:v>0.000213315487257638</c:v>
                </c:pt>
                <c:pt idx="2">
                  <c:v>0.000515695472486568</c:v>
                </c:pt>
                <c:pt idx="3">
                  <c:v>0.0118455555062987</c:v>
                </c:pt>
              </c:numCache>
            </c:numRef>
          </c:val>
        </c:ser>
        <c:dLbls>
          <c:showLegendKey val="0"/>
          <c:showVal val="0"/>
          <c:showCatName val="0"/>
          <c:showSerName val="0"/>
          <c:showPercent val="0"/>
          <c:showBubbleSize val="0"/>
        </c:dLbls>
        <c:gapWidth val="150"/>
        <c:axId val="2110657080"/>
        <c:axId val="2110660024"/>
      </c:barChart>
      <c:catAx>
        <c:axId val="2110657080"/>
        <c:scaling>
          <c:orientation val="minMax"/>
        </c:scaling>
        <c:delete val="0"/>
        <c:axPos val="b"/>
        <c:numFmt formatCode="General" sourceLinked="1"/>
        <c:majorTickMark val="none"/>
        <c:minorTickMark val="none"/>
        <c:tickLblPos val="nextTo"/>
        <c:txPr>
          <a:bodyPr/>
          <a:lstStyle/>
          <a:p>
            <a:pPr>
              <a:defRPr sz="800"/>
            </a:pPr>
            <a:endParaRPr lang="en-US"/>
          </a:p>
        </c:txPr>
        <c:crossAx val="2110660024"/>
        <c:crosses val="autoZero"/>
        <c:auto val="1"/>
        <c:lblAlgn val="ctr"/>
        <c:lblOffset val="100"/>
        <c:noMultiLvlLbl val="0"/>
      </c:catAx>
      <c:valAx>
        <c:axId val="2110660024"/>
        <c:scaling>
          <c:orientation val="minMax"/>
          <c:max val="0.014"/>
          <c:min val="0.0"/>
        </c:scaling>
        <c:delete val="0"/>
        <c:axPos val="l"/>
        <c:title>
          <c:tx>
            <c:rich>
              <a:bodyPr/>
              <a:lstStyle/>
              <a:p>
                <a:pPr>
                  <a:defRPr/>
                </a:pPr>
                <a:r>
                  <a:rPr lang="en-US"/>
                  <a:t>Relative SRCAP mRNA Expression</a:t>
                </a:r>
              </a:p>
            </c:rich>
          </c:tx>
          <c:layout>
            <c:manualLayout>
              <c:xMode val="edge"/>
              <c:yMode val="edge"/>
              <c:x val="0.0"/>
              <c:y val="0.211714325183036"/>
            </c:manualLayout>
          </c:layout>
          <c:overlay val="0"/>
        </c:title>
        <c:numFmt formatCode="0.000" sourceLinked="0"/>
        <c:majorTickMark val="out"/>
        <c:minorTickMark val="none"/>
        <c:tickLblPos val="nextTo"/>
        <c:txPr>
          <a:bodyPr/>
          <a:lstStyle/>
          <a:p>
            <a:pPr>
              <a:defRPr sz="800"/>
            </a:pPr>
            <a:endParaRPr lang="en-US"/>
          </a:p>
        </c:txPr>
        <c:crossAx val="2110657080"/>
        <c:crosses val="autoZero"/>
        <c:crossBetween val="between"/>
        <c:majorUnit val="0.002"/>
      </c:valAx>
      <c:spPr>
        <a:ln>
          <a:noFill/>
        </a:ln>
      </c:spPr>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baseline="0"/>
              <a:t>Experimental Repeat 2</a:t>
            </a:r>
            <a:endParaRPr lang="en-US" sz="1100"/>
          </a:p>
        </c:rich>
      </c:tx>
      <c:layout/>
      <c:overlay val="0"/>
    </c:title>
    <c:autoTitleDeleted val="0"/>
    <c:plotArea>
      <c:layout>
        <c:manualLayout>
          <c:layoutTarget val="inner"/>
          <c:xMode val="edge"/>
          <c:yMode val="edge"/>
          <c:x val="0.218650023233757"/>
          <c:y val="0.107900891131124"/>
          <c:w val="0.692692505999402"/>
          <c:h val="0.756310528549201"/>
        </c:manualLayout>
      </c:layout>
      <c:barChart>
        <c:barDir val="col"/>
        <c:grouping val="clustered"/>
        <c:varyColors val="0"/>
        <c:ser>
          <c:idx val="0"/>
          <c:order val="0"/>
          <c:spPr>
            <a:solidFill>
              <a:srgbClr val="FFFFFF"/>
            </a:solidFill>
            <a:ln>
              <a:solidFill>
                <a:srgbClr val="000000"/>
              </a:solidFill>
            </a:ln>
          </c:spPr>
          <c:invertIfNegative val="0"/>
          <c:errBars>
            <c:errBarType val="both"/>
            <c:errValType val="cust"/>
            <c:noEndCap val="0"/>
            <c:plus>
              <c:numRef>
                <c:f>'microarray graphs'!$R$4:$R$7</c:f>
                <c:numCache>
                  <c:formatCode>General</c:formatCode>
                  <c:ptCount val="4"/>
                  <c:pt idx="0">
                    <c:v>3.040476038382E-5</c:v>
                  </c:pt>
                  <c:pt idx="1">
                    <c:v>1.51832362170375E-5</c:v>
                  </c:pt>
                  <c:pt idx="2">
                    <c:v>0.000170544784393354</c:v>
                  </c:pt>
                  <c:pt idx="3">
                    <c:v>0.000330484756645738</c:v>
                  </c:pt>
                </c:numCache>
              </c:numRef>
            </c:plus>
            <c:minus>
              <c:numRef>
                <c:f>'microarray graphs'!$S$4:$S$7</c:f>
                <c:numCache>
                  <c:formatCode>General</c:formatCode>
                  <c:ptCount val="4"/>
                  <c:pt idx="0">
                    <c:v>2.83064896199838E-5</c:v>
                  </c:pt>
                  <c:pt idx="1">
                    <c:v>1.3692880003011E-5</c:v>
                  </c:pt>
                  <c:pt idx="2">
                    <c:v>0.0001456930666571</c:v>
                  </c:pt>
                  <c:pt idx="3">
                    <c:v>0.000316130791357596</c:v>
                  </c:pt>
                </c:numCache>
              </c:numRef>
            </c:minus>
            <c:spPr>
              <a:ln w="19050" cmpd="sng"/>
            </c:spPr>
          </c:errBars>
          <c:cat>
            <c:strRef>
              <c:f>'microarray graphs'!$I$4:$I$7</c:f>
              <c:strCache>
                <c:ptCount val="4"/>
                <c:pt idx="0">
                  <c:v>Control</c:v>
                </c:pt>
                <c:pt idx="1">
                  <c:v>si6</c:v>
                </c:pt>
                <c:pt idx="2">
                  <c:v>Negative YFP</c:v>
                </c:pt>
                <c:pt idx="3">
                  <c:v>Positive YFP</c:v>
                </c:pt>
              </c:strCache>
            </c:strRef>
          </c:cat>
          <c:val>
            <c:numRef>
              <c:f>'microarray graphs'!$Q$4:$Q$7</c:f>
              <c:numCache>
                <c:formatCode>0.00000000</c:formatCode>
                <c:ptCount val="4"/>
                <c:pt idx="0">
                  <c:v>0.000410172056455365</c:v>
                </c:pt>
                <c:pt idx="1">
                  <c:v>0.000139498349200427</c:v>
                </c:pt>
                <c:pt idx="2" formatCode="General">
                  <c:v>0.000999817916183506</c:v>
                </c:pt>
                <c:pt idx="3" formatCode="General">
                  <c:v>0.00727857463445025</c:v>
                </c:pt>
              </c:numCache>
            </c:numRef>
          </c:val>
        </c:ser>
        <c:dLbls>
          <c:showLegendKey val="0"/>
          <c:showVal val="0"/>
          <c:showCatName val="0"/>
          <c:showSerName val="0"/>
          <c:showPercent val="0"/>
          <c:showBubbleSize val="0"/>
        </c:dLbls>
        <c:gapWidth val="150"/>
        <c:axId val="2106363560"/>
        <c:axId val="2106366568"/>
      </c:barChart>
      <c:catAx>
        <c:axId val="2106363560"/>
        <c:scaling>
          <c:orientation val="minMax"/>
        </c:scaling>
        <c:delete val="0"/>
        <c:axPos val="b"/>
        <c:numFmt formatCode="General" sourceLinked="1"/>
        <c:majorTickMark val="none"/>
        <c:minorTickMark val="none"/>
        <c:tickLblPos val="nextTo"/>
        <c:txPr>
          <a:bodyPr/>
          <a:lstStyle/>
          <a:p>
            <a:pPr>
              <a:defRPr sz="800"/>
            </a:pPr>
            <a:endParaRPr lang="en-US"/>
          </a:p>
        </c:txPr>
        <c:crossAx val="2106366568"/>
        <c:crosses val="autoZero"/>
        <c:auto val="1"/>
        <c:lblAlgn val="ctr"/>
        <c:lblOffset val="100"/>
        <c:noMultiLvlLbl val="0"/>
      </c:catAx>
      <c:valAx>
        <c:axId val="2106366568"/>
        <c:scaling>
          <c:orientation val="minMax"/>
        </c:scaling>
        <c:delete val="0"/>
        <c:axPos val="l"/>
        <c:title>
          <c:tx>
            <c:rich>
              <a:bodyPr/>
              <a:lstStyle/>
              <a:p>
                <a:pPr>
                  <a:defRPr/>
                </a:pPr>
                <a:r>
                  <a:rPr lang="en-US"/>
                  <a:t>Relative SRCAP mRNA Expression</a:t>
                </a:r>
              </a:p>
            </c:rich>
          </c:tx>
          <c:layout>
            <c:manualLayout>
              <c:xMode val="edge"/>
              <c:yMode val="edge"/>
              <c:x val="0.0"/>
              <c:y val="0.160137677401103"/>
            </c:manualLayout>
          </c:layout>
          <c:overlay val="0"/>
        </c:title>
        <c:numFmt formatCode="0.000" sourceLinked="0"/>
        <c:majorTickMark val="out"/>
        <c:minorTickMark val="none"/>
        <c:tickLblPos val="nextTo"/>
        <c:txPr>
          <a:bodyPr/>
          <a:lstStyle/>
          <a:p>
            <a:pPr>
              <a:defRPr sz="800"/>
            </a:pPr>
            <a:endParaRPr lang="en-US"/>
          </a:p>
        </c:txPr>
        <c:crossAx val="2106363560"/>
        <c:crosses val="autoZero"/>
        <c:crossBetween val="between"/>
        <c:majorUnit val="0.002"/>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Experimental</a:t>
            </a:r>
            <a:r>
              <a:rPr lang="en-US" sz="1100" baseline="0"/>
              <a:t> Repeat</a:t>
            </a:r>
            <a:r>
              <a:rPr lang="en-US" sz="1100"/>
              <a:t> 1</a:t>
            </a:r>
          </a:p>
        </c:rich>
      </c:tx>
      <c:layout>
        <c:manualLayout>
          <c:xMode val="edge"/>
          <c:yMode val="edge"/>
          <c:x val="0.336962509315965"/>
          <c:y val="0.0516433362496355"/>
        </c:manualLayout>
      </c:layout>
      <c:overlay val="0"/>
    </c:title>
    <c:autoTitleDeleted val="0"/>
    <c:plotArea>
      <c:layout>
        <c:manualLayout>
          <c:layoutTarget val="inner"/>
          <c:xMode val="edge"/>
          <c:yMode val="edge"/>
          <c:x val="0.260020414114902"/>
          <c:y val="0.115492957746479"/>
          <c:w val="0.695778490651631"/>
          <c:h val="0.760814017966064"/>
        </c:manualLayout>
      </c:layout>
      <c:barChart>
        <c:barDir val="col"/>
        <c:grouping val="clustered"/>
        <c:varyColors val="0"/>
        <c:ser>
          <c:idx val="0"/>
          <c:order val="0"/>
          <c:spPr>
            <a:solidFill>
              <a:schemeClr val="bg1"/>
            </a:solidFill>
            <a:ln>
              <a:solidFill>
                <a:schemeClr val="tx1"/>
              </a:solidFill>
            </a:ln>
          </c:spPr>
          <c:invertIfNegative val="0"/>
          <c:errBars>
            <c:errBarType val="both"/>
            <c:errValType val="cust"/>
            <c:noEndCap val="0"/>
            <c:plus>
              <c:numRef>
                <c:f>'microarray graphs'!$D$4:$D$7</c:f>
                <c:numCache>
                  <c:formatCode>General</c:formatCode>
                  <c:ptCount val="4"/>
                  <c:pt idx="0">
                    <c:v>4.85535353641253E-5</c:v>
                  </c:pt>
                  <c:pt idx="1">
                    <c:v>9.76880596089135E-6</c:v>
                  </c:pt>
                  <c:pt idx="2">
                    <c:v>8.0662060662905E-5</c:v>
                  </c:pt>
                  <c:pt idx="3">
                    <c:v>0.000182188531837895</c:v>
                  </c:pt>
                </c:numCache>
              </c:numRef>
            </c:plus>
            <c:minus>
              <c:numRef>
                <c:f>'microarray graphs'!$E$4:$E$7</c:f>
                <c:numCache>
                  <c:formatCode>General</c:formatCode>
                  <c:ptCount val="4"/>
                  <c:pt idx="0">
                    <c:v>4.56615228845393E-5</c:v>
                  </c:pt>
                  <c:pt idx="1">
                    <c:v>9.30356486252601E-6</c:v>
                  </c:pt>
                  <c:pt idx="2">
                    <c:v>7.28868288787749E-5</c:v>
                  </c:pt>
                  <c:pt idx="3">
                    <c:v>0.000162888160440469</c:v>
                  </c:pt>
                </c:numCache>
              </c:numRef>
            </c:minus>
            <c:spPr>
              <a:ln w="19050" cmpd="sng">
                <a:solidFill>
                  <a:srgbClr val="000000"/>
                </a:solidFill>
              </a:ln>
            </c:spPr>
          </c:errBars>
          <c:cat>
            <c:strRef>
              <c:f>'microarray graphs'!$B$4:$B$7</c:f>
              <c:strCache>
                <c:ptCount val="4"/>
                <c:pt idx="0">
                  <c:v>Control</c:v>
                </c:pt>
                <c:pt idx="1">
                  <c:v>si6</c:v>
                </c:pt>
                <c:pt idx="2">
                  <c:v>Negative YFP</c:v>
                </c:pt>
                <c:pt idx="3">
                  <c:v>Positive YFP </c:v>
                </c:pt>
              </c:strCache>
            </c:strRef>
          </c:cat>
          <c:val>
            <c:numRef>
              <c:f>'microarray graphs'!$C$4:$C$7</c:f>
              <c:numCache>
                <c:formatCode>0.00000000</c:formatCode>
                <c:ptCount val="4"/>
                <c:pt idx="0">
                  <c:v>0.000766604010807084</c:v>
                </c:pt>
                <c:pt idx="1">
                  <c:v>0.000195349723414029</c:v>
                </c:pt>
                <c:pt idx="2">
                  <c:v>0.000756144893911324</c:v>
                </c:pt>
                <c:pt idx="3">
                  <c:v>0.00153760537522018</c:v>
                </c:pt>
              </c:numCache>
            </c:numRef>
          </c:val>
        </c:ser>
        <c:dLbls>
          <c:showLegendKey val="0"/>
          <c:showVal val="0"/>
          <c:showCatName val="0"/>
          <c:showSerName val="0"/>
          <c:showPercent val="0"/>
          <c:showBubbleSize val="0"/>
        </c:dLbls>
        <c:gapWidth val="101"/>
        <c:axId val="2106426856"/>
        <c:axId val="2106429800"/>
      </c:barChart>
      <c:catAx>
        <c:axId val="2106426856"/>
        <c:scaling>
          <c:orientation val="minMax"/>
        </c:scaling>
        <c:delete val="0"/>
        <c:axPos val="b"/>
        <c:numFmt formatCode="General" sourceLinked="1"/>
        <c:majorTickMark val="none"/>
        <c:minorTickMark val="none"/>
        <c:tickLblPos val="nextTo"/>
        <c:txPr>
          <a:bodyPr/>
          <a:lstStyle/>
          <a:p>
            <a:pPr>
              <a:defRPr sz="800"/>
            </a:pPr>
            <a:endParaRPr lang="en-US"/>
          </a:p>
        </c:txPr>
        <c:crossAx val="2106429800"/>
        <c:crosses val="autoZero"/>
        <c:auto val="1"/>
        <c:lblAlgn val="ctr"/>
        <c:lblOffset val="100"/>
        <c:noMultiLvlLbl val="0"/>
      </c:catAx>
      <c:valAx>
        <c:axId val="2106429800"/>
        <c:scaling>
          <c:orientation val="minMax"/>
          <c:max val="0.002"/>
        </c:scaling>
        <c:delete val="0"/>
        <c:axPos val="l"/>
        <c:title>
          <c:tx>
            <c:rich>
              <a:bodyPr rot="-5400000" vert="horz"/>
              <a:lstStyle/>
              <a:p>
                <a:pPr>
                  <a:defRPr/>
                </a:pPr>
                <a:r>
                  <a:rPr lang="en-US"/>
                  <a:t>Relative SRCAP mRNA Expression</a:t>
                </a:r>
              </a:p>
            </c:rich>
          </c:tx>
          <c:layout>
            <c:manualLayout>
              <c:xMode val="edge"/>
              <c:yMode val="edge"/>
              <c:x val="0.0"/>
              <c:y val="0.16466705550695"/>
            </c:manualLayout>
          </c:layout>
          <c:overlay val="0"/>
        </c:title>
        <c:numFmt formatCode="0.0000" sourceLinked="0"/>
        <c:majorTickMark val="out"/>
        <c:minorTickMark val="none"/>
        <c:tickLblPos val="nextTo"/>
        <c:txPr>
          <a:bodyPr/>
          <a:lstStyle/>
          <a:p>
            <a:pPr>
              <a:defRPr sz="800"/>
            </a:pPr>
            <a:endParaRPr lang="en-US"/>
          </a:p>
        </c:txPr>
        <c:crossAx val="2106426856"/>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213981681370653"/>
          <c:y val="0.0478557965427767"/>
          <c:w val="0.757564233749704"/>
          <c:h val="0.917049952659187"/>
        </c:manualLayout>
      </c:layout>
      <c:barChart>
        <c:barDir val="col"/>
        <c:grouping val="clustered"/>
        <c:varyColors val="0"/>
        <c:ser>
          <c:idx val="0"/>
          <c:order val="0"/>
          <c:invertIfNegative val="0"/>
          <c:errBars>
            <c:errBarType val="both"/>
            <c:errValType val="cust"/>
            <c:noEndCap val="0"/>
            <c:plus>
              <c:numRef>
                <c:f>results!$D$10:$D$13</c:f>
                <c:numCache>
                  <c:formatCode>General</c:formatCode>
                  <c:ptCount val="4"/>
                  <c:pt idx="0">
                    <c:v>0.0236084765012214</c:v>
                  </c:pt>
                  <c:pt idx="1">
                    <c:v>0.000466136305344193</c:v>
                  </c:pt>
                  <c:pt idx="2">
                    <c:v>0.0911820284953748</c:v>
                  </c:pt>
                  <c:pt idx="3">
                    <c:v>0.214027857994307</c:v>
                  </c:pt>
                </c:numCache>
              </c:numRef>
            </c:plus>
            <c:minus>
              <c:numRef>
                <c:f>results!$C$10:$C$13</c:f>
                <c:numCache>
                  <c:formatCode>General</c:formatCode>
                  <c:ptCount val="4"/>
                  <c:pt idx="0">
                    <c:v>0.0181381988781445</c:v>
                  </c:pt>
                  <c:pt idx="1">
                    <c:v>0.000402511877148039</c:v>
                  </c:pt>
                  <c:pt idx="2">
                    <c:v>0.0850871018262846</c:v>
                  </c:pt>
                  <c:pt idx="3">
                    <c:v>0.197949748040147</c:v>
                  </c:pt>
                </c:numCache>
              </c:numRef>
            </c:minus>
          </c:errBars>
          <c:cat>
            <c:strRef>
              <c:f>results!$A$10:$A$13</c:f>
              <c:strCache>
                <c:ptCount val="4"/>
                <c:pt idx="0">
                  <c:v>UNT</c:v>
                </c:pt>
                <c:pt idx="1">
                  <c:v>FLAG</c:v>
                </c:pt>
                <c:pt idx="2">
                  <c:v>MYC</c:v>
                </c:pt>
                <c:pt idx="3">
                  <c:v>YFP</c:v>
                </c:pt>
              </c:strCache>
            </c:strRef>
          </c:cat>
          <c:val>
            <c:numRef>
              <c:f>results!$B$10:$B$13</c:f>
              <c:numCache>
                <c:formatCode>0.00000000</c:formatCode>
                <c:ptCount val="4"/>
                <c:pt idx="0">
                  <c:v>0.0782803490964868</c:v>
                </c:pt>
                <c:pt idx="1">
                  <c:v>0.00294895222779044</c:v>
                </c:pt>
                <c:pt idx="2">
                  <c:v>1.272929924269492</c:v>
                </c:pt>
                <c:pt idx="3">
                  <c:v>2.63505851647598</c:v>
                </c:pt>
              </c:numCache>
            </c:numRef>
          </c:val>
        </c:ser>
        <c:dLbls>
          <c:showLegendKey val="0"/>
          <c:showVal val="0"/>
          <c:showCatName val="0"/>
          <c:showSerName val="0"/>
          <c:showPercent val="0"/>
          <c:showBubbleSize val="0"/>
        </c:dLbls>
        <c:gapWidth val="150"/>
        <c:axId val="2107949736"/>
        <c:axId val="2107952680"/>
      </c:barChart>
      <c:catAx>
        <c:axId val="2107949736"/>
        <c:scaling>
          <c:orientation val="minMax"/>
        </c:scaling>
        <c:delete val="0"/>
        <c:axPos val="b"/>
        <c:numFmt formatCode="General" sourceLinked="1"/>
        <c:majorTickMark val="none"/>
        <c:minorTickMark val="none"/>
        <c:tickLblPos val="nextTo"/>
        <c:txPr>
          <a:bodyPr/>
          <a:lstStyle/>
          <a:p>
            <a:pPr>
              <a:defRPr b="1"/>
            </a:pPr>
            <a:endParaRPr lang="en-US"/>
          </a:p>
        </c:txPr>
        <c:crossAx val="2107952680"/>
        <c:crosses val="autoZero"/>
        <c:auto val="1"/>
        <c:lblAlgn val="ctr"/>
        <c:lblOffset val="100"/>
        <c:noMultiLvlLbl val="0"/>
      </c:catAx>
      <c:valAx>
        <c:axId val="2107952680"/>
        <c:scaling>
          <c:orientation val="minMax"/>
          <c:max val="3.0"/>
          <c:min val="-0.2"/>
        </c:scaling>
        <c:delete val="0"/>
        <c:axPos val="l"/>
        <c:title>
          <c:tx>
            <c:rich>
              <a:bodyPr/>
              <a:lstStyle/>
              <a:p>
                <a:pPr>
                  <a:defRPr/>
                </a:pPr>
                <a:r>
                  <a:rPr lang="en-US"/>
                  <a:t>Relative</a:t>
                </a:r>
                <a:r>
                  <a:rPr lang="en-US" baseline="0"/>
                  <a:t> SRCAP mRNA Expression</a:t>
                </a:r>
                <a:endParaRPr lang="en-US"/>
              </a:p>
            </c:rich>
          </c:tx>
          <c:layout>
            <c:manualLayout>
              <c:xMode val="edge"/>
              <c:yMode val="edge"/>
              <c:x val="0.0"/>
              <c:y val="0.222736816988785"/>
            </c:manualLayout>
          </c:layout>
          <c:overlay val="0"/>
        </c:title>
        <c:numFmt formatCode="0.00" sourceLinked="0"/>
        <c:majorTickMark val="out"/>
        <c:minorTickMark val="none"/>
        <c:tickLblPos val="nextTo"/>
        <c:crossAx val="2107949736"/>
        <c:crosses val="autoZero"/>
        <c:crossBetween val="between"/>
      </c:valAx>
    </c:plotArea>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0"/>
          <c:order val="0"/>
          <c:tx>
            <c:v>Original</c:v>
          </c:tx>
          <c:invertIfNegative val="0"/>
          <c:errBars>
            <c:errBarType val="both"/>
            <c:errValType val="cust"/>
            <c:noEndCap val="0"/>
            <c:plus>
              <c:numRef>
                <c:f>'SRCAP REDO'!$B$87:$B$95</c:f>
                <c:numCache>
                  <c:formatCode>General</c:formatCode>
                  <c:ptCount val="9"/>
                  <c:pt idx="0">
                    <c:v>4.85535353641253E-5</c:v>
                  </c:pt>
                  <c:pt idx="1">
                    <c:v>1.2996747677359E-5</c:v>
                  </c:pt>
                  <c:pt idx="2">
                    <c:v>3.040476038382E-5</c:v>
                  </c:pt>
                  <c:pt idx="3">
                    <c:v>9.76880596089135E-6</c:v>
                  </c:pt>
                  <c:pt idx="4">
                    <c:v>5.4017693034713E-5</c:v>
                  </c:pt>
                  <c:pt idx="5">
                    <c:v>1.518E-5</c:v>
                  </c:pt>
                  <c:pt idx="6">
                    <c:v>0.000182188531837895</c:v>
                  </c:pt>
                  <c:pt idx="7">
                    <c:v>0.00187561291826215</c:v>
                  </c:pt>
                  <c:pt idx="8">
                    <c:v>0.000330484756645738</c:v>
                  </c:pt>
                </c:numCache>
              </c:numRef>
            </c:plus>
            <c:minus>
              <c:numRef>
                <c:f>'SRCAP REDO'!$C$87:$C$95</c:f>
                <c:numCache>
                  <c:formatCode>General</c:formatCode>
                  <c:ptCount val="9"/>
                  <c:pt idx="0">
                    <c:v>4.56615228845393E-5</c:v>
                  </c:pt>
                  <c:pt idx="1">
                    <c:v>1.27376861244017E-5</c:v>
                  </c:pt>
                  <c:pt idx="2">
                    <c:v>2.83064896199838E-5</c:v>
                  </c:pt>
                  <c:pt idx="3">
                    <c:v>9.30356486252601E-6</c:v>
                  </c:pt>
                  <c:pt idx="4">
                    <c:v>4.31028071324034E-5</c:v>
                  </c:pt>
                  <c:pt idx="5">
                    <c:v>1.369E-5</c:v>
                  </c:pt>
                  <c:pt idx="6">
                    <c:v>0.000162888160440469</c:v>
                  </c:pt>
                  <c:pt idx="7">
                    <c:v>0.00161922631106515</c:v>
                  </c:pt>
                  <c:pt idx="8">
                    <c:v>0.000316130791357596</c:v>
                  </c:pt>
                </c:numCache>
              </c:numRef>
            </c:minus>
          </c:errBars>
          <c:cat>
            <c:strRef>
              <c:f>'SRCAP REDO'!$A$72:$A$80</c:f>
              <c:strCache>
                <c:ptCount val="9"/>
                <c:pt idx="0">
                  <c:v>C1</c:v>
                </c:pt>
                <c:pt idx="1">
                  <c:v>C2</c:v>
                </c:pt>
                <c:pt idx="2">
                  <c:v>C3</c:v>
                </c:pt>
                <c:pt idx="3">
                  <c:v>si6 1</c:v>
                </c:pt>
                <c:pt idx="4">
                  <c:v>si6 2</c:v>
                </c:pt>
                <c:pt idx="5">
                  <c:v>si6 3</c:v>
                </c:pt>
                <c:pt idx="6">
                  <c:v>YFP1</c:v>
                </c:pt>
                <c:pt idx="7">
                  <c:v>YFP2</c:v>
                </c:pt>
                <c:pt idx="8">
                  <c:v>YFP3</c:v>
                </c:pt>
              </c:strCache>
            </c:strRef>
          </c:cat>
          <c:val>
            <c:numRef>
              <c:f>'SRCAP REDO'!$B$72:$B$80</c:f>
              <c:numCache>
                <c:formatCode>General</c:formatCode>
                <c:ptCount val="9"/>
                <c:pt idx="0">
                  <c:v>0.0007666</c:v>
                </c:pt>
                <c:pt idx="1">
                  <c:v>0.00041017</c:v>
                </c:pt>
                <c:pt idx="2">
                  <c:v>0.00063903</c:v>
                </c:pt>
                <c:pt idx="3">
                  <c:v>0.00019535</c:v>
                </c:pt>
                <c:pt idx="4">
                  <c:v>0.0001395</c:v>
                </c:pt>
                <c:pt idx="5">
                  <c:v>0.00021332</c:v>
                </c:pt>
                <c:pt idx="6">
                  <c:v>0.00153761</c:v>
                </c:pt>
                <c:pt idx="7">
                  <c:v>0.007278575</c:v>
                </c:pt>
                <c:pt idx="8">
                  <c:v>0.01184556</c:v>
                </c:pt>
              </c:numCache>
            </c:numRef>
          </c:val>
        </c:ser>
        <c:ser>
          <c:idx val="1"/>
          <c:order val="1"/>
          <c:tx>
            <c:v>New</c:v>
          </c:tx>
          <c:invertIfNegative val="0"/>
          <c:errBars>
            <c:errBarType val="both"/>
            <c:errValType val="cust"/>
            <c:noEndCap val="0"/>
            <c:plus>
              <c:numRef>
                <c:f>'SRCAP REDO'!$C$57:$C$65</c:f>
                <c:numCache>
                  <c:formatCode>General</c:formatCode>
                  <c:ptCount val="9"/>
                  <c:pt idx="0">
                    <c:v>4.88906206973375E-5</c:v>
                  </c:pt>
                  <c:pt idx="1">
                    <c:v>6.12015811350427E-5</c:v>
                  </c:pt>
                  <c:pt idx="2">
                    <c:v>0.000413808341640846</c:v>
                  </c:pt>
                  <c:pt idx="3">
                    <c:v>0.000125668400196881</c:v>
                  </c:pt>
                  <c:pt idx="4">
                    <c:v>5.13335077537795E-5</c:v>
                  </c:pt>
                  <c:pt idx="5">
                    <c:v>5.21617359421263E-5</c:v>
                  </c:pt>
                  <c:pt idx="6">
                    <c:v>0.000110951205663763</c:v>
                  </c:pt>
                  <c:pt idx="7">
                    <c:v>0.00107359901688008</c:v>
                  </c:pt>
                  <c:pt idx="8">
                    <c:v>0.00144586883804506</c:v>
                  </c:pt>
                </c:numCache>
              </c:numRef>
            </c:plus>
            <c:minus>
              <c:numRef>
                <c:f>'SRCAP REDO'!$D$57:$D$65</c:f>
                <c:numCache>
                  <c:formatCode>General</c:formatCode>
                  <c:ptCount val="9"/>
                  <c:pt idx="0">
                    <c:v>4.64633475917242E-5</c:v>
                  </c:pt>
                  <c:pt idx="1">
                    <c:v>5.89813677751843E-5</c:v>
                  </c:pt>
                  <c:pt idx="2">
                    <c:v>0.000316893436933366</c:v>
                  </c:pt>
                  <c:pt idx="3">
                    <c:v>9.69928892082685E-5</c:v>
                  </c:pt>
                  <c:pt idx="4">
                    <c:v>4.49608721979929E-5</c:v>
                  </c:pt>
                  <c:pt idx="5">
                    <c:v>4.32029272360253E-5</c:v>
                  </c:pt>
                  <c:pt idx="6">
                    <c:v>0.000104401151744742</c:v>
                  </c:pt>
                  <c:pt idx="7">
                    <c:v>0.000952281895154636</c:v>
                  </c:pt>
                  <c:pt idx="8">
                    <c:v>0.00105754268179788</c:v>
                  </c:pt>
                </c:numCache>
              </c:numRef>
            </c:minus>
          </c:errBars>
          <c:cat>
            <c:strRef>
              <c:f>'SRCAP REDO'!$A$72:$A$80</c:f>
              <c:strCache>
                <c:ptCount val="9"/>
                <c:pt idx="0">
                  <c:v>C1</c:v>
                </c:pt>
                <c:pt idx="1">
                  <c:v>C2</c:v>
                </c:pt>
                <c:pt idx="2">
                  <c:v>C3</c:v>
                </c:pt>
                <c:pt idx="3">
                  <c:v>si6 1</c:v>
                </c:pt>
                <c:pt idx="4">
                  <c:v>si6 2</c:v>
                </c:pt>
                <c:pt idx="5">
                  <c:v>si6 3</c:v>
                </c:pt>
                <c:pt idx="6">
                  <c:v>YFP1</c:v>
                </c:pt>
                <c:pt idx="7">
                  <c:v>YFP2</c:v>
                </c:pt>
                <c:pt idx="8">
                  <c:v>YFP3</c:v>
                </c:pt>
              </c:strCache>
            </c:strRef>
          </c:cat>
          <c:val>
            <c:numRef>
              <c:f>'SRCAP REDO'!$C$72:$C$80</c:f>
              <c:numCache>
                <c:formatCode>0.00000000</c:formatCode>
                <c:ptCount val="9"/>
                <c:pt idx="0">
                  <c:v>0.000935874046551578</c:v>
                </c:pt>
                <c:pt idx="1">
                  <c:v>0.00162585859116757</c:v>
                </c:pt>
                <c:pt idx="2">
                  <c:v>0.00135307513338703</c:v>
                </c:pt>
                <c:pt idx="3">
                  <c:v>0.000425064481749494</c:v>
                </c:pt>
                <c:pt idx="4">
                  <c:v>0.000362173430661136</c:v>
                </c:pt>
                <c:pt idx="5" formatCode="General">
                  <c:v>0.000251544569857573</c:v>
                </c:pt>
                <c:pt idx="6" formatCode="General">
                  <c:v>0.00176844859629695</c:v>
                </c:pt>
                <c:pt idx="7">
                  <c:v>0.00842724334281899</c:v>
                </c:pt>
                <c:pt idx="8">
                  <c:v>0.00393758695857946</c:v>
                </c:pt>
              </c:numCache>
            </c:numRef>
          </c:val>
        </c:ser>
        <c:dLbls>
          <c:showLegendKey val="0"/>
          <c:showVal val="0"/>
          <c:showCatName val="0"/>
          <c:showSerName val="0"/>
          <c:showPercent val="0"/>
          <c:showBubbleSize val="0"/>
        </c:dLbls>
        <c:gapWidth val="150"/>
        <c:axId val="2109866840"/>
        <c:axId val="2109863848"/>
      </c:barChart>
      <c:catAx>
        <c:axId val="2109866840"/>
        <c:scaling>
          <c:orientation val="minMax"/>
        </c:scaling>
        <c:delete val="0"/>
        <c:axPos val="b"/>
        <c:numFmt formatCode="General" sourceLinked="1"/>
        <c:majorTickMark val="none"/>
        <c:minorTickMark val="none"/>
        <c:tickLblPos val="nextTo"/>
        <c:crossAx val="2109863848"/>
        <c:crosses val="autoZero"/>
        <c:auto val="1"/>
        <c:lblAlgn val="ctr"/>
        <c:lblOffset val="100"/>
        <c:noMultiLvlLbl val="0"/>
      </c:catAx>
      <c:valAx>
        <c:axId val="2109863848"/>
        <c:scaling>
          <c:orientation val="minMax"/>
        </c:scaling>
        <c:delete val="0"/>
        <c:axPos val="l"/>
        <c:title>
          <c:tx>
            <c:rich>
              <a:bodyPr/>
              <a:lstStyle/>
              <a:p>
                <a:pPr>
                  <a:defRPr/>
                </a:pPr>
                <a:r>
                  <a:rPr lang="en-US"/>
                  <a:t>Relative SRCAP mRNA Expression</a:t>
                </a:r>
              </a:p>
            </c:rich>
          </c:tx>
          <c:layout/>
          <c:overlay val="0"/>
        </c:title>
        <c:numFmt formatCode="General" sourceLinked="1"/>
        <c:majorTickMark val="out"/>
        <c:minorTickMark val="none"/>
        <c:tickLblPos val="nextTo"/>
        <c:crossAx val="2109866840"/>
        <c:crosses val="autoZero"/>
        <c:crossBetween val="between"/>
      </c:valAx>
    </c:plotArea>
    <c:legend>
      <c:legendPos val="r"/>
      <c:layout/>
      <c:overlay val="0"/>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7"/>
    </mc:Choice>
    <mc:Fallback>
      <c:style val="17"/>
    </mc:Fallback>
  </mc:AlternateContent>
  <c:chart>
    <c:title>
      <c:tx>
        <c:rich>
          <a:bodyPr/>
          <a:lstStyle/>
          <a:p>
            <a:pPr>
              <a:defRPr>
                <a:latin typeface="+mj-lt"/>
              </a:defRPr>
            </a:pPr>
            <a:r>
              <a:rPr lang="en-US">
                <a:latin typeface="+mj-lt"/>
              </a:rPr>
              <a:t>CPA4</a:t>
            </a:r>
          </a:p>
        </c:rich>
      </c:tx>
      <c:layout>
        <c:manualLayout>
          <c:xMode val="edge"/>
          <c:yMode val="edge"/>
          <c:x val="0.572954438387509"/>
          <c:y val="0.0954968532159286"/>
        </c:manualLayout>
      </c:layout>
      <c:overlay val="0"/>
    </c:title>
    <c:autoTitleDeleted val="0"/>
    <c:plotArea>
      <c:layout/>
      <c:barChart>
        <c:barDir val="col"/>
        <c:grouping val="clustered"/>
        <c:varyColors val="0"/>
        <c:ser>
          <c:idx val="0"/>
          <c:order val="0"/>
          <c:spPr>
            <a:solidFill>
              <a:schemeClr val="bg1"/>
            </a:solidFill>
            <a:ln>
              <a:solidFill>
                <a:schemeClr val="tx1"/>
              </a:solidFill>
            </a:ln>
          </c:spPr>
          <c:invertIfNegative val="0"/>
          <c:errBars>
            <c:errBarType val="both"/>
            <c:errValType val="cust"/>
            <c:noEndCap val="0"/>
            <c:plus>
              <c:numRef>
                <c:f>'CPA4'!$Z$91:$Z$96</c:f>
                <c:numCache>
                  <c:formatCode>General</c:formatCode>
                  <c:ptCount val="6"/>
                  <c:pt idx="0">
                    <c:v>3.232E-5</c:v>
                  </c:pt>
                  <c:pt idx="1">
                    <c:v>7.901E-5</c:v>
                  </c:pt>
                  <c:pt idx="2">
                    <c:v>2.57E-5</c:v>
                  </c:pt>
                  <c:pt idx="3">
                    <c:v>4.836E-5</c:v>
                  </c:pt>
                  <c:pt idx="4">
                    <c:v>2.98E-6</c:v>
                  </c:pt>
                  <c:pt idx="5">
                    <c:v>2.66385E-5</c:v>
                  </c:pt>
                </c:numCache>
              </c:numRef>
            </c:plus>
            <c:minus>
              <c:numRef>
                <c:f>'CPA4'!$AA$91:$AA$96</c:f>
                <c:numCache>
                  <c:formatCode>General</c:formatCode>
                  <c:ptCount val="6"/>
                  <c:pt idx="0">
                    <c:v>2.097E-5</c:v>
                  </c:pt>
                  <c:pt idx="1">
                    <c:v>5.704E-5</c:v>
                  </c:pt>
                  <c:pt idx="2">
                    <c:v>1.785E-5</c:v>
                  </c:pt>
                  <c:pt idx="3">
                    <c:v>3.53E-5</c:v>
                  </c:pt>
                  <c:pt idx="4">
                    <c:v>2.27E-6</c:v>
                  </c:pt>
                  <c:pt idx="5">
                    <c:v>2.29048E-5</c:v>
                  </c:pt>
                </c:numCache>
              </c:numRef>
            </c:minus>
          </c:errBars>
          <c:cat>
            <c:strRef>
              <c:f>'CPA4'!$X$91:$X$96</c:f>
              <c:strCache>
                <c:ptCount val="6"/>
                <c:pt idx="0">
                  <c:v>C1</c:v>
                </c:pt>
                <c:pt idx="1">
                  <c:v>si6 1</c:v>
                </c:pt>
                <c:pt idx="2">
                  <c:v>C2</c:v>
                </c:pt>
                <c:pt idx="3">
                  <c:v>si6 2</c:v>
                </c:pt>
                <c:pt idx="4">
                  <c:v>C3</c:v>
                </c:pt>
                <c:pt idx="5">
                  <c:v>si6 3</c:v>
                </c:pt>
              </c:strCache>
            </c:strRef>
          </c:cat>
          <c:val>
            <c:numRef>
              <c:f>'CPA4'!$Y$91:$Y$96</c:f>
              <c:numCache>
                <c:formatCode>0.00000000</c:formatCode>
                <c:ptCount val="6"/>
                <c:pt idx="0">
                  <c:v>5.96987534667729E-5</c:v>
                </c:pt>
                <c:pt idx="1">
                  <c:v>0.000205099273218287</c:v>
                </c:pt>
                <c:pt idx="2">
                  <c:v>5.83874973455528E-5</c:v>
                </c:pt>
                <c:pt idx="3">
                  <c:v>0.000130745628711392</c:v>
                </c:pt>
                <c:pt idx="4">
                  <c:v>9.50202544005468E-6</c:v>
                </c:pt>
                <c:pt idx="5" formatCode="General">
                  <c:v>0.000163418167508302</c:v>
                </c:pt>
              </c:numCache>
            </c:numRef>
          </c:val>
        </c:ser>
        <c:dLbls>
          <c:showLegendKey val="0"/>
          <c:showVal val="0"/>
          <c:showCatName val="0"/>
          <c:showSerName val="0"/>
          <c:showPercent val="0"/>
          <c:showBubbleSize val="0"/>
        </c:dLbls>
        <c:gapWidth val="150"/>
        <c:axId val="2111008872"/>
        <c:axId val="2111011848"/>
      </c:barChart>
      <c:catAx>
        <c:axId val="2111008872"/>
        <c:scaling>
          <c:orientation val="minMax"/>
        </c:scaling>
        <c:delete val="0"/>
        <c:axPos val="b"/>
        <c:numFmt formatCode="General" sourceLinked="1"/>
        <c:majorTickMark val="none"/>
        <c:minorTickMark val="none"/>
        <c:tickLblPos val="nextTo"/>
        <c:crossAx val="2111011848"/>
        <c:crosses val="autoZero"/>
        <c:auto val="1"/>
        <c:lblAlgn val="ctr"/>
        <c:lblOffset val="100"/>
        <c:noMultiLvlLbl val="0"/>
      </c:catAx>
      <c:valAx>
        <c:axId val="2111011848"/>
        <c:scaling>
          <c:orientation val="minMax"/>
        </c:scaling>
        <c:delete val="0"/>
        <c:axPos val="l"/>
        <c:title>
          <c:tx>
            <c:rich>
              <a:bodyPr/>
              <a:lstStyle/>
              <a:p>
                <a:pPr>
                  <a:defRPr/>
                </a:pPr>
                <a:r>
                  <a:rPr lang="en-US"/>
                  <a:t>Relative CPA4 mRNA Expression</a:t>
                </a:r>
              </a:p>
            </c:rich>
          </c:tx>
          <c:layout/>
          <c:overlay val="0"/>
        </c:title>
        <c:numFmt formatCode="0.00000" sourceLinked="0"/>
        <c:majorTickMark val="out"/>
        <c:minorTickMark val="none"/>
        <c:tickLblPos val="nextTo"/>
        <c:crossAx val="2111008872"/>
        <c:crosses val="autoZero"/>
        <c:crossBetween val="between"/>
      </c:valAx>
    </c:plotArea>
    <c:plotVisOnly val="1"/>
    <c:dispBlanksAs val="gap"/>
    <c:showDLblsOverMax val="0"/>
  </c:chart>
  <c:spPr>
    <a:ln>
      <a:solidFill>
        <a:srgbClr val="FFFFFF"/>
      </a:solid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210604365243818"/>
          <c:y val="0.037037037037037"/>
          <c:w val="0.623678684901229"/>
          <c:h val="0.776787207154661"/>
        </c:manualLayout>
      </c:layout>
      <c:scatterChart>
        <c:scatterStyle val="lineMarker"/>
        <c:varyColors val="0"/>
        <c:ser>
          <c:idx val="0"/>
          <c:order val="0"/>
          <c:tx>
            <c:strRef>
              <c:f>'48hrs'!$H$5</c:f>
              <c:strCache>
                <c:ptCount val="1"/>
                <c:pt idx="0">
                  <c:v>HCT116</c:v>
                </c:pt>
              </c:strCache>
            </c:strRef>
          </c:tx>
          <c:spPr>
            <a:ln w="19050" cmpd="sng">
              <a:solidFill>
                <a:schemeClr val="accent1"/>
              </a:solidFill>
            </a:ln>
          </c:spPr>
          <c:marker>
            <c:spPr>
              <a:ln w="19050" cmpd="sng">
                <a:solidFill>
                  <a:schemeClr val="accent1"/>
                </a:solidFill>
              </a:ln>
            </c:spPr>
          </c:marker>
          <c:xVal>
            <c:numRef>
              <c:f>'48hrs'!$I$23:$I$28</c:f>
              <c:numCache>
                <c:formatCode>General</c:formatCode>
                <c:ptCount val="6"/>
                <c:pt idx="0">
                  <c:v>0.0</c:v>
                </c:pt>
                <c:pt idx="1">
                  <c:v>100.0</c:v>
                </c:pt>
                <c:pt idx="2">
                  <c:v>200.0</c:v>
                </c:pt>
                <c:pt idx="3">
                  <c:v>300.0</c:v>
                </c:pt>
                <c:pt idx="4">
                  <c:v>400.0</c:v>
                </c:pt>
                <c:pt idx="5">
                  <c:v>500.0</c:v>
                </c:pt>
              </c:numCache>
            </c:numRef>
          </c:xVal>
          <c:yVal>
            <c:numRef>
              <c:f>('48hrs'!$K$5,'48hrs'!$K$6,'48hrs'!$K$7,'48hrs'!$L$8,'48hrs'!$L$9,'48hrs'!$L$10)</c:f>
              <c:numCache>
                <c:formatCode>General</c:formatCode>
                <c:ptCount val="6"/>
                <c:pt idx="0">
                  <c:v>3.2E6</c:v>
                </c:pt>
                <c:pt idx="1">
                  <c:v>3.12E6</c:v>
                </c:pt>
                <c:pt idx="2">
                  <c:v>1.52E6</c:v>
                </c:pt>
                <c:pt idx="3">
                  <c:v>1.264E6</c:v>
                </c:pt>
                <c:pt idx="4">
                  <c:v>616000.0</c:v>
                </c:pt>
                <c:pt idx="5">
                  <c:v>872000.0</c:v>
                </c:pt>
              </c:numCache>
            </c:numRef>
          </c:yVal>
          <c:smooth val="0"/>
        </c:ser>
        <c:ser>
          <c:idx val="1"/>
          <c:order val="1"/>
          <c:tx>
            <c:strRef>
              <c:f>'48hrs'!$H$11</c:f>
              <c:strCache>
                <c:ptCount val="1"/>
                <c:pt idx="0">
                  <c:v>Rpe</c:v>
                </c:pt>
              </c:strCache>
            </c:strRef>
          </c:tx>
          <c:spPr>
            <a:ln w="19050" cmpd="sng">
              <a:solidFill>
                <a:schemeClr val="accent2"/>
              </a:solidFill>
            </a:ln>
          </c:spPr>
          <c:marker>
            <c:spPr>
              <a:ln w="19050" cmpd="sng">
                <a:solidFill>
                  <a:schemeClr val="accent2"/>
                </a:solidFill>
              </a:ln>
            </c:spPr>
          </c:marker>
          <c:xVal>
            <c:numRef>
              <c:f>'48hrs'!$I$23:$I$28</c:f>
              <c:numCache>
                <c:formatCode>General</c:formatCode>
                <c:ptCount val="6"/>
                <c:pt idx="0">
                  <c:v>0.0</c:v>
                </c:pt>
                <c:pt idx="1">
                  <c:v>100.0</c:v>
                </c:pt>
                <c:pt idx="2">
                  <c:v>200.0</c:v>
                </c:pt>
                <c:pt idx="3">
                  <c:v>300.0</c:v>
                </c:pt>
                <c:pt idx="4">
                  <c:v>400.0</c:v>
                </c:pt>
                <c:pt idx="5">
                  <c:v>500.0</c:v>
                </c:pt>
              </c:numCache>
            </c:numRef>
          </c:xVal>
          <c:yVal>
            <c:numRef>
              <c:f>('48hrs'!$K$11,'48hrs'!$K$12,'48hrs'!$K$13,'48hrs'!$L$14,'48hrs'!$L$15,'48hrs'!$L$16)</c:f>
              <c:numCache>
                <c:formatCode>General</c:formatCode>
                <c:ptCount val="6"/>
                <c:pt idx="0">
                  <c:v>800000.0</c:v>
                </c:pt>
                <c:pt idx="1">
                  <c:v>560000.0</c:v>
                </c:pt>
                <c:pt idx="2">
                  <c:v>760000.0</c:v>
                </c:pt>
                <c:pt idx="3">
                  <c:v>728000.0</c:v>
                </c:pt>
                <c:pt idx="4">
                  <c:v>224000.0</c:v>
                </c:pt>
                <c:pt idx="5">
                  <c:v>216000.0</c:v>
                </c:pt>
              </c:numCache>
            </c:numRef>
          </c:yVal>
          <c:smooth val="0"/>
        </c:ser>
        <c:ser>
          <c:idx val="2"/>
          <c:order val="2"/>
          <c:tx>
            <c:strRef>
              <c:f>'48hrs'!$H$17</c:f>
              <c:strCache>
                <c:ptCount val="1"/>
                <c:pt idx="0">
                  <c:v>HEK293</c:v>
                </c:pt>
              </c:strCache>
            </c:strRef>
          </c:tx>
          <c:spPr>
            <a:ln w="19050" cmpd="sng">
              <a:solidFill>
                <a:schemeClr val="accent3"/>
              </a:solidFill>
            </a:ln>
          </c:spPr>
          <c:marker>
            <c:spPr>
              <a:solidFill>
                <a:schemeClr val="accent3"/>
              </a:solidFill>
              <a:ln w="19050" cmpd="sng">
                <a:solidFill>
                  <a:schemeClr val="accent3"/>
                </a:solidFill>
              </a:ln>
            </c:spPr>
          </c:marker>
          <c:xVal>
            <c:numRef>
              <c:f>'48hrs'!$I$23:$I$28</c:f>
              <c:numCache>
                <c:formatCode>General</c:formatCode>
                <c:ptCount val="6"/>
                <c:pt idx="0">
                  <c:v>0.0</c:v>
                </c:pt>
                <c:pt idx="1">
                  <c:v>100.0</c:v>
                </c:pt>
                <c:pt idx="2">
                  <c:v>200.0</c:v>
                </c:pt>
                <c:pt idx="3">
                  <c:v>300.0</c:v>
                </c:pt>
                <c:pt idx="4">
                  <c:v>400.0</c:v>
                </c:pt>
                <c:pt idx="5">
                  <c:v>500.0</c:v>
                </c:pt>
              </c:numCache>
            </c:numRef>
          </c:xVal>
          <c:yVal>
            <c:numRef>
              <c:f>('48hrs'!$K$17,'48hrs'!$K$18,'48hrs'!$K$19,'48hrs'!$L$20,'48hrs'!$L$21,'48hrs'!$L$22)</c:f>
              <c:numCache>
                <c:formatCode>General</c:formatCode>
                <c:ptCount val="6"/>
                <c:pt idx="0">
                  <c:v>2.8E6</c:v>
                </c:pt>
                <c:pt idx="1">
                  <c:v>1.0E6</c:v>
                </c:pt>
                <c:pt idx="2">
                  <c:v>200000.0</c:v>
                </c:pt>
                <c:pt idx="3">
                  <c:v>32000.0</c:v>
                </c:pt>
                <c:pt idx="4">
                  <c:v>16000.0</c:v>
                </c:pt>
                <c:pt idx="5">
                  <c:v>8000.0</c:v>
                </c:pt>
              </c:numCache>
            </c:numRef>
          </c:yVal>
          <c:smooth val="0"/>
        </c:ser>
        <c:ser>
          <c:idx val="3"/>
          <c:order val="3"/>
          <c:tx>
            <c:strRef>
              <c:f>'48hrs'!$H$23</c:f>
              <c:strCache>
                <c:ptCount val="1"/>
                <c:pt idx="0">
                  <c:v>SW480</c:v>
                </c:pt>
              </c:strCache>
            </c:strRef>
          </c:tx>
          <c:spPr>
            <a:ln w="19050" cmpd="sng">
              <a:solidFill>
                <a:schemeClr val="accent4"/>
              </a:solidFill>
            </a:ln>
          </c:spPr>
          <c:marker>
            <c:spPr>
              <a:ln w="19050" cmpd="sng">
                <a:solidFill>
                  <a:schemeClr val="accent4"/>
                </a:solidFill>
              </a:ln>
            </c:spPr>
          </c:marker>
          <c:xVal>
            <c:numRef>
              <c:f>'48hrs'!$I$23:$I$28</c:f>
              <c:numCache>
                <c:formatCode>General</c:formatCode>
                <c:ptCount val="6"/>
                <c:pt idx="0">
                  <c:v>0.0</c:v>
                </c:pt>
                <c:pt idx="1">
                  <c:v>100.0</c:v>
                </c:pt>
                <c:pt idx="2">
                  <c:v>200.0</c:v>
                </c:pt>
                <c:pt idx="3">
                  <c:v>300.0</c:v>
                </c:pt>
                <c:pt idx="4">
                  <c:v>400.0</c:v>
                </c:pt>
                <c:pt idx="5">
                  <c:v>500.0</c:v>
                </c:pt>
              </c:numCache>
            </c:numRef>
          </c:xVal>
          <c:yVal>
            <c:numRef>
              <c:f>('48hrs'!$K$23,'48hrs'!$K$24,'48hrs'!$K$25,'48hrs'!$L$26,'48hrs'!$L$27,'48hrs'!$L$28)</c:f>
              <c:numCache>
                <c:formatCode>General</c:formatCode>
                <c:ptCount val="6"/>
                <c:pt idx="0">
                  <c:v>1.48E6</c:v>
                </c:pt>
                <c:pt idx="1">
                  <c:v>1.88E6</c:v>
                </c:pt>
                <c:pt idx="2">
                  <c:v>960000.0</c:v>
                </c:pt>
                <c:pt idx="3">
                  <c:v>488000.0</c:v>
                </c:pt>
                <c:pt idx="4">
                  <c:v>280000.0</c:v>
                </c:pt>
                <c:pt idx="5">
                  <c:v>240000.0</c:v>
                </c:pt>
              </c:numCache>
            </c:numRef>
          </c:yVal>
          <c:smooth val="0"/>
        </c:ser>
        <c:dLbls>
          <c:showLegendKey val="0"/>
          <c:showVal val="0"/>
          <c:showCatName val="0"/>
          <c:showSerName val="0"/>
          <c:showPercent val="0"/>
          <c:showBubbleSize val="0"/>
        </c:dLbls>
        <c:axId val="2111061368"/>
        <c:axId val="2111069336"/>
      </c:scatterChart>
      <c:valAx>
        <c:axId val="2111061368"/>
        <c:scaling>
          <c:orientation val="minMax"/>
          <c:max val="500.0"/>
        </c:scaling>
        <c:delete val="0"/>
        <c:axPos val="b"/>
        <c:title>
          <c:tx>
            <c:rich>
              <a:bodyPr/>
              <a:lstStyle/>
              <a:p>
                <a:pPr>
                  <a:defRPr/>
                </a:pPr>
                <a:r>
                  <a:rPr lang="en-US"/>
                  <a:t>Hygromycin</a:t>
                </a:r>
                <a:r>
                  <a:rPr lang="en-US" baseline="0"/>
                  <a:t> Concentration (ug/ml)</a:t>
                </a:r>
                <a:endParaRPr lang="en-US"/>
              </a:p>
            </c:rich>
          </c:tx>
          <c:layout/>
          <c:overlay val="0"/>
        </c:title>
        <c:numFmt formatCode="General" sourceLinked="1"/>
        <c:majorTickMark val="none"/>
        <c:minorTickMark val="none"/>
        <c:tickLblPos val="nextTo"/>
        <c:crossAx val="2111069336"/>
        <c:crosses val="autoZero"/>
        <c:crossBetween val="midCat"/>
      </c:valAx>
      <c:valAx>
        <c:axId val="2111069336"/>
        <c:scaling>
          <c:orientation val="minMax"/>
        </c:scaling>
        <c:delete val="0"/>
        <c:axPos val="l"/>
        <c:title>
          <c:tx>
            <c:rich>
              <a:bodyPr/>
              <a:lstStyle/>
              <a:p>
                <a:pPr>
                  <a:defRPr/>
                </a:pPr>
                <a:r>
                  <a:rPr lang="en-US"/>
                  <a:t>Total number of viable cells</a:t>
                </a:r>
              </a:p>
            </c:rich>
          </c:tx>
          <c:layout>
            <c:manualLayout>
              <c:xMode val="edge"/>
              <c:yMode val="edge"/>
              <c:x val="0.0"/>
              <c:y val="0.068740157480315"/>
            </c:manualLayout>
          </c:layout>
          <c:overlay val="0"/>
        </c:title>
        <c:numFmt formatCode="General" sourceLinked="1"/>
        <c:majorTickMark val="out"/>
        <c:minorTickMark val="none"/>
        <c:tickLblPos val="nextTo"/>
        <c:crossAx val="2111061368"/>
        <c:crosses val="autoZero"/>
        <c:crossBetween val="midCat"/>
      </c:valAx>
    </c:plotArea>
    <c:legend>
      <c:legendPos val="r"/>
      <c:layout>
        <c:manualLayout>
          <c:xMode val="edge"/>
          <c:yMode val="edge"/>
          <c:x val="0.780222350254999"/>
          <c:y val="0.00528975544723576"/>
          <c:w val="0.184909416810704"/>
          <c:h val="0.482531766862475"/>
        </c:manualLayout>
      </c:layout>
      <c:overlay val="0"/>
      <c:txPr>
        <a:bodyPr/>
        <a:lstStyle/>
        <a:p>
          <a:pPr>
            <a:defRPr b="1"/>
          </a:pPr>
          <a:endParaRPr lang="en-US"/>
        </a:p>
      </c:txPr>
    </c:legend>
    <c:plotVisOnly val="1"/>
    <c:dispBlanksAs val="gap"/>
    <c:showDLblsOverMax val="0"/>
  </c:chart>
  <c:spPr>
    <a:ln>
      <a:solidFill>
        <a:srgbClr val="FFFFFF"/>
      </a:solid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73794743048423"/>
          <c:y val="0.0952380952380952"/>
          <c:w val="0.595660927746726"/>
          <c:h val="0.739861267341582"/>
        </c:manualLayout>
      </c:layout>
      <c:scatterChart>
        <c:scatterStyle val="lineMarker"/>
        <c:varyColors val="0"/>
        <c:ser>
          <c:idx val="0"/>
          <c:order val="0"/>
          <c:tx>
            <c:strRef>
              <c:f>'48hrs'!$B$5</c:f>
              <c:strCache>
                <c:ptCount val="1"/>
                <c:pt idx="0">
                  <c:v>HCT116</c:v>
                </c:pt>
              </c:strCache>
            </c:strRef>
          </c:tx>
          <c:spPr>
            <a:ln w="19050" cmpd="sng">
              <a:solidFill>
                <a:schemeClr val="accent1"/>
              </a:solidFill>
            </a:ln>
          </c:spPr>
          <c:marker>
            <c:spPr>
              <a:ln w="19050" cmpd="sng">
                <a:solidFill>
                  <a:schemeClr val="accent1"/>
                </a:solidFill>
              </a:ln>
            </c:spPr>
          </c:marker>
          <c:xVal>
            <c:numRef>
              <c:f>'48hrs'!$C$5:$C$10</c:f>
              <c:numCache>
                <c:formatCode>General</c:formatCode>
                <c:ptCount val="6"/>
                <c:pt idx="0">
                  <c:v>0.0</c:v>
                </c:pt>
                <c:pt idx="1">
                  <c:v>1.0</c:v>
                </c:pt>
                <c:pt idx="2">
                  <c:v>5.0</c:v>
                </c:pt>
                <c:pt idx="3">
                  <c:v>10.0</c:v>
                </c:pt>
                <c:pt idx="4">
                  <c:v>15.0</c:v>
                </c:pt>
                <c:pt idx="5">
                  <c:v>20.0</c:v>
                </c:pt>
              </c:numCache>
            </c:numRef>
          </c:xVal>
          <c:yVal>
            <c:numRef>
              <c:f>('48hrs'!$E$5,'48hrs'!$E$6,'48hrs'!$E$7,'48hrs'!$F$8,'48hrs'!$F$9,'48hrs'!$F$10)</c:f>
              <c:numCache>
                <c:formatCode>General</c:formatCode>
                <c:ptCount val="6"/>
                <c:pt idx="0">
                  <c:v>6.92E6</c:v>
                </c:pt>
                <c:pt idx="1">
                  <c:v>6.6E6</c:v>
                </c:pt>
                <c:pt idx="2">
                  <c:v>7.0E6</c:v>
                </c:pt>
                <c:pt idx="3">
                  <c:v>1.536E6</c:v>
                </c:pt>
                <c:pt idx="4">
                  <c:v>1.208E6</c:v>
                </c:pt>
                <c:pt idx="5">
                  <c:v>904000.0</c:v>
                </c:pt>
              </c:numCache>
            </c:numRef>
          </c:yVal>
          <c:smooth val="0"/>
        </c:ser>
        <c:ser>
          <c:idx val="1"/>
          <c:order val="1"/>
          <c:tx>
            <c:strRef>
              <c:f>'48hrs'!$B$11</c:f>
              <c:strCache>
                <c:ptCount val="1"/>
                <c:pt idx="0">
                  <c:v>Rpe</c:v>
                </c:pt>
              </c:strCache>
            </c:strRef>
          </c:tx>
          <c:spPr>
            <a:ln w="19050" cmpd="sng">
              <a:solidFill>
                <a:schemeClr val="accent2"/>
              </a:solidFill>
            </a:ln>
          </c:spPr>
          <c:marker>
            <c:spPr>
              <a:ln w="19050" cmpd="sng">
                <a:solidFill>
                  <a:schemeClr val="accent2"/>
                </a:solidFill>
              </a:ln>
            </c:spPr>
          </c:marker>
          <c:xVal>
            <c:numRef>
              <c:f>'48hrs'!$C$5:$C$10</c:f>
              <c:numCache>
                <c:formatCode>General</c:formatCode>
                <c:ptCount val="6"/>
                <c:pt idx="0">
                  <c:v>0.0</c:v>
                </c:pt>
                <c:pt idx="1">
                  <c:v>1.0</c:v>
                </c:pt>
                <c:pt idx="2">
                  <c:v>5.0</c:v>
                </c:pt>
                <c:pt idx="3">
                  <c:v>10.0</c:v>
                </c:pt>
                <c:pt idx="4">
                  <c:v>15.0</c:v>
                </c:pt>
                <c:pt idx="5">
                  <c:v>20.0</c:v>
                </c:pt>
              </c:numCache>
            </c:numRef>
          </c:xVal>
          <c:yVal>
            <c:numRef>
              <c:f>('48hrs'!$E$11,'48hrs'!$E$12,'48hrs'!$E$13,'48hrs'!$F$14,'48hrs'!$F$15,'48hrs'!$F$16)</c:f>
              <c:numCache>
                <c:formatCode>General</c:formatCode>
                <c:ptCount val="6"/>
                <c:pt idx="0">
                  <c:v>880000.0</c:v>
                </c:pt>
                <c:pt idx="1">
                  <c:v>640000.0</c:v>
                </c:pt>
                <c:pt idx="2">
                  <c:v>320000.0</c:v>
                </c:pt>
                <c:pt idx="3">
                  <c:v>104000.0</c:v>
                </c:pt>
                <c:pt idx="4">
                  <c:v>48000.0</c:v>
                </c:pt>
                <c:pt idx="5">
                  <c:v>32000.0</c:v>
                </c:pt>
              </c:numCache>
            </c:numRef>
          </c:yVal>
          <c:smooth val="0"/>
        </c:ser>
        <c:ser>
          <c:idx val="2"/>
          <c:order val="2"/>
          <c:tx>
            <c:strRef>
              <c:f>'48hrs'!$B$17</c:f>
              <c:strCache>
                <c:ptCount val="1"/>
                <c:pt idx="0">
                  <c:v>HEK293</c:v>
                </c:pt>
              </c:strCache>
            </c:strRef>
          </c:tx>
          <c:spPr>
            <a:ln w="19050" cmpd="sng">
              <a:solidFill>
                <a:schemeClr val="accent3"/>
              </a:solidFill>
            </a:ln>
          </c:spPr>
          <c:marker>
            <c:spPr>
              <a:ln w="19050" cmpd="sng">
                <a:solidFill>
                  <a:schemeClr val="accent3"/>
                </a:solidFill>
              </a:ln>
            </c:spPr>
          </c:marker>
          <c:xVal>
            <c:numRef>
              <c:f>'48hrs'!$C$5:$C$10</c:f>
              <c:numCache>
                <c:formatCode>General</c:formatCode>
                <c:ptCount val="6"/>
                <c:pt idx="0">
                  <c:v>0.0</c:v>
                </c:pt>
                <c:pt idx="1">
                  <c:v>1.0</c:v>
                </c:pt>
                <c:pt idx="2">
                  <c:v>5.0</c:v>
                </c:pt>
                <c:pt idx="3">
                  <c:v>10.0</c:v>
                </c:pt>
                <c:pt idx="4">
                  <c:v>15.0</c:v>
                </c:pt>
                <c:pt idx="5">
                  <c:v>20.0</c:v>
                </c:pt>
              </c:numCache>
            </c:numRef>
          </c:xVal>
          <c:yVal>
            <c:numRef>
              <c:f>('48hrs'!$E$17,'48hrs'!$E$18,'48hrs'!$E$19,'48hrs'!$F$20,'48hrs'!$F$21,'48hrs'!$F$22)</c:f>
              <c:numCache>
                <c:formatCode>General</c:formatCode>
                <c:ptCount val="6"/>
                <c:pt idx="0">
                  <c:v>5.2E6</c:v>
                </c:pt>
                <c:pt idx="1">
                  <c:v>2.92E6</c:v>
                </c:pt>
                <c:pt idx="2">
                  <c:v>800000.0</c:v>
                </c:pt>
                <c:pt idx="3">
                  <c:v>40000.0</c:v>
                </c:pt>
                <c:pt idx="4">
                  <c:v>24000.0</c:v>
                </c:pt>
                <c:pt idx="5">
                  <c:v>8000.0</c:v>
                </c:pt>
              </c:numCache>
            </c:numRef>
          </c:yVal>
          <c:smooth val="0"/>
        </c:ser>
        <c:ser>
          <c:idx val="3"/>
          <c:order val="3"/>
          <c:tx>
            <c:strRef>
              <c:f>'48hrs'!$B$23</c:f>
              <c:strCache>
                <c:ptCount val="1"/>
                <c:pt idx="0">
                  <c:v>SW480</c:v>
                </c:pt>
              </c:strCache>
            </c:strRef>
          </c:tx>
          <c:spPr>
            <a:ln w="19050" cmpd="sng">
              <a:solidFill>
                <a:schemeClr val="accent4"/>
              </a:solidFill>
            </a:ln>
          </c:spPr>
          <c:marker>
            <c:spPr>
              <a:ln w="19050" cmpd="sng">
                <a:solidFill>
                  <a:schemeClr val="accent4"/>
                </a:solidFill>
              </a:ln>
            </c:spPr>
          </c:marker>
          <c:xVal>
            <c:numRef>
              <c:f>'48hrs'!$C$5:$C$10</c:f>
              <c:numCache>
                <c:formatCode>General</c:formatCode>
                <c:ptCount val="6"/>
                <c:pt idx="0">
                  <c:v>0.0</c:v>
                </c:pt>
                <c:pt idx="1">
                  <c:v>1.0</c:v>
                </c:pt>
                <c:pt idx="2">
                  <c:v>5.0</c:v>
                </c:pt>
                <c:pt idx="3">
                  <c:v>10.0</c:v>
                </c:pt>
                <c:pt idx="4">
                  <c:v>15.0</c:v>
                </c:pt>
                <c:pt idx="5">
                  <c:v>20.0</c:v>
                </c:pt>
              </c:numCache>
            </c:numRef>
          </c:xVal>
          <c:yVal>
            <c:numRef>
              <c:f>('48hrs'!$E$23,'48hrs'!$E$24,'48hrs'!$E$25,'48hrs'!$F$26,'48hrs'!$F$27,'48hrs'!$F$28)</c:f>
              <c:numCache>
                <c:formatCode>General</c:formatCode>
                <c:ptCount val="6"/>
                <c:pt idx="0">
                  <c:v>1.72E6</c:v>
                </c:pt>
                <c:pt idx="1">
                  <c:v>1.08E6</c:v>
                </c:pt>
                <c:pt idx="2">
                  <c:v>760000.0</c:v>
                </c:pt>
                <c:pt idx="3">
                  <c:v>320000.0</c:v>
                </c:pt>
                <c:pt idx="4">
                  <c:v>160000.0</c:v>
                </c:pt>
                <c:pt idx="5">
                  <c:v>152000.0</c:v>
                </c:pt>
              </c:numCache>
            </c:numRef>
          </c:yVal>
          <c:smooth val="0"/>
        </c:ser>
        <c:dLbls>
          <c:showLegendKey val="0"/>
          <c:showVal val="0"/>
          <c:showCatName val="0"/>
          <c:showSerName val="0"/>
          <c:showPercent val="0"/>
          <c:showBubbleSize val="0"/>
        </c:dLbls>
        <c:axId val="2111120248"/>
        <c:axId val="2111128232"/>
      </c:scatterChart>
      <c:valAx>
        <c:axId val="2111120248"/>
        <c:scaling>
          <c:orientation val="minMax"/>
          <c:max val="20.0"/>
        </c:scaling>
        <c:delete val="0"/>
        <c:axPos val="b"/>
        <c:title>
          <c:tx>
            <c:rich>
              <a:bodyPr/>
              <a:lstStyle/>
              <a:p>
                <a:pPr>
                  <a:defRPr/>
                </a:pPr>
                <a:r>
                  <a:rPr lang="en-US"/>
                  <a:t>Blasticidin</a:t>
                </a:r>
                <a:r>
                  <a:rPr lang="en-US" baseline="0"/>
                  <a:t> Concentration (ug/ml)</a:t>
                </a:r>
                <a:endParaRPr lang="en-US"/>
              </a:p>
            </c:rich>
          </c:tx>
          <c:layout/>
          <c:overlay val="0"/>
        </c:title>
        <c:numFmt formatCode="General" sourceLinked="1"/>
        <c:majorTickMark val="none"/>
        <c:minorTickMark val="none"/>
        <c:tickLblPos val="nextTo"/>
        <c:crossAx val="2111128232"/>
        <c:crosses val="autoZero"/>
        <c:crossBetween val="midCat"/>
      </c:valAx>
      <c:valAx>
        <c:axId val="2111128232"/>
        <c:scaling>
          <c:orientation val="minMax"/>
          <c:max val="7.0E6"/>
        </c:scaling>
        <c:delete val="0"/>
        <c:axPos val="l"/>
        <c:title>
          <c:tx>
            <c:rich>
              <a:bodyPr/>
              <a:lstStyle/>
              <a:p>
                <a:pPr>
                  <a:defRPr/>
                </a:pPr>
                <a:r>
                  <a:rPr lang="en-US"/>
                  <a:t>Total number</a:t>
                </a:r>
                <a:r>
                  <a:rPr lang="en-US" baseline="0"/>
                  <a:t> of viable cells</a:t>
                </a:r>
                <a:endParaRPr lang="en-US"/>
              </a:p>
            </c:rich>
          </c:tx>
          <c:layout>
            <c:manualLayout>
              <c:xMode val="edge"/>
              <c:yMode val="edge"/>
              <c:x val="0.0125021418954755"/>
              <c:y val="0.0697254509852935"/>
            </c:manualLayout>
          </c:layout>
          <c:overlay val="0"/>
        </c:title>
        <c:numFmt formatCode="General" sourceLinked="1"/>
        <c:majorTickMark val="out"/>
        <c:minorTickMark val="none"/>
        <c:tickLblPos val="nextTo"/>
        <c:crossAx val="2111120248"/>
        <c:crosses val="autoZero"/>
        <c:crossBetween val="midCat"/>
      </c:valAx>
    </c:plotArea>
    <c:plotVisOnly val="1"/>
    <c:dispBlanksAs val="gap"/>
    <c:showDLblsOverMax val="0"/>
  </c:chart>
  <c:spPr>
    <a:ln>
      <a:solidFill>
        <a:srgbClr val="FFFFFF"/>
      </a:solid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236189068741774"/>
          <c:y val="0.0628019323671497"/>
          <c:w val="0.693972567945136"/>
          <c:h val="0.761675225379436"/>
        </c:manualLayout>
      </c:layout>
      <c:scatterChart>
        <c:scatterStyle val="lineMarker"/>
        <c:varyColors val="0"/>
        <c:ser>
          <c:idx val="0"/>
          <c:order val="0"/>
          <c:tx>
            <c:strRef>
              <c:f>'48hrs'!$T$5</c:f>
              <c:strCache>
                <c:ptCount val="1"/>
                <c:pt idx="0">
                  <c:v>HCT116</c:v>
                </c:pt>
              </c:strCache>
            </c:strRef>
          </c:tx>
          <c:spPr>
            <a:ln w="19050" cmpd="sng">
              <a:solidFill>
                <a:schemeClr val="accent1"/>
              </a:solidFill>
            </a:ln>
          </c:spPr>
          <c:marker>
            <c:spPr>
              <a:ln w="19050" cmpd="sng">
                <a:solidFill>
                  <a:schemeClr val="accent1"/>
                </a:solidFill>
              </a:ln>
            </c:spPr>
          </c:marker>
          <c:xVal>
            <c:numRef>
              <c:f>'48hrs'!$U$23:$U$28</c:f>
              <c:numCache>
                <c:formatCode>General</c:formatCode>
                <c:ptCount val="6"/>
                <c:pt idx="0">
                  <c:v>0.0</c:v>
                </c:pt>
                <c:pt idx="1">
                  <c:v>1.0</c:v>
                </c:pt>
                <c:pt idx="2">
                  <c:v>2.5</c:v>
                </c:pt>
                <c:pt idx="3">
                  <c:v>5.0</c:v>
                </c:pt>
                <c:pt idx="4">
                  <c:v>7.5</c:v>
                </c:pt>
                <c:pt idx="5">
                  <c:v>10.0</c:v>
                </c:pt>
              </c:numCache>
            </c:numRef>
          </c:xVal>
          <c:yVal>
            <c:numRef>
              <c:f>('48hrs'!$W$5,'48hrs'!$X$6,'48hrs'!$X$7,'48hrs'!$X$8,'48hrs'!$X$9,'48hrs'!$X$10)</c:f>
              <c:numCache>
                <c:formatCode>General</c:formatCode>
                <c:ptCount val="6"/>
                <c:pt idx="0">
                  <c:v>2.6E6</c:v>
                </c:pt>
                <c:pt idx="1">
                  <c:v>48000.0</c:v>
                </c:pt>
                <c:pt idx="2">
                  <c:v>16000.0</c:v>
                </c:pt>
                <c:pt idx="3">
                  <c:v>16000.0</c:v>
                </c:pt>
                <c:pt idx="4">
                  <c:v>32000.0</c:v>
                </c:pt>
                <c:pt idx="5">
                  <c:v>40000.0</c:v>
                </c:pt>
              </c:numCache>
            </c:numRef>
          </c:yVal>
          <c:smooth val="0"/>
        </c:ser>
        <c:ser>
          <c:idx val="1"/>
          <c:order val="1"/>
          <c:tx>
            <c:strRef>
              <c:f>'48hrs'!$T$11</c:f>
              <c:strCache>
                <c:ptCount val="1"/>
                <c:pt idx="0">
                  <c:v>Rpe</c:v>
                </c:pt>
              </c:strCache>
            </c:strRef>
          </c:tx>
          <c:spPr>
            <a:ln w="19050" cmpd="sng">
              <a:solidFill>
                <a:schemeClr val="accent2"/>
              </a:solidFill>
            </a:ln>
          </c:spPr>
          <c:marker>
            <c:spPr>
              <a:ln w="19050" cmpd="sng">
                <a:solidFill>
                  <a:schemeClr val="accent2"/>
                </a:solidFill>
              </a:ln>
            </c:spPr>
          </c:marker>
          <c:xVal>
            <c:numRef>
              <c:f>'48hrs'!$U$23:$U$28</c:f>
              <c:numCache>
                <c:formatCode>General</c:formatCode>
                <c:ptCount val="6"/>
                <c:pt idx="0">
                  <c:v>0.0</c:v>
                </c:pt>
                <c:pt idx="1">
                  <c:v>1.0</c:v>
                </c:pt>
                <c:pt idx="2">
                  <c:v>2.5</c:v>
                </c:pt>
                <c:pt idx="3">
                  <c:v>5.0</c:v>
                </c:pt>
                <c:pt idx="4">
                  <c:v>7.5</c:v>
                </c:pt>
                <c:pt idx="5">
                  <c:v>10.0</c:v>
                </c:pt>
              </c:numCache>
            </c:numRef>
          </c:xVal>
          <c:yVal>
            <c:numRef>
              <c:f>('48hrs'!$W$11,'48hrs'!$X$12,'48hrs'!$X$13,'48hrs'!$X$14,'48hrs'!$X$15,'48hrs'!$X$16)</c:f>
              <c:numCache>
                <c:formatCode>General</c:formatCode>
                <c:ptCount val="6"/>
                <c:pt idx="0">
                  <c:v>2.4E6</c:v>
                </c:pt>
                <c:pt idx="1">
                  <c:v>360000.0</c:v>
                </c:pt>
                <c:pt idx="2">
                  <c:v>264000.0</c:v>
                </c:pt>
                <c:pt idx="3">
                  <c:v>48000.0</c:v>
                </c:pt>
                <c:pt idx="4">
                  <c:v>88000.0</c:v>
                </c:pt>
                <c:pt idx="5">
                  <c:v>136000.0</c:v>
                </c:pt>
              </c:numCache>
            </c:numRef>
          </c:yVal>
          <c:smooth val="0"/>
        </c:ser>
        <c:ser>
          <c:idx val="2"/>
          <c:order val="2"/>
          <c:tx>
            <c:strRef>
              <c:f>'48hrs'!$T$17</c:f>
              <c:strCache>
                <c:ptCount val="1"/>
                <c:pt idx="0">
                  <c:v>HEK293</c:v>
                </c:pt>
              </c:strCache>
            </c:strRef>
          </c:tx>
          <c:spPr>
            <a:ln w="19050" cmpd="sng">
              <a:solidFill>
                <a:schemeClr val="accent3"/>
              </a:solidFill>
            </a:ln>
          </c:spPr>
          <c:marker>
            <c:spPr>
              <a:ln w="19050" cmpd="sng">
                <a:solidFill>
                  <a:schemeClr val="accent3"/>
                </a:solidFill>
              </a:ln>
            </c:spPr>
          </c:marker>
          <c:xVal>
            <c:numRef>
              <c:f>'48hrs'!$U$23:$U$28</c:f>
              <c:numCache>
                <c:formatCode>General</c:formatCode>
                <c:ptCount val="6"/>
                <c:pt idx="0">
                  <c:v>0.0</c:v>
                </c:pt>
                <c:pt idx="1">
                  <c:v>1.0</c:v>
                </c:pt>
                <c:pt idx="2">
                  <c:v>2.5</c:v>
                </c:pt>
                <c:pt idx="3">
                  <c:v>5.0</c:v>
                </c:pt>
                <c:pt idx="4">
                  <c:v>7.5</c:v>
                </c:pt>
                <c:pt idx="5">
                  <c:v>10.0</c:v>
                </c:pt>
              </c:numCache>
            </c:numRef>
          </c:xVal>
          <c:yVal>
            <c:numRef>
              <c:f>('48hrs'!$W$17,'48hrs'!$X$18,'48hrs'!$X$19,'48hrs'!$X$20,'48hrs'!$X$21,'48hrs'!$X$22)</c:f>
              <c:numCache>
                <c:formatCode>General</c:formatCode>
                <c:ptCount val="6"/>
                <c:pt idx="0">
                  <c:v>760000.0</c:v>
                </c:pt>
                <c:pt idx="1">
                  <c:v>64000.0</c:v>
                </c:pt>
                <c:pt idx="2">
                  <c:v>32000.0</c:v>
                </c:pt>
                <c:pt idx="3">
                  <c:v>32000.0</c:v>
                </c:pt>
                <c:pt idx="4">
                  <c:v>16000.0</c:v>
                </c:pt>
                <c:pt idx="5">
                  <c:v>24000.0</c:v>
                </c:pt>
              </c:numCache>
            </c:numRef>
          </c:yVal>
          <c:smooth val="0"/>
        </c:ser>
        <c:ser>
          <c:idx val="3"/>
          <c:order val="3"/>
          <c:tx>
            <c:strRef>
              <c:f>'48hrs'!$T$23</c:f>
              <c:strCache>
                <c:ptCount val="1"/>
                <c:pt idx="0">
                  <c:v>SW480</c:v>
                </c:pt>
              </c:strCache>
            </c:strRef>
          </c:tx>
          <c:spPr>
            <a:ln w="19050" cmpd="sng">
              <a:solidFill>
                <a:srgbClr val="8064A2"/>
              </a:solidFill>
            </a:ln>
          </c:spPr>
          <c:marker>
            <c:spPr>
              <a:ln w="19050" cmpd="sng">
                <a:solidFill>
                  <a:srgbClr val="8064A2"/>
                </a:solidFill>
              </a:ln>
            </c:spPr>
          </c:marker>
          <c:xVal>
            <c:numRef>
              <c:f>'48hrs'!$U$23:$U$28</c:f>
              <c:numCache>
                <c:formatCode>General</c:formatCode>
                <c:ptCount val="6"/>
                <c:pt idx="0">
                  <c:v>0.0</c:v>
                </c:pt>
                <c:pt idx="1">
                  <c:v>1.0</c:v>
                </c:pt>
                <c:pt idx="2">
                  <c:v>2.5</c:v>
                </c:pt>
                <c:pt idx="3">
                  <c:v>5.0</c:v>
                </c:pt>
                <c:pt idx="4">
                  <c:v>7.5</c:v>
                </c:pt>
                <c:pt idx="5">
                  <c:v>10.0</c:v>
                </c:pt>
              </c:numCache>
            </c:numRef>
          </c:xVal>
          <c:yVal>
            <c:numRef>
              <c:f>('48hrs'!$W$23,'48hrs'!$X$24,'48hrs'!$X$25,'48hrs'!$X$26,'48hrs'!$X$27,'48hrs'!$X$28)</c:f>
              <c:numCache>
                <c:formatCode>General</c:formatCode>
                <c:ptCount val="6"/>
                <c:pt idx="0">
                  <c:v>800000.0</c:v>
                </c:pt>
                <c:pt idx="1">
                  <c:v>128000.0</c:v>
                </c:pt>
                <c:pt idx="2">
                  <c:v>40000.0</c:v>
                </c:pt>
                <c:pt idx="3">
                  <c:v>80000.0</c:v>
                </c:pt>
                <c:pt idx="4">
                  <c:v>64000.0</c:v>
                </c:pt>
                <c:pt idx="5">
                  <c:v>64000.0</c:v>
                </c:pt>
              </c:numCache>
            </c:numRef>
          </c:yVal>
          <c:smooth val="0"/>
        </c:ser>
        <c:dLbls>
          <c:showLegendKey val="0"/>
          <c:showVal val="0"/>
          <c:showCatName val="0"/>
          <c:showSerName val="0"/>
          <c:showPercent val="0"/>
          <c:showBubbleSize val="0"/>
        </c:dLbls>
        <c:axId val="2111184536"/>
        <c:axId val="2111192472"/>
      </c:scatterChart>
      <c:valAx>
        <c:axId val="2111184536"/>
        <c:scaling>
          <c:orientation val="minMax"/>
          <c:max val="5.0"/>
        </c:scaling>
        <c:delete val="0"/>
        <c:axPos val="b"/>
        <c:title>
          <c:tx>
            <c:rich>
              <a:bodyPr/>
              <a:lstStyle/>
              <a:p>
                <a:pPr>
                  <a:defRPr/>
                </a:pPr>
                <a:r>
                  <a:rPr lang="en-US"/>
                  <a:t>Puromycin Concentration</a:t>
                </a:r>
                <a:r>
                  <a:rPr lang="en-US" baseline="0"/>
                  <a:t> (ug/ml)</a:t>
                </a:r>
                <a:endParaRPr lang="en-US"/>
              </a:p>
            </c:rich>
          </c:tx>
          <c:layout/>
          <c:overlay val="0"/>
        </c:title>
        <c:numFmt formatCode="General" sourceLinked="1"/>
        <c:majorTickMark val="none"/>
        <c:minorTickMark val="none"/>
        <c:tickLblPos val="nextTo"/>
        <c:crossAx val="2111192472"/>
        <c:crosses val="autoZero"/>
        <c:crossBetween val="midCat"/>
      </c:valAx>
      <c:valAx>
        <c:axId val="2111192472"/>
        <c:scaling>
          <c:orientation val="minMax"/>
        </c:scaling>
        <c:delete val="0"/>
        <c:axPos val="l"/>
        <c:title>
          <c:tx>
            <c:rich>
              <a:bodyPr/>
              <a:lstStyle/>
              <a:p>
                <a:pPr>
                  <a:defRPr/>
                </a:pPr>
                <a:r>
                  <a:rPr lang="en-US"/>
                  <a:t>Total number of viable cells</a:t>
                </a:r>
              </a:p>
            </c:rich>
          </c:tx>
          <c:layout>
            <c:manualLayout>
              <c:xMode val="edge"/>
              <c:yMode val="edge"/>
              <c:x val="0.0391082273073637"/>
              <c:y val="0.0225261316019708"/>
            </c:manualLayout>
          </c:layout>
          <c:overlay val="0"/>
        </c:title>
        <c:numFmt formatCode="General" sourceLinked="1"/>
        <c:majorTickMark val="out"/>
        <c:minorTickMark val="none"/>
        <c:tickLblPos val="nextTo"/>
        <c:crossAx val="2111184536"/>
        <c:crosses val="autoZero"/>
        <c:crossBetween val="midCat"/>
      </c:valAx>
    </c:plotArea>
    <c:plotVisOnly val="1"/>
    <c:dispBlanksAs val="gap"/>
    <c:showDLblsOverMax val="0"/>
  </c:chart>
  <c:spPr>
    <a:ln>
      <a:solidFill>
        <a:srgbClr val="FFFFFF"/>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38181543096587"/>
          <c:y val="0.0456389452332657"/>
          <c:w val="0.590079645216762"/>
          <c:h val="0.805544552874096"/>
        </c:manualLayout>
      </c:layout>
      <c:barChart>
        <c:barDir val="col"/>
        <c:grouping val="clustered"/>
        <c:varyColors val="0"/>
        <c:ser>
          <c:idx val="0"/>
          <c:order val="0"/>
          <c:tx>
            <c:strRef>
              <c:f>results!$A$30</c:f>
              <c:strCache>
                <c:ptCount val="1"/>
                <c:pt idx="0">
                  <c:v>Control CRISPR</c:v>
                </c:pt>
              </c:strCache>
            </c:strRef>
          </c:tx>
          <c:spPr>
            <a:solidFill>
              <a:schemeClr val="accent5"/>
            </a:solidFill>
          </c:spPr>
          <c:invertIfNegative val="0"/>
          <c:errBars>
            <c:errBarType val="both"/>
            <c:errValType val="cust"/>
            <c:noEndCap val="0"/>
            <c:plus>
              <c:numRef>
                <c:f>(results!$D$21,results!$D$24)</c:f>
                <c:numCache>
                  <c:formatCode>General</c:formatCode>
                  <c:ptCount val="2"/>
                  <c:pt idx="0">
                    <c:v>0.00612364090507004</c:v>
                  </c:pt>
                  <c:pt idx="1">
                    <c:v>0.0772261746210869</c:v>
                  </c:pt>
                </c:numCache>
              </c:numRef>
            </c:plus>
            <c:minus>
              <c:numRef>
                <c:f>(results!$C$21,results!$C$24)</c:f>
                <c:numCache>
                  <c:formatCode>General</c:formatCode>
                  <c:ptCount val="2"/>
                  <c:pt idx="0">
                    <c:v>0.0054839171312803</c:v>
                  </c:pt>
                  <c:pt idx="1">
                    <c:v>0.0593905353743791</c:v>
                  </c:pt>
                </c:numCache>
              </c:numRef>
            </c:minus>
          </c:errBars>
          <c:cat>
            <c:strRef>
              <c:f>results!$B$30:$B$31</c:f>
              <c:strCache>
                <c:ptCount val="2"/>
                <c:pt idx="0">
                  <c:v>48hrs</c:v>
                </c:pt>
                <c:pt idx="1">
                  <c:v>72hrs</c:v>
                </c:pt>
              </c:strCache>
            </c:strRef>
          </c:cat>
          <c:val>
            <c:numRef>
              <c:f>(results!$B$21,results!$B$24)</c:f>
              <c:numCache>
                <c:formatCode>0.00000000</c:formatCode>
                <c:ptCount val="2"/>
                <c:pt idx="0">
                  <c:v>0.0524938116121353</c:v>
                </c:pt>
                <c:pt idx="1">
                  <c:v>0.257153881182488</c:v>
                </c:pt>
              </c:numCache>
            </c:numRef>
          </c:val>
        </c:ser>
        <c:ser>
          <c:idx val="1"/>
          <c:order val="1"/>
          <c:tx>
            <c:strRef>
              <c:f>results!$A$31</c:f>
              <c:strCache>
                <c:ptCount val="1"/>
                <c:pt idx="0">
                  <c:v>SRCAP CRISPR</c:v>
                </c:pt>
              </c:strCache>
            </c:strRef>
          </c:tx>
          <c:spPr>
            <a:solidFill>
              <a:schemeClr val="accent3"/>
            </a:solidFill>
          </c:spPr>
          <c:invertIfNegative val="0"/>
          <c:errBars>
            <c:errBarType val="both"/>
            <c:errValType val="cust"/>
            <c:noEndCap val="0"/>
            <c:plus>
              <c:numRef>
                <c:f>(results!$D$22,results!$D$25)</c:f>
                <c:numCache>
                  <c:formatCode>General</c:formatCode>
                  <c:ptCount val="2"/>
                  <c:pt idx="0">
                    <c:v>2.461105687106706</c:v>
                  </c:pt>
                  <c:pt idx="1">
                    <c:v>0.234020805358206</c:v>
                  </c:pt>
                </c:numCache>
              </c:numRef>
            </c:plus>
            <c:minus>
              <c:numRef>
                <c:f>(results!$C$22,results!$C$25)</c:f>
                <c:numCache>
                  <c:formatCode>General</c:formatCode>
                  <c:ptCount val="2"/>
                  <c:pt idx="0">
                    <c:v>1.027118036994724</c:v>
                  </c:pt>
                  <c:pt idx="1">
                    <c:v>0.204862213743982</c:v>
                  </c:pt>
                </c:numCache>
              </c:numRef>
            </c:minus>
          </c:errBars>
          <c:cat>
            <c:strRef>
              <c:f>results!$B$30:$B$31</c:f>
              <c:strCache>
                <c:ptCount val="2"/>
                <c:pt idx="0">
                  <c:v>48hrs</c:v>
                </c:pt>
                <c:pt idx="1">
                  <c:v>72hrs</c:v>
                </c:pt>
              </c:strCache>
            </c:strRef>
          </c:cat>
          <c:val>
            <c:numRef>
              <c:f>(results!$B$22,results!$B$25)</c:f>
              <c:numCache>
                <c:formatCode>0.00000000</c:formatCode>
                <c:ptCount val="2"/>
                <c:pt idx="0">
                  <c:v>1.762808795445476</c:v>
                </c:pt>
                <c:pt idx="1">
                  <c:v>1.644181614877614</c:v>
                </c:pt>
              </c:numCache>
            </c:numRef>
          </c:val>
        </c:ser>
        <c:dLbls>
          <c:showLegendKey val="0"/>
          <c:showVal val="0"/>
          <c:showCatName val="0"/>
          <c:showSerName val="0"/>
          <c:showPercent val="0"/>
          <c:showBubbleSize val="0"/>
        </c:dLbls>
        <c:gapWidth val="150"/>
        <c:axId val="2108060728"/>
        <c:axId val="2108063672"/>
      </c:barChart>
      <c:catAx>
        <c:axId val="2108060728"/>
        <c:scaling>
          <c:orientation val="minMax"/>
        </c:scaling>
        <c:delete val="0"/>
        <c:axPos val="b"/>
        <c:numFmt formatCode="General" sourceLinked="1"/>
        <c:majorTickMark val="none"/>
        <c:minorTickMark val="none"/>
        <c:tickLblPos val="nextTo"/>
        <c:txPr>
          <a:bodyPr/>
          <a:lstStyle/>
          <a:p>
            <a:pPr>
              <a:defRPr sz="1050" b="1"/>
            </a:pPr>
            <a:endParaRPr lang="en-US"/>
          </a:p>
        </c:txPr>
        <c:crossAx val="2108063672"/>
        <c:crosses val="autoZero"/>
        <c:auto val="1"/>
        <c:lblAlgn val="ctr"/>
        <c:lblOffset val="100"/>
        <c:noMultiLvlLbl val="0"/>
      </c:catAx>
      <c:valAx>
        <c:axId val="2108063672"/>
        <c:scaling>
          <c:orientation val="minMax"/>
          <c:max val="5.0"/>
        </c:scaling>
        <c:delete val="0"/>
        <c:axPos val="l"/>
        <c:title>
          <c:tx>
            <c:rich>
              <a:bodyPr/>
              <a:lstStyle/>
              <a:p>
                <a:pPr>
                  <a:defRPr/>
                </a:pPr>
                <a:r>
                  <a:rPr lang="en-US"/>
                  <a:t>Relative</a:t>
                </a:r>
                <a:r>
                  <a:rPr lang="en-US" baseline="0"/>
                  <a:t> SRCAP mRNA Expression</a:t>
                </a:r>
                <a:endParaRPr lang="en-US"/>
              </a:p>
            </c:rich>
          </c:tx>
          <c:layout>
            <c:manualLayout>
              <c:xMode val="edge"/>
              <c:yMode val="edge"/>
              <c:x val="0.0340594925634296"/>
              <c:y val="0.167445895056302"/>
            </c:manualLayout>
          </c:layout>
          <c:overlay val="0"/>
        </c:title>
        <c:numFmt formatCode="0.0" sourceLinked="0"/>
        <c:majorTickMark val="out"/>
        <c:minorTickMark val="none"/>
        <c:tickLblPos val="nextTo"/>
        <c:crossAx val="2108060728"/>
        <c:crosses val="autoZero"/>
        <c:crossBetween val="between"/>
      </c:valAx>
    </c:plotArea>
    <c:plotVisOnly val="1"/>
    <c:dispBlanksAs val="gap"/>
    <c:showDLblsOverMax val="0"/>
  </c:chart>
  <c:spPr>
    <a:ln>
      <a:solidFill>
        <a:srgbClr val="FFFFFF"/>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307663032505552"/>
          <c:y val="0.140444920932726"/>
          <c:w val="0.673837068443368"/>
          <c:h val="0.734477467990047"/>
        </c:manualLayout>
      </c:layout>
      <c:barChart>
        <c:barDir val="col"/>
        <c:grouping val="clustered"/>
        <c:varyColors val="0"/>
        <c:ser>
          <c:idx val="0"/>
          <c:order val="0"/>
          <c:tx>
            <c:strRef>
              <c:f>results!$A$24</c:f>
              <c:strCache>
                <c:ptCount val="1"/>
                <c:pt idx="0">
                  <c:v>Control CRISPR</c:v>
                </c:pt>
              </c:strCache>
            </c:strRef>
          </c:tx>
          <c:spPr>
            <a:solidFill>
              <a:schemeClr val="tx1">
                <a:lumMod val="65000"/>
                <a:lumOff val="35000"/>
              </a:schemeClr>
            </a:solidFill>
          </c:spPr>
          <c:invertIfNegative val="0"/>
          <c:errBars>
            <c:errBarType val="both"/>
            <c:errValType val="cust"/>
            <c:noEndCap val="0"/>
            <c:plus>
              <c:numRef>
                <c:f>(results!$D$17,results!$D$19)</c:f>
                <c:numCache>
                  <c:formatCode>General</c:formatCode>
                  <c:ptCount val="2"/>
                  <c:pt idx="0">
                    <c:v>0.00084146402546104</c:v>
                  </c:pt>
                  <c:pt idx="1">
                    <c:v>0.000259787939300694</c:v>
                  </c:pt>
                </c:numCache>
              </c:numRef>
            </c:plus>
            <c:minus>
              <c:numRef>
                <c:f>(results!$C$17,results!$C$19)</c:f>
                <c:numCache>
                  <c:formatCode>General</c:formatCode>
                  <c:ptCount val="2"/>
                  <c:pt idx="0">
                    <c:v>0.000502574784165188</c:v>
                  </c:pt>
                  <c:pt idx="1">
                    <c:v>0.00018940387406146</c:v>
                  </c:pt>
                </c:numCache>
              </c:numRef>
            </c:minus>
          </c:errBars>
          <c:cat>
            <c:strRef>
              <c:f>results!$B$24:$B$25</c:f>
              <c:strCache>
                <c:ptCount val="2"/>
                <c:pt idx="0">
                  <c:v>48hrs</c:v>
                </c:pt>
                <c:pt idx="1">
                  <c:v>72hrs</c:v>
                </c:pt>
              </c:strCache>
            </c:strRef>
          </c:cat>
          <c:val>
            <c:numRef>
              <c:f>(results!$B$17,results!$B$19)</c:f>
              <c:numCache>
                <c:formatCode>0.00000000</c:formatCode>
                <c:ptCount val="2"/>
                <c:pt idx="0">
                  <c:v>0.0012478962134111</c:v>
                </c:pt>
                <c:pt idx="1">
                  <c:v>0.000699090653129355</c:v>
                </c:pt>
              </c:numCache>
            </c:numRef>
          </c:val>
        </c:ser>
        <c:ser>
          <c:idx val="1"/>
          <c:order val="1"/>
          <c:tx>
            <c:strRef>
              <c:f>results!$A$25</c:f>
              <c:strCache>
                <c:ptCount val="1"/>
                <c:pt idx="0">
                  <c:v>SRCAP CRISPR</c:v>
                </c:pt>
              </c:strCache>
            </c:strRef>
          </c:tx>
          <c:spPr>
            <a:solidFill>
              <a:schemeClr val="bg1">
                <a:lumMod val="65000"/>
              </a:schemeClr>
            </a:solidFill>
          </c:spPr>
          <c:invertIfNegative val="0"/>
          <c:errBars>
            <c:errBarType val="both"/>
            <c:errValType val="cust"/>
            <c:noEndCap val="0"/>
            <c:plus>
              <c:numRef>
                <c:f>(results!$D$18,results!$D$20)</c:f>
                <c:numCache>
                  <c:formatCode>General</c:formatCode>
                  <c:ptCount val="2"/>
                  <c:pt idx="0">
                    <c:v>0.000690089367041698</c:v>
                  </c:pt>
                  <c:pt idx="1">
                    <c:v>0.000432056304811968</c:v>
                  </c:pt>
                </c:numCache>
              </c:numRef>
            </c:plus>
            <c:minus>
              <c:numRef>
                <c:f>(results!$C$18,results!$C$20)</c:f>
                <c:numCache>
                  <c:formatCode>General</c:formatCode>
                  <c:ptCount val="2"/>
                  <c:pt idx="0">
                    <c:v>0.000588292882524311</c:v>
                  </c:pt>
                  <c:pt idx="1">
                    <c:v>0.000355617667899113</c:v>
                  </c:pt>
                </c:numCache>
              </c:numRef>
            </c:minus>
          </c:errBars>
          <c:cat>
            <c:strRef>
              <c:f>results!$B$24:$B$25</c:f>
              <c:strCache>
                <c:ptCount val="2"/>
                <c:pt idx="0">
                  <c:v>48hrs</c:v>
                </c:pt>
                <c:pt idx="1">
                  <c:v>72hrs</c:v>
                </c:pt>
              </c:strCache>
            </c:strRef>
          </c:cat>
          <c:val>
            <c:numRef>
              <c:f>(results!$B$18,results!$B$20)</c:f>
              <c:numCache>
                <c:formatCode>0.00000000</c:formatCode>
                <c:ptCount val="2"/>
                <c:pt idx="0">
                  <c:v>0.00398810101214248</c:v>
                </c:pt>
                <c:pt idx="1">
                  <c:v>0.00201006796724421</c:v>
                </c:pt>
              </c:numCache>
            </c:numRef>
          </c:val>
        </c:ser>
        <c:dLbls>
          <c:showLegendKey val="0"/>
          <c:showVal val="0"/>
          <c:showCatName val="0"/>
          <c:showSerName val="0"/>
          <c:showPercent val="0"/>
          <c:showBubbleSize val="0"/>
        </c:dLbls>
        <c:gapWidth val="150"/>
        <c:axId val="2065656360"/>
        <c:axId val="2065659352"/>
      </c:barChart>
      <c:catAx>
        <c:axId val="2065656360"/>
        <c:scaling>
          <c:orientation val="minMax"/>
        </c:scaling>
        <c:delete val="0"/>
        <c:axPos val="b"/>
        <c:numFmt formatCode="General" sourceLinked="1"/>
        <c:majorTickMark val="none"/>
        <c:minorTickMark val="none"/>
        <c:tickLblPos val="nextTo"/>
        <c:txPr>
          <a:bodyPr/>
          <a:lstStyle/>
          <a:p>
            <a:pPr>
              <a:defRPr b="1"/>
            </a:pPr>
            <a:endParaRPr lang="en-US"/>
          </a:p>
        </c:txPr>
        <c:crossAx val="2065659352"/>
        <c:crosses val="autoZero"/>
        <c:auto val="1"/>
        <c:lblAlgn val="ctr"/>
        <c:lblOffset val="100"/>
        <c:noMultiLvlLbl val="0"/>
      </c:catAx>
      <c:valAx>
        <c:axId val="2065659352"/>
        <c:scaling>
          <c:orientation val="minMax"/>
        </c:scaling>
        <c:delete val="0"/>
        <c:axPos val="l"/>
        <c:title>
          <c:tx>
            <c:rich>
              <a:bodyPr/>
              <a:lstStyle/>
              <a:p>
                <a:pPr>
                  <a:defRPr/>
                </a:pPr>
                <a:r>
                  <a:rPr lang="en-US"/>
                  <a:t>Relative SRCAP</a:t>
                </a:r>
                <a:r>
                  <a:rPr lang="en-US" baseline="0"/>
                  <a:t> m</a:t>
                </a:r>
                <a:r>
                  <a:rPr lang="en-US"/>
                  <a:t>RNA Expression</a:t>
                </a:r>
              </a:p>
            </c:rich>
          </c:tx>
          <c:layout>
            <c:manualLayout>
              <c:xMode val="edge"/>
              <c:yMode val="edge"/>
              <c:x val="0.0170940170940171"/>
              <c:y val="0.132292328374525"/>
            </c:manualLayout>
          </c:layout>
          <c:overlay val="0"/>
        </c:title>
        <c:numFmt formatCode="0.0000" sourceLinked="0"/>
        <c:majorTickMark val="out"/>
        <c:minorTickMark val="none"/>
        <c:tickLblPos val="nextTo"/>
        <c:crossAx val="2065656360"/>
        <c:crosses val="autoZero"/>
        <c:crossBetween val="between"/>
      </c:valAx>
      <c:spPr>
        <a:ln>
          <a:solidFill>
            <a:srgbClr val="FFFFFF"/>
          </a:solidFill>
        </a:ln>
      </c:spPr>
    </c:plotArea>
    <c:legend>
      <c:legendPos val="r"/>
      <c:layout>
        <c:manualLayout>
          <c:xMode val="edge"/>
          <c:yMode val="edge"/>
          <c:x val="0.712732210557014"/>
          <c:y val="0.0443393121447695"/>
          <c:w val="0.24560112277632"/>
          <c:h val="0.305112239850488"/>
        </c:manualLayout>
      </c:layout>
      <c:overlay val="0"/>
      <c:txPr>
        <a:bodyPr/>
        <a:lstStyle/>
        <a:p>
          <a:pPr>
            <a:defRPr b="1"/>
          </a:pPr>
          <a:endParaRPr lang="en-US"/>
        </a:p>
      </c:txPr>
    </c:legend>
    <c:plotVisOnly val="1"/>
    <c:dispBlanksAs val="gap"/>
    <c:showDLblsOverMax val="0"/>
  </c:chart>
  <c:spPr>
    <a:ln>
      <a:solidFill>
        <a:srgbClr val="FFFFFF"/>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248025739521149"/>
          <c:y val="0.147500682873532"/>
          <c:w val="0.639941065458104"/>
          <c:h val="0.735956141237603"/>
        </c:manualLayout>
      </c:layout>
      <c:barChart>
        <c:barDir val="col"/>
        <c:grouping val="clustered"/>
        <c:varyColors val="0"/>
        <c:ser>
          <c:idx val="0"/>
          <c:order val="0"/>
          <c:tx>
            <c:strRef>
              <c:f>results!$A$24</c:f>
              <c:strCache>
                <c:ptCount val="1"/>
                <c:pt idx="0">
                  <c:v>Control CRISPR</c:v>
                </c:pt>
              </c:strCache>
            </c:strRef>
          </c:tx>
          <c:spPr>
            <a:solidFill>
              <a:schemeClr val="tx1">
                <a:lumMod val="65000"/>
                <a:lumOff val="35000"/>
              </a:schemeClr>
            </a:solidFill>
          </c:spPr>
          <c:invertIfNegative val="0"/>
          <c:errBars>
            <c:errBarType val="both"/>
            <c:errValType val="cust"/>
            <c:noEndCap val="0"/>
            <c:plus>
              <c:numRef>
                <c:f>(results!$D$17,results!$D$19)</c:f>
                <c:numCache>
                  <c:formatCode>General</c:formatCode>
                  <c:ptCount val="2"/>
                  <c:pt idx="0">
                    <c:v>0.000699071598971502</c:v>
                  </c:pt>
                  <c:pt idx="1">
                    <c:v>0.000151861975694488</c:v>
                  </c:pt>
                </c:numCache>
              </c:numRef>
            </c:plus>
            <c:minus>
              <c:numRef>
                <c:f>(results!$C$17,results!$C$19)</c:f>
                <c:numCache>
                  <c:formatCode>General</c:formatCode>
                  <c:ptCount val="2"/>
                  <c:pt idx="0">
                    <c:v>0.000407351938714684</c:v>
                  </c:pt>
                  <c:pt idx="1">
                    <c:v>0.000138202008829933</c:v>
                  </c:pt>
                </c:numCache>
              </c:numRef>
            </c:minus>
          </c:errBars>
          <c:cat>
            <c:strRef>
              <c:f>results!$B$24:$B$25</c:f>
              <c:strCache>
                <c:ptCount val="2"/>
                <c:pt idx="0">
                  <c:v>48hrs</c:v>
                </c:pt>
                <c:pt idx="1">
                  <c:v>72hrs</c:v>
                </c:pt>
              </c:strCache>
            </c:strRef>
          </c:cat>
          <c:val>
            <c:numRef>
              <c:f>(results!$B$17,results!$B$18)</c:f>
              <c:numCache>
                <c:formatCode>0.00000000</c:formatCode>
                <c:ptCount val="2"/>
                <c:pt idx="0">
                  <c:v>0.000976170652642049</c:v>
                </c:pt>
                <c:pt idx="1">
                  <c:v>0.00146697059340479</c:v>
                </c:pt>
              </c:numCache>
            </c:numRef>
          </c:val>
        </c:ser>
        <c:ser>
          <c:idx val="1"/>
          <c:order val="1"/>
          <c:tx>
            <c:strRef>
              <c:f>results!$A$25</c:f>
              <c:strCache>
                <c:ptCount val="1"/>
                <c:pt idx="0">
                  <c:v>SRCAP CRISPR</c:v>
                </c:pt>
              </c:strCache>
            </c:strRef>
          </c:tx>
          <c:spPr>
            <a:solidFill>
              <a:schemeClr val="bg1">
                <a:lumMod val="65000"/>
              </a:schemeClr>
            </a:solidFill>
          </c:spPr>
          <c:invertIfNegative val="0"/>
          <c:errBars>
            <c:errBarType val="both"/>
            <c:errValType val="cust"/>
            <c:noEndCap val="0"/>
            <c:plus>
              <c:numRef>
                <c:f>(results!$D$18,results!$D$20)</c:f>
                <c:numCache>
                  <c:formatCode>General</c:formatCode>
                  <c:ptCount val="2"/>
                  <c:pt idx="0">
                    <c:v>0.0018374829450803</c:v>
                  </c:pt>
                  <c:pt idx="1">
                    <c:v>0.00423876530778026</c:v>
                  </c:pt>
                </c:numCache>
              </c:numRef>
            </c:plus>
            <c:minus>
              <c:numRef>
                <c:f>(results!$C$18,results!$C$20)</c:f>
                <c:numCache>
                  <c:formatCode>General</c:formatCode>
                  <c:ptCount val="2"/>
                  <c:pt idx="0">
                    <c:v>0.000815727446284924</c:v>
                  </c:pt>
                  <c:pt idx="1">
                    <c:v>0.00295327969283943</c:v>
                  </c:pt>
                </c:numCache>
              </c:numRef>
            </c:minus>
          </c:errBars>
          <c:cat>
            <c:strRef>
              <c:f>results!$B$24:$B$25</c:f>
              <c:strCache>
                <c:ptCount val="2"/>
                <c:pt idx="0">
                  <c:v>48hrs</c:v>
                </c:pt>
                <c:pt idx="1">
                  <c:v>72hrs</c:v>
                </c:pt>
              </c:strCache>
            </c:strRef>
          </c:cat>
          <c:val>
            <c:numRef>
              <c:f>results!$B$19:$B$20</c:f>
              <c:numCache>
                <c:formatCode>0.00000000</c:formatCode>
                <c:ptCount val="2"/>
                <c:pt idx="0">
                  <c:v>0.00153643345653491</c:v>
                </c:pt>
                <c:pt idx="1">
                  <c:v>0.00973815604055277</c:v>
                </c:pt>
              </c:numCache>
            </c:numRef>
          </c:val>
        </c:ser>
        <c:dLbls>
          <c:showLegendKey val="0"/>
          <c:showVal val="0"/>
          <c:showCatName val="0"/>
          <c:showSerName val="0"/>
          <c:showPercent val="0"/>
          <c:showBubbleSize val="0"/>
        </c:dLbls>
        <c:gapWidth val="150"/>
        <c:axId val="2064824536"/>
        <c:axId val="2064821576"/>
      </c:barChart>
      <c:catAx>
        <c:axId val="2064824536"/>
        <c:scaling>
          <c:orientation val="minMax"/>
        </c:scaling>
        <c:delete val="0"/>
        <c:axPos val="b"/>
        <c:numFmt formatCode="General" sourceLinked="1"/>
        <c:majorTickMark val="none"/>
        <c:minorTickMark val="none"/>
        <c:tickLblPos val="nextTo"/>
        <c:txPr>
          <a:bodyPr/>
          <a:lstStyle/>
          <a:p>
            <a:pPr>
              <a:defRPr b="1"/>
            </a:pPr>
            <a:endParaRPr lang="en-US"/>
          </a:p>
        </c:txPr>
        <c:crossAx val="2064821576"/>
        <c:crosses val="autoZero"/>
        <c:auto val="1"/>
        <c:lblAlgn val="ctr"/>
        <c:lblOffset val="100"/>
        <c:noMultiLvlLbl val="0"/>
      </c:catAx>
      <c:valAx>
        <c:axId val="2064821576"/>
        <c:scaling>
          <c:orientation val="minMax"/>
        </c:scaling>
        <c:delete val="0"/>
        <c:axPos val="l"/>
        <c:title>
          <c:tx>
            <c:rich>
              <a:bodyPr/>
              <a:lstStyle/>
              <a:p>
                <a:pPr>
                  <a:defRPr/>
                </a:pPr>
                <a:r>
                  <a:rPr lang="en-US"/>
                  <a:t>Relative SRCAP</a:t>
                </a:r>
                <a:r>
                  <a:rPr lang="en-US" baseline="0"/>
                  <a:t> mRNA Expression</a:t>
                </a:r>
                <a:endParaRPr lang="en-US"/>
              </a:p>
            </c:rich>
          </c:tx>
          <c:layout>
            <c:manualLayout>
              <c:xMode val="edge"/>
              <c:yMode val="edge"/>
              <c:x val="0.0"/>
              <c:y val="0.128878775430318"/>
            </c:manualLayout>
          </c:layout>
          <c:overlay val="0"/>
        </c:title>
        <c:numFmt formatCode="0.000" sourceLinked="0"/>
        <c:majorTickMark val="out"/>
        <c:minorTickMark val="none"/>
        <c:tickLblPos val="nextTo"/>
        <c:crossAx val="2064824536"/>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208854257801108"/>
          <c:y val="0.0541344488549138"/>
          <c:w val="0.749082093904928"/>
          <c:h val="0.789460330616568"/>
        </c:manualLayout>
      </c:layout>
      <c:lineChart>
        <c:grouping val="standard"/>
        <c:varyColors val="0"/>
        <c:ser>
          <c:idx val="0"/>
          <c:order val="0"/>
          <c:tx>
            <c:strRef>
              <c:f>'24hrs'!$A$30</c:f>
              <c:strCache>
                <c:ptCount val="1"/>
                <c:pt idx="0">
                  <c:v>Control CRISPR</c:v>
                </c:pt>
              </c:strCache>
            </c:strRef>
          </c:tx>
          <c:spPr>
            <a:ln w="19050" cmpd="sng"/>
          </c:spPr>
          <c:marker>
            <c:spPr>
              <a:ln w="19050" cmpd="sng"/>
            </c:spPr>
          </c:marker>
          <c:errBars>
            <c:errDir val="y"/>
            <c:errBarType val="both"/>
            <c:errValType val="cust"/>
            <c:noEndCap val="0"/>
            <c:plus>
              <c:numRef>
                <c:f>'24hrs'!$B$35:$E$35</c:f>
                <c:numCache>
                  <c:formatCode>General</c:formatCode>
                  <c:ptCount val="4"/>
                  <c:pt idx="1">
                    <c:v>30550.50463303897</c:v>
                  </c:pt>
                  <c:pt idx="2">
                    <c:v>18856.18083164127</c:v>
                  </c:pt>
                  <c:pt idx="3">
                    <c:v>20000.0</c:v>
                  </c:pt>
                </c:numCache>
              </c:numRef>
            </c:plus>
            <c:minus>
              <c:numRef>
                <c:f>'24hrs'!$B$35:$E$35</c:f>
                <c:numCache>
                  <c:formatCode>General</c:formatCode>
                  <c:ptCount val="4"/>
                  <c:pt idx="1">
                    <c:v>30550.50463303897</c:v>
                  </c:pt>
                  <c:pt idx="2">
                    <c:v>18856.18083164127</c:v>
                  </c:pt>
                  <c:pt idx="3">
                    <c:v>20000.0</c:v>
                  </c:pt>
                </c:numCache>
              </c:numRef>
            </c:minus>
          </c:errBars>
          <c:cat>
            <c:strRef>
              <c:f>'24hrs'!$B$28:$E$28</c:f>
              <c:strCache>
                <c:ptCount val="4"/>
                <c:pt idx="0">
                  <c:v>0hrs</c:v>
                </c:pt>
                <c:pt idx="1">
                  <c:v>24hrs</c:v>
                </c:pt>
                <c:pt idx="2">
                  <c:v>48hrs</c:v>
                </c:pt>
                <c:pt idx="3">
                  <c:v>72hrs</c:v>
                </c:pt>
              </c:strCache>
            </c:strRef>
          </c:cat>
          <c:val>
            <c:numRef>
              <c:f>'24hrs'!$B$30:$E$30</c:f>
              <c:numCache>
                <c:formatCode>0</c:formatCode>
                <c:ptCount val="4"/>
                <c:pt idx="0" formatCode="General">
                  <c:v>200000.0</c:v>
                </c:pt>
                <c:pt idx="1">
                  <c:v>213333.3333333333</c:v>
                </c:pt>
                <c:pt idx="2" formatCode="0.0">
                  <c:v>226666.6666666667</c:v>
                </c:pt>
                <c:pt idx="3" formatCode="0.00">
                  <c:v>240000.0</c:v>
                </c:pt>
              </c:numCache>
            </c:numRef>
          </c:val>
          <c:smooth val="0"/>
        </c:ser>
        <c:ser>
          <c:idx val="1"/>
          <c:order val="1"/>
          <c:tx>
            <c:strRef>
              <c:f>'24hrs'!$A$31</c:f>
              <c:strCache>
                <c:ptCount val="1"/>
                <c:pt idx="0">
                  <c:v>SRCAP CRISPR</c:v>
                </c:pt>
              </c:strCache>
            </c:strRef>
          </c:tx>
          <c:spPr>
            <a:ln w="19050" cmpd="sng"/>
          </c:spPr>
          <c:marker>
            <c:spPr>
              <a:ln w="19050" cmpd="sng"/>
            </c:spPr>
          </c:marker>
          <c:errBars>
            <c:errDir val="y"/>
            <c:errBarType val="both"/>
            <c:errValType val="cust"/>
            <c:noEndCap val="0"/>
            <c:plus>
              <c:numRef>
                <c:f>'24hrs'!$B$36:$E$36</c:f>
                <c:numCache>
                  <c:formatCode>General</c:formatCode>
                  <c:ptCount val="4"/>
                  <c:pt idx="1">
                    <c:v>0.0</c:v>
                  </c:pt>
                  <c:pt idx="2">
                    <c:v>33993.46342395157</c:v>
                  </c:pt>
                  <c:pt idx="3">
                    <c:v>121655.2506059644</c:v>
                  </c:pt>
                </c:numCache>
              </c:numRef>
            </c:plus>
            <c:minus>
              <c:numRef>
                <c:f>'24hrs'!$B$36:$E$36</c:f>
                <c:numCache>
                  <c:formatCode>General</c:formatCode>
                  <c:ptCount val="4"/>
                  <c:pt idx="1">
                    <c:v>0.0</c:v>
                  </c:pt>
                  <c:pt idx="2">
                    <c:v>33993.46342395157</c:v>
                  </c:pt>
                  <c:pt idx="3">
                    <c:v>121655.2506059644</c:v>
                  </c:pt>
                </c:numCache>
              </c:numRef>
            </c:minus>
          </c:errBars>
          <c:cat>
            <c:strRef>
              <c:f>'24hrs'!$B$28:$E$28</c:f>
              <c:strCache>
                <c:ptCount val="4"/>
                <c:pt idx="0">
                  <c:v>0hrs</c:v>
                </c:pt>
                <c:pt idx="1">
                  <c:v>24hrs</c:v>
                </c:pt>
                <c:pt idx="2">
                  <c:v>48hrs</c:v>
                </c:pt>
                <c:pt idx="3">
                  <c:v>72hrs</c:v>
                </c:pt>
              </c:strCache>
            </c:strRef>
          </c:cat>
          <c:val>
            <c:numRef>
              <c:f>'24hrs'!$B$31:$E$31</c:f>
              <c:numCache>
                <c:formatCode>0</c:formatCode>
                <c:ptCount val="4"/>
                <c:pt idx="0" formatCode="General">
                  <c:v>200000.0</c:v>
                </c:pt>
                <c:pt idx="1">
                  <c:v>180000.0</c:v>
                </c:pt>
                <c:pt idx="2" formatCode="0.0">
                  <c:v>166666.6666666667</c:v>
                </c:pt>
                <c:pt idx="3" formatCode="0.00">
                  <c:v>240000.0</c:v>
                </c:pt>
              </c:numCache>
            </c:numRef>
          </c:val>
          <c:smooth val="0"/>
        </c:ser>
        <c:ser>
          <c:idx val="2"/>
          <c:order val="2"/>
          <c:tx>
            <c:strRef>
              <c:f>'24hrs'!$A$29</c:f>
              <c:strCache>
                <c:ptCount val="1"/>
                <c:pt idx="0">
                  <c:v>Mock transfection</c:v>
                </c:pt>
              </c:strCache>
            </c:strRef>
          </c:tx>
          <c:spPr>
            <a:ln w="19050" cmpd="sng">
              <a:solidFill>
                <a:schemeClr val="accent3"/>
              </a:solidFill>
            </a:ln>
          </c:spPr>
          <c:marker>
            <c:spPr>
              <a:solidFill>
                <a:schemeClr val="accent3"/>
              </a:solidFill>
              <a:ln w="19050" cmpd="sng">
                <a:solidFill>
                  <a:schemeClr val="accent3"/>
                </a:solidFill>
              </a:ln>
            </c:spPr>
          </c:marker>
          <c:errBars>
            <c:errDir val="y"/>
            <c:errBarType val="both"/>
            <c:errValType val="cust"/>
            <c:noEndCap val="0"/>
            <c:plus>
              <c:numRef>
                <c:f>'24hrs'!$B$34:$E$34</c:f>
                <c:numCache>
                  <c:formatCode>General</c:formatCode>
                  <c:ptCount val="4"/>
                  <c:pt idx="1">
                    <c:v>117189.3055416463</c:v>
                  </c:pt>
                  <c:pt idx="2">
                    <c:v>64291.00507328621</c:v>
                  </c:pt>
                  <c:pt idx="3">
                    <c:v>238607.0689089771</c:v>
                  </c:pt>
                </c:numCache>
              </c:numRef>
            </c:plus>
            <c:minus>
              <c:numRef>
                <c:f>'24hrs'!$B$34:$E$34</c:f>
                <c:numCache>
                  <c:formatCode>General</c:formatCode>
                  <c:ptCount val="4"/>
                  <c:pt idx="1">
                    <c:v>117189.3055416463</c:v>
                  </c:pt>
                  <c:pt idx="2">
                    <c:v>64291.00507328621</c:v>
                  </c:pt>
                  <c:pt idx="3">
                    <c:v>238607.0689089771</c:v>
                  </c:pt>
                </c:numCache>
              </c:numRef>
            </c:minus>
          </c:errBars>
          <c:val>
            <c:numRef>
              <c:f>'24hrs'!$B$29:$E$29</c:f>
              <c:numCache>
                <c:formatCode>0</c:formatCode>
                <c:ptCount val="4"/>
                <c:pt idx="0" formatCode="General">
                  <c:v>200000.0</c:v>
                </c:pt>
                <c:pt idx="1">
                  <c:v>426666.6666666667</c:v>
                </c:pt>
                <c:pt idx="2" formatCode="0.0">
                  <c:v>453333.3333333333</c:v>
                </c:pt>
                <c:pt idx="3" formatCode="General">
                  <c:v>826666.666666667</c:v>
                </c:pt>
              </c:numCache>
            </c:numRef>
          </c:val>
          <c:smooth val="0"/>
        </c:ser>
        <c:dLbls>
          <c:showLegendKey val="0"/>
          <c:showVal val="0"/>
          <c:showCatName val="0"/>
          <c:showSerName val="0"/>
          <c:showPercent val="0"/>
          <c:showBubbleSize val="0"/>
        </c:dLbls>
        <c:marker val="1"/>
        <c:smooth val="0"/>
        <c:axId val="2064753640"/>
        <c:axId val="2064748008"/>
      </c:lineChart>
      <c:catAx>
        <c:axId val="2064753640"/>
        <c:scaling>
          <c:orientation val="minMax"/>
        </c:scaling>
        <c:delete val="0"/>
        <c:axPos val="b"/>
        <c:title>
          <c:tx>
            <c:rich>
              <a:bodyPr/>
              <a:lstStyle/>
              <a:p>
                <a:pPr>
                  <a:defRPr sz="800"/>
                </a:pPr>
                <a:r>
                  <a:rPr lang="en-US" sz="800"/>
                  <a:t>Time after seeding</a:t>
                </a:r>
              </a:p>
            </c:rich>
          </c:tx>
          <c:layout/>
          <c:overlay val="0"/>
        </c:title>
        <c:majorTickMark val="out"/>
        <c:minorTickMark val="none"/>
        <c:tickLblPos val="nextTo"/>
        <c:txPr>
          <a:bodyPr/>
          <a:lstStyle/>
          <a:p>
            <a:pPr>
              <a:defRPr sz="700"/>
            </a:pPr>
            <a:endParaRPr lang="en-US"/>
          </a:p>
        </c:txPr>
        <c:crossAx val="2064748008"/>
        <c:crosses val="autoZero"/>
        <c:auto val="1"/>
        <c:lblAlgn val="ctr"/>
        <c:lblOffset val="100"/>
        <c:noMultiLvlLbl val="0"/>
      </c:catAx>
      <c:valAx>
        <c:axId val="2064748008"/>
        <c:scaling>
          <c:orientation val="minMax"/>
        </c:scaling>
        <c:delete val="0"/>
        <c:axPos val="l"/>
        <c:title>
          <c:tx>
            <c:rich>
              <a:bodyPr rot="-5400000" vert="horz"/>
              <a:lstStyle/>
              <a:p>
                <a:pPr>
                  <a:defRPr sz="800"/>
                </a:pPr>
                <a:r>
                  <a:rPr lang="en-US" sz="800"/>
                  <a:t>Total</a:t>
                </a:r>
                <a:r>
                  <a:rPr lang="en-US" sz="800" baseline="0"/>
                  <a:t> no. of  viable SW480 Cells</a:t>
                </a:r>
                <a:endParaRPr lang="en-US" sz="800"/>
              </a:p>
            </c:rich>
          </c:tx>
          <c:layout/>
          <c:overlay val="0"/>
        </c:title>
        <c:numFmt formatCode="General" sourceLinked="1"/>
        <c:majorTickMark val="out"/>
        <c:minorTickMark val="none"/>
        <c:tickLblPos val="nextTo"/>
        <c:txPr>
          <a:bodyPr/>
          <a:lstStyle/>
          <a:p>
            <a:pPr>
              <a:defRPr sz="700"/>
            </a:pPr>
            <a:endParaRPr lang="en-US"/>
          </a:p>
        </c:txPr>
        <c:crossAx val="2064753640"/>
        <c:crosses val="autoZero"/>
        <c:crossBetween val="between"/>
      </c:valAx>
    </c:plotArea>
    <c:legend>
      <c:legendPos val="r"/>
      <c:layout>
        <c:manualLayout>
          <c:xMode val="edge"/>
          <c:yMode val="edge"/>
          <c:x val="0.24771471274424"/>
          <c:y val="0.00198830409356725"/>
          <c:w val="0.391972513852435"/>
          <c:h val="0.250887103279085"/>
        </c:manualLayout>
      </c:layout>
      <c:overlay val="0"/>
      <c:txPr>
        <a:bodyPr/>
        <a:lstStyle/>
        <a:p>
          <a:pPr>
            <a:defRPr sz="600" b="1"/>
          </a:pPr>
          <a:endParaRPr lang="en-US"/>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08326926510401"/>
          <c:y val="0.0246401951296129"/>
          <c:w val="0.77997791923395"/>
          <c:h val="0.814073446158039"/>
        </c:manualLayout>
      </c:layout>
      <c:lineChart>
        <c:grouping val="standard"/>
        <c:varyColors val="0"/>
        <c:ser>
          <c:idx val="0"/>
          <c:order val="0"/>
          <c:tx>
            <c:strRef>
              <c:f>Sheet1!$C$8</c:f>
              <c:strCache>
                <c:ptCount val="1"/>
                <c:pt idx="0">
                  <c:v>Mock transfection</c:v>
                </c:pt>
              </c:strCache>
            </c:strRef>
          </c:tx>
          <c:spPr>
            <a:ln w="19050" cmpd="sng">
              <a:solidFill>
                <a:schemeClr val="accent3"/>
              </a:solidFill>
            </a:ln>
          </c:spPr>
          <c:marker>
            <c:spPr>
              <a:solidFill>
                <a:schemeClr val="accent3"/>
              </a:solidFill>
              <a:ln w="19050" cmpd="sng">
                <a:solidFill>
                  <a:schemeClr val="accent3"/>
                </a:solidFill>
              </a:ln>
            </c:spPr>
          </c:marker>
          <c:errBars>
            <c:errDir val="y"/>
            <c:errBarType val="both"/>
            <c:errValType val="cust"/>
            <c:noEndCap val="0"/>
            <c:plus>
              <c:numRef>
                <c:f>Sheet1!$D$16:$G$16</c:f>
                <c:numCache>
                  <c:formatCode>General</c:formatCode>
                  <c:ptCount val="4"/>
                  <c:pt idx="1">
                    <c:v>50332.22956847162</c:v>
                  </c:pt>
                  <c:pt idx="2">
                    <c:v>16329.93161855452</c:v>
                  </c:pt>
                  <c:pt idx="3">
                    <c:v>52915.02622129181</c:v>
                  </c:pt>
                </c:numCache>
              </c:numRef>
            </c:plus>
            <c:minus>
              <c:numRef>
                <c:f>Sheet1!$D$16:$G$16</c:f>
                <c:numCache>
                  <c:formatCode>General</c:formatCode>
                  <c:ptCount val="4"/>
                  <c:pt idx="1">
                    <c:v>50332.22956847162</c:v>
                  </c:pt>
                  <c:pt idx="2">
                    <c:v>16329.93161855452</c:v>
                  </c:pt>
                  <c:pt idx="3">
                    <c:v>52915.02622129181</c:v>
                  </c:pt>
                </c:numCache>
              </c:numRef>
            </c:minus>
          </c:errBars>
          <c:cat>
            <c:strRef>
              <c:f>Sheet1!$D$7:$G$7</c:f>
              <c:strCache>
                <c:ptCount val="4"/>
                <c:pt idx="0">
                  <c:v>0hrs</c:v>
                </c:pt>
                <c:pt idx="1">
                  <c:v>24hrs</c:v>
                </c:pt>
                <c:pt idx="2">
                  <c:v>48hrs</c:v>
                </c:pt>
                <c:pt idx="3">
                  <c:v>72hrs</c:v>
                </c:pt>
              </c:strCache>
            </c:strRef>
          </c:cat>
          <c:val>
            <c:numRef>
              <c:f>Sheet1!$D$8:$G$8</c:f>
              <c:numCache>
                <c:formatCode>0</c:formatCode>
                <c:ptCount val="4"/>
                <c:pt idx="0" formatCode="General">
                  <c:v>200000.0</c:v>
                </c:pt>
                <c:pt idx="1">
                  <c:v>226666.6666666667</c:v>
                </c:pt>
                <c:pt idx="2" formatCode="General">
                  <c:v>300000.0</c:v>
                </c:pt>
                <c:pt idx="3" formatCode="General">
                  <c:v>340000.0</c:v>
                </c:pt>
              </c:numCache>
            </c:numRef>
          </c:val>
          <c:smooth val="0"/>
        </c:ser>
        <c:ser>
          <c:idx val="1"/>
          <c:order val="1"/>
          <c:tx>
            <c:strRef>
              <c:f>Sheet1!$C$9</c:f>
              <c:strCache>
                <c:ptCount val="1"/>
                <c:pt idx="0">
                  <c:v>Control CRISPR </c:v>
                </c:pt>
              </c:strCache>
            </c:strRef>
          </c:tx>
          <c:spPr>
            <a:ln w="19050" cmpd="sng">
              <a:solidFill>
                <a:schemeClr val="accent1"/>
              </a:solidFill>
            </a:ln>
          </c:spPr>
          <c:marker>
            <c:spPr>
              <a:solidFill>
                <a:schemeClr val="accent1"/>
              </a:solidFill>
              <a:ln w="19050" cmpd="sng">
                <a:solidFill>
                  <a:schemeClr val="accent1"/>
                </a:solidFill>
              </a:ln>
            </c:spPr>
          </c:marker>
          <c:errBars>
            <c:errDir val="y"/>
            <c:errBarType val="both"/>
            <c:errValType val="cust"/>
            <c:noEndCap val="0"/>
            <c:plus>
              <c:numRef>
                <c:f>Sheet1!$D$17:$G$17</c:f>
                <c:numCache>
                  <c:formatCode>General</c:formatCode>
                  <c:ptCount val="4"/>
                  <c:pt idx="1">
                    <c:v>91651.51389911537</c:v>
                  </c:pt>
                  <c:pt idx="2">
                    <c:v>9428.090415820634</c:v>
                  </c:pt>
                  <c:pt idx="3">
                    <c:v>23094.01076758499</c:v>
                  </c:pt>
                </c:numCache>
              </c:numRef>
            </c:plus>
            <c:minus>
              <c:numRef>
                <c:f>Sheet1!$D$17:$G$17</c:f>
                <c:numCache>
                  <c:formatCode>General</c:formatCode>
                  <c:ptCount val="4"/>
                  <c:pt idx="1">
                    <c:v>91651.51389911537</c:v>
                  </c:pt>
                  <c:pt idx="2">
                    <c:v>9428.090415820634</c:v>
                  </c:pt>
                  <c:pt idx="3">
                    <c:v>23094.01076758499</c:v>
                  </c:pt>
                </c:numCache>
              </c:numRef>
            </c:minus>
          </c:errBars>
          <c:cat>
            <c:strRef>
              <c:f>Sheet1!$D$7:$G$7</c:f>
              <c:strCache>
                <c:ptCount val="4"/>
                <c:pt idx="0">
                  <c:v>0hrs</c:v>
                </c:pt>
                <c:pt idx="1">
                  <c:v>24hrs</c:v>
                </c:pt>
                <c:pt idx="2">
                  <c:v>48hrs</c:v>
                </c:pt>
                <c:pt idx="3">
                  <c:v>72hrs</c:v>
                </c:pt>
              </c:strCache>
            </c:strRef>
          </c:cat>
          <c:val>
            <c:numRef>
              <c:f>Sheet1!$D$9:$G$9</c:f>
              <c:numCache>
                <c:formatCode>0</c:formatCode>
                <c:ptCount val="4"/>
                <c:pt idx="0" formatCode="General">
                  <c:v>200000.0</c:v>
                </c:pt>
                <c:pt idx="1">
                  <c:v>220000.0</c:v>
                </c:pt>
                <c:pt idx="2">
                  <c:v>133333.3333333333</c:v>
                </c:pt>
                <c:pt idx="3">
                  <c:v>86666.66666666667</c:v>
                </c:pt>
              </c:numCache>
            </c:numRef>
          </c:val>
          <c:smooth val="0"/>
        </c:ser>
        <c:ser>
          <c:idx val="2"/>
          <c:order val="2"/>
          <c:tx>
            <c:strRef>
              <c:f>Sheet1!$C$10</c:f>
              <c:strCache>
                <c:ptCount val="1"/>
                <c:pt idx="0">
                  <c:v>SRCAP CRISPR</c:v>
                </c:pt>
              </c:strCache>
            </c:strRef>
          </c:tx>
          <c:spPr>
            <a:ln w="19050" cmpd="sng">
              <a:solidFill>
                <a:schemeClr val="accent2"/>
              </a:solidFill>
            </a:ln>
          </c:spPr>
          <c:marker>
            <c:spPr>
              <a:solidFill>
                <a:schemeClr val="accent2"/>
              </a:solidFill>
              <a:ln w="19050" cmpd="sng">
                <a:solidFill>
                  <a:schemeClr val="accent2"/>
                </a:solidFill>
              </a:ln>
            </c:spPr>
          </c:marker>
          <c:errBars>
            <c:errDir val="y"/>
            <c:errBarType val="both"/>
            <c:errValType val="cust"/>
            <c:noEndCap val="0"/>
            <c:plus>
              <c:numRef>
                <c:f>Sheet1!$D$18:$G$18</c:f>
                <c:numCache>
                  <c:formatCode>General</c:formatCode>
                  <c:ptCount val="4"/>
                  <c:pt idx="1">
                    <c:v>46188.02153517</c:v>
                  </c:pt>
                  <c:pt idx="2">
                    <c:v>0.0</c:v>
                  </c:pt>
                  <c:pt idx="3">
                    <c:v>20000.0</c:v>
                  </c:pt>
                </c:numCache>
              </c:numRef>
            </c:plus>
            <c:minus>
              <c:numRef>
                <c:f>Sheet1!$D$18:$G$18</c:f>
                <c:numCache>
                  <c:formatCode>General</c:formatCode>
                  <c:ptCount val="4"/>
                  <c:pt idx="1">
                    <c:v>46188.02153517</c:v>
                  </c:pt>
                  <c:pt idx="2">
                    <c:v>0.0</c:v>
                  </c:pt>
                  <c:pt idx="3">
                    <c:v>20000.0</c:v>
                  </c:pt>
                </c:numCache>
              </c:numRef>
            </c:minus>
          </c:errBars>
          <c:cat>
            <c:strRef>
              <c:f>Sheet1!$D$7:$G$7</c:f>
              <c:strCache>
                <c:ptCount val="4"/>
                <c:pt idx="0">
                  <c:v>0hrs</c:v>
                </c:pt>
                <c:pt idx="1">
                  <c:v>24hrs</c:v>
                </c:pt>
                <c:pt idx="2">
                  <c:v>48hrs</c:v>
                </c:pt>
                <c:pt idx="3">
                  <c:v>72hrs</c:v>
                </c:pt>
              </c:strCache>
            </c:strRef>
          </c:cat>
          <c:val>
            <c:numRef>
              <c:f>Sheet1!$D$10:$G$10</c:f>
              <c:numCache>
                <c:formatCode>0</c:formatCode>
                <c:ptCount val="4"/>
                <c:pt idx="0" formatCode="General">
                  <c:v>200000.0</c:v>
                </c:pt>
                <c:pt idx="1">
                  <c:v>246666.6666666667</c:v>
                </c:pt>
                <c:pt idx="2">
                  <c:v>160000.0</c:v>
                </c:pt>
                <c:pt idx="3">
                  <c:v>80000.0</c:v>
                </c:pt>
              </c:numCache>
            </c:numRef>
          </c:val>
          <c:smooth val="0"/>
        </c:ser>
        <c:dLbls>
          <c:showLegendKey val="0"/>
          <c:showVal val="0"/>
          <c:showCatName val="0"/>
          <c:showSerName val="0"/>
          <c:showPercent val="0"/>
          <c:showBubbleSize val="0"/>
        </c:dLbls>
        <c:marker val="1"/>
        <c:smooth val="0"/>
        <c:axId val="2108136712"/>
        <c:axId val="2108142328"/>
      </c:lineChart>
      <c:catAx>
        <c:axId val="2108136712"/>
        <c:scaling>
          <c:orientation val="minMax"/>
        </c:scaling>
        <c:delete val="0"/>
        <c:axPos val="b"/>
        <c:title>
          <c:tx>
            <c:rich>
              <a:bodyPr/>
              <a:lstStyle/>
              <a:p>
                <a:pPr>
                  <a:defRPr sz="800"/>
                </a:pPr>
                <a:r>
                  <a:rPr lang="en-US" sz="800"/>
                  <a:t>Time after seeding</a:t>
                </a:r>
              </a:p>
            </c:rich>
          </c:tx>
          <c:layout/>
          <c:overlay val="0"/>
        </c:title>
        <c:majorTickMark val="out"/>
        <c:minorTickMark val="none"/>
        <c:tickLblPos val="nextTo"/>
        <c:txPr>
          <a:bodyPr/>
          <a:lstStyle/>
          <a:p>
            <a:pPr>
              <a:defRPr sz="700"/>
            </a:pPr>
            <a:endParaRPr lang="en-US"/>
          </a:p>
        </c:txPr>
        <c:crossAx val="2108142328"/>
        <c:crosses val="autoZero"/>
        <c:auto val="1"/>
        <c:lblAlgn val="ctr"/>
        <c:lblOffset val="100"/>
        <c:noMultiLvlLbl val="0"/>
      </c:catAx>
      <c:valAx>
        <c:axId val="2108142328"/>
        <c:scaling>
          <c:orientation val="minMax"/>
        </c:scaling>
        <c:delete val="0"/>
        <c:axPos val="l"/>
        <c:title>
          <c:tx>
            <c:rich>
              <a:bodyPr/>
              <a:lstStyle/>
              <a:p>
                <a:pPr>
                  <a:defRPr/>
                </a:pPr>
                <a:r>
                  <a:rPr lang="en-US" sz="800"/>
                  <a:t>Total no. of  viable SW480 cells</a:t>
                </a:r>
              </a:p>
              <a:p>
                <a:pPr>
                  <a:defRPr/>
                </a:pPr>
                <a:endParaRPr lang="en-US"/>
              </a:p>
            </c:rich>
          </c:tx>
          <c:layout/>
          <c:overlay val="0"/>
        </c:title>
        <c:numFmt formatCode="General" sourceLinked="1"/>
        <c:majorTickMark val="out"/>
        <c:minorTickMark val="none"/>
        <c:tickLblPos val="nextTo"/>
        <c:txPr>
          <a:bodyPr/>
          <a:lstStyle/>
          <a:p>
            <a:pPr>
              <a:defRPr sz="700"/>
            </a:pPr>
            <a:endParaRPr lang="en-US"/>
          </a:p>
        </c:txPr>
        <c:crossAx val="2108136712"/>
        <c:crosses val="autoZero"/>
        <c:crossBetween val="between"/>
      </c:valAx>
    </c:plotArea>
    <c:legend>
      <c:legendPos val="r"/>
      <c:layout>
        <c:manualLayout>
          <c:xMode val="edge"/>
          <c:yMode val="edge"/>
          <c:x val="0.249490065477123"/>
          <c:y val="0.00465049671665785"/>
          <c:w val="0.371201725651947"/>
          <c:h val="0.259873470641632"/>
        </c:manualLayout>
      </c:layout>
      <c:overlay val="0"/>
      <c:txPr>
        <a:bodyPr/>
        <a:lstStyle/>
        <a:p>
          <a:pPr>
            <a:defRPr sz="600" b="1"/>
          </a:pPr>
          <a:endParaRPr lang="en-US"/>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6587113370422"/>
          <c:y val="0.036927588823041"/>
          <c:w val="0.671714590227053"/>
          <c:h val="0.825739804317329"/>
        </c:manualLayout>
      </c:layout>
      <c:lineChart>
        <c:grouping val="standard"/>
        <c:varyColors val="0"/>
        <c:ser>
          <c:idx val="0"/>
          <c:order val="0"/>
          <c:tx>
            <c:strRef>
              <c:f>'24hrs'!$A$28</c:f>
              <c:strCache>
                <c:ptCount val="1"/>
                <c:pt idx="0">
                  <c:v>Mock transfection SW480</c:v>
                </c:pt>
              </c:strCache>
            </c:strRef>
          </c:tx>
          <c:spPr>
            <a:ln w="19050" cmpd="sng">
              <a:solidFill>
                <a:schemeClr val="accent3"/>
              </a:solidFill>
            </a:ln>
          </c:spPr>
          <c:marker>
            <c:spPr>
              <a:solidFill>
                <a:schemeClr val="accent3"/>
              </a:solidFill>
              <a:ln w="19050" cmpd="sng">
                <a:solidFill>
                  <a:schemeClr val="accent3"/>
                </a:solidFill>
              </a:ln>
            </c:spPr>
          </c:marker>
          <c:errBars>
            <c:errDir val="y"/>
            <c:errBarType val="both"/>
            <c:errValType val="cust"/>
            <c:noEndCap val="0"/>
            <c:plus>
              <c:numRef>
                <c:f>'24hrs'!$B$33:$E$33</c:f>
                <c:numCache>
                  <c:formatCode>General</c:formatCode>
                  <c:ptCount val="4"/>
                  <c:pt idx="1">
                    <c:v>39051.24837953327</c:v>
                  </c:pt>
                  <c:pt idx="2">
                    <c:v>205507.5018906445</c:v>
                  </c:pt>
                  <c:pt idx="3">
                    <c:v>215715.862498179</c:v>
                  </c:pt>
                </c:numCache>
              </c:numRef>
            </c:plus>
            <c:minus>
              <c:numRef>
                <c:f>'24hrs'!$B$33:$E$33</c:f>
                <c:numCache>
                  <c:formatCode>General</c:formatCode>
                  <c:ptCount val="4"/>
                  <c:pt idx="1">
                    <c:v>39051.24837953327</c:v>
                  </c:pt>
                  <c:pt idx="2">
                    <c:v>205507.5018906445</c:v>
                  </c:pt>
                  <c:pt idx="3">
                    <c:v>215715.862498179</c:v>
                  </c:pt>
                </c:numCache>
              </c:numRef>
            </c:minus>
          </c:errBars>
          <c:cat>
            <c:strRef>
              <c:f>'24hrs'!$B$27:$E$27</c:f>
              <c:strCache>
                <c:ptCount val="4"/>
                <c:pt idx="0">
                  <c:v>0hrs</c:v>
                </c:pt>
                <c:pt idx="1">
                  <c:v>24hrs</c:v>
                </c:pt>
                <c:pt idx="2">
                  <c:v>48hrs</c:v>
                </c:pt>
                <c:pt idx="3">
                  <c:v>72hrs</c:v>
                </c:pt>
              </c:strCache>
            </c:strRef>
          </c:cat>
          <c:val>
            <c:numRef>
              <c:f>'24hrs'!$B$28:$E$28</c:f>
              <c:numCache>
                <c:formatCode>0</c:formatCode>
                <c:ptCount val="4"/>
                <c:pt idx="0" formatCode="General">
                  <c:v>200000.0</c:v>
                </c:pt>
                <c:pt idx="1">
                  <c:v>520000.0</c:v>
                </c:pt>
                <c:pt idx="2" formatCode="0.0">
                  <c:v>883333.3333333334</c:v>
                </c:pt>
                <c:pt idx="3" formatCode="General">
                  <c:v>2.43333333333333E6</c:v>
                </c:pt>
              </c:numCache>
            </c:numRef>
          </c:val>
          <c:smooth val="0"/>
        </c:ser>
        <c:ser>
          <c:idx val="1"/>
          <c:order val="1"/>
          <c:tx>
            <c:strRef>
              <c:f>'24hrs'!$A$29</c:f>
              <c:strCache>
                <c:ptCount val="1"/>
                <c:pt idx="0">
                  <c:v>Control CRISPR SW480</c:v>
                </c:pt>
              </c:strCache>
            </c:strRef>
          </c:tx>
          <c:spPr>
            <a:ln w="19050" cmpd="sng">
              <a:solidFill>
                <a:schemeClr val="accent1"/>
              </a:solidFill>
            </a:ln>
          </c:spPr>
          <c:marker>
            <c:spPr>
              <a:solidFill>
                <a:schemeClr val="accent1"/>
              </a:solidFill>
              <a:ln w="19050" cmpd="sng">
                <a:solidFill>
                  <a:schemeClr val="accent1"/>
                </a:solidFill>
              </a:ln>
            </c:spPr>
          </c:marker>
          <c:errBars>
            <c:errDir val="y"/>
            <c:errBarType val="both"/>
            <c:errValType val="cust"/>
            <c:noEndCap val="0"/>
            <c:plus>
              <c:numRef>
                <c:f>'24hrs'!$B$34:$E$34</c:f>
                <c:numCache>
                  <c:formatCode>General</c:formatCode>
                  <c:ptCount val="4"/>
                  <c:pt idx="1">
                    <c:v>73654.59931328118</c:v>
                  </c:pt>
                  <c:pt idx="2">
                    <c:v>61644.14002968976</c:v>
                  </c:pt>
                  <c:pt idx="3">
                    <c:v>34641.01615137754</c:v>
                  </c:pt>
                </c:numCache>
              </c:numRef>
            </c:plus>
            <c:minus>
              <c:numRef>
                <c:f>'24hrs'!$B$34:$E$34</c:f>
                <c:numCache>
                  <c:formatCode>General</c:formatCode>
                  <c:ptCount val="4"/>
                  <c:pt idx="1">
                    <c:v>73654.59931328118</c:v>
                  </c:pt>
                  <c:pt idx="2">
                    <c:v>61644.14002968976</c:v>
                  </c:pt>
                  <c:pt idx="3">
                    <c:v>34641.01615137754</c:v>
                  </c:pt>
                </c:numCache>
              </c:numRef>
            </c:minus>
          </c:errBars>
          <c:cat>
            <c:strRef>
              <c:f>'24hrs'!$B$27:$E$27</c:f>
              <c:strCache>
                <c:ptCount val="4"/>
                <c:pt idx="0">
                  <c:v>0hrs</c:v>
                </c:pt>
                <c:pt idx="1">
                  <c:v>24hrs</c:v>
                </c:pt>
                <c:pt idx="2">
                  <c:v>48hrs</c:v>
                </c:pt>
                <c:pt idx="3">
                  <c:v>72hrs</c:v>
                </c:pt>
              </c:strCache>
            </c:strRef>
          </c:cat>
          <c:val>
            <c:numRef>
              <c:f>'24hrs'!$B$29:$E$29</c:f>
              <c:numCache>
                <c:formatCode>0</c:formatCode>
                <c:ptCount val="4"/>
                <c:pt idx="0" formatCode="General">
                  <c:v>200000.0</c:v>
                </c:pt>
                <c:pt idx="1">
                  <c:v>390000.0</c:v>
                </c:pt>
                <c:pt idx="2" formatCode="0.0">
                  <c:v>270000.0</c:v>
                </c:pt>
                <c:pt idx="3" formatCode="0.00">
                  <c:v>160000.0</c:v>
                </c:pt>
              </c:numCache>
            </c:numRef>
          </c:val>
          <c:smooth val="0"/>
        </c:ser>
        <c:ser>
          <c:idx val="2"/>
          <c:order val="2"/>
          <c:tx>
            <c:strRef>
              <c:f>'24hrs'!$A$30</c:f>
              <c:strCache>
                <c:ptCount val="1"/>
                <c:pt idx="0">
                  <c:v>Mock transfection U2OS</c:v>
                </c:pt>
              </c:strCache>
            </c:strRef>
          </c:tx>
          <c:spPr>
            <a:ln w="19050" cmpd="sng">
              <a:solidFill>
                <a:schemeClr val="accent6"/>
              </a:solidFill>
            </a:ln>
          </c:spPr>
          <c:marker>
            <c:spPr>
              <a:solidFill>
                <a:schemeClr val="accent6"/>
              </a:solidFill>
              <a:ln w="19050" cmpd="sng">
                <a:solidFill>
                  <a:schemeClr val="accent6"/>
                </a:solidFill>
              </a:ln>
            </c:spPr>
          </c:marker>
          <c:errBars>
            <c:errDir val="y"/>
            <c:errBarType val="both"/>
            <c:errValType val="cust"/>
            <c:noEndCap val="0"/>
            <c:plus>
              <c:numRef>
                <c:f>'24hrs'!$B$35:$E$35</c:f>
                <c:numCache>
                  <c:formatCode>General</c:formatCode>
                  <c:ptCount val="4"/>
                  <c:pt idx="1">
                    <c:v>55752.42894559243</c:v>
                  </c:pt>
                  <c:pt idx="2">
                    <c:v>130724.4770075172</c:v>
                  </c:pt>
                  <c:pt idx="3">
                    <c:v>404145.1884327377</c:v>
                  </c:pt>
                </c:numCache>
              </c:numRef>
            </c:plus>
            <c:minus>
              <c:numRef>
                <c:f>'24hrs'!$B$35:$E$35</c:f>
                <c:numCache>
                  <c:formatCode>General</c:formatCode>
                  <c:ptCount val="4"/>
                  <c:pt idx="1">
                    <c:v>55752.42894559243</c:v>
                  </c:pt>
                  <c:pt idx="2">
                    <c:v>130724.4770075172</c:v>
                  </c:pt>
                  <c:pt idx="3">
                    <c:v>404145.1884327377</c:v>
                  </c:pt>
                </c:numCache>
              </c:numRef>
            </c:minus>
          </c:errBars>
          <c:cat>
            <c:strRef>
              <c:f>'24hrs'!$B$27:$E$27</c:f>
              <c:strCache>
                <c:ptCount val="4"/>
                <c:pt idx="0">
                  <c:v>0hrs</c:v>
                </c:pt>
                <c:pt idx="1">
                  <c:v>24hrs</c:v>
                </c:pt>
                <c:pt idx="2">
                  <c:v>48hrs</c:v>
                </c:pt>
                <c:pt idx="3">
                  <c:v>72hrs</c:v>
                </c:pt>
              </c:strCache>
            </c:strRef>
          </c:cat>
          <c:val>
            <c:numRef>
              <c:f>'24hrs'!$B$30:$E$30</c:f>
              <c:numCache>
                <c:formatCode>0</c:formatCode>
                <c:ptCount val="4"/>
                <c:pt idx="0" formatCode="General">
                  <c:v>200000.0</c:v>
                </c:pt>
                <c:pt idx="1">
                  <c:v>648333.3333333334</c:v>
                </c:pt>
                <c:pt idx="2" formatCode="0.0">
                  <c:v>1.12666666666667E6</c:v>
                </c:pt>
                <c:pt idx="3" formatCode="0.00">
                  <c:v>1.92666666666667E6</c:v>
                </c:pt>
              </c:numCache>
            </c:numRef>
          </c:val>
          <c:smooth val="0"/>
        </c:ser>
        <c:ser>
          <c:idx val="3"/>
          <c:order val="3"/>
          <c:tx>
            <c:strRef>
              <c:f>'24hrs'!$A$31</c:f>
              <c:strCache>
                <c:ptCount val="1"/>
                <c:pt idx="0">
                  <c:v>Control CRISPR U2OS</c:v>
                </c:pt>
              </c:strCache>
            </c:strRef>
          </c:tx>
          <c:spPr>
            <a:ln w="19050" cmpd="sng"/>
          </c:spPr>
          <c:marker>
            <c:spPr>
              <a:ln w="19050" cmpd="sng"/>
            </c:spPr>
          </c:marker>
          <c:errBars>
            <c:errDir val="y"/>
            <c:errBarType val="both"/>
            <c:errValType val="cust"/>
            <c:noEndCap val="0"/>
            <c:plus>
              <c:numRef>
                <c:f>'24hrs'!$B$36:$E$36</c:f>
                <c:numCache>
                  <c:formatCode>General</c:formatCode>
                  <c:ptCount val="4"/>
                  <c:pt idx="1">
                    <c:v>59651.76722724435</c:v>
                  </c:pt>
                  <c:pt idx="2">
                    <c:v>72341.78138070236</c:v>
                  </c:pt>
                  <c:pt idx="3">
                    <c:v>61101.00926607782</c:v>
                  </c:pt>
                </c:numCache>
              </c:numRef>
            </c:plus>
            <c:minus>
              <c:numRef>
                <c:f>'24hrs'!$B$36:$E$36</c:f>
                <c:numCache>
                  <c:formatCode>General</c:formatCode>
                  <c:ptCount val="4"/>
                  <c:pt idx="1">
                    <c:v>59651.76722724435</c:v>
                  </c:pt>
                  <c:pt idx="2">
                    <c:v>72341.78138070236</c:v>
                  </c:pt>
                  <c:pt idx="3">
                    <c:v>61101.00926607782</c:v>
                  </c:pt>
                </c:numCache>
              </c:numRef>
            </c:minus>
          </c:errBars>
          <c:cat>
            <c:strRef>
              <c:f>'24hrs'!$B$27:$E$27</c:f>
              <c:strCache>
                <c:ptCount val="4"/>
                <c:pt idx="0">
                  <c:v>0hrs</c:v>
                </c:pt>
                <c:pt idx="1">
                  <c:v>24hrs</c:v>
                </c:pt>
                <c:pt idx="2">
                  <c:v>48hrs</c:v>
                </c:pt>
                <c:pt idx="3">
                  <c:v>72hrs</c:v>
                </c:pt>
              </c:strCache>
            </c:strRef>
          </c:cat>
          <c:val>
            <c:numRef>
              <c:f>'24hrs'!$B$31:$E$31</c:f>
              <c:numCache>
                <c:formatCode>General</c:formatCode>
                <c:ptCount val="4"/>
                <c:pt idx="0">
                  <c:v>200000.0</c:v>
                </c:pt>
                <c:pt idx="1">
                  <c:v>361666.6666666667</c:v>
                </c:pt>
                <c:pt idx="2">
                  <c:v>173333.3333333333</c:v>
                </c:pt>
                <c:pt idx="3">
                  <c:v>233333.3333333333</c:v>
                </c:pt>
              </c:numCache>
            </c:numRef>
          </c:val>
          <c:smooth val="0"/>
        </c:ser>
        <c:dLbls>
          <c:showLegendKey val="0"/>
          <c:showVal val="0"/>
          <c:showCatName val="0"/>
          <c:showSerName val="0"/>
          <c:showPercent val="0"/>
          <c:showBubbleSize val="0"/>
        </c:dLbls>
        <c:marker val="1"/>
        <c:smooth val="0"/>
        <c:axId val="2108079128"/>
        <c:axId val="2108108152"/>
      </c:lineChart>
      <c:catAx>
        <c:axId val="2108079128"/>
        <c:scaling>
          <c:orientation val="minMax"/>
        </c:scaling>
        <c:delete val="0"/>
        <c:axPos val="b"/>
        <c:title>
          <c:tx>
            <c:rich>
              <a:bodyPr/>
              <a:lstStyle/>
              <a:p>
                <a:pPr>
                  <a:defRPr sz="900"/>
                </a:pPr>
                <a:r>
                  <a:rPr lang="en-US" sz="900"/>
                  <a:t>Time after seeding</a:t>
                </a:r>
              </a:p>
            </c:rich>
          </c:tx>
          <c:layout/>
          <c:overlay val="0"/>
        </c:title>
        <c:majorTickMark val="out"/>
        <c:minorTickMark val="none"/>
        <c:tickLblPos val="nextTo"/>
        <c:txPr>
          <a:bodyPr/>
          <a:lstStyle/>
          <a:p>
            <a:pPr>
              <a:defRPr sz="800"/>
            </a:pPr>
            <a:endParaRPr lang="en-US"/>
          </a:p>
        </c:txPr>
        <c:crossAx val="2108108152"/>
        <c:crosses val="autoZero"/>
        <c:auto val="1"/>
        <c:lblAlgn val="ctr"/>
        <c:lblOffset val="100"/>
        <c:noMultiLvlLbl val="0"/>
      </c:catAx>
      <c:valAx>
        <c:axId val="2108108152"/>
        <c:scaling>
          <c:orientation val="minMax"/>
        </c:scaling>
        <c:delete val="0"/>
        <c:axPos val="l"/>
        <c:title>
          <c:tx>
            <c:rich>
              <a:bodyPr rot="-5400000" vert="horz"/>
              <a:lstStyle/>
              <a:p>
                <a:pPr>
                  <a:defRPr sz="900"/>
                </a:pPr>
                <a:r>
                  <a:rPr lang="en-US" sz="900"/>
                  <a:t>Total</a:t>
                </a:r>
                <a:r>
                  <a:rPr lang="en-US" sz="900" baseline="0"/>
                  <a:t> no. of viable cells</a:t>
                </a:r>
                <a:endParaRPr lang="en-US" sz="900"/>
              </a:p>
            </c:rich>
          </c:tx>
          <c:layout>
            <c:manualLayout>
              <c:xMode val="edge"/>
              <c:yMode val="edge"/>
              <c:x val="0.0207965161911031"/>
              <c:y val="0.216200422863809"/>
            </c:manualLayout>
          </c:layout>
          <c:overlay val="0"/>
        </c:title>
        <c:numFmt formatCode="General" sourceLinked="1"/>
        <c:majorTickMark val="out"/>
        <c:minorTickMark val="none"/>
        <c:tickLblPos val="nextTo"/>
        <c:txPr>
          <a:bodyPr/>
          <a:lstStyle/>
          <a:p>
            <a:pPr>
              <a:defRPr sz="800"/>
            </a:pPr>
            <a:endParaRPr lang="en-US"/>
          </a:p>
        </c:txPr>
        <c:crossAx val="2108079128"/>
        <c:crosses val="autoZero"/>
        <c:crossBetween val="between"/>
      </c:valAx>
    </c:plotArea>
    <c:legend>
      <c:legendPos val="r"/>
      <c:layout>
        <c:manualLayout>
          <c:xMode val="edge"/>
          <c:yMode val="edge"/>
          <c:x val="0.255354349310163"/>
          <c:y val="0.0632352809591983"/>
          <c:w val="0.34672805989868"/>
          <c:h val="0.269965368912219"/>
        </c:manualLayout>
      </c:layout>
      <c:overlay val="0"/>
      <c:txPr>
        <a:bodyPr/>
        <a:lstStyle/>
        <a:p>
          <a:pPr>
            <a:defRPr sz="700" b="1"/>
          </a:pPr>
          <a:endParaRPr lang="en-US"/>
        </a:p>
      </c:txPr>
    </c:legend>
    <c:plotVisOnly val="1"/>
    <c:dispBlanksAs val="gap"/>
    <c:showDLblsOverMax val="0"/>
  </c:chart>
  <c:spPr>
    <a:ln>
      <a:solidFill>
        <a:srgbClr val="FFFFFF"/>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4965751232315"/>
          <c:y val="0.0315186246418338"/>
          <c:w val="0.808885826771654"/>
          <c:h val="0.778736416855256"/>
        </c:manualLayout>
      </c:layout>
      <c:barChart>
        <c:barDir val="col"/>
        <c:grouping val="clustered"/>
        <c:varyColors val="0"/>
        <c:ser>
          <c:idx val="0"/>
          <c:order val="0"/>
          <c:spPr>
            <a:solidFill>
              <a:schemeClr val="accent5"/>
            </a:solidFill>
          </c:spPr>
          <c:invertIfNegative val="0"/>
          <c:dPt>
            <c:idx val="1"/>
            <c:invertIfNegative val="0"/>
            <c:bubble3D val="0"/>
            <c:spPr>
              <a:solidFill>
                <a:srgbClr val="C0504D"/>
              </a:solidFill>
            </c:spPr>
          </c:dPt>
          <c:dPt>
            <c:idx val="2"/>
            <c:invertIfNegative val="0"/>
            <c:bubble3D val="0"/>
            <c:spPr>
              <a:solidFill>
                <a:srgbClr val="C0504D"/>
              </a:solidFill>
            </c:spPr>
          </c:dPt>
          <c:dPt>
            <c:idx val="4"/>
            <c:invertIfNegative val="0"/>
            <c:bubble3D val="0"/>
            <c:spPr>
              <a:solidFill>
                <a:srgbClr val="C0504D"/>
              </a:solidFill>
            </c:spPr>
          </c:dPt>
          <c:dPt>
            <c:idx val="8"/>
            <c:invertIfNegative val="0"/>
            <c:bubble3D val="0"/>
            <c:spPr>
              <a:solidFill>
                <a:srgbClr val="C0504D"/>
              </a:solidFill>
            </c:spPr>
          </c:dPt>
          <c:errBars>
            <c:errBarType val="both"/>
            <c:errValType val="cust"/>
            <c:noEndCap val="0"/>
            <c:plus>
              <c:numRef>
                <c:f>results!$D$21:$D$34</c:f>
                <c:numCache>
                  <c:formatCode>General</c:formatCode>
                  <c:ptCount val="14"/>
                  <c:pt idx="0">
                    <c:v>7.22748443247374E-9</c:v>
                  </c:pt>
                  <c:pt idx="1">
                    <c:v>0.00468711781528443</c:v>
                  </c:pt>
                  <c:pt idx="2">
                    <c:v>0.0287497739205543</c:v>
                  </c:pt>
                  <c:pt idx="3">
                    <c:v>0.000221670570064572</c:v>
                  </c:pt>
                  <c:pt idx="4">
                    <c:v>0.000178532426660442</c:v>
                  </c:pt>
                  <c:pt idx="5">
                    <c:v>1.76942968827847E-8</c:v>
                  </c:pt>
                  <c:pt idx="6">
                    <c:v>8.12691789897836E-9</c:v>
                  </c:pt>
                  <c:pt idx="7">
                    <c:v>0.000251313760522525</c:v>
                  </c:pt>
                  <c:pt idx="8">
                    <c:v>0.00103457306890756</c:v>
                  </c:pt>
                  <c:pt idx="9">
                    <c:v>6.73640855017154E-8</c:v>
                  </c:pt>
                  <c:pt idx="10">
                    <c:v>0.000124430203255595</c:v>
                  </c:pt>
                  <c:pt idx="11">
                    <c:v>0.000109393799988169</c:v>
                  </c:pt>
                  <c:pt idx="12">
                    <c:v>-0.000655911443796733</c:v>
                  </c:pt>
                  <c:pt idx="13">
                    <c:v>-0.000190254869516481</c:v>
                  </c:pt>
                </c:numCache>
              </c:numRef>
            </c:plus>
            <c:minus>
              <c:numRef>
                <c:f>results!$C$21:$C$34</c:f>
                <c:numCache>
                  <c:formatCode>General</c:formatCode>
                  <c:ptCount val="14"/>
                  <c:pt idx="0">
                    <c:v>6.33535847026469E-9</c:v>
                  </c:pt>
                  <c:pt idx="1">
                    <c:v>0.00358274625362738</c:v>
                  </c:pt>
                  <c:pt idx="2">
                    <c:v>0.0110325422771992</c:v>
                  </c:pt>
                  <c:pt idx="3">
                    <c:v>0.000178715256768847</c:v>
                  </c:pt>
                  <c:pt idx="4">
                    <c:v>0.000174271447019528</c:v>
                  </c:pt>
                  <c:pt idx="5">
                    <c:v>1.22549249277568E-8</c:v>
                  </c:pt>
                  <c:pt idx="6">
                    <c:v>6.53949528828415E-9</c:v>
                  </c:pt>
                  <c:pt idx="7">
                    <c:v>0.0002028879670968</c:v>
                  </c:pt>
                  <c:pt idx="8">
                    <c:v>0.000881056219984055</c:v>
                  </c:pt>
                  <c:pt idx="9">
                    <c:v>1.08217297178887E-8</c:v>
                  </c:pt>
                  <c:pt idx="10">
                    <c:v>0.000102668007555758</c:v>
                  </c:pt>
                  <c:pt idx="11">
                    <c:v>9.85251982874236E-5</c:v>
                  </c:pt>
                  <c:pt idx="12">
                    <c:v>0.000655911443796733</c:v>
                  </c:pt>
                  <c:pt idx="13">
                    <c:v>0.000190254869516481</c:v>
                  </c:pt>
                </c:numCache>
              </c:numRef>
            </c:minus>
          </c:errBars>
          <c:cat>
            <c:strRef>
              <c:f>results!$A$21:$A$32</c:f>
              <c:strCache>
                <c:ptCount val="12"/>
                <c:pt idx="0">
                  <c:v>1</c:v>
                </c:pt>
                <c:pt idx="1">
                  <c:v>2</c:v>
                </c:pt>
                <c:pt idx="2">
                  <c:v>3</c:v>
                </c:pt>
                <c:pt idx="3">
                  <c:v>4</c:v>
                </c:pt>
                <c:pt idx="4">
                  <c:v>5</c:v>
                </c:pt>
                <c:pt idx="5">
                  <c:v>6</c:v>
                </c:pt>
                <c:pt idx="6">
                  <c:v>7</c:v>
                </c:pt>
                <c:pt idx="7">
                  <c:v>8</c:v>
                </c:pt>
                <c:pt idx="8">
                  <c:v>9</c:v>
                </c:pt>
                <c:pt idx="9">
                  <c:v>10</c:v>
                </c:pt>
                <c:pt idx="10">
                  <c:v>11</c:v>
                </c:pt>
                <c:pt idx="11">
                  <c:v>control</c:v>
                </c:pt>
              </c:strCache>
            </c:strRef>
          </c:cat>
          <c:val>
            <c:numRef>
              <c:f>results!$B$21:$B$32</c:f>
              <c:numCache>
                <c:formatCode>0.00000000</c:formatCode>
                <c:ptCount val="12"/>
                <c:pt idx="0">
                  <c:v>5.13253807843335E-8</c:v>
                </c:pt>
                <c:pt idx="1">
                  <c:v>0.0152057100853123</c:v>
                </c:pt>
                <c:pt idx="2">
                  <c:v>0.0179025201353845</c:v>
                </c:pt>
                <c:pt idx="3">
                  <c:v>0.000922258733732226</c:v>
                </c:pt>
                <c:pt idx="4" formatCode="General">
                  <c:v>0.0073018664617197</c:v>
                </c:pt>
                <c:pt idx="5" formatCode="General">
                  <c:v>3.98653156542337E-8</c:v>
                </c:pt>
                <c:pt idx="6" formatCode="General">
                  <c:v>3.34793903971138E-8</c:v>
                </c:pt>
                <c:pt idx="7" formatCode="General">
                  <c:v>0.00105292106476424</c:v>
                </c:pt>
                <c:pt idx="8" formatCode="General">
                  <c:v>0.00593757000473095</c:v>
                </c:pt>
                <c:pt idx="9" formatCode="General">
                  <c:v>1.2892917457833E-8</c:v>
                </c:pt>
                <c:pt idx="10" formatCode="General">
                  <c:v>0.00058702721105047</c:v>
                </c:pt>
                <c:pt idx="11" formatCode="General">
                  <c:v>0.000991668121806378</c:v>
                </c:pt>
              </c:numCache>
            </c:numRef>
          </c:val>
        </c:ser>
        <c:dLbls>
          <c:showLegendKey val="0"/>
          <c:showVal val="0"/>
          <c:showCatName val="0"/>
          <c:showSerName val="0"/>
          <c:showPercent val="0"/>
          <c:showBubbleSize val="0"/>
        </c:dLbls>
        <c:gapWidth val="150"/>
        <c:axId val="2064785480"/>
        <c:axId val="2064795272"/>
      </c:barChart>
      <c:catAx>
        <c:axId val="2064785480"/>
        <c:scaling>
          <c:orientation val="minMax"/>
        </c:scaling>
        <c:delete val="0"/>
        <c:axPos val="b"/>
        <c:title>
          <c:tx>
            <c:rich>
              <a:bodyPr/>
              <a:lstStyle/>
              <a:p>
                <a:pPr>
                  <a:defRPr sz="1000"/>
                </a:pPr>
                <a:r>
                  <a:rPr lang="en-US" sz="1000"/>
                  <a:t>Clone Name</a:t>
                </a:r>
              </a:p>
            </c:rich>
          </c:tx>
          <c:layout>
            <c:manualLayout>
              <c:xMode val="edge"/>
              <c:yMode val="edge"/>
              <c:x val="0.499284558180227"/>
              <c:y val="0.900237529691211"/>
            </c:manualLayout>
          </c:layout>
          <c:overlay val="0"/>
        </c:title>
        <c:numFmt formatCode="General" sourceLinked="1"/>
        <c:majorTickMark val="none"/>
        <c:minorTickMark val="none"/>
        <c:tickLblPos val="nextTo"/>
        <c:txPr>
          <a:bodyPr/>
          <a:lstStyle/>
          <a:p>
            <a:pPr>
              <a:defRPr sz="1000"/>
            </a:pPr>
            <a:endParaRPr lang="en-US"/>
          </a:p>
        </c:txPr>
        <c:crossAx val="2064795272"/>
        <c:crosses val="autoZero"/>
        <c:auto val="1"/>
        <c:lblAlgn val="ctr"/>
        <c:lblOffset val="100"/>
        <c:noMultiLvlLbl val="0"/>
      </c:catAx>
      <c:valAx>
        <c:axId val="2064795272"/>
        <c:scaling>
          <c:orientation val="minMax"/>
        </c:scaling>
        <c:delete val="0"/>
        <c:axPos val="l"/>
        <c:title>
          <c:tx>
            <c:rich>
              <a:bodyPr/>
              <a:lstStyle/>
              <a:p>
                <a:pPr>
                  <a:defRPr sz="1000"/>
                </a:pPr>
                <a:r>
                  <a:rPr lang="en-US" sz="1000"/>
                  <a:t>Relative</a:t>
                </a:r>
                <a:r>
                  <a:rPr lang="en-US" sz="1000" baseline="0"/>
                  <a:t> SRCAP mRNA Expression of SW480 cells</a:t>
                </a:r>
                <a:endParaRPr lang="en-US" sz="1000"/>
              </a:p>
            </c:rich>
          </c:tx>
          <c:layout>
            <c:manualLayout>
              <c:xMode val="edge"/>
              <c:yMode val="edge"/>
              <c:x val="0.00597977578384097"/>
              <c:y val="0.0757585052462266"/>
            </c:manualLayout>
          </c:layout>
          <c:overlay val="0"/>
        </c:title>
        <c:numFmt formatCode="0.00" sourceLinked="0"/>
        <c:majorTickMark val="out"/>
        <c:minorTickMark val="none"/>
        <c:tickLblPos val="nextTo"/>
        <c:txPr>
          <a:bodyPr/>
          <a:lstStyle/>
          <a:p>
            <a:pPr>
              <a:defRPr sz="900"/>
            </a:pPr>
            <a:endParaRPr lang="en-US"/>
          </a:p>
        </c:txPr>
        <c:crossAx val="2064785480"/>
        <c:crosses val="autoZero"/>
        <c:crossBetween val="between"/>
        <c:majorUnit val="0.01"/>
      </c:valAx>
      <c:spPr>
        <a:ln>
          <a:solidFill>
            <a:srgbClr val="FFFFFF"/>
          </a:solidFill>
        </a:ln>
      </c:spPr>
    </c:plotArea>
    <c:plotVisOnly val="1"/>
    <c:dispBlanksAs val="gap"/>
    <c:showDLblsOverMax val="0"/>
  </c:chart>
  <c:spPr>
    <a:ln>
      <a:solidFill>
        <a:srgbClr val="FFFFFF"/>
      </a:solid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0.89808</cdr:x>
      <cdr:y>0.92589</cdr:y>
    </cdr:from>
    <cdr:to>
      <cdr:x>0.9796</cdr:x>
      <cdr:y>0.99755</cdr:y>
    </cdr:to>
    <cdr:sp macro="" textlink="">
      <cdr:nvSpPr>
        <cdr:cNvPr id="2" name="Text Box 1"/>
        <cdr:cNvSpPr txBox="1"/>
      </cdr:nvSpPr>
      <cdr:spPr>
        <a:xfrm xmlns:a="http://schemas.openxmlformats.org/drawingml/2006/main">
          <a:off x="5030998" y="2953820"/>
          <a:ext cx="456672"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b="1"/>
            <a:t>n=2</a:t>
          </a:r>
        </a:p>
      </cdr:txBody>
    </cdr:sp>
  </cdr:relSizeAnchor>
</c:userShapes>
</file>

<file path=word/drawings/drawing2.xml><?xml version="1.0" encoding="utf-8"?>
<c:userShapes xmlns:c="http://schemas.openxmlformats.org/drawingml/2006/chart">
  <cdr:relSizeAnchor xmlns:cdr="http://schemas.openxmlformats.org/drawingml/2006/chartDrawing">
    <cdr:from>
      <cdr:x>0.63346</cdr:x>
      <cdr:y>0</cdr:y>
    </cdr:from>
    <cdr:to>
      <cdr:x>0.63346</cdr:x>
      <cdr:y>0.75454</cdr:y>
    </cdr:to>
    <cdr:cxnSp macro="">
      <cdr:nvCxnSpPr>
        <cdr:cNvPr id="3" name="Straight Connector 2"/>
        <cdr:cNvCxnSpPr/>
      </cdr:nvCxnSpPr>
      <cdr:spPr>
        <a:xfrm xmlns:a="http://schemas.openxmlformats.org/drawingml/2006/main">
          <a:off x="2971800" y="0"/>
          <a:ext cx="0" cy="20574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0.31673</cdr:x>
      <cdr:y>0.04192</cdr:y>
    </cdr:from>
    <cdr:to>
      <cdr:x>0.536</cdr:x>
      <cdr:y>0.12576</cdr:y>
    </cdr:to>
    <cdr:sp macro="" textlink="">
      <cdr:nvSpPr>
        <cdr:cNvPr id="4" name="Text Box 3"/>
        <cdr:cNvSpPr txBox="1"/>
      </cdr:nvSpPr>
      <cdr:spPr>
        <a:xfrm xmlns:a="http://schemas.openxmlformats.org/drawingml/2006/main">
          <a:off x="1485900" y="114300"/>
          <a:ext cx="10287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t>Rescue</a:t>
          </a:r>
        </a:p>
      </cdr:txBody>
    </cdr:sp>
  </cdr:relSizeAnchor>
  <cdr:relSizeAnchor xmlns:cdr="http://schemas.openxmlformats.org/drawingml/2006/chartDrawing">
    <cdr:from>
      <cdr:x>0.75528</cdr:x>
      <cdr:y>0.04192</cdr:y>
    </cdr:from>
    <cdr:to>
      <cdr:x>0.95019</cdr:x>
      <cdr:y>0.16768</cdr:y>
    </cdr:to>
    <cdr:sp macro="" textlink="">
      <cdr:nvSpPr>
        <cdr:cNvPr id="5" name="Text Box 4"/>
        <cdr:cNvSpPr txBox="1"/>
      </cdr:nvSpPr>
      <cdr:spPr>
        <a:xfrm xmlns:a="http://schemas.openxmlformats.org/drawingml/2006/main">
          <a:off x="3543300" y="114300"/>
          <a:ext cx="914400"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t>New</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8DF59F36CCA0447A820C07D12A9B16B"/>
        <w:category>
          <w:name w:val="General"/>
          <w:gallery w:val="placeholder"/>
        </w:category>
        <w:types>
          <w:type w:val="bbPlcHdr"/>
        </w:types>
        <w:behaviors>
          <w:behavior w:val="content"/>
        </w:behaviors>
        <w:guid w:val="{902369C8-5C9F-F947-AF5B-EF47DAA511FA}"/>
      </w:docPartPr>
      <w:docPartBody>
        <w:p w14:paraId="0726B90B" w14:textId="72D7CB1D" w:rsidR="003030F6" w:rsidRDefault="003030F6" w:rsidP="003030F6">
          <w:pPr>
            <w:pStyle w:val="D8DF59F36CCA0447A820C07D12A9B16B"/>
          </w:pPr>
          <w:r>
            <w:t>[Type text]</w:t>
          </w:r>
        </w:p>
      </w:docPartBody>
    </w:docPart>
    <w:docPart>
      <w:docPartPr>
        <w:name w:val="973C7962CCE8684D997EE42536DE1FDE"/>
        <w:category>
          <w:name w:val="General"/>
          <w:gallery w:val="placeholder"/>
        </w:category>
        <w:types>
          <w:type w:val="bbPlcHdr"/>
        </w:types>
        <w:behaviors>
          <w:behavior w:val="content"/>
        </w:behaviors>
        <w:guid w:val="{0A086B10-9734-C944-AAC4-A5763E921B0F}"/>
      </w:docPartPr>
      <w:docPartBody>
        <w:p w14:paraId="06EE88EA" w14:textId="4BF78560" w:rsidR="003030F6" w:rsidRDefault="003030F6" w:rsidP="003030F6">
          <w:pPr>
            <w:pStyle w:val="973C7962CCE8684D997EE42536DE1FDE"/>
          </w:pPr>
          <w:r>
            <w:t>[Type text]</w:t>
          </w:r>
        </w:p>
      </w:docPartBody>
    </w:docPart>
    <w:docPart>
      <w:docPartPr>
        <w:name w:val="53374B32107C0941BB143EC68BA72FE9"/>
        <w:category>
          <w:name w:val="General"/>
          <w:gallery w:val="placeholder"/>
        </w:category>
        <w:types>
          <w:type w:val="bbPlcHdr"/>
        </w:types>
        <w:behaviors>
          <w:behavior w:val="content"/>
        </w:behaviors>
        <w:guid w:val="{E4F35041-DF4C-2247-B3B3-6BEE64320E39}"/>
      </w:docPartPr>
      <w:docPartBody>
        <w:p w14:paraId="21A12928" w14:textId="24EB64C8" w:rsidR="003030F6" w:rsidRDefault="003030F6" w:rsidP="003030F6">
          <w:pPr>
            <w:pStyle w:val="53374B32107C0941BB143EC68BA72FE9"/>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Ｐゴシック">
    <w:charset w:val="4E"/>
    <w:family w:val="auto"/>
    <w:pitch w:val="variable"/>
    <w:sig w:usb0="00000001" w:usb1="08070000" w:usb2="00000010" w:usb3="00000000" w:csb0="00020000" w:csb1="00000000"/>
  </w:font>
  <w:font w:name="STIXGeneral-Italic">
    <w:panose1 w:val="00000000000000000000"/>
    <w:charset w:val="00"/>
    <w:family w:val="auto"/>
    <w:pitch w:val="variable"/>
    <w:sig w:usb0="A00002BF" w:usb1="42000D4E" w:usb2="02000000" w:usb3="00000000" w:csb0="800001F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TIXGeneral-Regular">
    <w:panose1 w:val="00000000000000000000"/>
    <w:charset w:val="00"/>
    <w:family w:val="auto"/>
    <w:pitch w:val="variable"/>
    <w:sig w:usb0="00000003" w:usb1="00000000" w:usb2="00000000" w:usb3="00000000" w:csb0="00000001" w:csb1="00000000"/>
  </w:font>
  <w:font w:name="Geneva">
    <w:panose1 w:val="020B0503030404040204"/>
    <w:charset w:val="00"/>
    <w:family w:val="auto"/>
    <w:pitch w:val="variable"/>
    <w:sig w:usb0="E00002FF" w:usb1="5200205F" w:usb2="00A0C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30F6"/>
    <w:rsid w:val="00080977"/>
    <w:rsid w:val="000D69A1"/>
    <w:rsid w:val="0012378D"/>
    <w:rsid w:val="00164E1A"/>
    <w:rsid w:val="0019298F"/>
    <w:rsid w:val="001A39FA"/>
    <w:rsid w:val="001A6528"/>
    <w:rsid w:val="001B312A"/>
    <w:rsid w:val="001B65DE"/>
    <w:rsid w:val="001B7D1D"/>
    <w:rsid w:val="002159F9"/>
    <w:rsid w:val="00247BEE"/>
    <w:rsid w:val="00286651"/>
    <w:rsid w:val="002A467F"/>
    <w:rsid w:val="003030F6"/>
    <w:rsid w:val="003157CD"/>
    <w:rsid w:val="00496F75"/>
    <w:rsid w:val="005051B6"/>
    <w:rsid w:val="00517234"/>
    <w:rsid w:val="00581F79"/>
    <w:rsid w:val="005C7E1F"/>
    <w:rsid w:val="005F12FD"/>
    <w:rsid w:val="0073178F"/>
    <w:rsid w:val="0074453F"/>
    <w:rsid w:val="00745C31"/>
    <w:rsid w:val="0075080B"/>
    <w:rsid w:val="007840DA"/>
    <w:rsid w:val="007D461A"/>
    <w:rsid w:val="0082111F"/>
    <w:rsid w:val="00845852"/>
    <w:rsid w:val="008773A8"/>
    <w:rsid w:val="008E5F91"/>
    <w:rsid w:val="009346E2"/>
    <w:rsid w:val="009A2B3C"/>
    <w:rsid w:val="009E768B"/>
    <w:rsid w:val="00A24928"/>
    <w:rsid w:val="00A35CCC"/>
    <w:rsid w:val="00AA37C5"/>
    <w:rsid w:val="00AB1D40"/>
    <w:rsid w:val="00AE329B"/>
    <w:rsid w:val="00B45E54"/>
    <w:rsid w:val="00B96923"/>
    <w:rsid w:val="00BD7808"/>
    <w:rsid w:val="00C409F5"/>
    <w:rsid w:val="00CA2760"/>
    <w:rsid w:val="00CA3DD0"/>
    <w:rsid w:val="00CC2FEB"/>
    <w:rsid w:val="00CE63ED"/>
    <w:rsid w:val="00D171E9"/>
    <w:rsid w:val="00D54950"/>
    <w:rsid w:val="00E33B24"/>
    <w:rsid w:val="00E64FD8"/>
    <w:rsid w:val="00E8747D"/>
    <w:rsid w:val="00E87E24"/>
    <w:rsid w:val="00F4651E"/>
    <w:rsid w:val="00F5172F"/>
    <w:rsid w:val="00F67E85"/>
    <w:rsid w:val="00FB575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0B370E4A9FB2F46813C0FE29FB7B733">
    <w:name w:val="A0B370E4A9FB2F46813C0FE29FB7B733"/>
    <w:rsid w:val="003030F6"/>
  </w:style>
  <w:style w:type="paragraph" w:customStyle="1" w:styleId="C3E4D6CE5A23C041ACF38A3710021568">
    <w:name w:val="C3E4D6CE5A23C041ACF38A3710021568"/>
    <w:rsid w:val="003030F6"/>
  </w:style>
  <w:style w:type="paragraph" w:customStyle="1" w:styleId="DD4C0A111F7A4049A323CEB17422CDAB">
    <w:name w:val="DD4C0A111F7A4049A323CEB17422CDAB"/>
    <w:rsid w:val="003030F6"/>
  </w:style>
  <w:style w:type="paragraph" w:customStyle="1" w:styleId="8BDD5F5A5811A24A8E6BB65975A1ECF3">
    <w:name w:val="8BDD5F5A5811A24A8E6BB65975A1ECF3"/>
    <w:rsid w:val="003030F6"/>
  </w:style>
  <w:style w:type="paragraph" w:customStyle="1" w:styleId="D8312B92F6AD7340B3F43D3D700C682A">
    <w:name w:val="D8312B92F6AD7340B3F43D3D700C682A"/>
    <w:rsid w:val="003030F6"/>
  </w:style>
  <w:style w:type="paragraph" w:customStyle="1" w:styleId="3BF7C7B777BD174F8BF8A192A543BDA2">
    <w:name w:val="3BF7C7B777BD174F8BF8A192A543BDA2"/>
    <w:rsid w:val="003030F6"/>
  </w:style>
  <w:style w:type="paragraph" w:customStyle="1" w:styleId="D8DF59F36CCA0447A820C07D12A9B16B">
    <w:name w:val="D8DF59F36CCA0447A820C07D12A9B16B"/>
    <w:rsid w:val="003030F6"/>
  </w:style>
  <w:style w:type="paragraph" w:customStyle="1" w:styleId="973C7962CCE8684D997EE42536DE1FDE">
    <w:name w:val="973C7962CCE8684D997EE42536DE1FDE"/>
    <w:rsid w:val="003030F6"/>
  </w:style>
  <w:style w:type="paragraph" w:customStyle="1" w:styleId="53374B32107C0941BB143EC68BA72FE9">
    <w:name w:val="53374B32107C0941BB143EC68BA72FE9"/>
    <w:rsid w:val="003030F6"/>
  </w:style>
  <w:style w:type="paragraph" w:customStyle="1" w:styleId="9B9B0038425B714A8D488B50B42804CE">
    <w:name w:val="9B9B0038425B714A8D488B50B42804CE"/>
    <w:rsid w:val="003030F6"/>
  </w:style>
  <w:style w:type="paragraph" w:customStyle="1" w:styleId="872135D365F1D648A95107D440B992EB">
    <w:name w:val="872135D365F1D648A95107D440B992EB"/>
    <w:rsid w:val="003030F6"/>
  </w:style>
  <w:style w:type="paragraph" w:customStyle="1" w:styleId="BDE940FC0D920D4CB923B2995DBAA360">
    <w:name w:val="BDE940FC0D920D4CB923B2995DBAA360"/>
    <w:rsid w:val="003030F6"/>
  </w:style>
  <w:style w:type="paragraph" w:customStyle="1" w:styleId="50B6FF2BA8D48C40BA101483A183D3AA">
    <w:name w:val="50B6FF2BA8D48C40BA101483A183D3AA"/>
    <w:rsid w:val="003030F6"/>
  </w:style>
  <w:style w:type="paragraph" w:customStyle="1" w:styleId="A5BF61368FB0374288142BD5D79604B1">
    <w:name w:val="A5BF61368FB0374288142BD5D79604B1"/>
    <w:rsid w:val="003030F6"/>
  </w:style>
  <w:style w:type="paragraph" w:customStyle="1" w:styleId="69C301F14AEF6441970D44748E20119F">
    <w:name w:val="69C301F14AEF6441970D44748E20119F"/>
    <w:rsid w:val="003030F6"/>
  </w:style>
  <w:style w:type="paragraph" w:customStyle="1" w:styleId="11B302758F6AEA41B64EAB1514636ABF">
    <w:name w:val="11B302758F6AEA41B64EAB1514636ABF"/>
    <w:rsid w:val="003030F6"/>
  </w:style>
  <w:style w:type="paragraph" w:customStyle="1" w:styleId="C61887159849594FA051AA9695182179">
    <w:name w:val="C61887159849594FA051AA9695182179"/>
    <w:rsid w:val="003030F6"/>
  </w:style>
  <w:style w:type="paragraph" w:customStyle="1" w:styleId="F683114913E39A4183052407B486A4AF">
    <w:name w:val="F683114913E39A4183052407B486A4AF"/>
    <w:rsid w:val="003030F6"/>
  </w:style>
  <w:style w:type="paragraph" w:customStyle="1" w:styleId="02AE52CF319C0040B44C074872205CD6">
    <w:name w:val="02AE52CF319C0040B44C074872205CD6"/>
    <w:rsid w:val="003030F6"/>
  </w:style>
  <w:style w:type="paragraph" w:customStyle="1" w:styleId="9594EAC633246B448A1B0B3B9A50270D">
    <w:name w:val="9594EAC633246B448A1B0B3B9A50270D"/>
    <w:rsid w:val="003030F6"/>
  </w:style>
  <w:style w:type="paragraph" w:customStyle="1" w:styleId="2823DD8EBE642D479B3A4377F66563BA">
    <w:name w:val="2823DD8EBE642D479B3A4377F66563BA"/>
    <w:rsid w:val="003030F6"/>
  </w:style>
  <w:style w:type="paragraph" w:customStyle="1" w:styleId="21D9F9DDF8341A44AF982257F9AD0D11">
    <w:name w:val="21D9F9DDF8341A44AF982257F9AD0D11"/>
    <w:rsid w:val="003030F6"/>
  </w:style>
  <w:style w:type="paragraph" w:customStyle="1" w:styleId="8219599E11287648B675BED91F49C598">
    <w:name w:val="8219599E11287648B675BED91F49C598"/>
    <w:rsid w:val="003030F6"/>
  </w:style>
  <w:style w:type="paragraph" w:customStyle="1" w:styleId="EAC999B43EDB744FA32B6A91B28FE3C2">
    <w:name w:val="EAC999B43EDB744FA32B6A91B28FE3C2"/>
    <w:rsid w:val="003030F6"/>
  </w:style>
  <w:style w:type="character" w:styleId="PlaceholderText">
    <w:name w:val="Placeholder Text"/>
    <w:basedOn w:val="DefaultParagraphFont"/>
    <w:uiPriority w:val="99"/>
    <w:semiHidden/>
    <w:rsid w:val="00B45E54"/>
    <w:rPr>
      <w:color w:val="808080"/>
    </w:rPr>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0B370E4A9FB2F46813C0FE29FB7B733">
    <w:name w:val="A0B370E4A9FB2F46813C0FE29FB7B733"/>
    <w:rsid w:val="003030F6"/>
  </w:style>
  <w:style w:type="paragraph" w:customStyle="1" w:styleId="C3E4D6CE5A23C041ACF38A3710021568">
    <w:name w:val="C3E4D6CE5A23C041ACF38A3710021568"/>
    <w:rsid w:val="003030F6"/>
  </w:style>
  <w:style w:type="paragraph" w:customStyle="1" w:styleId="DD4C0A111F7A4049A323CEB17422CDAB">
    <w:name w:val="DD4C0A111F7A4049A323CEB17422CDAB"/>
    <w:rsid w:val="003030F6"/>
  </w:style>
  <w:style w:type="paragraph" w:customStyle="1" w:styleId="8BDD5F5A5811A24A8E6BB65975A1ECF3">
    <w:name w:val="8BDD5F5A5811A24A8E6BB65975A1ECF3"/>
    <w:rsid w:val="003030F6"/>
  </w:style>
  <w:style w:type="paragraph" w:customStyle="1" w:styleId="D8312B92F6AD7340B3F43D3D700C682A">
    <w:name w:val="D8312B92F6AD7340B3F43D3D700C682A"/>
    <w:rsid w:val="003030F6"/>
  </w:style>
  <w:style w:type="paragraph" w:customStyle="1" w:styleId="3BF7C7B777BD174F8BF8A192A543BDA2">
    <w:name w:val="3BF7C7B777BD174F8BF8A192A543BDA2"/>
    <w:rsid w:val="003030F6"/>
  </w:style>
  <w:style w:type="paragraph" w:customStyle="1" w:styleId="D8DF59F36CCA0447A820C07D12A9B16B">
    <w:name w:val="D8DF59F36CCA0447A820C07D12A9B16B"/>
    <w:rsid w:val="003030F6"/>
  </w:style>
  <w:style w:type="paragraph" w:customStyle="1" w:styleId="973C7962CCE8684D997EE42536DE1FDE">
    <w:name w:val="973C7962CCE8684D997EE42536DE1FDE"/>
    <w:rsid w:val="003030F6"/>
  </w:style>
  <w:style w:type="paragraph" w:customStyle="1" w:styleId="53374B32107C0941BB143EC68BA72FE9">
    <w:name w:val="53374B32107C0941BB143EC68BA72FE9"/>
    <w:rsid w:val="003030F6"/>
  </w:style>
  <w:style w:type="paragraph" w:customStyle="1" w:styleId="9B9B0038425B714A8D488B50B42804CE">
    <w:name w:val="9B9B0038425B714A8D488B50B42804CE"/>
    <w:rsid w:val="003030F6"/>
  </w:style>
  <w:style w:type="paragraph" w:customStyle="1" w:styleId="872135D365F1D648A95107D440B992EB">
    <w:name w:val="872135D365F1D648A95107D440B992EB"/>
    <w:rsid w:val="003030F6"/>
  </w:style>
  <w:style w:type="paragraph" w:customStyle="1" w:styleId="BDE940FC0D920D4CB923B2995DBAA360">
    <w:name w:val="BDE940FC0D920D4CB923B2995DBAA360"/>
    <w:rsid w:val="003030F6"/>
  </w:style>
  <w:style w:type="paragraph" w:customStyle="1" w:styleId="50B6FF2BA8D48C40BA101483A183D3AA">
    <w:name w:val="50B6FF2BA8D48C40BA101483A183D3AA"/>
    <w:rsid w:val="003030F6"/>
  </w:style>
  <w:style w:type="paragraph" w:customStyle="1" w:styleId="A5BF61368FB0374288142BD5D79604B1">
    <w:name w:val="A5BF61368FB0374288142BD5D79604B1"/>
    <w:rsid w:val="003030F6"/>
  </w:style>
  <w:style w:type="paragraph" w:customStyle="1" w:styleId="69C301F14AEF6441970D44748E20119F">
    <w:name w:val="69C301F14AEF6441970D44748E20119F"/>
    <w:rsid w:val="003030F6"/>
  </w:style>
  <w:style w:type="paragraph" w:customStyle="1" w:styleId="11B302758F6AEA41B64EAB1514636ABF">
    <w:name w:val="11B302758F6AEA41B64EAB1514636ABF"/>
    <w:rsid w:val="003030F6"/>
  </w:style>
  <w:style w:type="paragraph" w:customStyle="1" w:styleId="C61887159849594FA051AA9695182179">
    <w:name w:val="C61887159849594FA051AA9695182179"/>
    <w:rsid w:val="003030F6"/>
  </w:style>
  <w:style w:type="paragraph" w:customStyle="1" w:styleId="F683114913E39A4183052407B486A4AF">
    <w:name w:val="F683114913E39A4183052407B486A4AF"/>
    <w:rsid w:val="003030F6"/>
  </w:style>
  <w:style w:type="paragraph" w:customStyle="1" w:styleId="02AE52CF319C0040B44C074872205CD6">
    <w:name w:val="02AE52CF319C0040B44C074872205CD6"/>
    <w:rsid w:val="003030F6"/>
  </w:style>
  <w:style w:type="paragraph" w:customStyle="1" w:styleId="9594EAC633246B448A1B0B3B9A50270D">
    <w:name w:val="9594EAC633246B448A1B0B3B9A50270D"/>
    <w:rsid w:val="003030F6"/>
  </w:style>
  <w:style w:type="paragraph" w:customStyle="1" w:styleId="2823DD8EBE642D479B3A4377F66563BA">
    <w:name w:val="2823DD8EBE642D479B3A4377F66563BA"/>
    <w:rsid w:val="003030F6"/>
  </w:style>
  <w:style w:type="paragraph" w:customStyle="1" w:styleId="21D9F9DDF8341A44AF982257F9AD0D11">
    <w:name w:val="21D9F9DDF8341A44AF982257F9AD0D11"/>
    <w:rsid w:val="003030F6"/>
  </w:style>
  <w:style w:type="paragraph" w:customStyle="1" w:styleId="8219599E11287648B675BED91F49C598">
    <w:name w:val="8219599E11287648B675BED91F49C598"/>
    <w:rsid w:val="003030F6"/>
  </w:style>
  <w:style w:type="paragraph" w:customStyle="1" w:styleId="EAC999B43EDB744FA32B6A91B28FE3C2">
    <w:name w:val="EAC999B43EDB744FA32B6A91B28FE3C2"/>
    <w:rsid w:val="003030F6"/>
  </w:style>
  <w:style w:type="character" w:styleId="PlaceholderText">
    <w:name w:val="Placeholder Text"/>
    <w:basedOn w:val="DefaultParagraphFont"/>
    <w:uiPriority w:val="99"/>
    <w:semiHidden/>
    <w:rsid w:val="00B45E5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0E0EC8-0570-EE49-92B7-04C36653A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968</TotalTime>
  <Pages>287</Pages>
  <Words>133569</Words>
  <Characters>761344</Characters>
  <Application>Microsoft Macintosh Word</Application>
  <DocSecurity>0</DocSecurity>
  <Lines>6344</Lines>
  <Paragraphs>1786</Paragraphs>
  <ScaleCrop>false</ScaleCrop>
  <Company/>
  <LinksUpToDate>false</LinksUpToDate>
  <CharactersWithSpaces>893127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 Fellows</dc:creator>
  <cp:keywords/>
  <dc:description/>
  <cp:lastModifiedBy>Clair Fellows</cp:lastModifiedBy>
  <cp:revision>104</cp:revision>
  <cp:lastPrinted>2018-01-31T15:42:00Z</cp:lastPrinted>
  <dcterms:created xsi:type="dcterms:W3CDTF">2018-04-04T10:08:00Z</dcterms:created>
  <dcterms:modified xsi:type="dcterms:W3CDTF">2018-06-07T13:29:00Z</dcterms:modified>
</cp:coreProperties>
</file>